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E6" w:rsidRPr="009F3AC2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9F3AC2">
        <w:rPr>
          <w:i w:val="0"/>
        </w:rPr>
        <w:t xml:space="preserve">ZAŁĄCZNIK NR </w:t>
      </w:r>
      <w:r>
        <w:rPr>
          <w:i w:val="0"/>
        </w:rPr>
        <w:t>11</w:t>
      </w:r>
      <w:r w:rsidRPr="009F3AC2">
        <w:rPr>
          <w:i w:val="0"/>
        </w:rPr>
        <w:t xml:space="preserve"> DO SWZ</w:t>
      </w:r>
    </w:p>
    <w:p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:rsidR="00BE04E6" w:rsidRDefault="00BE04E6" w:rsidP="00BE04E6">
      <w:pPr>
        <w:pStyle w:val="01Tekstbt"/>
        <w:rPr>
          <w:b/>
          <w:i w:val="0"/>
        </w:rPr>
      </w:pPr>
    </w:p>
    <w:p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B32B95" w:rsidRPr="00283B2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samoc</w:t>
      </w:r>
      <w:r w:rsidR="005B07FD" w:rsidRPr="00283B25">
        <w:rPr>
          <w:rFonts w:ascii="Times New Roman" w:eastAsia="Century Gothic" w:hAnsi="Times New Roman" w:cs="Times New Roman"/>
          <w:sz w:val="24"/>
          <w:szCs w:val="24"/>
        </w:rPr>
        <w:t>hodów sp</w:t>
      </w:r>
      <w:r w:rsidR="00B32B95" w:rsidRPr="00283B25">
        <w:rPr>
          <w:rFonts w:ascii="Times New Roman" w:eastAsia="Century Gothic" w:hAnsi="Times New Roman" w:cs="Times New Roman"/>
          <w:sz w:val="24"/>
          <w:szCs w:val="24"/>
        </w:rPr>
        <w:t>ecjalnych’’, sprawa nr WL.2370.5</w:t>
      </w:r>
      <w:r w:rsidR="00320DCF" w:rsidRPr="00283B25">
        <w:rPr>
          <w:rFonts w:ascii="Times New Roman" w:eastAsia="Century Gothic" w:hAnsi="Times New Roman" w:cs="Times New Roman"/>
          <w:sz w:val="24"/>
          <w:szCs w:val="24"/>
        </w:rPr>
        <w:t>.2022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83B2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83B2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>
        <w:rPr>
          <w:rFonts w:ascii="Times New Roman" w:eastAsia="Century Gothic" w:hAnsi="Times New Roman" w:cs="Times New Roman"/>
          <w:sz w:val="24"/>
          <w:szCs w:val="24"/>
        </w:rPr>
        <w:t>d</w:t>
      </w:r>
      <w:bookmarkStart w:id="0" w:name="_GoBack"/>
      <w:bookmarkEnd w:id="0"/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 xml:space="preserve">legam wykluczeniu na podstawie art. 7 ust. 1  Ustawy z dnia 13 kwietnia 2022 r. o szczególnych rozwiązaniach w zakresie przeciwdziałania wspieraniu agresji na Ukrainę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oraz służących ochronie bezpieczeństwa narodowego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(Dz.U. z 2022 r. poz. 835)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>.</w:t>
      </w:r>
    </w:p>
    <w:p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P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283B25" w:rsidRPr="00283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43F5"/>
    <w:rsid w:val="000976B3"/>
    <w:rsid w:val="000B4689"/>
    <w:rsid w:val="00101A0C"/>
    <w:rsid w:val="00155438"/>
    <w:rsid w:val="00283B25"/>
    <w:rsid w:val="00320DCF"/>
    <w:rsid w:val="0032707E"/>
    <w:rsid w:val="00380C84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A52C9D"/>
    <w:rsid w:val="00AE2477"/>
    <w:rsid w:val="00B32B95"/>
    <w:rsid w:val="00BB4E05"/>
    <w:rsid w:val="00BE04E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6</cp:revision>
  <dcterms:created xsi:type="dcterms:W3CDTF">2022-04-20T09:37:00Z</dcterms:created>
  <dcterms:modified xsi:type="dcterms:W3CDTF">2022-04-22T12:36:00Z</dcterms:modified>
</cp:coreProperties>
</file>