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Pr="004D093B" w:rsidRDefault="008C0E92" w:rsidP="008C0E92">
      <w:pPr>
        <w:jc w:val="right"/>
        <w:rPr>
          <w:rFonts w:ascii="Lato" w:hAnsi="Lato"/>
          <w:b/>
          <w:bCs/>
          <w:color w:val="00B0F0"/>
          <w:sz w:val="28"/>
          <w:szCs w:val="28"/>
        </w:rPr>
      </w:pPr>
    </w:p>
    <w:p w14:paraId="7CC758A3" w14:textId="4DB52B1C" w:rsidR="00AD08C5" w:rsidRPr="004D093B" w:rsidRDefault="009F1561" w:rsidP="008C0E92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PROJEKT </w:t>
      </w:r>
      <w:r w:rsidR="006A7DCE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OBWIESZCZENI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A</w:t>
      </w:r>
      <w:r w:rsidR="006A7DCE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REFUNDACYJNE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GO</w:t>
      </w:r>
      <w:r w:rsidR="006A7DCE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NR </w:t>
      </w:r>
      <w:r w:rsidR="00294265">
        <w:rPr>
          <w:rFonts w:ascii="Lato" w:hAnsi="Lato"/>
          <w:b/>
          <w:bCs/>
          <w:color w:val="00B0F0"/>
          <w:sz w:val="36"/>
          <w:szCs w:val="36"/>
          <w:u w:val="single"/>
        </w:rPr>
        <w:t>71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</w:t>
      </w:r>
      <w:r w:rsidR="00294265">
        <w:rPr>
          <w:rFonts w:ascii="Lato" w:hAnsi="Lato"/>
          <w:b/>
          <w:bCs/>
          <w:color w:val="00B0F0"/>
          <w:sz w:val="36"/>
          <w:szCs w:val="36"/>
          <w:u w:val="single"/>
        </w:rPr>
        <w:t>WRZEŚNIA</w:t>
      </w:r>
      <w:r w:rsidR="00FB2364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202</w:t>
      </w:r>
      <w:r w:rsidR="000E3BBE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3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r.)</w:t>
      </w:r>
    </w:p>
    <w:p w14:paraId="5B1053CC" w14:textId="0B4A0CB6" w:rsidR="009F1561" w:rsidRPr="006364CD" w:rsidRDefault="009F1561" w:rsidP="00350CC6">
      <w:pPr>
        <w:spacing w:before="240" w:after="120" w:line="360" w:lineRule="auto"/>
        <w:jc w:val="both"/>
        <w:rPr>
          <w:rFonts w:ascii="Lato" w:hAnsi="Lato"/>
        </w:rPr>
      </w:pPr>
      <w:r w:rsidRPr="006364CD">
        <w:rPr>
          <w:rFonts w:ascii="Lato" w:hAnsi="Lato"/>
        </w:rPr>
        <w:t>Prezentowane podsumowanie projektu obwieszczenia</w:t>
      </w:r>
      <w:r>
        <w:rPr>
          <w:rFonts w:ascii="Lato" w:hAnsi="Lato"/>
        </w:rPr>
        <w:t xml:space="preserve"> refundacyjnego nr</w:t>
      </w:r>
      <w:r w:rsidRPr="006364CD">
        <w:rPr>
          <w:rFonts w:ascii="Lato" w:hAnsi="Lato"/>
        </w:rPr>
        <w:t xml:space="preserve"> 7</w:t>
      </w:r>
      <w:r>
        <w:rPr>
          <w:rFonts w:ascii="Lato" w:hAnsi="Lato"/>
        </w:rPr>
        <w:t>1</w:t>
      </w:r>
      <w:r w:rsidRPr="006364CD">
        <w:rPr>
          <w:rFonts w:ascii="Lato" w:hAnsi="Lato"/>
        </w:rPr>
        <w:t xml:space="preserve"> </w:t>
      </w:r>
      <w:r w:rsidRPr="00420732">
        <w:rPr>
          <w:rFonts w:ascii="Lato" w:hAnsi="Lato"/>
          <w:b/>
          <w:bCs/>
        </w:rPr>
        <w:t>nie stanowi jego ostatecznej wersji</w:t>
      </w:r>
      <w:r w:rsidRPr="006364CD">
        <w:rPr>
          <w:rFonts w:ascii="Lato" w:hAnsi="Lato"/>
        </w:rPr>
        <w:t xml:space="preserve">, bowiem nadal trwają prace administracyjne nad finalnym wykazem refundowanych leków, środków spożywczych specjalnego przeznaczenia żywieniowego oraz wyrobów medycznych obowiązującym od 1 </w:t>
      </w:r>
      <w:r>
        <w:rPr>
          <w:rFonts w:ascii="Lato" w:hAnsi="Lato"/>
        </w:rPr>
        <w:t>września</w:t>
      </w:r>
      <w:r w:rsidRPr="006364CD">
        <w:rPr>
          <w:rFonts w:ascii="Lato" w:hAnsi="Lato"/>
        </w:rPr>
        <w:t xml:space="preserve"> 2023 r. </w:t>
      </w:r>
    </w:p>
    <w:p w14:paraId="1C6BA742" w14:textId="078B6F7C" w:rsidR="009F1561" w:rsidRPr="006364CD" w:rsidRDefault="009F1561" w:rsidP="009F1561">
      <w:pPr>
        <w:spacing w:after="120" w:line="360" w:lineRule="auto"/>
        <w:jc w:val="both"/>
        <w:rPr>
          <w:rFonts w:ascii="Lato" w:hAnsi="Lato"/>
        </w:rPr>
      </w:pPr>
      <w:r w:rsidRPr="006364CD">
        <w:rPr>
          <w:rFonts w:ascii="Lato" w:hAnsi="Lato"/>
        </w:rPr>
        <w:t xml:space="preserve">Uwzględniając niniejszy projekt, od początku roku 2023, finansowaniem ze środków publicznych </w:t>
      </w:r>
      <w:r>
        <w:rPr>
          <w:rFonts w:ascii="Lato" w:hAnsi="Lato"/>
        </w:rPr>
        <w:t>zostanie objętych</w:t>
      </w:r>
      <w:r w:rsidRPr="006364CD">
        <w:rPr>
          <w:rFonts w:ascii="Lato" w:hAnsi="Lato"/>
        </w:rPr>
        <w:t xml:space="preserve"> </w:t>
      </w:r>
      <w:r w:rsidR="00CC42B1">
        <w:rPr>
          <w:rFonts w:ascii="Lato" w:hAnsi="Lato"/>
          <w:b/>
          <w:bCs/>
        </w:rPr>
        <w:t>113</w:t>
      </w:r>
      <w:r w:rsidRPr="00420732">
        <w:rPr>
          <w:rFonts w:ascii="Lato" w:hAnsi="Lato"/>
          <w:b/>
          <w:bCs/>
        </w:rPr>
        <w:t xml:space="preserve"> nowych </w:t>
      </w:r>
      <w:r w:rsidR="00E10F0D">
        <w:rPr>
          <w:rFonts w:ascii="Lato" w:hAnsi="Lato"/>
          <w:b/>
          <w:bCs/>
        </w:rPr>
        <w:br/>
      </w:r>
      <w:r w:rsidRPr="00420732">
        <w:rPr>
          <w:rFonts w:ascii="Lato" w:hAnsi="Lato"/>
          <w:b/>
          <w:bCs/>
        </w:rPr>
        <w:t>cząsteczko – wskazań</w:t>
      </w:r>
      <w:r w:rsidRPr="00417744">
        <w:rPr>
          <w:rFonts w:ascii="Lato" w:hAnsi="Lato"/>
        </w:rPr>
        <w:t>,</w:t>
      </w:r>
      <w:r w:rsidRPr="006364CD">
        <w:rPr>
          <w:rFonts w:ascii="Lato" w:hAnsi="Lato"/>
        </w:rPr>
        <w:t xml:space="preserve"> w tym:</w:t>
      </w:r>
    </w:p>
    <w:p w14:paraId="68FC42E6" w14:textId="509FE12A" w:rsidR="009F1561" w:rsidRPr="00417744" w:rsidRDefault="00CC42B1" w:rsidP="009F1561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>60</w:t>
      </w:r>
      <w:r w:rsidR="009F1561" w:rsidRPr="00417744">
        <w:rPr>
          <w:rFonts w:ascii="Lato" w:hAnsi="Lato"/>
        </w:rPr>
        <w:t xml:space="preserve"> cząsteczko – wskaza</w:t>
      </w:r>
      <w:r>
        <w:rPr>
          <w:rFonts w:ascii="Lato" w:hAnsi="Lato"/>
        </w:rPr>
        <w:t>ń</w:t>
      </w:r>
      <w:r w:rsidR="009F1561" w:rsidRPr="00417744">
        <w:rPr>
          <w:rFonts w:ascii="Lato" w:hAnsi="Lato"/>
        </w:rPr>
        <w:t xml:space="preserve"> onkologiczn</w:t>
      </w:r>
      <w:r>
        <w:rPr>
          <w:rFonts w:ascii="Lato" w:hAnsi="Lato"/>
        </w:rPr>
        <w:t>ych</w:t>
      </w:r>
      <w:r w:rsidR="009F1561" w:rsidRPr="00417744">
        <w:rPr>
          <w:rFonts w:ascii="Lato" w:hAnsi="Lato"/>
        </w:rPr>
        <w:t>,</w:t>
      </w:r>
    </w:p>
    <w:p w14:paraId="309F6D0A" w14:textId="269DBC00" w:rsidR="009F1561" w:rsidRPr="00417744" w:rsidRDefault="009F1561" w:rsidP="009F1561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Lato" w:hAnsi="Lato"/>
        </w:rPr>
      </w:pPr>
      <w:r w:rsidRPr="00417744">
        <w:rPr>
          <w:rFonts w:ascii="Lato" w:hAnsi="Lato"/>
        </w:rPr>
        <w:t>5</w:t>
      </w:r>
      <w:r w:rsidR="00CC42B1">
        <w:rPr>
          <w:rFonts w:ascii="Lato" w:hAnsi="Lato"/>
        </w:rPr>
        <w:t>3</w:t>
      </w:r>
      <w:r w:rsidRPr="00417744">
        <w:rPr>
          <w:rFonts w:ascii="Lato" w:hAnsi="Lato"/>
        </w:rPr>
        <w:t xml:space="preserve"> cząsteczko - wskaza</w:t>
      </w:r>
      <w:r w:rsidR="00CC42B1">
        <w:rPr>
          <w:rFonts w:ascii="Lato" w:hAnsi="Lato"/>
        </w:rPr>
        <w:t>nia</w:t>
      </w:r>
      <w:r w:rsidRPr="00417744">
        <w:rPr>
          <w:rFonts w:ascii="Lato" w:hAnsi="Lato"/>
        </w:rPr>
        <w:t xml:space="preserve"> nieonkologiczn</w:t>
      </w:r>
      <w:r w:rsidR="00CC42B1">
        <w:rPr>
          <w:rFonts w:ascii="Lato" w:hAnsi="Lato"/>
        </w:rPr>
        <w:t>e</w:t>
      </w:r>
      <w:r w:rsidRPr="00417744">
        <w:rPr>
          <w:rFonts w:ascii="Lato" w:hAnsi="Lato"/>
        </w:rPr>
        <w:t>,</w:t>
      </w:r>
    </w:p>
    <w:p w14:paraId="6F26D94B" w14:textId="5E7394A4" w:rsidR="009F1561" w:rsidRPr="00417744" w:rsidRDefault="009F1561" w:rsidP="009F1561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Lato" w:hAnsi="Lato"/>
        </w:rPr>
      </w:pPr>
      <w:r w:rsidRPr="00417744">
        <w:rPr>
          <w:rFonts w:ascii="Lato" w:hAnsi="Lato"/>
        </w:rPr>
        <w:t>3</w:t>
      </w:r>
      <w:r w:rsidR="00CC42B1">
        <w:rPr>
          <w:rFonts w:ascii="Lato" w:hAnsi="Lato"/>
        </w:rPr>
        <w:t>4</w:t>
      </w:r>
      <w:r w:rsidRPr="00417744">
        <w:rPr>
          <w:rFonts w:ascii="Lato" w:hAnsi="Lato"/>
        </w:rPr>
        <w:t xml:space="preserve"> cząsteczko - wskazania dedykowane chorobom rzadkim.</w:t>
      </w:r>
    </w:p>
    <w:p w14:paraId="406B0915" w14:textId="227C02DB" w:rsidR="009F1561" w:rsidRDefault="009F1561" w:rsidP="009F1561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6364CD">
        <w:rPr>
          <w:rFonts w:ascii="Lato" w:hAnsi="Lato" w:cs="Arial"/>
        </w:rPr>
        <w:t xml:space="preserve">Najwięcej nowych cząsteczko - wskazań onkologicznych w 2023 r. obserwujemy w </w:t>
      </w:r>
      <w:proofErr w:type="spellStart"/>
      <w:r w:rsidRPr="006364CD">
        <w:rPr>
          <w:rFonts w:ascii="Lato" w:hAnsi="Lato" w:cs="Arial"/>
        </w:rPr>
        <w:t>hematoonkologii</w:t>
      </w:r>
      <w:proofErr w:type="spellEnd"/>
      <w:r w:rsidRPr="006364CD">
        <w:rPr>
          <w:rFonts w:ascii="Lato" w:hAnsi="Lato" w:cs="Arial"/>
        </w:rPr>
        <w:t xml:space="preserve"> (2</w:t>
      </w:r>
      <w:r w:rsidR="004509A0">
        <w:rPr>
          <w:rFonts w:ascii="Lato" w:hAnsi="Lato" w:cs="Arial"/>
        </w:rPr>
        <w:t>6</w:t>
      </w:r>
      <w:r w:rsidRPr="006364CD">
        <w:rPr>
          <w:rFonts w:ascii="Lato" w:hAnsi="Lato" w:cs="Arial"/>
        </w:rPr>
        <w:t>), w nowotworach układu oddechowego (</w:t>
      </w:r>
      <w:r w:rsidR="004509A0">
        <w:rPr>
          <w:rFonts w:ascii="Lato" w:hAnsi="Lato" w:cs="Arial"/>
        </w:rPr>
        <w:t>11</w:t>
      </w:r>
      <w:r w:rsidRPr="006364CD">
        <w:rPr>
          <w:rFonts w:ascii="Lato" w:hAnsi="Lato" w:cs="Arial"/>
        </w:rPr>
        <w:t xml:space="preserve">) i </w:t>
      </w:r>
      <w:r w:rsidR="004509A0">
        <w:rPr>
          <w:rFonts w:ascii="Lato" w:hAnsi="Lato" w:cs="Arial"/>
        </w:rPr>
        <w:t>pokarmowego</w:t>
      </w:r>
      <w:r w:rsidRPr="006364CD">
        <w:rPr>
          <w:rFonts w:ascii="Lato" w:hAnsi="Lato" w:cs="Arial"/>
        </w:rPr>
        <w:t xml:space="preserve"> (</w:t>
      </w:r>
      <w:r w:rsidR="004509A0">
        <w:rPr>
          <w:rFonts w:ascii="Lato" w:hAnsi="Lato" w:cs="Arial"/>
        </w:rPr>
        <w:t>9</w:t>
      </w:r>
      <w:r w:rsidRPr="006364CD">
        <w:rPr>
          <w:rFonts w:ascii="Lato" w:hAnsi="Lato" w:cs="Arial"/>
        </w:rPr>
        <w:t>). Najwięcej nowych cząsteczko - wskazań nieonkologicznych w 2023 r. obserwujemy w kardiologii (19), reumatologii (6), hematologii (4), gastroenterologii (4) i  dermatologii (4).</w:t>
      </w:r>
    </w:p>
    <w:p w14:paraId="654847C3" w14:textId="77777777" w:rsidR="009F1561" w:rsidRPr="006364CD" w:rsidRDefault="009F1561" w:rsidP="009F1561">
      <w:pPr>
        <w:autoSpaceDE w:val="0"/>
        <w:spacing w:after="0" w:line="360" w:lineRule="auto"/>
        <w:jc w:val="both"/>
        <w:rPr>
          <w:rFonts w:ascii="Lato" w:hAnsi="Lato" w:cs="Arial"/>
        </w:rPr>
      </w:pPr>
    </w:p>
    <w:p w14:paraId="6B466A0C" w14:textId="442AA050" w:rsidR="004D093B" w:rsidRDefault="004D093B" w:rsidP="00350CC6">
      <w:pPr>
        <w:autoSpaceDE w:val="0"/>
        <w:spacing w:after="0"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br w:type="page"/>
      </w:r>
    </w:p>
    <w:p w14:paraId="4E1AA09A" w14:textId="43A40CD7" w:rsidR="00350CC6" w:rsidRDefault="00350CC6" w:rsidP="006D0466">
      <w:pPr>
        <w:autoSpaceDE w:val="0"/>
        <w:spacing w:after="120" w:line="240" w:lineRule="auto"/>
        <w:jc w:val="both"/>
        <w:rPr>
          <w:rFonts w:ascii="Lato" w:hAnsi="Lat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55A6C8" wp14:editId="69C86570">
            <wp:extent cx="4414520" cy="2838735"/>
            <wp:effectExtent l="0" t="0" r="508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7889C1A-5DD9-4C41-9C0E-2CE1FB7DE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78D5BF7" wp14:editId="79F73B05">
            <wp:extent cx="4435475" cy="2828498"/>
            <wp:effectExtent l="0" t="0" r="3175" b="1016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E52EC9A3-CF0F-4F00-8042-9072D1CE4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394F58" w14:textId="7631A836" w:rsidR="00350CC6" w:rsidRDefault="00350CC6" w:rsidP="006D0466">
      <w:pPr>
        <w:autoSpaceDE w:val="0"/>
        <w:spacing w:after="0" w:line="360" w:lineRule="auto"/>
        <w:jc w:val="both"/>
        <w:rPr>
          <w:rFonts w:ascii="Lato" w:hAnsi="Lato"/>
          <w:sz w:val="24"/>
          <w:szCs w:val="24"/>
        </w:rPr>
      </w:pPr>
      <w:r>
        <w:rPr>
          <w:noProof/>
        </w:rPr>
        <w:drawing>
          <wp:inline distT="0" distB="0" distL="0" distR="0" wp14:anchorId="799F83FF" wp14:editId="401C9D3D">
            <wp:extent cx="4414520" cy="2810518"/>
            <wp:effectExtent l="0" t="0" r="5080" b="889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9D137F96-D8BB-4669-93B7-D9F98C884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938BF58" wp14:editId="04E4E94C">
            <wp:extent cx="4421505" cy="2814752"/>
            <wp:effectExtent l="0" t="0" r="17145" b="508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2DB26032-FA93-4448-8FF7-12D47490A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br w:type="page"/>
      </w:r>
    </w:p>
    <w:p w14:paraId="06A06678" w14:textId="7D136BFD" w:rsidR="00AD08C5" w:rsidRPr="004D093B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5058F2" w:rsidRPr="004D093B" w14:paraId="7E2E9B6A" w14:textId="77777777" w:rsidTr="00294265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294265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D093B" w14:paraId="60CDF2D4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EE5277" w:rsidRPr="004D093B" w14:paraId="1F4280B1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51FF0EA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06DDD5A1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Lorviqua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42A2F3A3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lorlat</w:t>
            </w:r>
            <w:r w:rsidR="00EF3A0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</w:t>
            </w:r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0734782B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02F2CBB6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18DAA9EE" w:rsidR="00EE5277" w:rsidRPr="00946C5F" w:rsidRDefault="001E4A45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 linia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pacjentów z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NDRP z mutacją w genie ALK (chorzy wcześniej nie poddawani systemowemu leczeniu z powodu zaawansowanego nowotworu).</w:t>
            </w:r>
          </w:p>
        </w:tc>
      </w:tr>
      <w:tr w:rsidR="00EE5277" w:rsidRPr="004D093B" w14:paraId="5A345E23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E88B" w14:textId="1BCDCC89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00A" w14:textId="6E50232F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Lumykras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06B5" w14:textId="1362A3A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sotorasib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4A2" w14:textId="4A2C448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49D" w14:textId="1F4D1415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34F5" w14:textId="34F2AC9E" w:rsidR="00EE5277" w:rsidRPr="00946C5F" w:rsidRDefault="001E4A45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II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kolejne linie leczenia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pacjentów z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NDRP z mutacją G12C w genie KRAS  po niepowodzeniu co najmniej jednej wcześniejszej linii leczenia systemowego.</w:t>
            </w:r>
          </w:p>
        </w:tc>
      </w:tr>
      <w:tr w:rsidR="00EE5277" w:rsidRPr="004D093B" w14:paraId="2F304C7B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5DF373DC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B9C" w14:textId="34200626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Tecentriq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E7F" w14:textId="4B98BEBD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atezolizumab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3DDA37D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779C40FD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559" w14:textId="701B6D29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adjuwantowe</w:t>
            </w:r>
            <w:proofErr w:type="spellEnd"/>
            <w:r w:rsidR="005E3DB9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 całkowitej resekcji i chemioterapii 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opartej na związkach platyny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u dorosłych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pacjentów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NDRP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 wysokim ryzyku wystąpienia nawrotu, u których w tkance nowotworowej ekspresja PD-L1 wynosi ≥50% na komórkach guza.</w:t>
            </w:r>
          </w:p>
        </w:tc>
      </w:tr>
      <w:tr w:rsidR="00EE5277" w:rsidRPr="004D093B" w14:paraId="41B567AC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147CA70B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43063CD4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61585B91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15BDBF9E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B.10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2B6CC021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NERKI (ICD-10: C64)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DB27" w14:textId="5F9EA12C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adjuwantowe</w:t>
            </w:r>
            <w:proofErr w:type="spellEnd"/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 zabiegu nefrektomii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dorosłych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pacjentów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rakiem nerki.</w:t>
            </w:r>
          </w:p>
        </w:tc>
      </w:tr>
      <w:tr w:rsidR="00EE5277" w:rsidRPr="004D093B" w14:paraId="4193F70D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45429850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35360937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Tecartus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750C64D5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breksukabtagen</w:t>
            </w:r>
            <w:proofErr w:type="spellEnd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autoleucel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7785481F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4F2CBA2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6DB7" w14:textId="052FF0B3" w:rsidR="005E3DB9" w:rsidRDefault="005E3DB9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lub kolejne linie leczenia terapią </w:t>
            </w:r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CAR-T </w:t>
            </w:r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>(</w:t>
            </w:r>
            <w:proofErr w:type="spellStart"/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breksukabtagen</w:t>
            </w:r>
            <w:proofErr w:type="spellEnd"/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autoleucel</w:t>
            </w:r>
            <w:proofErr w:type="spellEnd"/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dorosłych pacjentów z opornym lub nawrotowym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chłoniakiem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z komórek płaszcza (MCL)</w:t>
            </w:r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którzy uprzednio otrzymali co najmniej dwie linie leczenia systemowego, w tym inhibitor kinazy tyrozynowej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Brutona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7C75D696" w14:textId="77777777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  <w:p w14:paraId="5966388A" w14:textId="443AD172" w:rsidR="00EE5277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(TLI)</w:t>
            </w:r>
          </w:p>
        </w:tc>
      </w:tr>
      <w:tr w:rsidR="00EE5277" w:rsidRPr="004D093B" w14:paraId="34137848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15976FCF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6B04CC80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322647DB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019F720E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5CE7403A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4C9F" w14:textId="2E97D34E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A6A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adjuwantowe</w:t>
            </w:r>
            <w:proofErr w:type="spellEnd"/>
            <w:r w:rsidRPr="000A6A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A4A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pacjentów z rakiem przełyku (płaskonabłonkowym lub gruczołowym) lub połączenia żołądkowo-przełykowego, z chorobą resztkową, po wcześniejszej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chemioradioterapii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neoadjuwantowej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65CA776D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9EFB" w14:textId="7F54634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FF90" w14:textId="448569A2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253C" w14:textId="1D69004F" w:rsidR="000A6A4A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342F" w14:textId="603DA885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AA31" w14:textId="3876DDA5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FFB5" w14:textId="4F065C7A" w:rsidR="000A6A4A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 linia leczenia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skojarzoną opartą na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fluoropirymidynie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(5FU) i pochodnej platyny (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oksaliplatynie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kapecytabinie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według schematu CAPOX lub FOLFOX) dorosłych pacjentów z HER2-ujemnym zaawansowanym lub przerzutowym gruczolakorakiem przełyku, połączenia żołądkowo-przełykowego lub żołądka z ekspresją PD-L1 wg skali CPS ≥ 5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79F6918C" w14:textId="77777777" w:rsidTr="00094F94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1F81CA7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8.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0FE8A39A" w:rsidR="000A6A4A" w:rsidRPr="00946C5F" w:rsidRDefault="000A6A4A" w:rsidP="00EC27E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+</w:t>
            </w:r>
            <w:r w:rsidR="00EC27E5">
              <w:rPr>
                <w:rFonts w:ascii="Lato" w:hAnsi="Lato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Yervoy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7B9550CB" w:rsidR="000A6A4A" w:rsidRPr="00946C5F" w:rsidRDefault="000A6A4A" w:rsidP="00EC27E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+</w:t>
            </w:r>
            <w:r w:rsidR="00EC27E5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ipilimumab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2FC4388A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15B9DB8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2A24" w14:textId="514239E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 linia leczenia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zawierającą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fluoropirymidynę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pochodną platyny albo z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ipilimumabem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pacjentów z zaawansowanym nieoperacyjnym, nawrotowym lub przerzutowym płaskonabłonkowym rakiem przełyku z ekspresją PD-L1 ≥ 1%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2EAEEA58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2062AE1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9.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0F33693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Lonsurf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42592BD7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triflurydyna</w:t>
            </w:r>
            <w:proofErr w:type="spellEnd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+ </w:t>
            </w: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typiracyl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71F3B96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2E1CD6F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EFD" w14:textId="74B570D2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III linia leczenia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triflurydyną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typiracylem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z gruczolakorakiem żołądka lub połączenia żołądkowo-przełykowego w stadium uogólnionym, u których udokumentowano  nieskuteczność dwóch wcześniejszych standardowych schematów leczenia choroby zaawansowanej, w tym obejmujących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fluoropirymidynę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platynę i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taksany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irynotekan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010C7C76" w14:textId="77777777" w:rsidTr="000F5E0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E46E" w14:textId="1D38E447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sz w:val="18"/>
                <w:szCs w:val="18"/>
              </w:rPr>
              <w:t>10.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A40" w14:textId="1655071D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0F5E0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Retsevmo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4598" w14:textId="7812B11B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0F5E0B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selpercetynib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93EF" w14:textId="00D455AE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B.108.FM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2F1B" w14:textId="6CE798B3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RDZENIASTYM TARCZYCY (ICD-10: C73)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F67B" w14:textId="5D990DDF" w:rsidR="000A6A4A" w:rsidRPr="000F5E0B" w:rsidRDefault="000A6A4A" w:rsidP="006006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linia leczenia pacjentów z zaawansowanym rakiem </w:t>
            </w:r>
            <w:proofErr w:type="spellStart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>rdzeniastym</w:t>
            </w:r>
            <w:proofErr w:type="spellEnd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tarczycy z obecnością fuzji genu RET, którzy wymagają terapii systemowej po wcześniejszym leczeniu </w:t>
            </w:r>
            <w:proofErr w:type="spellStart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>wandetanibem</w:t>
            </w:r>
            <w:proofErr w:type="spellEnd"/>
            <w:r w:rsidR="006006C8"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>kabozantynibem</w:t>
            </w:r>
            <w:proofErr w:type="spellEnd"/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19ED9F03" w14:textId="622AE351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  <w:p w14:paraId="0201259C" w14:textId="00215605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(TLI)</w:t>
            </w:r>
          </w:p>
        </w:tc>
      </w:tr>
      <w:tr w:rsidR="000A6A4A" w:rsidRPr="004D093B" w14:paraId="0CE4DE4F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CB61" w14:textId="39EA1E8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11.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FF15" w14:textId="55E10591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Jemperli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755" w14:textId="349F76C0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dostarlimab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E7B7" w14:textId="649B6CE1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B.148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173F" w14:textId="39ACD85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ENDOMETRIUM (ICD-10 C54)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9577" w14:textId="5C0F5DBC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linia leczenia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pacjentek z nawrotowym lub zaawansowanym rakiem endometrium z upośledzeniem naprawy nieprawidłowo sparowanych nukleotydów (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dMMR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lub wysoką niestabilnością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mikrosatelitarną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(MSI-H).</w:t>
            </w:r>
          </w:p>
        </w:tc>
      </w:tr>
      <w:tr w:rsidR="000A6A4A" w:rsidRPr="004D093B" w14:paraId="31F8CB73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B759" w14:textId="67FA912A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A69A" w14:textId="129FDE3D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Jakavi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308C" w14:textId="1A1D85C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ruksolitynib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3318" w14:textId="79A2F9C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B.149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D718" w14:textId="7C559EE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PRZESZCZEP PRZECIWKO GOSPODARZOWI (ICD-10: T86.0)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2E08" w14:textId="73E2A4FD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ruksolitynibem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od 12 roku życia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ostrą lub przewlekłą chorobą przeszczep przeciwko gospodarzowi (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GvHD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 po przeszczepieniu allogenicznych krwiotwórczych komórek macierzystych i z niewystarczającą odpowiedzią na leczenie kortykosteroidami.</w:t>
            </w:r>
          </w:p>
          <w:p w14:paraId="1EAB701D" w14:textId="7055E8C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A6A4A" w:rsidRPr="004D093B" w14:paraId="33CFF744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ACD0" w14:textId="6867CC86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sz w:val="18"/>
                <w:szCs w:val="18"/>
              </w:rPr>
              <w:t>13.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74AB" w14:textId="4B75F2A3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handlowe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7413" w14:textId="07FDF17B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4683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karboplatyna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E055" w14:textId="7E7F0713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F824" w14:textId="077782CE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CARBOPLATIN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8AA3" w14:textId="434DABF5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finasowaniem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karboplatyny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nowotworach przełyku – wszystkie lokalizacje (ICD-10 C.15.) wraz z usunięciem dotychczasowego zawężenia wskazania.</w:t>
            </w:r>
          </w:p>
          <w:p w14:paraId="11F66010" w14:textId="5BD68835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A6A4A" w:rsidRPr="004D093B" w14:paraId="756ABD69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CB67" w14:textId="74E92DA7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sz w:val="18"/>
                <w:szCs w:val="18"/>
              </w:rPr>
              <w:t>14.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11A0" w14:textId="0964B3D9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ED7C" w14:textId="33004804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84683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paklitaksel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7707" w14:textId="0CF50F3E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C.47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1E3D" w14:textId="67153465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PACLITAXEL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3F0C" w14:textId="77777777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finasowaniem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paklitakselu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nowotworach przełyku- wszystkie lokalizacje  (ICD-10 C.15.) wraz z usunięciem dotychczasowego zawężenia wskazania oraz dodanie możliwości finasowania podania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paklitakselu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terapii nowotwór złośliwy odbytu i kanału odbytu (ICD-10 C21).</w:t>
            </w:r>
          </w:p>
          <w:p w14:paraId="0C92C3B5" w14:textId="1D087CEA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14:paraId="7FCF9A29" w14:textId="47BB4985" w:rsidR="004D093B" w:rsidRDefault="004D093B">
      <w:pPr>
        <w:suppressAutoHyphens w:val="0"/>
      </w:pPr>
    </w:p>
    <w:p w14:paraId="6001BBB2" w14:textId="77777777" w:rsidR="004762AF" w:rsidRDefault="004762AF">
      <w:pPr>
        <w:suppressAutoHyphens w:val="0"/>
      </w:pP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4D093B" w14:paraId="4C9C4901" w14:textId="77777777" w:rsidTr="00EE5277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2D6ED9" w:rsidRPr="004D093B" w14:paraId="1394CD71" w14:textId="77777777" w:rsidTr="00EE5277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5551D5" w:rsidRPr="004D093B" w14:paraId="1AF8AB98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320" w14:textId="4961762F" w:rsidR="005551D5" w:rsidRPr="00EF3A08" w:rsidRDefault="000F5E0B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5C18" w14:textId="12997AC5" w:rsidR="005551D5" w:rsidRPr="00EF3A08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Ozurdex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EAC5" w14:textId="60696BD8" w:rsidR="005551D5" w:rsidRPr="00EF3A08" w:rsidRDefault="006636D7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636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deksametazon</w:t>
            </w:r>
            <w:proofErr w:type="spellEnd"/>
            <w:r w:rsidRPr="006636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w postaci implantu </w:t>
            </w:r>
            <w:proofErr w:type="spellStart"/>
            <w:r w:rsidRPr="006636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doszklistkowego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8A" w14:textId="2EAA2872" w:rsidR="005551D5" w:rsidRPr="00EF3A08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B.105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55" w14:textId="3715B3AA" w:rsidR="005551D5" w:rsidRPr="00EF3A08" w:rsidRDefault="001E4A4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E4A45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CHORYCH NA ZAPALENIE BŁONY NACZYNIOWEJ OKA (ZBN) (ICD-10: H20.0, H30.0).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5D71" w14:textId="7CCF011E" w:rsidR="005551D5" w:rsidRPr="00EF3A08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klinicznie znamiennego obrzęku plamki w przebiegu zapalenia błony naczyniowej oka.</w:t>
            </w:r>
          </w:p>
        </w:tc>
      </w:tr>
    </w:tbl>
    <w:p w14:paraId="17160E61" w14:textId="45061D3C" w:rsidR="004D093B" w:rsidRDefault="004D093B">
      <w:pPr>
        <w:rPr>
          <w:rFonts w:ascii="Lato" w:hAnsi="Lato"/>
        </w:rPr>
      </w:pPr>
    </w:p>
    <w:p w14:paraId="169C5300" w14:textId="77777777" w:rsidR="004D093B" w:rsidRDefault="004D093B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5551D5" w:rsidRPr="004D093B" w14:paraId="50DA02B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1E68AEB9" w:rsidR="005551D5" w:rsidRPr="004D093B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72D98A20" w:rsidR="005551D5" w:rsidRPr="005551D5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1E94D939" w:rsidR="005551D5" w:rsidRPr="004D093B" w:rsidRDefault="005551D5" w:rsidP="005551D5">
            <w:pPr>
              <w:spacing w:before="60" w:after="6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826C9D">
              <w:rPr>
                <w:rFonts w:ascii="Lato" w:hAnsi="Lato" w:cstheme="majorHAnsi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735998D1" w:rsidR="005551D5" w:rsidRPr="004D093B" w:rsidRDefault="005551D5" w:rsidP="005551D5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Dodano zapisy dotyczące monitorowania wskaźników skuteczności leczenia wykorzystywanego w programie oraz podkreślono brak możliwości uprzedniego leczenia immunoterapią lub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immunochemioterapią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pacjentów kwalifikowanych do leczenia immunoterapią w I linii leczenia NDRP</w:t>
            </w:r>
            <w:r w:rsidR="00946C5F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  <w:tr w:rsidR="005551D5" w:rsidRPr="004D093B" w14:paraId="67293BB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047453AE" w:rsidR="005551D5" w:rsidRPr="004D093B" w:rsidRDefault="000F5E0B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1101AA26" w:rsidR="005551D5" w:rsidRPr="005551D5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B.105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074266C9" w:rsidR="005551D5" w:rsidRPr="004D093B" w:rsidRDefault="00EF3A08" w:rsidP="005551D5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CHORYCH NA ZAPALENIE BŁONY NACZYNIOWEJ OKA (ZBN) – CZĘŚCI POŚREDNIEJ, ODCINKA TYLNEGO LUB CAŁEJ BŁONY NACZYNIOWEJ (ICD-10: H20.0, H30.0)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F15D" w14:textId="77777777" w:rsidR="005551D5" w:rsidRDefault="005551D5" w:rsidP="005551D5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Wprowadzenie do programu leku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Ozurdex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dexamethasonum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>) do leczenia klinicznie znamiennego obrzęku plamki w przebiegu zapalenia błony naczyniowej oka.</w:t>
            </w:r>
          </w:p>
          <w:p w14:paraId="4FCF84DF" w14:textId="686625E3" w:rsidR="005551D5" w:rsidRPr="004D093B" w:rsidRDefault="00CA03C1" w:rsidP="005551D5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Kompleksowa zmiana</w:t>
            </w:r>
            <w:r w:rsidR="005551D5">
              <w:rPr>
                <w:rFonts w:ascii="Lato" w:hAnsi="Lato" w:cstheme="majorHAnsi"/>
                <w:sz w:val="18"/>
                <w:szCs w:val="18"/>
              </w:rPr>
              <w:t xml:space="preserve"> programu lekowego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B.105 obejmująca swoim zakresem modyfikację zapisów dotyczących kryteriów kwalifikacji, kryteriów wyłączenia z programu, dawkowania oraz badań diagnostycznych i monitorujących skuteczność terapii</w:t>
            </w:r>
            <w:r w:rsidR="00662A0A">
              <w:rPr>
                <w:rFonts w:ascii="Lato" w:hAnsi="Lato" w:cstheme="majorHAnsi"/>
                <w:sz w:val="18"/>
                <w:szCs w:val="18"/>
              </w:rPr>
              <w:t xml:space="preserve"> stosowany w ramach programu</w:t>
            </w:r>
            <w:r w:rsidR="005551D5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  <w:tr w:rsidR="005551D5" w:rsidRPr="004D093B" w14:paraId="66D571B6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57DEAE4E" w:rsidR="005551D5" w:rsidRPr="004D093B" w:rsidRDefault="000F5E0B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083F41AB" w:rsidR="005551D5" w:rsidRPr="005551D5" w:rsidRDefault="005551D5" w:rsidP="005551D5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B.122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556C24EE" w:rsidR="005551D5" w:rsidRPr="005551D5" w:rsidRDefault="005551D5" w:rsidP="005551D5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5551D5">
              <w:rPr>
                <w:rFonts w:ascii="Lato" w:hAnsi="Lato" w:cstheme="majorHAnsi"/>
                <w:color w:val="000000"/>
                <w:sz w:val="18"/>
                <w:szCs w:val="18"/>
              </w:rPr>
              <w:t>LECZENIE ZAPOBIEGAWCZE CHORYCH Z NAWRACAJĄCYMI NAPADAMI DZIEDZICZNEGO OBRZĘKU NACZYNIORUCHOWEGO O CIĘŻKIM PRZEBIEGU (ICD-10: D 84.1</w:t>
            </w:r>
            <w:r w:rsidR="00946C5F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7FE6" w14:textId="77777777" w:rsidR="00341AAF" w:rsidRDefault="005551D5" w:rsidP="005551D5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sz w:val="18"/>
                <w:szCs w:val="18"/>
              </w:rPr>
              <w:t xml:space="preserve">Zmiany umożliwiające pacjentom leczenie w warunkach domowych.  </w:t>
            </w:r>
          </w:p>
          <w:p w14:paraId="4C9AB9C4" w14:textId="3E5CC4E4" w:rsidR="005551D5" w:rsidRPr="005551D5" w:rsidRDefault="005551D5" w:rsidP="005551D5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sz w:val="18"/>
                <w:szCs w:val="18"/>
              </w:rPr>
              <w:t>Dodano zapisy dotyczące monitorowania wskaźników skuteczności i bezpieczeństwa leczenia wykorzystywane w programie.</w:t>
            </w:r>
          </w:p>
        </w:tc>
      </w:tr>
    </w:tbl>
    <w:p w14:paraId="08AE375A" w14:textId="7939F698" w:rsidR="004762AF" w:rsidRDefault="004762A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</w:p>
    <w:p w14:paraId="3FB617C9" w14:textId="77777777" w:rsidR="004762AF" w:rsidRDefault="004762A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4D093B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bookmarkStart w:id="1" w:name="_Hlk90283710"/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5399"/>
        <w:gridCol w:w="3648"/>
      </w:tblGrid>
      <w:tr w:rsidR="00AD08C5" w:rsidRPr="004D093B" w14:paraId="2CD1B9F9" w14:textId="77777777" w:rsidTr="00294265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294265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294265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4D093B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294265" w:rsidRPr="004D093B" w14:paraId="3E62A70D" w14:textId="77777777" w:rsidTr="00294265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22D113FB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53D230AD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58C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Fostex</w:t>
            </w:r>
            <w:proofErr w:type="spellEnd"/>
            <w:r w:rsidRPr="00DB58C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Nexthaler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0846A209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beklometazonu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dipropionian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formoterolu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fumaran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dwuwodn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4558" w14:textId="77777777" w:rsidR="00E34E3C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B58C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Przewlekła obturacyjna choroba płuc, </w:t>
            </w:r>
          </w:p>
          <w:p w14:paraId="0440D22F" w14:textId="1F07AC0E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DB58C7">
              <w:rPr>
                <w:rFonts w:ascii="Lato" w:hAnsi="Lato" w:cstheme="majorHAnsi"/>
                <w:color w:val="000000"/>
                <w:sz w:val="18"/>
                <w:szCs w:val="18"/>
              </w:rPr>
              <w:t>Astma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417BAF94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Nowy</w:t>
            </w:r>
            <w:r w:rsidR="000263FB">
              <w:rPr>
                <w:rFonts w:ascii="Lato" w:hAnsi="Lato" w:cstheme="majorHAnsi"/>
                <w:color w:val="000000"/>
                <w:sz w:val="18"/>
                <w:szCs w:val="18"/>
              </w:rPr>
              <w:t>, dwuskładnikowy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produkt leczniczy w postaci proszku do inhalacji z inhalatorem proszkowym DPI</w:t>
            </w:r>
            <w:r w:rsidR="000263FB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</w:tbl>
    <w:p w14:paraId="6B996492" w14:textId="0986F7C0" w:rsidR="009D10B8" w:rsidRDefault="009D10B8" w:rsidP="0068046C">
      <w:pPr>
        <w:suppressAutoHyphens w:val="0"/>
        <w:rPr>
          <w:rFonts w:ascii="Lato" w:hAnsi="Lato"/>
          <w:b/>
          <w:bCs/>
          <w:color w:val="00B0F0"/>
        </w:rPr>
      </w:pPr>
    </w:p>
    <w:sectPr w:rsidR="009D10B8" w:rsidSect="005058F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0F77" w14:textId="77777777" w:rsidR="0085698B" w:rsidRDefault="0085698B">
      <w:pPr>
        <w:spacing w:after="0" w:line="240" w:lineRule="auto"/>
      </w:pPr>
      <w:r>
        <w:separator/>
      </w:r>
    </w:p>
  </w:endnote>
  <w:endnote w:type="continuationSeparator" w:id="0">
    <w:p w14:paraId="1B0EC977" w14:textId="77777777" w:rsidR="0085698B" w:rsidRDefault="0085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8C0E" w14:textId="77777777" w:rsidR="0085698B" w:rsidRDefault="008569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8680C8" w14:textId="77777777" w:rsidR="0085698B" w:rsidRDefault="0085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2" w:name="_Hlk74147372"/>
    <w:bookmarkEnd w:id="2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479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3" w15:restartNumberingAfterBreak="0">
    <w:nsid w:val="0E7A14F3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1B8161C1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2886626E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0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7"/>
  </w:num>
  <w:num w:numId="2" w16cid:durableId="983047750">
    <w:abstractNumId w:val="5"/>
  </w:num>
  <w:num w:numId="3" w16cid:durableId="912206815">
    <w:abstractNumId w:val="8"/>
  </w:num>
  <w:num w:numId="4" w16cid:durableId="191924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5"/>
  </w:num>
  <w:num w:numId="6" w16cid:durableId="1164782895">
    <w:abstractNumId w:val="6"/>
  </w:num>
  <w:num w:numId="7" w16cid:durableId="1764568987">
    <w:abstractNumId w:val="12"/>
  </w:num>
  <w:num w:numId="8" w16cid:durableId="1605840971">
    <w:abstractNumId w:val="13"/>
  </w:num>
  <w:num w:numId="9" w16cid:durableId="969629549">
    <w:abstractNumId w:val="23"/>
  </w:num>
  <w:num w:numId="10" w16cid:durableId="1576276737">
    <w:abstractNumId w:val="2"/>
  </w:num>
  <w:num w:numId="11" w16cid:durableId="409036424">
    <w:abstractNumId w:val="26"/>
  </w:num>
  <w:num w:numId="12" w16cid:durableId="1526747669">
    <w:abstractNumId w:val="4"/>
  </w:num>
  <w:num w:numId="13" w16cid:durableId="1746950255">
    <w:abstractNumId w:val="14"/>
  </w:num>
  <w:num w:numId="14" w16cid:durableId="329715522">
    <w:abstractNumId w:val="16"/>
  </w:num>
  <w:num w:numId="15" w16cid:durableId="1837842867">
    <w:abstractNumId w:val="15"/>
  </w:num>
  <w:num w:numId="16" w16cid:durableId="1970238000">
    <w:abstractNumId w:val="24"/>
  </w:num>
  <w:num w:numId="17" w16cid:durableId="485172914">
    <w:abstractNumId w:val="19"/>
  </w:num>
  <w:num w:numId="18" w16cid:durableId="338780148">
    <w:abstractNumId w:val="10"/>
  </w:num>
  <w:num w:numId="19" w16cid:durableId="1977641737">
    <w:abstractNumId w:val="2"/>
  </w:num>
  <w:num w:numId="20" w16cid:durableId="1099830501">
    <w:abstractNumId w:val="1"/>
  </w:num>
  <w:num w:numId="21" w16cid:durableId="1796680411">
    <w:abstractNumId w:val="21"/>
  </w:num>
  <w:num w:numId="22" w16cid:durableId="1157845039">
    <w:abstractNumId w:val="20"/>
  </w:num>
  <w:num w:numId="23" w16cid:durableId="1318220489">
    <w:abstractNumId w:val="17"/>
  </w:num>
  <w:num w:numId="24" w16cid:durableId="791442922">
    <w:abstractNumId w:val="22"/>
  </w:num>
  <w:num w:numId="25" w16cid:durableId="493031844">
    <w:abstractNumId w:val="0"/>
  </w:num>
  <w:num w:numId="26" w16cid:durableId="2001806445">
    <w:abstractNumId w:val="9"/>
  </w:num>
  <w:num w:numId="27" w16cid:durableId="267157109">
    <w:abstractNumId w:val="11"/>
  </w:num>
  <w:num w:numId="28" w16cid:durableId="542986621">
    <w:abstractNumId w:val="3"/>
  </w:num>
  <w:num w:numId="29" w16cid:durableId="666528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263FB"/>
    <w:rsid w:val="00031E9F"/>
    <w:rsid w:val="00033ED5"/>
    <w:rsid w:val="0004009C"/>
    <w:rsid w:val="0005011B"/>
    <w:rsid w:val="00052E44"/>
    <w:rsid w:val="000702E4"/>
    <w:rsid w:val="00070A13"/>
    <w:rsid w:val="00070A89"/>
    <w:rsid w:val="00080C23"/>
    <w:rsid w:val="0008118E"/>
    <w:rsid w:val="00086074"/>
    <w:rsid w:val="0009112E"/>
    <w:rsid w:val="00094F94"/>
    <w:rsid w:val="00097B17"/>
    <w:rsid w:val="000A4576"/>
    <w:rsid w:val="000A688D"/>
    <w:rsid w:val="000A6A4A"/>
    <w:rsid w:val="000A6B96"/>
    <w:rsid w:val="000B21F0"/>
    <w:rsid w:val="000B32C4"/>
    <w:rsid w:val="000B7075"/>
    <w:rsid w:val="000D02C0"/>
    <w:rsid w:val="000D2FED"/>
    <w:rsid w:val="000E06C3"/>
    <w:rsid w:val="000E3BBE"/>
    <w:rsid w:val="000E649C"/>
    <w:rsid w:val="000F077F"/>
    <w:rsid w:val="000F3ED2"/>
    <w:rsid w:val="000F5E0B"/>
    <w:rsid w:val="000F5E24"/>
    <w:rsid w:val="001030B2"/>
    <w:rsid w:val="0011293D"/>
    <w:rsid w:val="001204EA"/>
    <w:rsid w:val="0014120D"/>
    <w:rsid w:val="00143D0B"/>
    <w:rsid w:val="00144B55"/>
    <w:rsid w:val="00155C8E"/>
    <w:rsid w:val="00161605"/>
    <w:rsid w:val="00170D7F"/>
    <w:rsid w:val="00172790"/>
    <w:rsid w:val="00173D8E"/>
    <w:rsid w:val="00180F5C"/>
    <w:rsid w:val="00186CB7"/>
    <w:rsid w:val="00190358"/>
    <w:rsid w:val="001933DE"/>
    <w:rsid w:val="00194CB4"/>
    <w:rsid w:val="00197FA2"/>
    <w:rsid w:val="001A1A5B"/>
    <w:rsid w:val="001A7E82"/>
    <w:rsid w:val="001B0859"/>
    <w:rsid w:val="001B354B"/>
    <w:rsid w:val="001B440C"/>
    <w:rsid w:val="001B7475"/>
    <w:rsid w:val="001D6485"/>
    <w:rsid w:val="001E0A40"/>
    <w:rsid w:val="001E2320"/>
    <w:rsid w:val="001E4A45"/>
    <w:rsid w:val="001E610A"/>
    <w:rsid w:val="001E721F"/>
    <w:rsid w:val="00205C55"/>
    <w:rsid w:val="00206C0B"/>
    <w:rsid w:val="00221A2A"/>
    <w:rsid w:val="002270E2"/>
    <w:rsid w:val="00230BB7"/>
    <w:rsid w:val="002358AA"/>
    <w:rsid w:val="0024697E"/>
    <w:rsid w:val="00255E53"/>
    <w:rsid w:val="00275115"/>
    <w:rsid w:val="00280311"/>
    <w:rsid w:val="00281BE7"/>
    <w:rsid w:val="00286651"/>
    <w:rsid w:val="00287196"/>
    <w:rsid w:val="0029287B"/>
    <w:rsid w:val="0029403F"/>
    <w:rsid w:val="00294265"/>
    <w:rsid w:val="002C0340"/>
    <w:rsid w:val="002C19DE"/>
    <w:rsid w:val="002D22F9"/>
    <w:rsid w:val="002D55B8"/>
    <w:rsid w:val="002D6ED9"/>
    <w:rsid w:val="002E46AC"/>
    <w:rsid w:val="002F0FB2"/>
    <w:rsid w:val="002F61E3"/>
    <w:rsid w:val="003051DF"/>
    <w:rsid w:val="00306B1C"/>
    <w:rsid w:val="0031104C"/>
    <w:rsid w:val="003130CA"/>
    <w:rsid w:val="00326537"/>
    <w:rsid w:val="003357D9"/>
    <w:rsid w:val="00337B00"/>
    <w:rsid w:val="00341AAF"/>
    <w:rsid w:val="00350CC6"/>
    <w:rsid w:val="00352A2A"/>
    <w:rsid w:val="003533DE"/>
    <w:rsid w:val="00355899"/>
    <w:rsid w:val="00356E75"/>
    <w:rsid w:val="0035733E"/>
    <w:rsid w:val="00374DBE"/>
    <w:rsid w:val="0037704D"/>
    <w:rsid w:val="0037714E"/>
    <w:rsid w:val="003841AB"/>
    <w:rsid w:val="00387B03"/>
    <w:rsid w:val="003935E8"/>
    <w:rsid w:val="003975D4"/>
    <w:rsid w:val="003A0F16"/>
    <w:rsid w:val="003A5B7D"/>
    <w:rsid w:val="003A6433"/>
    <w:rsid w:val="003B46BF"/>
    <w:rsid w:val="003C7B2E"/>
    <w:rsid w:val="003D2AE2"/>
    <w:rsid w:val="003D71C6"/>
    <w:rsid w:val="003E7973"/>
    <w:rsid w:val="003F072E"/>
    <w:rsid w:val="00404F9B"/>
    <w:rsid w:val="00411C64"/>
    <w:rsid w:val="004156E6"/>
    <w:rsid w:val="00415707"/>
    <w:rsid w:val="00416F70"/>
    <w:rsid w:val="0041703B"/>
    <w:rsid w:val="0042390D"/>
    <w:rsid w:val="004403B4"/>
    <w:rsid w:val="00446466"/>
    <w:rsid w:val="00447CE9"/>
    <w:rsid w:val="004509A0"/>
    <w:rsid w:val="00453B55"/>
    <w:rsid w:val="00457779"/>
    <w:rsid w:val="00462C37"/>
    <w:rsid w:val="00466FE8"/>
    <w:rsid w:val="004744CD"/>
    <w:rsid w:val="004762AF"/>
    <w:rsid w:val="0048011A"/>
    <w:rsid w:val="004850DC"/>
    <w:rsid w:val="00490715"/>
    <w:rsid w:val="00491267"/>
    <w:rsid w:val="00491300"/>
    <w:rsid w:val="00492285"/>
    <w:rsid w:val="004A2F20"/>
    <w:rsid w:val="004A2F45"/>
    <w:rsid w:val="004A5135"/>
    <w:rsid w:val="004B04D9"/>
    <w:rsid w:val="004B2F38"/>
    <w:rsid w:val="004C35E7"/>
    <w:rsid w:val="004D093B"/>
    <w:rsid w:val="004D2191"/>
    <w:rsid w:val="004D7DDC"/>
    <w:rsid w:val="004E4723"/>
    <w:rsid w:val="004F3FEF"/>
    <w:rsid w:val="005058F2"/>
    <w:rsid w:val="00512C38"/>
    <w:rsid w:val="00512C7C"/>
    <w:rsid w:val="005130EF"/>
    <w:rsid w:val="005143E4"/>
    <w:rsid w:val="0055182D"/>
    <w:rsid w:val="005551D5"/>
    <w:rsid w:val="0056748F"/>
    <w:rsid w:val="00574D83"/>
    <w:rsid w:val="005871C9"/>
    <w:rsid w:val="005B06B3"/>
    <w:rsid w:val="005B598A"/>
    <w:rsid w:val="005C1959"/>
    <w:rsid w:val="005C499F"/>
    <w:rsid w:val="005C608D"/>
    <w:rsid w:val="005C641F"/>
    <w:rsid w:val="005C6551"/>
    <w:rsid w:val="005D269A"/>
    <w:rsid w:val="005D3140"/>
    <w:rsid w:val="005D5D31"/>
    <w:rsid w:val="005E3DB9"/>
    <w:rsid w:val="005E4CF5"/>
    <w:rsid w:val="005E7898"/>
    <w:rsid w:val="005F70FE"/>
    <w:rsid w:val="006006C8"/>
    <w:rsid w:val="006008CD"/>
    <w:rsid w:val="00633806"/>
    <w:rsid w:val="00633883"/>
    <w:rsid w:val="00634434"/>
    <w:rsid w:val="0064109C"/>
    <w:rsid w:val="0064487F"/>
    <w:rsid w:val="00662A0A"/>
    <w:rsid w:val="006636D7"/>
    <w:rsid w:val="006648F3"/>
    <w:rsid w:val="00670C14"/>
    <w:rsid w:val="0068046C"/>
    <w:rsid w:val="00680B0E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466"/>
    <w:rsid w:val="006D079B"/>
    <w:rsid w:val="006D183E"/>
    <w:rsid w:val="006D336E"/>
    <w:rsid w:val="006D7964"/>
    <w:rsid w:val="006E7D46"/>
    <w:rsid w:val="006F498A"/>
    <w:rsid w:val="006F5BEB"/>
    <w:rsid w:val="00702FCA"/>
    <w:rsid w:val="007135A8"/>
    <w:rsid w:val="00714B9D"/>
    <w:rsid w:val="007156F6"/>
    <w:rsid w:val="00715B91"/>
    <w:rsid w:val="007321D8"/>
    <w:rsid w:val="00733AF9"/>
    <w:rsid w:val="00734732"/>
    <w:rsid w:val="00740ABA"/>
    <w:rsid w:val="0074295D"/>
    <w:rsid w:val="00755E27"/>
    <w:rsid w:val="0078723A"/>
    <w:rsid w:val="00797762"/>
    <w:rsid w:val="007A4FB5"/>
    <w:rsid w:val="007B043E"/>
    <w:rsid w:val="007C4332"/>
    <w:rsid w:val="007C4C95"/>
    <w:rsid w:val="007D0493"/>
    <w:rsid w:val="007D1551"/>
    <w:rsid w:val="007D273D"/>
    <w:rsid w:val="007D6A3A"/>
    <w:rsid w:val="007D6B6F"/>
    <w:rsid w:val="007D74E2"/>
    <w:rsid w:val="007E6483"/>
    <w:rsid w:val="007F016E"/>
    <w:rsid w:val="008008F6"/>
    <w:rsid w:val="008017A7"/>
    <w:rsid w:val="00823875"/>
    <w:rsid w:val="00827817"/>
    <w:rsid w:val="00827986"/>
    <w:rsid w:val="008279BD"/>
    <w:rsid w:val="008373B1"/>
    <w:rsid w:val="00837FA6"/>
    <w:rsid w:val="0084154E"/>
    <w:rsid w:val="00843352"/>
    <w:rsid w:val="00844624"/>
    <w:rsid w:val="008462C0"/>
    <w:rsid w:val="00846834"/>
    <w:rsid w:val="0085698B"/>
    <w:rsid w:val="0087118E"/>
    <w:rsid w:val="008771C8"/>
    <w:rsid w:val="00882DCA"/>
    <w:rsid w:val="0088727A"/>
    <w:rsid w:val="00896D35"/>
    <w:rsid w:val="008B00C4"/>
    <w:rsid w:val="008B1EB7"/>
    <w:rsid w:val="008B43B0"/>
    <w:rsid w:val="008C0493"/>
    <w:rsid w:val="008C0E92"/>
    <w:rsid w:val="008D45C3"/>
    <w:rsid w:val="008E18D7"/>
    <w:rsid w:val="008E33C7"/>
    <w:rsid w:val="008F1D35"/>
    <w:rsid w:val="009066C7"/>
    <w:rsid w:val="0092216D"/>
    <w:rsid w:val="00933339"/>
    <w:rsid w:val="00946C5F"/>
    <w:rsid w:val="00953B84"/>
    <w:rsid w:val="00982754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E79D5"/>
    <w:rsid w:val="009F1561"/>
    <w:rsid w:val="009F413F"/>
    <w:rsid w:val="009F550A"/>
    <w:rsid w:val="009F7497"/>
    <w:rsid w:val="00A01F60"/>
    <w:rsid w:val="00A118F0"/>
    <w:rsid w:val="00A122C2"/>
    <w:rsid w:val="00A159DA"/>
    <w:rsid w:val="00A22494"/>
    <w:rsid w:val="00A22A7B"/>
    <w:rsid w:val="00A242D8"/>
    <w:rsid w:val="00A434EB"/>
    <w:rsid w:val="00A515CA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8700E"/>
    <w:rsid w:val="00A90397"/>
    <w:rsid w:val="00A90CB0"/>
    <w:rsid w:val="00A9374D"/>
    <w:rsid w:val="00A94461"/>
    <w:rsid w:val="00A960EA"/>
    <w:rsid w:val="00AA4608"/>
    <w:rsid w:val="00AA4A6A"/>
    <w:rsid w:val="00AA6179"/>
    <w:rsid w:val="00AB1235"/>
    <w:rsid w:val="00AB2D5E"/>
    <w:rsid w:val="00AC0511"/>
    <w:rsid w:val="00AD08C5"/>
    <w:rsid w:val="00AE069A"/>
    <w:rsid w:val="00AF1EBC"/>
    <w:rsid w:val="00B10B0F"/>
    <w:rsid w:val="00B1467F"/>
    <w:rsid w:val="00B1688D"/>
    <w:rsid w:val="00B31928"/>
    <w:rsid w:val="00B326A9"/>
    <w:rsid w:val="00B45ED3"/>
    <w:rsid w:val="00B543E9"/>
    <w:rsid w:val="00B57127"/>
    <w:rsid w:val="00B73663"/>
    <w:rsid w:val="00B74035"/>
    <w:rsid w:val="00B76B2B"/>
    <w:rsid w:val="00B8251D"/>
    <w:rsid w:val="00B94288"/>
    <w:rsid w:val="00B9538B"/>
    <w:rsid w:val="00BA15A9"/>
    <w:rsid w:val="00BB138C"/>
    <w:rsid w:val="00BB30C0"/>
    <w:rsid w:val="00BC376D"/>
    <w:rsid w:val="00BD18E8"/>
    <w:rsid w:val="00BD20BC"/>
    <w:rsid w:val="00C06613"/>
    <w:rsid w:val="00C15673"/>
    <w:rsid w:val="00C15E6F"/>
    <w:rsid w:val="00C210A9"/>
    <w:rsid w:val="00C22821"/>
    <w:rsid w:val="00C243BF"/>
    <w:rsid w:val="00C25F63"/>
    <w:rsid w:val="00C276AE"/>
    <w:rsid w:val="00C4237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03C1"/>
    <w:rsid w:val="00CA1AD2"/>
    <w:rsid w:val="00CA2878"/>
    <w:rsid w:val="00CA3B1B"/>
    <w:rsid w:val="00CA7D06"/>
    <w:rsid w:val="00CB2E2B"/>
    <w:rsid w:val="00CB3D33"/>
    <w:rsid w:val="00CC0463"/>
    <w:rsid w:val="00CC42B1"/>
    <w:rsid w:val="00CC7F58"/>
    <w:rsid w:val="00CD47C3"/>
    <w:rsid w:val="00CE099F"/>
    <w:rsid w:val="00CE73E2"/>
    <w:rsid w:val="00CF402D"/>
    <w:rsid w:val="00CF5E4F"/>
    <w:rsid w:val="00CF7674"/>
    <w:rsid w:val="00D17D3E"/>
    <w:rsid w:val="00D44A5D"/>
    <w:rsid w:val="00D510E8"/>
    <w:rsid w:val="00D554A2"/>
    <w:rsid w:val="00D5628B"/>
    <w:rsid w:val="00D63F4F"/>
    <w:rsid w:val="00D6426A"/>
    <w:rsid w:val="00D66456"/>
    <w:rsid w:val="00D77CD0"/>
    <w:rsid w:val="00D9306F"/>
    <w:rsid w:val="00DA09D0"/>
    <w:rsid w:val="00DB0B88"/>
    <w:rsid w:val="00DB793C"/>
    <w:rsid w:val="00DD18C6"/>
    <w:rsid w:val="00DD6D00"/>
    <w:rsid w:val="00DE00F0"/>
    <w:rsid w:val="00DE1894"/>
    <w:rsid w:val="00DE5079"/>
    <w:rsid w:val="00DF6B3A"/>
    <w:rsid w:val="00E10271"/>
    <w:rsid w:val="00E10F0D"/>
    <w:rsid w:val="00E34DF7"/>
    <w:rsid w:val="00E34E3C"/>
    <w:rsid w:val="00E35DF6"/>
    <w:rsid w:val="00E50D44"/>
    <w:rsid w:val="00E52765"/>
    <w:rsid w:val="00E64133"/>
    <w:rsid w:val="00E66456"/>
    <w:rsid w:val="00E7290F"/>
    <w:rsid w:val="00E738D5"/>
    <w:rsid w:val="00E8288D"/>
    <w:rsid w:val="00E8348C"/>
    <w:rsid w:val="00E900DE"/>
    <w:rsid w:val="00E91E64"/>
    <w:rsid w:val="00EA326D"/>
    <w:rsid w:val="00EB1B3E"/>
    <w:rsid w:val="00EB5A68"/>
    <w:rsid w:val="00EB77EA"/>
    <w:rsid w:val="00EC0C4F"/>
    <w:rsid w:val="00EC27E5"/>
    <w:rsid w:val="00EC2B8F"/>
    <w:rsid w:val="00EC74BA"/>
    <w:rsid w:val="00ED15F0"/>
    <w:rsid w:val="00EE4384"/>
    <w:rsid w:val="00EE4BD7"/>
    <w:rsid w:val="00EE5277"/>
    <w:rsid w:val="00EF3551"/>
    <w:rsid w:val="00EF3A08"/>
    <w:rsid w:val="00F017D6"/>
    <w:rsid w:val="00F12CF6"/>
    <w:rsid w:val="00F147FC"/>
    <w:rsid w:val="00F15BD4"/>
    <w:rsid w:val="00F31A79"/>
    <w:rsid w:val="00F42214"/>
    <w:rsid w:val="00F5061B"/>
    <w:rsid w:val="00F61A7D"/>
    <w:rsid w:val="00F63AA8"/>
    <w:rsid w:val="00F67CA2"/>
    <w:rsid w:val="00F859A8"/>
    <w:rsid w:val="00F9203E"/>
    <w:rsid w:val="00F957B7"/>
    <w:rsid w:val="00FA53DF"/>
    <w:rsid w:val="00FB2364"/>
    <w:rsid w:val="00FB30AC"/>
    <w:rsid w:val="00FB3B6F"/>
    <w:rsid w:val="00FC712D"/>
    <w:rsid w:val="00FD39E3"/>
    <w:rsid w:val="00FD48BC"/>
    <w:rsid w:val="00FE1242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3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99"/>
    <w:qFormat/>
    <w:rsid w:val="001933DE"/>
  </w:style>
  <w:style w:type="paragraph" w:styleId="Poprawka">
    <w:name w:val="Revision"/>
    <w:hidden/>
    <w:uiPriority w:val="99"/>
    <w:semiHidden/>
    <w:rsid w:val="005E3DB9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2023'!$B$3:$G$3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  <c:pt idx="2">
                  <c:v>8</c:v>
                </c:pt>
                <c:pt idx="3">
                  <c:v>7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CE-41E2-9522-D981FA0451C6}"/>
            </c:ext>
          </c:extLst>
        </c:ser>
        <c:ser>
          <c:idx val="1"/>
          <c:order val="1"/>
          <c:tx>
            <c:strRef>
              <c:f>'miesiące 2023'!$A$4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2023'!$B$4:$G$4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32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CE-41E2-9522-D981FA0451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1.0498566383707253E-16"/>
                  <c:y val="5.51457029409785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12-40FB-8252-04639EEF4E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2023'!$B$18:$G$18</c:f>
              <c:numCache>
                <c:formatCode>General</c:formatCode>
                <c:ptCount val="6"/>
                <c:pt idx="0">
                  <c:v>17</c:v>
                </c:pt>
                <c:pt idx="1">
                  <c:v>2</c:v>
                </c:pt>
                <c:pt idx="2">
                  <c:v>8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12-40FB-8252-04639EEF4ED4}"/>
            </c:ext>
          </c:extLst>
        </c:ser>
        <c:ser>
          <c:idx val="1"/>
          <c:order val="1"/>
          <c:tx>
            <c:strRef>
              <c:f>'miesiące 2023'!$A$19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2023'!$B$19:$G$19</c:f>
              <c:numCache>
                <c:formatCode>General</c:formatCode>
                <c:ptCount val="6"/>
                <c:pt idx="0">
                  <c:v>6</c:v>
                </c:pt>
                <c:pt idx="1">
                  <c:v>17</c:v>
                </c:pt>
                <c:pt idx="2">
                  <c:v>8</c:v>
                </c:pt>
                <c:pt idx="3">
                  <c:v>35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12-40FB-8252-04639EEF4E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2023 r. (stan na wrzesień)</a:t>
            </a:r>
          </a:p>
        </c:rich>
      </c:tx>
      <c:layout>
        <c:manualLayout>
          <c:xMode val="edge"/>
          <c:yMode val="edge"/>
          <c:x val="0.21844277520545838"/>
          <c:y val="6.988162624250281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199795221224504"/>
          <c:y val="9.9493406697656772E-2"/>
          <c:w val="0.76572356677509668"/>
          <c:h val="0.80292487535443613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2023'!$B$2</c:f>
              <c:strCache>
                <c:ptCount val="1"/>
                <c:pt idx="0">
                  <c:v>2023
(stan na wrzesień)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2023'!$A$3:$A$8,'miesiące 2023'!$A$10:$A$12)</c:f>
              <c:strCache>
                <c:ptCount val="9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układu 
oddechowego</c:v>
                </c:pt>
                <c:pt idx="5">
                  <c:v>Nowotwory nerki</c:v>
                </c:pt>
                <c:pt idx="6">
                  <c:v>Nowotwory 
ginekologiczne</c:v>
                </c:pt>
                <c:pt idx="7">
                  <c:v>Nowotwory układu 
endokrynnego</c:v>
                </c:pt>
                <c:pt idx="8">
                  <c:v>Hematoonkologia</c:v>
                </c:pt>
              </c:strCache>
              <c:extLst/>
            </c:strRef>
          </c:cat>
          <c:val>
            <c:numRef>
              <c:f>('miesiące 2023'!$B$3:$B$8,'miesiące 2023'!$B$10:$B$12)</c:f>
              <c:numCache>
                <c:formatCode>General</c:formatCode>
                <c:ptCount val="9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9</c:v>
                </c:pt>
                <c:pt idx="4">
                  <c:v>11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26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98B-48E7-99DA-530A792E3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latin typeface="Lato" panose="020F0502020204030203" pitchFamily="34" charset="-18"/>
              </a:rPr>
              <a:t>Cząsteczko-wskazania nieonkologiczne w 2023 r. (stan na wrzesień)</a:t>
            </a:r>
          </a:p>
        </c:rich>
      </c:tx>
      <c:layout>
        <c:manualLayout>
          <c:xMode val="edge"/>
          <c:yMode val="edge"/>
          <c:x val="0.17325865287950595"/>
          <c:y val="5.331911490269261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0.10555295490756271"/>
          <c:w val="0.76644349190079053"/>
          <c:h val="0.7935202581148962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2023'!$B$19</c:f>
              <c:strCache>
                <c:ptCount val="1"/>
                <c:pt idx="0">
                  <c:v>2023
(stan na wrzesień)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2023'!$A$20:$A$25,'miesiące 2023'!$A$27:$A$28,'miesiące 2023'!$A$30,'miesiące 2023'!$A$32:$A$36,'miesiące 2023'!$A$38)</c:f>
              <c:strCache>
                <c:ptCount val="15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Okulistyka</c:v>
                </c:pt>
                <c:pt idx="5">
                  <c:v>Neurologia</c:v>
                </c:pt>
                <c:pt idx="6">
                  <c:v>Kardiologia</c:v>
                </c:pt>
                <c:pt idx="7">
                  <c:v>Immunologia</c:v>
                </c:pt>
                <c:pt idx="8">
                  <c:v>Hematologia</c:v>
                </c:pt>
                <c:pt idx="9">
                  <c:v>Gastroenterologia</c:v>
                </c:pt>
                <c:pt idx="10">
                  <c:v>Endokrynologia</c:v>
                </c:pt>
                <c:pt idx="11">
                  <c:v>Diabetologia</c:v>
                </c:pt>
                <c:pt idx="12">
                  <c:v>Dermatologia</c:v>
                </c:pt>
                <c:pt idx="13">
                  <c:v>Choroby metaboliczne</c:v>
                </c:pt>
                <c:pt idx="14">
                  <c:v>Alergologia</c:v>
                </c:pt>
              </c:strCache>
              <c:extLst/>
            </c:strRef>
          </c:cat>
          <c:val>
            <c:numRef>
              <c:f>('miesiące 2023'!$B$20:$B$25,'miesiące 2023'!$B$27:$B$28,'miesiące 2023'!$B$30,'miesiące 2023'!$B$32:$B$36,'miesiące 2023'!$B$38)</c:f>
              <c:numCache>
                <c:formatCode>General</c:formatCode>
                <c:ptCount val="15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19</c:v>
                </c:pt>
                <c:pt idx="7">
                  <c:v>2</c:v>
                </c:pt>
                <c:pt idx="8">
                  <c:v>4</c:v>
                </c:pt>
                <c:pt idx="9">
                  <c:v>4</c:v>
                </c:pt>
                <c:pt idx="10">
                  <c:v>1</c:v>
                </c:pt>
                <c:pt idx="11">
                  <c:v>3</c:v>
                </c:pt>
                <c:pt idx="12">
                  <c:v>4</c:v>
                </c:pt>
                <c:pt idx="13">
                  <c:v>1</c:v>
                </c:pt>
                <c:pt idx="14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B74-41C5-B35F-6F253FC8D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2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Wilk Justyna</cp:lastModifiedBy>
  <cp:revision>11</cp:revision>
  <dcterms:created xsi:type="dcterms:W3CDTF">2023-08-17T11:49:00Z</dcterms:created>
  <dcterms:modified xsi:type="dcterms:W3CDTF">2023-08-18T06:15:00Z</dcterms:modified>
</cp:coreProperties>
</file>