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410" w:rsidRPr="00D705F3" w:rsidRDefault="00F06410" w:rsidP="00E72EE9">
      <w:pPr>
        <w:shd w:val="clear" w:color="auto" w:fill="2E74B5" w:themeFill="accent1" w:themeFillShade="BF"/>
        <w:spacing w:after="0" w:line="240" w:lineRule="auto"/>
        <w:jc w:val="center"/>
        <w:rPr>
          <w:rFonts w:ascii="Arial" w:hAnsi="Arial" w:cs="Arial"/>
          <w:color w:val="FFFFFF" w:themeColor="background1"/>
          <w:sz w:val="52"/>
        </w:rPr>
      </w:pPr>
      <w:bookmarkStart w:id="0" w:name="_GoBack"/>
      <w:bookmarkEnd w:id="0"/>
      <w:r w:rsidRPr="00D705F3">
        <w:rPr>
          <w:rFonts w:ascii="Arial" w:hAnsi="Arial" w:cs="Arial"/>
          <w:color w:val="FFFFFF" w:themeColor="background1"/>
          <w:sz w:val="52"/>
        </w:rPr>
        <w:t>Weryfikacja zasad horyzontalnych</w:t>
      </w:r>
    </w:p>
    <w:p w:rsidR="00C857C0" w:rsidRPr="00D705F3" w:rsidRDefault="00C857C0" w:rsidP="00E72EE9">
      <w:pPr>
        <w:shd w:val="clear" w:color="auto" w:fill="2E74B5" w:themeFill="accent1" w:themeFillShade="BF"/>
        <w:spacing w:after="0" w:line="240" w:lineRule="auto"/>
        <w:jc w:val="center"/>
        <w:rPr>
          <w:rFonts w:ascii="Arial" w:hAnsi="Arial" w:cs="Arial"/>
          <w:color w:val="FFFFFF" w:themeColor="background1"/>
          <w:sz w:val="28"/>
        </w:rPr>
      </w:pPr>
      <w:r w:rsidRPr="00D705F3">
        <w:rPr>
          <w:rFonts w:ascii="Arial" w:hAnsi="Arial" w:cs="Arial"/>
          <w:color w:val="FFFFFF" w:themeColor="background1"/>
          <w:sz w:val="28"/>
        </w:rPr>
        <w:t xml:space="preserve">stanowiących warunek </w:t>
      </w:r>
      <w:r w:rsidRPr="00D705F3">
        <w:rPr>
          <w:rFonts w:ascii="Arial" w:hAnsi="Arial" w:cs="Arial"/>
          <w:i/>
          <w:color w:val="FFFFFF" w:themeColor="background1"/>
          <w:sz w:val="28"/>
        </w:rPr>
        <w:t xml:space="preserve">sine qua non </w:t>
      </w:r>
      <w:r w:rsidRPr="00D705F3">
        <w:rPr>
          <w:rFonts w:ascii="Arial" w:hAnsi="Arial" w:cs="Arial"/>
          <w:i/>
          <w:color w:val="FFFFFF" w:themeColor="background1"/>
          <w:sz w:val="28"/>
        </w:rPr>
        <w:br/>
      </w:r>
      <w:r w:rsidRPr="00D705F3">
        <w:rPr>
          <w:rFonts w:ascii="Arial" w:hAnsi="Arial" w:cs="Arial"/>
          <w:color w:val="FFFFFF" w:themeColor="background1"/>
          <w:sz w:val="28"/>
        </w:rPr>
        <w:t>dla udzielenia wsparcia w ramach PO RYBY 2014-2020</w:t>
      </w:r>
    </w:p>
    <w:p w:rsidR="00A15437" w:rsidRDefault="00A15437" w:rsidP="00E72EE9">
      <w:pPr>
        <w:spacing w:after="0" w:line="240" w:lineRule="auto"/>
        <w:jc w:val="both"/>
        <w:rPr>
          <w:sz w:val="32"/>
        </w:rPr>
      </w:pPr>
    </w:p>
    <w:p w:rsidR="00F06410" w:rsidRPr="00D705F3" w:rsidRDefault="00F06410" w:rsidP="00ED408C">
      <w:pPr>
        <w:spacing w:after="0" w:line="240" w:lineRule="auto"/>
        <w:jc w:val="center"/>
        <w:rPr>
          <w:rFonts w:ascii="Arial" w:hAnsi="Arial" w:cs="Arial"/>
          <w:sz w:val="32"/>
        </w:rPr>
      </w:pPr>
      <w:r w:rsidRPr="00D705F3">
        <w:rPr>
          <w:rFonts w:ascii="Arial" w:hAnsi="Arial" w:cs="Arial"/>
          <w:sz w:val="32"/>
        </w:rPr>
        <w:t xml:space="preserve">Partnerstwo </w:t>
      </w:r>
      <w:r w:rsidR="005B3DFC" w:rsidRPr="00D705F3">
        <w:rPr>
          <w:rFonts w:ascii="Arial" w:hAnsi="Arial" w:cs="Arial"/>
          <w:sz w:val="32"/>
        </w:rPr>
        <w:t xml:space="preserve">i </w:t>
      </w:r>
      <w:r w:rsidRPr="00D705F3">
        <w:rPr>
          <w:rFonts w:ascii="Arial" w:hAnsi="Arial" w:cs="Arial"/>
          <w:sz w:val="32"/>
        </w:rPr>
        <w:t>wielopoziomowe zarządzanie</w:t>
      </w:r>
    </w:p>
    <w:p w:rsidR="005B3DFC" w:rsidRPr="00D705F3" w:rsidRDefault="005B3DFC" w:rsidP="00E72EE9">
      <w:pPr>
        <w:spacing w:after="0" w:line="240" w:lineRule="auto"/>
        <w:jc w:val="both"/>
        <w:rPr>
          <w:rFonts w:ascii="Arial" w:hAnsi="Arial" w:cs="Arial"/>
          <w:sz w:val="16"/>
        </w:rPr>
      </w:pP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Artykuł 5 </w:t>
      </w:r>
      <w:r w:rsidR="0007621B" w:rsidRPr="00D705F3">
        <w:rPr>
          <w:rFonts w:ascii="Arial" w:hAnsi="Arial" w:cs="Arial"/>
          <w:color w:val="000000" w:themeColor="text1"/>
          <w:sz w:val="16"/>
        </w:rPr>
        <w:t>z 1303/2013</w:t>
      </w: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Partnerstwo i wielopoziomowe zarządzanie</w:t>
      </w: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1. W odniesieniu do umowy partnerstwa i każdego programu </w:t>
      </w:r>
      <w:r w:rsidRPr="00D705F3">
        <w:rPr>
          <w:rFonts w:ascii="Arial" w:hAnsi="Arial" w:cs="Arial"/>
          <w:color w:val="000000" w:themeColor="text1"/>
          <w:sz w:val="16"/>
          <w:u w:val="single"/>
        </w:rPr>
        <w:t>państwo członkowskie organizuje</w:t>
      </w:r>
      <w:r w:rsidRPr="00D705F3">
        <w:rPr>
          <w:rFonts w:ascii="Arial" w:hAnsi="Arial" w:cs="Arial"/>
          <w:color w:val="000000" w:themeColor="text1"/>
          <w:sz w:val="16"/>
        </w:rPr>
        <w:t xml:space="preserve">, zgodnie z jego ramami instytucjonalnymi i prawnymi, </w:t>
      </w:r>
      <w:r w:rsidRPr="00D705F3">
        <w:rPr>
          <w:rFonts w:ascii="Arial" w:hAnsi="Arial" w:cs="Arial"/>
          <w:color w:val="000000" w:themeColor="text1"/>
          <w:sz w:val="16"/>
          <w:u w:val="single"/>
        </w:rPr>
        <w:t>partnerstwo z właściwymi instytucjami regionalnymi i lokalnymi</w:t>
      </w:r>
      <w:r w:rsidRPr="00D705F3">
        <w:rPr>
          <w:rFonts w:ascii="Arial" w:hAnsi="Arial" w:cs="Arial"/>
          <w:color w:val="000000" w:themeColor="text1"/>
          <w:sz w:val="16"/>
        </w:rPr>
        <w:t>. Partnerstwo obejmuje także następujących partnerów:</w:t>
      </w: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a) właściwe władze miejskie i inne instytucje publiczne;</w:t>
      </w: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b) partnerów gospodarczych i społecznych; oraz</w:t>
      </w: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c) właściwe podmioty reprezentujące społeczeństwo obywatelskie, w tym partnerów działających na rzecz ochrony środowiska, organizacje pozarządowe oraz podmioty odpowiedzialne za promowanie włączenia społecznego, równouprawnienia płci </w:t>
      </w:r>
      <w:r w:rsidR="00E72EE9">
        <w:rPr>
          <w:rFonts w:ascii="Arial" w:hAnsi="Arial" w:cs="Arial"/>
          <w:color w:val="000000" w:themeColor="text1"/>
          <w:sz w:val="16"/>
        </w:rPr>
        <w:br/>
      </w:r>
      <w:r w:rsidRPr="00D705F3">
        <w:rPr>
          <w:rFonts w:ascii="Arial" w:hAnsi="Arial" w:cs="Arial"/>
          <w:color w:val="000000" w:themeColor="text1"/>
          <w:sz w:val="16"/>
        </w:rPr>
        <w:t>i niedyskryminacji.</w:t>
      </w: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2. </w:t>
      </w:r>
      <w:r w:rsidRPr="00D705F3">
        <w:rPr>
          <w:rFonts w:ascii="Arial" w:hAnsi="Arial" w:cs="Arial"/>
          <w:color w:val="000000" w:themeColor="text1"/>
          <w:sz w:val="16"/>
          <w:u w:val="single"/>
        </w:rPr>
        <w:t>Zgodnie z podejściem opartym na wielopoziomowym zarządzaniu partnerzy</w:t>
      </w:r>
      <w:r w:rsidRPr="00D705F3">
        <w:rPr>
          <w:rFonts w:ascii="Arial" w:hAnsi="Arial" w:cs="Arial"/>
          <w:color w:val="000000" w:themeColor="text1"/>
          <w:sz w:val="16"/>
        </w:rPr>
        <w:t xml:space="preserve">, o których mowa w ust. 1, </w:t>
      </w:r>
      <w:r w:rsidRPr="00D705F3">
        <w:rPr>
          <w:rFonts w:ascii="Arial" w:hAnsi="Arial" w:cs="Arial"/>
          <w:color w:val="000000" w:themeColor="text1"/>
          <w:sz w:val="16"/>
          <w:u w:val="single"/>
        </w:rPr>
        <w:t xml:space="preserve">są zaangażowani przez państwa członkowskie w przygotowywanie umów partnerstwa i sprawozdań z postępów oraz w trakcie przygotowywania </w:t>
      </w:r>
      <w:r w:rsidR="00E72EE9">
        <w:rPr>
          <w:rFonts w:ascii="Arial" w:hAnsi="Arial" w:cs="Arial"/>
          <w:color w:val="000000" w:themeColor="text1"/>
          <w:sz w:val="16"/>
          <w:u w:val="single"/>
        </w:rPr>
        <w:br/>
      </w:r>
      <w:r w:rsidRPr="00D705F3">
        <w:rPr>
          <w:rFonts w:ascii="Arial" w:hAnsi="Arial" w:cs="Arial"/>
          <w:color w:val="000000" w:themeColor="text1"/>
          <w:sz w:val="16"/>
          <w:u w:val="single"/>
        </w:rPr>
        <w:t>i wdrażania programów, w tym poprzez udział w komitetach monitorujących programy zgodnie z art. 48</w:t>
      </w:r>
      <w:r w:rsidRPr="00D705F3">
        <w:rPr>
          <w:rFonts w:ascii="Arial" w:hAnsi="Arial" w:cs="Arial"/>
          <w:color w:val="000000" w:themeColor="text1"/>
          <w:sz w:val="16"/>
        </w:rPr>
        <w:t>.</w:t>
      </w:r>
    </w:p>
    <w:p w:rsidR="00CC2750" w:rsidRPr="00D705F3" w:rsidRDefault="00CC2750" w:rsidP="00E72EE9">
      <w:pPr>
        <w:shd w:val="clear" w:color="auto" w:fill="DEEAF6" w:themeFill="accent1" w:themeFillTint="33"/>
        <w:spacing w:after="0" w:line="240" w:lineRule="auto"/>
        <w:jc w:val="both"/>
        <w:rPr>
          <w:rFonts w:ascii="Arial" w:hAnsi="Arial" w:cs="Arial"/>
          <w:color w:val="000000" w:themeColor="text1"/>
        </w:rPr>
      </w:pPr>
    </w:p>
    <w:p w:rsidR="005B3DFC" w:rsidRPr="00D705F3" w:rsidRDefault="005B3DFC" w:rsidP="00E72EE9">
      <w:pPr>
        <w:spacing w:after="0" w:line="240" w:lineRule="auto"/>
        <w:jc w:val="both"/>
        <w:rPr>
          <w:rFonts w:ascii="Arial" w:hAnsi="Arial" w:cs="Arial"/>
        </w:rPr>
      </w:pPr>
    </w:p>
    <w:p w:rsidR="00F92495" w:rsidRPr="00D705F3" w:rsidRDefault="00F92495" w:rsidP="00E72EE9">
      <w:pPr>
        <w:jc w:val="both"/>
        <w:rPr>
          <w:rFonts w:ascii="Arial" w:hAnsi="Arial" w:cs="Arial"/>
        </w:rPr>
      </w:pPr>
      <w:r w:rsidRPr="00D705F3">
        <w:rPr>
          <w:rFonts w:ascii="Arial" w:hAnsi="Arial" w:cs="Arial"/>
        </w:rPr>
        <w:t xml:space="preserve">Pytanie do karty weryfikacji WOD, WOP i kontroli na miejscu: </w:t>
      </w:r>
    </w:p>
    <w:p w:rsidR="00F92495" w:rsidRPr="00D705F3" w:rsidRDefault="00F92495" w:rsidP="00E72EE9">
      <w:pPr>
        <w:jc w:val="both"/>
        <w:rPr>
          <w:rFonts w:ascii="Arial" w:hAnsi="Arial" w:cs="Arial"/>
          <w:b/>
        </w:rPr>
      </w:pPr>
      <w:r w:rsidRPr="00D705F3">
        <w:rPr>
          <w:rFonts w:ascii="Arial" w:hAnsi="Arial" w:cs="Arial"/>
          <w:b/>
        </w:rPr>
        <w:t>Czy zasada partnerstwa i wielopoziomowego zarządzania została naruszona?</w:t>
      </w:r>
    </w:p>
    <w:p w:rsidR="00F92495" w:rsidRPr="00D705F3" w:rsidRDefault="00F92495" w:rsidP="00E72EE9">
      <w:pPr>
        <w:jc w:val="both"/>
        <w:rPr>
          <w:rFonts w:ascii="Arial" w:hAnsi="Arial" w:cs="Arial"/>
          <w:b/>
        </w:rPr>
      </w:pPr>
      <w:r w:rsidRPr="00D705F3">
        <w:rPr>
          <w:rFonts w:ascii="Arial" w:hAnsi="Arial" w:cs="Arial"/>
          <w:b/>
        </w:rPr>
        <w:t>NIE DOTYCZY</w:t>
      </w:r>
    </w:p>
    <w:p w:rsidR="00F92495" w:rsidRPr="00D705F3" w:rsidRDefault="00F92495" w:rsidP="00E72EE9">
      <w:pPr>
        <w:jc w:val="both"/>
        <w:rPr>
          <w:rFonts w:ascii="Arial" w:hAnsi="Arial" w:cs="Arial"/>
        </w:rPr>
      </w:pPr>
    </w:p>
    <w:p w:rsidR="00F92495" w:rsidRPr="00D705F3" w:rsidRDefault="00F92495" w:rsidP="00E72EE9">
      <w:pPr>
        <w:jc w:val="both"/>
        <w:rPr>
          <w:rFonts w:ascii="Arial" w:hAnsi="Arial" w:cs="Arial"/>
          <w:u w:val="single"/>
        </w:rPr>
      </w:pPr>
      <w:r w:rsidRPr="00D705F3">
        <w:rPr>
          <w:rFonts w:ascii="Arial" w:hAnsi="Arial" w:cs="Arial"/>
          <w:u w:val="single"/>
        </w:rPr>
        <w:t>Instrukcja do wypełnienia odpowiedniego pola w ww. kartach:</w:t>
      </w:r>
    </w:p>
    <w:p w:rsidR="002476B7" w:rsidRPr="00D705F3" w:rsidRDefault="00F92495" w:rsidP="00E72EE9">
      <w:pPr>
        <w:jc w:val="both"/>
        <w:rPr>
          <w:rFonts w:ascii="Arial" w:hAnsi="Arial" w:cs="Arial"/>
          <w:sz w:val="32"/>
        </w:rPr>
      </w:pPr>
      <w:r w:rsidRPr="00D705F3">
        <w:rPr>
          <w:rFonts w:ascii="Arial" w:hAnsi="Arial" w:cs="Arial"/>
        </w:rPr>
        <w:t xml:space="preserve">Zasada partnerstwa określona jest w art. 5 rozporządzenia Parlamentu Europejskiego (WE) </w:t>
      </w:r>
      <w:r w:rsidR="00757E6B" w:rsidRPr="00D705F3">
        <w:rPr>
          <w:rFonts w:ascii="Arial" w:hAnsi="Arial" w:cs="Arial"/>
        </w:rPr>
        <w:br/>
      </w:r>
      <w:r w:rsidRPr="00D705F3">
        <w:rPr>
          <w:rFonts w:ascii="Arial" w:hAnsi="Arial" w:cs="Arial"/>
        </w:rPr>
        <w:t xml:space="preserve">nr 1303/2013 i odnosi się wyłącznie do bezpośrednich działań Instytucji Zarządzającej polegających na zapewnieniu przez państwo członkowskie (instytucję zarządzającą) właściwego partnerstwa pomiędzy właściwymi władzami miejskimi i innymi instytucjami publicznymi oraz partnerami gospodarczymi i społecznymi oraz właściwymi podmiotami reprezentującymi społeczeństwo obywatelskie, w tym partnerami działającymi na rzecz ochrony środowiska, organizacjami pozarządowymi oraz podmiotami odpowiedzialnymi </w:t>
      </w:r>
      <w:r w:rsidR="00ED408C">
        <w:rPr>
          <w:rFonts w:ascii="Arial" w:hAnsi="Arial" w:cs="Arial"/>
        </w:rPr>
        <w:br/>
      </w:r>
      <w:r w:rsidRPr="00D705F3">
        <w:rPr>
          <w:rFonts w:ascii="Arial" w:hAnsi="Arial" w:cs="Arial"/>
        </w:rPr>
        <w:t>za promowanie włączenia społecznego, równouprawnienia płci i niedyskryminacji. Partnerstwo to realizowane jest w ramach forum jakie stanowi Komitet Monitorujący PO RYBY 2014-2020, w ramach którego podmioty te włączone są w proces wdrażania programu m.in. poprzez zatwierdzanie kryteriów wyboru operacji, zatwierdzanie sprawozdań z wdrażania programu oraz opiniowanie zmian programu. Mając na uwadze samą płaszczyznę i poziom realizacji przedmiotowej zasady, należy stwierdzić, że na etapach aplikowania o środki bądź ich rozliczania, czy kontroli na miejscu realizacji operacji – które są wynikiem uprzednich prac ww. podmiotów, nie zachodzi możliwość weryfikacji przedmiotowej zasady, której realizacja – jak wspomniano na wstępie</w:t>
      </w:r>
      <w:r w:rsidR="00E53FB7" w:rsidRPr="00D705F3">
        <w:rPr>
          <w:rFonts w:ascii="Arial" w:hAnsi="Arial" w:cs="Arial"/>
        </w:rPr>
        <w:t>,</w:t>
      </w:r>
      <w:r w:rsidRPr="00D705F3">
        <w:rPr>
          <w:rFonts w:ascii="Arial" w:hAnsi="Arial" w:cs="Arial"/>
        </w:rPr>
        <w:t xml:space="preserve"> dotyczy wyłącznie bezpośrednich działań instytucji zarządzającej. </w:t>
      </w:r>
      <w:r w:rsidR="003967EA" w:rsidRPr="00D705F3">
        <w:rPr>
          <w:rFonts w:ascii="Arial" w:hAnsi="Arial" w:cs="Arial"/>
        </w:rPr>
        <w:t>Zasada ta funkcjonuje na poziomie programu, nie operacji.</w:t>
      </w:r>
      <w:r w:rsidR="002476B7" w:rsidRPr="00D705F3">
        <w:rPr>
          <w:rFonts w:ascii="Arial" w:hAnsi="Arial" w:cs="Arial"/>
          <w:sz w:val="32"/>
        </w:rPr>
        <w:br w:type="page"/>
      </w:r>
    </w:p>
    <w:p w:rsidR="005B3DFC" w:rsidRPr="00D705F3" w:rsidRDefault="005B3DFC" w:rsidP="00ED408C">
      <w:pPr>
        <w:spacing w:after="0" w:line="240" w:lineRule="auto"/>
        <w:jc w:val="center"/>
        <w:rPr>
          <w:rFonts w:ascii="Arial" w:hAnsi="Arial" w:cs="Arial"/>
          <w:sz w:val="32"/>
        </w:rPr>
      </w:pPr>
      <w:r w:rsidRPr="00D705F3">
        <w:rPr>
          <w:rFonts w:ascii="Arial" w:hAnsi="Arial" w:cs="Arial"/>
          <w:sz w:val="32"/>
        </w:rPr>
        <w:lastRenderedPageBreak/>
        <w:t xml:space="preserve">Promowanie równości mężczyzn i kobiet </w:t>
      </w:r>
      <w:r w:rsidR="00F92495" w:rsidRPr="00D705F3">
        <w:rPr>
          <w:rFonts w:ascii="Arial" w:hAnsi="Arial" w:cs="Arial"/>
          <w:sz w:val="32"/>
        </w:rPr>
        <w:t xml:space="preserve">oraz niedyskryminacji </w:t>
      </w:r>
      <w:r w:rsidR="00F92495" w:rsidRPr="00D705F3">
        <w:rPr>
          <w:rFonts w:ascii="Arial" w:hAnsi="Arial" w:cs="Arial"/>
          <w:sz w:val="32"/>
        </w:rPr>
        <w:br/>
        <w:t>i dostępności dla osób z niepełnosprawnościami</w:t>
      </w:r>
    </w:p>
    <w:p w:rsidR="005B3DFC" w:rsidRPr="00D705F3" w:rsidRDefault="005B3DFC" w:rsidP="00E72EE9">
      <w:pPr>
        <w:spacing w:after="0" w:line="240" w:lineRule="auto"/>
        <w:jc w:val="both"/>
        <w:rPr>
          <w:rFonts w:ascii="Arial" w:hAnsi="Arial" w:cs="Arial"/>
        </w:rPr>
      </w:pP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Artykuł 7</w:t>
      </w:r>
      <w:r w:rsidR="0007621B" w:rsidRPr="00D705F3">
        <w:rPr>
          <w:rFonts w:ascii="Arial" w:hAnsi="Arial" w:cs="Arial"/>
        </w:rPr>
        <w:t xml:space="preserve"> </w:t>
      </w:r>
      <w:r w:rsidR="0007621B" w:rsidRPr="00D705F3">
        <w:rPr>
          <w:rFonts w:ascii="Arial" w:hAnsi="Arial" w:cs="Arial"/>
          <w:color w:val="000000" w:themeColor="text1"/>
          <w:sz w:val="16"/>
        </w:rPr>
        <w:t xml:space="preserve">z 1303/2013 </w:t>
      </w: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Promowanie równości mężczyzn i kobiet oraz niedyskryminacji</w:t>
      </w: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u w:val="single"/>
        </w:rPr>
        <w:t>Państwa członkowskie</w:t>
      </w:r>
      <w:r w:rsidRPr="00D705F3">
        <w:rPr>
          <w:rFonts w:ascii="Arial" w:hAnsi="Arial" w:cs="Arial"/>
          <w:color w:val="000000" w:themeColor="text1"/>
          <w:sz w:val="16"/>
        </w:rPr>
        <w:t xml:space="preserve"> i Komisja </w:t>
      </w:r>
      <w:r w:rsidRPr="00D705F3">
        <w:rPr>
          <w:rFonts w:ascii="Arial" w:hAnsi="Arial" w:cs="Arial"/>
          <w:color w:val="000000" w:themeColor="text1"/>
          <w:sz w:val="16"/>
          <w:u w:val="single"/>
        </w:rPr>
        <w:t>zapewniają uwzględnianie i propagowanie równości mężczyzn i kobiet</w:t>
      </w:r>
      <w:r w:rsidRPr="00D705F3">
        <w:rPr>
          <w:rFonts w:ascii="Arial" w:hAnsi="Arial" w:cs="Arial"/>
          <w:color w:val="000000" w:themeColor="text1"/>
          <w:sz w:val="16"/>
        </w:rPr>
        <w:t xml:space="preserve"> oraz punktu widzenia płci w trakcie przygotowywania i wdrażania programów, w tym w odniesieniu do monitorowania, sprawozdawczości i ewaluacji.</w:t>
      </w: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u w:val="single"/>
        </w:rPr>
        <w:t>Państwa członkowskie</w:t>
      </w:r>
      <w:r w:rsidRPr="00D705F3">
        <w:rPr>
          <w:rFonts w:ascii="Arial" w:hAnsi="Arial" w:cs="Arial"/>
          <w:color w:val="000000" w:themeColor="text1"/>
          <w:sz w:val="16"/>
        </w:rPr>
        <w:t xml:space="preserve"> i Komisja </w:t>
      </w:r>
      <w:r w:rsidRPr="00D705F3">
        <w:rPr>
          <w:rFonts w:ascii="Arial" w:hAnsi="Arial" w:cs="Arial"/>
          <w:color w:val="000000" w:themeColor="text1"/>
          <w:sz w:val="16"/>
          <w:u w:val="single"/>
        </w:rPr>
        <w:t>podejmują odpowiednie kroki w celu zapobiegania wszelkim formom dyskryminacji</w:t>
      </w:r>
      <w:r w:rsidRPr="00D705F3">
        <w:rPr>
          <w:rFonts w:ascii="Arial" w:hAnsi="Arial" w:cs="Arial"/>
          <w:color w:val="000000" w:themeColor="text1"/>
          <w:sz w:val="16"/>
        </w:rPr>
        <w:t xml:space="preserve"> ze względu na płeć, rasę lub pochodzenie etniczne, religię lub światopogląd, niepełnosprawność, wiek lub orientację seksualną podczas przygotowania i wdrażania programów. W procesie przygotowywania i wdrażania programów należy w szczególności wziąć pod uwagę zapewnienie dostępności dla osób z niepełnosprawnościami.</w:t>
      </w:r>
    </w:p>
    <w:p w:rsidR="005B3DFC" w:rsidRPr="00D705F3" w:rsidRDefault="005B3DFC" w:rsidP="00E72EE9">
      <w:pPr>
        <w:shd w:val="clear" w:color="auto" w:fill="DEEAF6" w:themeFill="accent1" w:themeFillTint="33"/>
        <w:spacing w:after="0" w:line="240" w:lineRule="auto"/>
        <w:jc w:val="both"/>
        <w:rPr>
          <w:rFonts w:ascii="Arial" w:hAnsi="Arial" w:cs="Arial"/>
          <w:color w:val="000000" w:themeColor="text1"/>
          <w:sz w:val="16"/>
        </w:rPr>
      </w:pPr>
    </w:p>
    <w:p w:rsidR="005B3DFC" w:rsidRPr="00D705F3" w:rsidRDefault="005B3DFC" w:rsidP="00E72EE9">
      <w:pPr>
        <w:spacing w:after="0" w:line="240" w:lineRule="auto"/>
        <w:jc w:val="both"/>
        <w:rPr>
          <w:rFonts w:ascii="Arial" w:hAnsi="Arial" w:cs="Arial"/>
        </w:rPr>
      </w:pPr>
    </w:p>
    <w:p w:rsidR="00F92495" w:rsidRPr="00D705F3" w:rsidRDefault="00F92495" w:rsidP="00E72EE9">
      <w:pPr>
        <w:jc w:val="both"/>
        <w:rPr>
          <w:rFonts w:ascii="Arial" w:hAnsi="Arial" w:cs="Arial"/>
        </w:rPr>
      </w:pPr>
      <w:r w:rsidRPr="00D705F3">
        <w:rPr>
          <w:rFonts w:ascii="Arial" w:hAnsi="Arial" w:cs="Arial"/>
        </w:rPr>
        <w:t xml:space="preserve">Pytanie do karty weryfikacji WOD, WOP i kontroli na miejscu: </w:t>
      </w:r>
    </w:p>
    <w:p w:rsidR="00F92495" w:rsidRPr="00D705F3" w:rsidRDefault="00F92495" w:rsidP="00E72EE9">
      <w:pPr>
        <w:jc w:val="both"/>
        <w:rPr>
          <w:rFonts w:ascii="Arial" w:hAnsi="Arial" w:cs="Arial"/>
          <w:b/>
        </w:rPr>
      </w:pPr>
      <w:r w:rsidRPr="00E72EE9">
        <w:rPr>
          <w:rFonts w:ascii="Arial" w:hAnsi="Arial" w:cs="Arial"/>
          <w:b/>
          <w:spacing w:val="-4"/>
        </w:rPr>
        <w:t>Czy zasada promowania równości mężczyzn i kobiet oraz niedyskryminacji i dostępności</w:t>
      </w:r>
      <w:r w:rsidRPr="00D705F3">
        <w:rPr>
          <w:rFonts w:ascii="Arial" w:hAnsi="Arial" w:cs="Arial"/>
          <w:b/>
        </w:rPr>
        <w:t xml:space="preserve"> dla osób z niepełnosprawnościami została naruszona?</w:t>
      </w:r>
    </w:p>
    <w:p w:rsidR="00F92495" w:rsidRPr="00D705F3" w:rsidRDefault="00F92495" w:rsidP="00E72EE9">
      <w:pPr>
        <w:jc w:val="both"/>
        <w:rPr>
          <w:rFonts w:ascii="Arial" w:hAnsi="Arial" w:cs="Arial"/>
          <w:b/>
        </w:rPr>
      </w:pPr>
      <w:r w:rsidRPr="00D705F3">
        <w:rPr>
          <w:rFonts w:ascii="Arial" w:hAnsi="Arial" w:cs="Arial"/>
          <w:b/>
        </w:rPr>
        <w:t>NIE DOTYCZY</w:t>
      </w:r>
    </w:p>
    <w:p w:rsidR="00F92495" w:rsidRPr="00D705F3" w:rsidRDefault="00F92495" w:rsidP="00E72EE9">
      <w:pPr>
        <w:jc w:val="both"/>
        <w:rPr>
          <w:rFonts w:ascii="Arial" w:hAnsi="Arial" w:cs="Arial"/>
        </w:rPr>
      </w:pPr>
    </w:p>
    <w:p w:rsidR="00F92495" w:rsidRPr="00D705F3" w:rsidRDefault="00F92495" w:rsidP="00E72EE9">
      <w:pPr>
        <w:jc w:val="both"/>
        <w:rPr>
          <w:rFonts w:ascii="Arial" w:hAnsi="Arial" w:cs="Arial"/>
          <w:u w:val="single"/>
        </w:rPr>
      </w:pPr>
      <w:r w:rsidRPr="00D705F3">
        <w:rPr>
          <w:rFonts w:ascii="Arial" w:hAnsi="Arial" w:cs="Arial"/>
          <w:u w:val="single"/>
        </w:rPr>
        <w:t>Instrukcja do wypełnienia odpowiedniego pola w ww. kartach:</w:t>
      </w:r>
    </w:p>
    <w:p w:rsidR="002476B7" w:rsidRPr="00D705F3" w:rsidRDefault="00F92495" w:rsidP="00E72EE9">
      <w:pPr>
        <w:jc w:val="both"/>
        <w:rPr>
          <w:rFonts w:ascii="Arial" w:hAnsi="Arial" w:cs="Arial"/>
          <w:sz w:val="32"/>
        </w:rPr>
      </w:pPr>
      <w:r w:rsidRPr="00D705F3">
        <w:rPr>
          <w:rFonts w:ascii="Arial" w:hAnsi="Arial" w:cs="Arial"/>
        </w:rPr>
        <w:t xml:space="preserve">Przedmiotowa zasada odnosi się wyłącznie do bezpośrednich działań Instytucji Zarządzającej, odpowiedzialnej za promowanie równości mężczyzn i kobiet oraz niedyskryminacji </w:t>
      </w:r>
      <w:r w:rsidR="00ED408C">
        <w:rPr>
          <w:rFonts w:ascii="Arial" w:hAnsi="Arial" w:cs="Arial"/>
        </w:rPr>
        <w:br/>
      </w:r>
      <w:r w:rsidRPr="00D705F3">
        <w:rPr>
          <w:rFonts w:ascii="Arial" w:hAnsi="Arial" w:cs="Arial"/>
        </w:rPr>
        <w:t xml:space="preserve">i dostępności dla osób z niepełnosprawnościami, w trakcie przygotowywania i wdrażania programu, w tym odniesieniu do monitorowania, sprawozdawczości i ewaluacji, uwzględniania problematyki równouprawnienia kobiet i mężczyzn. Należy zauważyć, że PO RYBY 2014–2020 jest programem specyficznym, ukierunkowanym na wsparcie określonego sektora gospodarki, jakim jest rybactwo, oraz aspekty zintegrowanej polityki morskiej. Z tego też powodu pomoc finansowa będzie dotyczyć skonkretyzowanego typu beneficjentów, </w:t>
      </w:r>
      <w:r w:rsidR="00ED408C">
        <w:rPr>
          <w:rFonts w:ascii="Arial" w:hAnsi="Arial" w:cs="Arial"/>
        </w:rPr>
        <w:br/>
      </w:r>
      <w:r w:rsidRPr="00D705F3">
        <w:rPr>
          <w:rFonts w:ascii="Arial" w:hAnsi="Arial" w:cs="Arial"/>
        </w:rPr>
        <w:t xml:space="preserve">tj. rybaków i hodowców oraz ich rodzin, właścicieli statków, czy też organizacji rybackich. Dlatego zagadnienie równości kobiet i mężczyzn oraz niedyskryminacji i dostępności dla osób z niepełnosprawnościami, nie będzie miało wpływu na dostęp do pomocy finansowej. Reasumując, program ten w pełni realizuje zasadę równości szans i niedyskryminacji </w:t>
      </w:r>
      <w:r w:rsidR="00ED408C">
        <w:rPr>
          <w:rFonts w:ascii="Arial" w:hAnsi="Arial" w:cs="Arial"/>
        </w:rPr>
        <w:br/>
      </w:r>
      <w:r w:rsidRPr="00D705F3">
        <w:rPr>
          <w:rFonts w:ascii="Arial" w:hAnsi="Arial" w:cs="Arial"/>
        </w:rPr>
        <w:t>i jednocześnie jest wobec tej polityki neutralny. Takie podejście w ramach funduszy unijnych 2014-2020 umożliwiają zapisy Agendy działań na rzecz równości szans i niedyskryminacji zatwierdzonej przez Ministerstwo Infrastruktury i Rozwoju w dniu 22 kwietnia 2015 r.</w:t>
      </w:r>
      <w:r w:rsidR="003967EA" w:rsidRPr="00D705F3">
        <w:rPr>
          <w:rFonts w:ascii="Arial" w:hAnsi="Arial" w:cs="Arial"/>
        </w:rPr>
        <w:t xml:space="preserve"> Zasada ta funkcjonuje na poziomie programu, nie operacji.</w:t>
      </w:r>
      <w:r w:rsidR="002476B7" w:rsidRPr="00D705F3">
        <w:rPr>
          <w:rFonts w:ascii="Arial" w:hAnsi="Arial" w:cs="Arial"/>
          <w:sz w:val="32"/>
        </w:rPr>
        <w:br w:type="page"/>
      </w:r>
    </w:p>
    <w:p w:rsidR="00B56DE6" w:rsidRPr="00D705F3" w:rsidRDefault="00FA774B" w:rsidP="00ED408C">
      <w:pPr>
        <w:spacing w:after="0" w:line="240" w:lineRule="auto"/>
        <w:jc w:val="center"/>
        <w:rPr>
          <w:rFonts w:ascii="Arial" w:hAnsi="Arial" w:cs="Arial"/>
          <w:sz w:val="32"/>
        </w:rPr>
      </w:pPr>
      <w:r w:rsidRPr="00D705F3">
        <w:rPr>
          <w:rFonts w:ascii="Arial" w:hAnsi="Arial" w:cs="Arial"/>
          <w:sz w:val="32"/>
        </w:rPr>
        <w:lastRenderedPageBreak/>
        <w:t>Zrównoważony rozwój</w:t>
      </w:r>
    </w:p>
    <w:p w:rsidR="00FA774B" w:rsidRPr="00D705F3" w:rsidRDefault="00FA774B" w:rsidP="00E72EE9">
      <w:pPr>
        <w:spacing w:after="0" w:line="240" w:lineRule="auto"/>
        <w:jc w:val="both"/>
        <w:rPr>
          <w:rFonts w:ascii="Arial" w:hAnsi="Arial" w:cs="Arial"/>
        </w:rPr>
      </w:pPr>
    </w:p>
    <w:p w:rsidR="00FA774B" w:rsidRPr="00D705F3" w:rsidRDefault="00FA774B" w:rsidP="00E72EE9">
      <w:pPr>
        <w:shd w:val="clear" w:color="auto" w:fill="DEEAF6" w:themeFill="accent1" w:themeFillTint="33"/>
        <w:spacing w:after="0" w:line="240" w:lineRule="auto"/>
        <w:jc w:val="both"/>
        <w:rPr>
          <w:rFonts w:ascii="Arial" w:hAnsi="Arial" w:cs="Arial"/>
          <w:color w:val="000000" w:themeColor="text1"/>
          <w:sz w:val="16"/>
        </w:rPr>
      </w:pPr>
    </w:p>
    <w:p w:rsidR="00FA774B" w:rsidRPr="00D705F3" w:rsidRDefault="00FA774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Artykuł 8</w:t>
      </w:r>
      <w:r w:rsidR="0007621B" w:rsidRPr="00D705F3">
        <w:rPr>
          <w:rFonts w:ascii="Arial" w:hAnsi="Arial" w:cs="Arial"/>
          <w:color w:val="000000" w:themeColor="text1"/>
          <w:sz w:val="16"/>
        </w:rPr>
        <w:t xml:space="preserve"> z 1303/2013</w:t>
      </w:r>
    </w:p>
    <w:p w:rsidR="00FA774B" w:rsidRPr="00D705F3" w:rsidRDefault="00FA774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Zrównoważony rozwój</w:t>
      </w:r>
    </w:p>
    <w:p w:rsidR="00FA774B" w:rsidRPr="00D705F3" w:rsidRDefault="00FA774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Cele EFSI są osiągane w sposób zgodny z zasadą zrównoważonego rozwoju oraz unijnym wspieraniem celu zachowania, ochrony i poprawy jakości środowiska naturalnego, zgodnie z art. 11 i art. 191 ust. 1 TFUE, z uwzględnieniem zasady „zanieczyszczający płaci”.</w:t>
      </w:r>
    </w:p>
    <w:p w:rsidR="00FA774B" w:rsidRPr="00D705F3" w:rsidRDefault="00FA774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w:t>
      </w:r>
      <w:r w:rsidR="00E72EE9">
        <w:rPr>
          <w:rFonts w:ascii="Arial" w:hAnsi="Arial" w:cs="Arial"/>
          <w:color w:val="000000" w:themeColor="text1"/>
          <w:sz w:val="16"/>
        </w:rPr>
        <w:br/>
      </w:r>
      <w:r w:rsidRPr="00D705F3">
        <w:rPr>
          <w:rFonts w:ascii="Arial" w:hAnsi="Arial" w:cs="Arial"/>
          <w:color w:val="000000" w:themeColor="text1"/>
          <w:sz w:val="16"/>
        </w:rPr>
        <w:t xml:space="preserve">i programów. Państwa członkowskie dostarczają informacje na temat wsparcia celów dotyczących zmian klimatu </w:t>
      </w:r>
      <w:r w:rsidR="00E72EE9">
        <w:rPr>
          <w:rFonts w:ascii="Arial" w:hAnsi="Arial" w:cs="Arial"/>
          <w:color w:val="000000" w:themeColor="text1"/>
          <w:sz w:val="16"/>
        </w:rPr>
        <w:br/>
      </w:r>
      <w:r w:rsidRPr="00D705F3">
        <w:rPr>
          <w:rFonts w:ascii="Arial" w:hAnsi="Arial" w:cs="Arial"/>
          <w:color w:val="000000" w:themeColor="text1"/>
          <w:sz w:val="16"/>
        </w:rPr>
        <w:t>z wykorzystaniem metodyki opartej na kategoriach interwencji, obszarach docelowych lub środkach, stosownie dla każdego funduszu. Metodyka ta obejmuje przypisywanie konkretnej wagi wsparciu udzielanemu w ramach EFSI na szczeblu odzwierciedlającej stopień, w jakim wsparcie takie przyczynia się do osiągnięcia celów łagodzenia i dostosowania do zmian klimatu. Przypisana konkretna waga jest różnicowana w zależności od tego, czy wsparcie przyczynia się w znacznym bądź umiarkowanym stopniu do realizacji celów związanych ze zmianą klimatu. Jeżeli wsparcie nie przyczynia się do realizacji tych celów lub jest nieznaczne, przypisuje się wagę równą zeru. W przypadku EFRR, EFS i Funduszu Spójności przypisywana waga powinna być związana z kategoriami interwencji określonymi w ramach klasyfikacji przyjętej przez Komisję. W przypadku EFRROW przypisywana waga powinna być związana z obszarami docelowymi określonymi w rozporządzeniu w sprawie EFRROW, a w przypadku EFMR z środkami określonymi w rozporządzeniu w sprawie EFMR.</w:t>
      </w:r>
    </w:p>
    <w:p w:rsidR="00FA774B" w:rsidRPr="00D705F3" w:rsidRDefault="00FA774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Komisja w drodze aktu wykonawczego określa jednolite warunki dla każdego z EFSI do celów stosowania metodyki, o której mowa w ustępie drugim. Akt wykonawczy jest przyjęty zgodnie z procedurą sprawdzającą, o której mowa w art. 150 ust. 3.</w:t>
      </w:r>
    </w:p>
    <w:p w:rsidR="00FA774B" w:rsidRPr="00D705F3" w:rsidRDefault="00FA774B" w:rsidP="00E72EE9">
      <w:pPr>
        <w:shd w:val="clear" w:color="auto" w:fill="DEEAF6" w:themeFill="accent1" w:themeFillTint="33"/>
        <w:spacing w:after="0" w:line="240" w:lineRule="auto"/>
        <w:jc w:val="both"/>
        <w:rPr>
          <w:rFonts w:ascii="Arial" w:hAnsi="Arial" w:cs="Arial"/>
          <w:color w:val="000000" w:themeColor="text1"/>
          <w:sz w:val="16"/>
        </w:rPr>
      </w:pPr>
    </w:p>
    <w:p w:rsidR="00FA774B" w:rsidRPr="00D705F3" w:rsidRDefault="00FA774B" w:rsidP="00E72EE9">
      <w:pPr>
        <w:spacing w:after="0" w:line="240" w:lineRule="auto"/>
        <w:jc w:val="both"/>
        <w:rPr>
          <w:rFonts w:ascii="Arial" w:hAnsi="Arial" w:cs="Arial"/>
        </w:rPr>
      </w:pPr>
    </w:p>
    <w:p w:rsidR="00F92495" w:rsidRPr="00D705F3" w:rsidRDefault="00F92495" w:rsidP="00E72EE9">
      <w:pPr>
        <w:spacing w:after="0" w:line="240" w:lineRule="auto"/>
        <w:jc w:val="both"/>
        <w:rPr>
          <w:rFonts w:ascii="Arial" w:hAnsi="Arial" w:cs="Arial"/>
        </w:rPr>
      </w:pPr>
      <w:r w:rsidRPr="00D705F3">
        <w:rPr>
          <w:rFonts w:ascii="Arial" w:hAnsi="Arial" w:cs="Arial"/>
        </w:rPr>
        <w:t xml:space="preserve">Pytanie do karty weryfikacji WOD: </w:t>
      </w:r>
    </w:p>
    <w:p w:rsidR="00F92495" w:rsidRPr="00D705F3" w:rsidRDefault="00F92495" w:rsidP="00E72EE9">
      <w:pPr>
        <w:spacing w:after="0" w:line="240" w:lineRule="auto"/>
        <w:jc w:val="both"/>
        <w:rPr>
          <w:rFonts w:ascii="Arial" w:hAnsi="Arial" w:cs="Arial"/>
          <w:b/>
        </w:rPr>
      </w:pPr>
      <w:r w:rsidRPr="00D705F3">
        <w:rPr>
          <w:rFonts w:ascii="Arial" w:hAnsi="Arial" w:cs="Arial"/>
          <w:b/>
        </w:rPr>
        <w:t>Czy zasada zrównoważonego rozwoju została naruszona?</w:t>
      </w:r>
    </w:p>
    <w:p w:rsidR="00F92495" w:rsidRPr="00D705F3" w:rsidRDefault="00F92495" w:rsidP="00E72EE9">
      <w:pPr>
        <w:spacing w:after="0" w:line="240" w:lineRule="auto"/>
        <w:jc w:val="both"/>
        <w:rPr>
          <w:rFonts w:ascii="Arial" w:hAnsi="Arial" w:cs="Arial"/>
          <w:b/>
        </w:rPr>
      </w:pPr>
      <w:r w:rsidRPr="00D705F3">
        <w:rPr>
          <w:rFonts w:ascii="Arial" w:hAnsi="Arial" w:cs="Arial"/>
          <w:b/>
        </w:rPr>
        <w:t>NIE DOTYCZY</w:t>
      </w:r>
    </w:p>
    <w:p w:rsidR="00F92495" w:rsidRPr="00D705F3" w:rsidRDefault="00F92495" w:rsidP="00E72EE9">
      <w:pPr>
        <w:spacing w:after="0" w:line="240" w:lineRule="auto"/>
        <w:jc w:val="both"/>
        <w:rPr>
          <w:rFonts w:ascii="Arial" w:hAnsi="Arial" w:cs="Arial"/>
        </w:rPr>
      </w:pPr>
    </w:p>
    <w:p w:rsidR="00F92495" w:rsidRPr="00D705F3" w:rsidRDefault="00F92495" w:rsidP="00E72EE9">
      <w:pPr>
        <w:spacing w:after="0" w:line="240" w:lineRule="auto"/>
        <w:jc w:val="both"/>
        <w:rPr>
          <w:rFonts w:ascii="Arial" w:hAnsi="Arial" w:cs="Arial"/>
          <w:u w:val="single"/>
        </w:rPr>
      </w:pPr>
      <w:r w:rsidRPr="00D705F3">
        <w:rPr>
          <w:rFonts w:ascii="Arial" w:hAnsi="Arial" w:cs="Arial"/>
          <w:u w:val="single"/>
        </w:rPr>
        <w:t>Instrukcja do wypełnienia odpowiedniego pola w ww. kartach:</w:t>
      </w:r>
    </w:p>
    <w:p w:rsidR="00F92495" w:rsidRPr="00D705F3" w:rsidRDefault="00F92495" w:rsidP="00E72EE9">
      <w:pPr>
        <w:spacing w:after="0" w:line="240" w:lineRule="auto"/>
        <w:jc w:val="both"/>
        <w:rPr>
          <w:rFonts w:ascii="Arial" w:hAnsi="Arial" w:cs="Arial"/>
        </w:rPr>
      </w:pPr>
      <w:r w:rsidRPr="00D705F3">
        <w:rPr>
          <w:rFonts w:ascii="Arial" w:hAnsi="Arial" w:cs="Arial"/>
        </w:rPr>
        <w:t xml:space="preserve">Przedmiotowa zasada odnosi się wyłącznie do bezpośrednich działań Instytucji Zarządzającej, </w:t>
      </w:r>
      <w:r w:rsidRPr="00ED408C">
        <w:rPr>
          <w:rFonts w:ascii="Arial" w:hAnsi="Arial" w:cs="Arial"/>
          <w:spacing w:val="-4"/>
        </w:rPr>
        <w:t>odpowiedzialnej za promowanie wymogów ochrony środowiska, efektywnego gospodarowania</w:t>
      </w:r>
      <w:r w:rsidRPr="00D705F3">
        <w:rPr>
          <w:rFonts w:ascii="Arial" w:hAnsi="Arial" w:cs="Arial"/>
        </w:rPr>
        <w:t xml:space="preserve"> zasobami, dostosowania do zmian klimatu i łagodzenia ich skutków, różnorodności biologicznej, odporności na klęski żywiołowe oraz zapobiegania ryzyku i zarządzania ryzykiem w trakcie przygotowywania i wdrażania programu i umowy partnerstwa. Realizacja tej zasady polega na dostarczaniu KE odpowiednich informacji finansowych na temat wsparcia celów klimatycznych zgodnie z przyjętą metodologią przypisującą odpowiednie wagi działaniom wdrażanym w ramach konkretnego programu operacyjnego. Informacje te pozyskiwane </w:t>
      </w:r>
      <w:r w:rsidR="00ED408C">
        <w:rPr>
          <w:rFonts w:ascii="Arial" w:hAnsi="Arial" w:cs="Arial"/>
        </w:rPr>
        <w:br/>
      </w:r>
      <w:r w:rsidRPr="00D705F3">
        <w:rPr>
          <w:rFonts w:ascii="Arial" w:hAnsi="Arial" w:cs="Arial"/>
        </w:rPr>
        <w:t xml:space="preserve">są przed podmiot pełniący obowiązki instytucji płatniczej. Mając na uwadze powyższe spełnienie powyższej zasady odnosi się działań podejmowanych przez instytucję zarządzającą na podstawie finansowych informacji pozyskanych od instytucji pośredniczącej. Tym samym mając na uwadze samą płaszczyznę i poziom realizacji przedmiotowej zasady, należy stwierdzić, że na etapach aplikowania o środki bądź ich rozliczania, czy kontroli </w:t>
      </w:r>
      <w:r w:rsidR="00ED408C">
        <w:rPr>
          <w:rFonts w:ascii="Arial" w:hAnsi="Arial" w:cs="Arial"/>
        </w:rPr>
        <w:br/>
      </w:r>
      <w:r w:rsidRPr="00D705F3">
        <w:rPr>
          <w:rFonts w:ascii="Arial" w:hAnsi="Arial" w:cs="Arial"/>
        </w:rPr>
        <w:t>na miejscu realizacji operacji – które są wynikiem uprzednich prac ww. podmiotów, nie zachodzi możliwość weryfikacji przedmiotowej zasady, której realizacja – jak wspomniano na wstępie- dotyczy wyłącznie bezpośrednich działań instytucji zarządzającej.</w:t>
      </w:r>
    </w:p>
    <w:p w:rsidR="00FA774B" w:rsidRPr="00D705F3" w:rsidRDefault="003967EA" w:rsidP="00E72EE9">
      <w:pPr>
        <w:spacing w:after="0" w:line="240" w:lineRule="auto"/>
        <w:jc w:val="both"/>
        <w:rPr>
          <w:rFonts w:ascii="Arial" w:hAnsi="Arial" w:cs="Arial"/>
        </w:rPr>
      </w:pPr>
      <w:r w:rsidRPr="00D705F3">
        <w:rPr>
          <w:rFonts w:ascii="Arial" w:hAnsi="Arial" w:cs="Arial"/>
        </w:rPr>
        <w:t>Zasada ta funkcjonuje na poziomie programu, nie operacji.</w:t>
      </w:r>
    </w:p>
    <w:p w:rsidR="0007621B" w:rsidRPr="00D705F3" w:rsidRDefault="0007621B" w:rsidP="00E72EE9">
      <w:pPr>
        <w:jc w:val="both"/>
        <w:rPr>
          <w:rFonts w:ascii="Arial" w:hAnsi="Arial" w:cs="Arial"/>
        </w:rPr>
      </w:pPr>
      <w:r w:rsidRPr="00D705F3">
        <w:rPr>
          <w:rFonts w:ascii="Arial" w:hAnsi="Arial" w:cs="Arial"/>
        </w:rPr>
        <w:br w:type="page"/>
      </w:r>
    </w:p>
    <w:p w:rsidR="0007621B" w:rsidRPr="00D705F3" w:rsidRDefault="00AC58E2" w:rsidP="00ED408C">
      <w:pPr>
        <w:spacing w:after="0" w:line="240" w:lineRule="auto"/>
        <w:jc w:val="center"/>
        <w:rPr>
          <w:rFonts w:ascii="Arial" w:hAnsi="Arial" w:cs="Arial"/>
          <w:sz w:val="32"/>
        </w:rPr>
      </w:pPr>
      <w:r w:rsidRPr="00D705F3">
        <w:rPr>
          <w:rFonts w:ascii="Arial" w:hAnsi="Arial" w:cs="Arial"/>
          <w:sz w:val="32"/>
        </w:rPr>
        <w:lastRenderedPageBreak/>
        <w:t>Zasada niewybierania operacji</w:t>
      </w:r>
      <w:r w:rsidR="0007621B" w:rsidRPr="00D705F3">
        <w:rPr>
          <w:rFonts w:ascii="Arial" w:hAnsi="Arial" w:cs="Arial"/>
          <w:sz w:val="32"/>
        </w:rPr>
        <w:t>, w przypadku gdy zostały one fizycznie ukończone lub w pełni zrealizowane przed złożeniem przez beneficjenta wniosku o dofinansowanie</w:t>
      </w:r>
    </w:p>
    <w:p w:rsidR="00AC58E2" w:rsidRPr="00D705F3" w:rsidRDefault="00AC58E2" w:rsidP="00E72EE9">
      <w:pPr>
        <w:spacing w:after="0" w:line="240" w:lineRule="auto"/>
        <w:jc w:val="both"/>
        <w:rPr>
          <w:rFonts w:ascii="Arial" w:hAnsi="Arial" w:cs="Arial"/>
          <w:sz w:val="32"/>
        </w:rPr>
      </w:pPr>
    </w:p>
    <w:p w:rsidR="00AC58E2" w:rsidRPr="00D705F3" w:rsidRDefault="00AC58E2" w:rsidP="00E72EE9">
      <w:pPr>
        <w:spacing w:after="0" w:line="240" w:lineRule="auto"/>
        <w:jc w:val="both"/>
        <w:rPr>
          <w:rFonts w:ascii="Arial" w:hAnsi="Arial" w:cs="Arial"/>
          <w:sz w:val="32"/>
        </w:rPr>
      </w:pPr>
    </w:p>
    <w:p w:rsidR="00AC58E2" w:rsidRPr="00D705F3" w:rsidRDefault="00AC58E2" w:rsidP="00E72EE9">
      <w:pPr>
        <w:shd w:val="clear" w:color="auto" w:fill="DEEAF6" w:themeFill="accent1" w:themeFillTint="33"/>
        <w:spacing w:after="0" w:line="240" w:lineRule="auto"/>
        <w:jc w:val="both"/>
        <w:rPr>
          <w:rFonts w:ascii="Arial" w:hAnsi="Arial" w:cs="Arial"/>
          <w:color w:val="000000" w:themeColor="text1"/>
          <w:sz w:val="16"/>
        </w:rPr>
      </w:pPr>
    </w:p>
    <w:p w:rsidR="00AC58E2" w:rsidRPr="00D705F3" w:rsidRDefault="00AC58E2"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Artykuł 65 (1303/2013)</w:t>
      </w:r>
    </w:p>
    <w:p w:rsidR="00AC58E2" w:rsidRPr="00D705F3" w:rsidRDefault="00AC58E2"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Kwalifikowalność</w:t>
      </w:r>
    </w:p>
    <w:p w:rsidR="00AC58E2" w:rsidRPr="00D705F3" w:rsidRDefault="00AC58E2"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w:t>
      </w:r>
    </w:p>
    <w:p w:rsidR="00AC58E2" w:rsidRPr="00D705F3" w:rsidRDefault="00AC58E2"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6.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AC58E2" w:rsidRPr="00D705F3" w:rsidRDefault="00AC58E2"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w:t>
      </w:r>
    </w:p>
    <w:p w:rsidR="00AC58E2" w:rsidRPr="00D705F3" w:rsidRDefault="00AC58E2" w:rsidP="00E72EE9">
      <w:pPr>
        <w:shd w:val="clear" w:color="auto" w:fill="DEEAF6" w:themeFill="accent1" w:themeFillTint="33"/>
        <w:spacing w:after="0" w:line="240" w:lineRule="auto"/>
        <w:jc w:val="both"/>
        <w:rPr>
          <w:rFonts w:ascii="Arial" w:hAnsi="Arial" w:cs="Arial"/>
          <w:color w:val="000000" w:themeColor="text1"/>
          <w:sz w:val="16"/>
        </w:rPr>
      </w:pPr>
    </w:p>
    <w:p w:rsidR="00AC58E2" w:rsidRPr="00D705F3" w:rsidRDefault="00AC58E2" w:rsidP="00E72EE9">
      <w:pPr>
        <w:spacing w:after="0" w:line="240" w:lineRule="auto"/>
        <w:jc w:val="both"/>
        <w:rPr>
          <w:rFonts w:ascii="Arial" w:hAnsi="Arial" w:cs="Arial"/>
        </w:rPr>
      </w:pPr>
    </w:p>
    <w:p w:rsidR="00F92495" w:rsidRPr="00D705F3" w:rsidRDefault="00F92495" w:rsidP="00E72EE9">
      <w:pPr>
        <w:spacing w:after="0" w:line="240" w:lineRule="auto"/>
        <w:jc w:val="both"/>
        <w:rPr>
          <w:rFonts w:ascii="Arial" w:hAnsi="Arial" w:cs="Arial"/>
        </w:rPr>
      </w:pPr>
      <w:r w:rsidRPr="00D705F3">
        <w:rPr>
          <w:rFonts w:ascii="Arial" w:hAnsi="Arial" w:cs="Arial"/>
        </w:rPr>
        <w:t xml:space="preserve">Pytanie do karty weryfikacji WOD: </w:t>
      </w:r>
    </w:p>
    <w:p w:rsidR="00F92495" w:rsidRPr="00D705F3" w:rsidRDefault="00F92495" w:rsidP="00E72EE9">
      <w:pPr>
        <w:spacing w:after="0" w:line="240" w:lineRule="auto"/>
        <w:jc w:val="both"/>
        <w:rPr>
          <w:rFonts w:ascii="Arial" w:hAnsi="Arial" w:cs="Arial"/>
          <w:b/>
        </w:rPr>
      </w:pPr>
      <w:r w:rsidRPr="00D705F3">
        <w:rPr>
          <w:rFonts w:ascii="Arial" w:hAnsi="Arial" w:cs="Arial"/>
          <w:b/>
        </w:rPr>
        <w:t xml:space="preserve">Czy zasada niewybierania operacji, w przypadku gdy zostały one fizycznie ukończone </w:t>
      </w:r>
      <w:r w:rsidRPr="00E72EE9">
        <w:rPr>
          <w:rFonts w:ascii="Arial" w:hAnsi="Arial" w:cs="Arial"/>
          <w:b/>
          <w:spacing w:val="-4"/>
        </w:rPr>
        <w:t>lub w pełni zrealizowane przed złożeniem przez beneficjenta wniosku o dofinansowanie</w:t>
      </w:r>
      <w:r w:rsidRPr="00D705F3">
        <w:rPr>
          <w:rFonts w:ascii="Arial" w:hAnsi="Arial" w:cs="Arial"/>
          <w:b/>
        </w:rPr>
        <w:t xml:space="preserve"> została naruszona?</w:t>
      </w:r>
    </w:p>
    <w:p w:rsidR="00F92495" w:rsidRPr="00D705F3" w:rsidRDefault="00F92495" w:rsidP="00E72EE9">
      <w:pPr>
        <w:spacing w:after="0" w:line="240" w:lineRule="auto"/>
        <w:jc w:val="both"/>
        <w:rPr>
          <w:rFonts w:ascii="Arial" w:hAnsi="Arial" w:cs="Arial"/>
        </w:rPr>
      </w:pPr>
    </w:p>
    <w:p w:rsidR="00F92495" w:rsidRPr="00D705F3" w:rsidRDefault="00F92495" w:rsidP="00E72EE9">
      <w:pPr>
        <w:spacing w:after="0" w:line="240" w:lineRule="auto"/>
        <w:jc w:val="both"/>
        <w:rPr>
          <w:rFonts w:ascii="Arial" w:hAnsi="Arial" w:cs="Arial"/>
          <w:u w:val="single"/>
        </w:rPr>
      </w:pPr>
      <w:r w:rsidRPr="00D705F3">
        <w:rPr>
          <w:rFonts w:ascii="Arial" w:hAnsi="Arial" w:cs="Arial"/>
          <w:u w:val="single"/>
        </w:rPr>
        <w:t>Instrukcja do wypełnienia odpowiedniego pola w ww. kartach:</w:t>
      </w:r>
    </w:p>
    <w:p w:rsidR="00F92495" w:rsidRPr="00D705F3" w:rsidRDefault="00F92495" w:rsidP="00E72EE9">
      <w:pPr>
        <w:spacing w:after="0" w:line="240" w:lineRule="auto"/>
        <w:jc w:val="both"/>
        <w:rPr>
          <w:rFonts w:ascii="Arial" w:hAnsi="Arial" w:cs="Arial"/>
        </w:rPr>
      </w:pPr>
      <w:r w:rsidRPr="00D705F3">
        <w:rPr>
          <w:rFonts w:ascii="Arial" w:hAnsi="Arial" w:cs="Arial"/>
          <w:b/>
        </w:rPr>
        <w:t>NIE (zasada nie została naruszona)</w:t>
      </w:r>
      <w:r w:rsidRPr="00D705F3">
        <w:rPr>
          <w:rFonts w:ascii="Arial" w:hAnsi="Arial" w:cs="Arial"/>
        </w:rPr>
        <w:t>, jeżeli na dzień złożenia wniosku o dofinansowanie:</w:t>
      </w:r>
    </w:p>
    <w:p w:rsidR="00F92495" w:rsidRPr="00D705F3" w:rsidRDefault="00F92495" w:rsidP="00E72EE9">
      <w:pPr>
        <w:pStyle w:val="Akapitzlist"/>
        <w:numPr>
          <w:ilvl w:val="0"/>
          <w:numId w:val="9"/>
        </w:numPr>
        <w:spacing w:after="0" w:line="240" w:lineRule="auto"/>
        <w:jc w:val="both"/>
        <w:rPr>
          <w:rFonts w:ascii="Arial" w:hAnsi="Arial" w:cs="Arial"/>
        </w:rPr>
      </w:pPr>
      <w:r w:rsidRPr="00D705F3">
        <w:rPr>
          <w:rFonts w:ascii="Arial" w:hAnsi="Arial" w:cs="Arial"/>
        </w:rPr>
        <w:t>została do podjęcia przynajmniej jedna faktyczna czynność (np. uzyskanie odpowiedniego pozwolenia) związana z realizacją przedmiotowej operacji</w:t>
      </w:r>
    </w:p>
    <w:p w:rsidR="00F92495" w:rsidRPr="00D705F3" w:rsidRDefault="00F92495" w:rsidP="00E72EE9">
      <w:pPr>
        <w:spacing w:after="0" w:line="240" w:lineRule="auto"/>
        <w:jc w:val="both"/>
        <w:rPr>
          <w:rFonts w:ascii="Arial" w:hAnsi="Arial" w:cs="Arial"/>
        </w:rPr>
      </w:pPr>
      <w:r w:rsidRPr="00D705F3">
        <w:rPr>
          <w:rFonts w:ascii="Arial" w:hAnsi="Arial" w:cs="Arial"/>
        </w:rPr>
        <w:t xml:space="preserve">lub </w:t>
      </w:r>
    </w:p>
    <w:p w:rsidR="00F92495" w:rsidRPr="00D705F3" w:rsidRDefault="00F92495" w:rsidP="00E72EE9">
      <w:pPr>
        <w:pStyle w:val="Akapitzlist"/>
        <w:numPr>
          <w:ilvl w:val="0"/>
          <w:numId w:val="9"/>
        </w:numPr>
        <w:spacing w:after="0" w:line="240" w:lineRule="auto"/>
        <w:jc w:val="both"/>
        <w:rPr>
          <w:rFonts w:ascii="Arial" w:hAnsi="Arial" w:cs="Arial"/>
        </w:rPr>
      </w:pPr>
      <w:r w:rsidRPr="00D705F3">
        <w:rPr>
          <w:rFonts w:ascii="Arial" w:hAnsi="Arial" w:cs="Arial"/>
        </w:rPr>
        <w:t>został do poniesienia przynajmniej jeden wydatek związany z realizacją przedmiotowej operacji .</w:t>
      </w:r>
    </w:p>
    <w:p w:rsidR="00F92495" w:rsidRPr="00D705F3" w:rsidRDefault="00F92495" w:rsidP="00E72EE9">
      <w:pPr>
        <w:spacing w:after="0" w:line="240" w:lineRule="auto"/>
        <w:jc w:val="both"/>
        <w:rPr>
          <w:rFonts w:ascii="Arial" w:hAnsi="Arial" w:cs="Arial"/>
        </w:rPr>
      </w:pPr>
    </w:p>
    <w:p w:rsidR="00F92495" w:rsidRPr="00D705F3" w:rsidRDefault="00F92495" w:rsidP="00E72EE9">
      <w:pPr>
        <w:spacing w:after="0" w:line="240" w:lineRule="auto"/>
        <w:jc w:val="both"/>
        <w:rPr>
          <w:rFonts w:ascii="Arial" w:hAnsi="Arial" w:cs="Arial"/>
        </w:rPr>
      </w:pPr>
      <w:r w:rsidRPr="00D705F3">
        <w:rPr>
          <w:rFonts w:ascii="Arial" w:hAnsi="Arial" w:cs="Arial"/>
          <w:b/>
        </w:rPr>
        <w:t>TAK (zasada została naruszona)</w:t>
      </w:r>
      <w:r w:rsidRPr="00D705F3">
        <w:rPr>
          <w:rFonts w:ascii="Arial" w:hAnsi="Arial" w:cs="Arial"/>
        </w:rPr>
        <w:t>, jeżeli nie jest spełniony żaden z wyżej wymienionych warunków.</w:t>
      </w:r>
    </w:p>
    <w:p w:rsidR="00AC58E2" w:rsidRPr="00D705F3" w:rsidRDefault="00AC58E2" w:rsidP="00E72EE9">
      <w:pPr>
        <w:spacing w:after="0" w:line="240" w:lineRule="auto"/>
        <w:jc w:val="both"/>
        <w:rPr>
          <w:rFonts w:ascii="Arial" w:hAnsi="Arial" w:cs="Arial"/>
        </w:rPr>
      </w:pPr>
    </w:p>
    <w:p w:rsidR="00AC58E2" w:rsidRPr="00D705F3" w:rsidRDefault="00AC58E2" w:rsidP="00E72EE9">
      <w:pPr>
        <w:spacing w:after="0" w:line="240" w:lineRule="auto"/>
        <w:jc w:val="both"/>
        <w:rPr>
          <w:rFonts w:ascii="Arial" w:hAnsi="Arial" w:cs="Arial"/>
        </w:rPr>
      </w:pPr>
    </w:p>
    <w:p w:rsidR="0007621B" w:rsidRPr="00D705F3" w:rsidRDefault="0007621B" w:rsidP="00E72EE9">
      <w:pPr>
        <w:jc w:val="both"/>
        <w:rPr>
          <w:rFonts w:ascii="Arial" w:hAnsi="Arial" w:cs="Arial"/>
          <w:sz w:val="32"/>
        </w:rPr>
      </w:pPr>
      <w:r w:rsidRPr="00D705F3">
        <w:rPr>
          <w:rFonts w:ascii="Arial" w:hAnsi="Arial" w:cs="Arial"/>
          <w:sz w:val="32"/>
        </w:rPr>
        <w:br w:type="page"/>
      </w:r>
    </w:p>
    <w:p w:rsidR="0007621B" w:rsidRPr="00D705F3" w:rsidRDefault="00222850" w:rsidP="00ED408C">
      <w:pPr>
        <w:spacing w:after="0" w:line="240" w:lineRule="auto"/>
        <w:jc w:val="center"/>
        <w:rPr>
          <w:rFonts w:ascii="Arial" w:hAnsi="Arial" w:cs="Arial"/>
          <w:sz w:val="32"/>
        </w:rPr>
      </w:pPr>
      <w:r w:rsidRPr="00D705F3">
        <w:rPr>
          <w:rFonts w:ascii="Arial" w:hAnsi="Arial" w:cs="Arial"/>
          <w:sz w:val="32"/>
        </w:rPr>
        <w:lastRenderedPageBreak/>
        <w:t>Zasada pomocy publicznej</w:t>
      </w:r>
    </w:p>
    <w:p w:rsidR="00222850" w:rsidRPr="00D705F3" w:rsidRDefault="00222850" w:rsidP="00E72EE9">
      <w:pPr>
        <w:spacing w:after="0" w:line="240" w:lineRule="auto"/>
        <w:jc w:val="both"/>
        <w:rPr>
          <w:rFonts w:ascii="Arial" w:hAnsi="Arial" w:cs="Arial"/>
          <w:sz w:val="32"/>
        </w:rPr>
      </w:pP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Artykuł 8 z 508/2014</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Pomoc państwa</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1. Bez uszczerbku dla ust. 2 niniejszego artykułu do pomocy przyznawanej przez państwa członkowskie przedsiębiorstwom </w:t>
      </w:r>
      <w:r w:rsidR="00E72EE9">
        <w:rPr>
          <w:rFonts w:ascii="Arial" w:hAnsi="Arial" w:cs="Arial"/>
          <w:color w:val="000000" w:themeColor="text1"/>
          <w:sz w:val="16"/>
        </w:rPr>
        <w:br/>
      </w:r>
      <w:r w:rsidRPr="00D705F3">
        <w:rPr>
          <w:rFonts w:ascii="Arial" w:hAnsi="Arial" w:cs="Arial"/>
          <w:color w:val="000000" w:themeColor="text1"/>
          <w:sz w:val="16"/>
        </w:rPr>
        <w:t>z sektora rybołówstwa i akwakultury zastosowanie mają art. 107, 108 i 109 TFUE.</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2. Artykuły 107, 108 i 109 TFUE nie mają jednak zastosowania do płatności dokonywanych przez państwa członkowskie zgodnie z niniejszym rozporządzeniem w ramach zakresu stosowania art. 42 TFUE.</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3. Przepisy krajowe ustanawiające finansowanie ze środków publicznych w szerszym zakresie, niż wynika to z przepisów niniejszego rozporządzenia dotyczących płatności, o których mowa w </w:t>
      </w:r>
      <w:proofErr w:type="spellStart"/>
      <w:r w:rsidRPr="00D705F3">
        <w:rPr>
          <w:rFonts w:ascii="Arial" w:hAnsi="Arial" w:cs="Arial"/>
          <w:color w:val="000000" w:themeColor="text1"/>
          <w:sz w:val="16"/>
        </w:rPr>
        <w:t>w</w:t>
      </w:r>
      <w:proofErr w:type="spellEnd"/>
      <w:r w:rsidRPr="00D705F3">
        <w:rPr>
          <w:rFonts w:ascii="Arial" w:hAnsi="Arial" w:cs="Arial"/>
          <w:color w:val="000000" w:themeColor="text1"/>
          <w:sz w:val="16"/>
        </w:rPr>
        <w:t xml:space="preserve"> ust. 2, podlegają w całości ust. 1.</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4. W odniesieniu do produktów rybołówstwa i akwakultury wymienionych w załączniku I TFUE, do których stosuje się jego </w:t>
      </w:r>
      <w:r w:rsidR="00E72EE9">
        <w:rPr>
          <w:rFonts w:ascii="Arial" w:hAnsi="Arial" w:cs="Arial"/>
          <w:color w:val="000000" w:themeColor="text1"/>
          <w:sz w:val="16"/>
        </w:rPr>
        <w:br/>
      </w:r>
      <w:r w:rsidRPr="00D705F3">
        <w:rPr>
          <w:rFonts w:ascii="Arial" w:hAnsi="Arial" w:cs="Arial"/>
          <w:color w:val="000000" w:themeColor="text1"/>
          <w:sz w:val="16"/>
        </w:rPr>
        <w:t xml:space="preserve">art. 107, 108 i 109, Komisja może zgodnie z art. 108 TFUE zezwolić na udzielanie pomocy operacyjnej w regionach najbardziej oddalonych, o których mowa w art. 349 TFUE, w sektorach produkcji i przetwarzania wspomnianych produktów rybołówstwa </w:t>
      </w:r>
      <w:r w:rsidR="00E72EE9">
        <w:rPr>
          <w:rFonts w:ascii="Arial" w:hAnsi="Arial" w:cs="Arial"/>
          <w:color w:val="000000" w:themeColor="text1"/>
          <w:sz w:val="16"/>
        </w:rPr>
        <w:br/>
      </w:r>
      <w:r w:rsidRPr="00D705F3">
        <w:rPr>
          <w:rFonts w:ascii="Arial" w:hAnsi="Arial" w:cs="Arial"/>
          <w:color w:val="000000" w:themeColor="text1"/>
          <w:sz w:val="16"/>
        </w:rPr>
        <w:t>i akwakultury, a także obrotu nimi, w celu zaradzenia konkretnym ograniczeniom w tych regionach, wynikającym z ich oddalenia, wyspiarskiego charakteru i najbardziej oddalonego położenia.</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p>
    <w:p w:rsidR="0007621B" w:rsidRPr="00D705F3" w:rsidRDefault="0007621B" w:rsidP="00E72EE9">
      <w:pPr>
        <w:spacing w:after="0" w:line="240" w:lineRule="auto"/>
        <w:jc w:val="both"/>
        <w:rPr>
          <w:rFonts w:ascii="Arial" w:hAnsi="Arial" w:cs="Arial"/>
          <w:color w:val="000000" w:themeColor="text1"/>
          <w:sz w:val="16"/>
        </w:rPr>
      </w:pPr>
    </w:p>
    <w:p w:rsidR="00110425" w:rsidRPr="00D705F3" w:rsidRDefault="00110425" w:rsidP="00E72EE9">
      <w:pPr>
        <w:spacing w:after="0" w:line="240" w:lineRule="auto"/>
        <w:jc w:val="both"/>
        <w:rPr>
          <w:rFonts w:ascii="Arial" w:hAnsi="Arial" w:cs="Arial"/>
        </w:rPr>
      </w:pPr>
      <w:r w:rsidRPr="00D705F3">
        <w:rPr>
          <w:rFonts w:ascii="Arial" w:hAnsi="Arial" w:cs="Arial"/>
        </w:rPr>
        <w:t xml:space="preserve">Pytanie do karty weryfikacji WOP i kontroli na miejscu: </w:t>
      </w:r>
    </w:p>
    <w:p w:rsidR="00110425" w:rsidRPr="00D705F3" w:rsidRDefault="00110425" w:rsidP="00E72EE9">
      <w:pPr>
        <w:spacing w:after="0" w:line="240" w:lineRule="auto"/>
        <w:jc w:val="both"/>
        <w:rPr>
          <w:rFonts w:ascii="Arial" w:hAnsi="Arial" w:cs="Arial"/>
          <w:b/>
        </w:rPr>
      </w:pPr>
      <w:r w:rsidRPr="00D705F3">
        <w:rPr>
          <w:rFonts w:ascii="Arial" w:hAnsi="Arial" w:cs="Arial"/>
          <w:b/>
        </w:rPr>
        <w:t>Czy zasada pomocy publicznej została naruszona?</w:t>
      </w:r>
      <w:r w:rsidR="00081D32">
        <w:rPr>
          <w:rStyle w:val="Odwoanieprzypisudolnego"/>
          <w:rFonts w:ascii="Arial" w:hAnsi="Arial" w:cs="Arial"/>
          <w:b/>
        </w:rPr>
        <w:footnoteReference w:id="1"/>
      </w:r>
    </w:p>
    <w:p w:rsidR="00110425" w:rsidRPr="00D705F3" w:rsidRDefault="00110425" w:rsidP="00E72EE9">
      <w:pPr>
        <w:spacing w:after="0" w:line="240" w:lineRule="auto"/>
        <w:jc w:val="both"/>
        <w:rPr>
          <w:rFonts w:ascii="Arial" w:hAnsi="Arial" w:cs="Arial"/>
          <w:b/>
        </w:rPr>
      </w:pPr>
      <w:r w:rsidRPr="00D705F3">
        <w:rPr>
          <w:rFonts w:ascii="Arial" w:hAnsi="Arial" w:cs="Arial"/>
          <w:b/>
        </w:rPr>
        <w:t>NIE DOTYCZY</w:t>
      </w:r>
    </w:p>
    <w:p w:rsidR="00110425" w:rsidRPr="00D705F3" w:rsidRDefault="00110425" w:rsidP="00E72EE9">
      <w:pPr>
        <w:spacing w:after="0" w:line="240" w:lineRule="auto"/>
        <w:jc w:val="both"/>
        <w:rPr>
          <w:rFonts w:ascii="Arial" w:hAnsi="Arial" w:cs="Arial"/>
        </w:rPr>
      </w:pPr>
    </w:p>
    <w:p w:rsidR="00110425" w:rsidRPr="00D705F3" w:rsidRDefault="00110425" w:rsidP="00E72EE9">
      <w:pPr>
        <w:spacing w:after="0" w:line="240" w:lineRule="auto"/>
        <w:jc w:val="both"/>
        <w:rPr>
          <w:rFonts w:ascii="Arial" w:hAnsi="Arial" w:cs="Arial"/>
          <w:u w:val="single"/>
        </w:rPr>
      </w:pPr>
      <w:r w:rsidRPr="00D705F3">
        <w:rPr>
          <w:rFonts w:ascii="Arial" w:hAnsi="Arial" w:cs="Arial"/>
          <w:u w:val="single"/>
        </w:rPr>
        <w:t>Instrukcja do wypełnienia odpowiedniego pola w ww. kartach:</w:t>
      </w:r>
    </w:p>
    <w:p w:rsidR="00110425" w:rsidRPr="00D705F3" w:rsidRDefault="00110425" w:rsidP="00E72EE9">
      <w:pPr>
        <w:spacing w:after="0" w:line="240" w:lineRule="auto"/>
        <w:jc w:val="both"/>
        <w:rPr>
          <w:rFonts w:ascii="Arial" w:hAnsi="Arial" w:cs="Arial"/>
        </w:rPr>
      </w:pPr>
    </w:p>
    <w:p w:rsidR="00222850" w:rsidRPr="00D705F3" w:rsidRDefault="00110425" w:rsidP="00E72EE9">
      <w:pPr>
        <w:spacing w:after="0" w:line="240" w:lineRule="auto"/>
        <w:jc w:val="both"/>
        <w:rPr>
          <w:rFonts w:ascii="Arial" w:hAnsi="Arial" w:cs="Arial"/>
        </w:rPr>
      </w:pPr>
      <w:r w:rsidRPr="00D705F3">
        <w:rPr>
          <w:rFonts w:ascii="Arial" w:hAnsi="Arial" w:cs="Arial"/>
        </w:rPr>
        <w:t xml:space="preserve">Art. 8 ust. 2 rozporządzenia Parlamentu Europejskiego i Rady (UE) nr 508/2014 z dnia 15 maja 2014 r. w sprawie Europejskiego Funduszu Morskiego i Rybackiego stanowi, że artykuły 107, 108 i 109 TFUE nie mają zastosowania do płatności dokonywanych przez państwa członkowskie zgodnie z niniejszym rozporządzeniem w ramach zakresu stosowania art. 42 TFUE. Co należy rozumieć, że pomoc pochodząca z Europejskiego Funduszu Morskiego </w:t>
      </w:r>
      <w:r w:rsidR="00ED408C">
        <w:rPr>
          <w:rFonts w:ascii="Arial" w:hAnsi="Arial" w:cs="Arial"/>
        </w:rPr>
        <w:br/>
      </w:r>
      <w:r w:rsidRPr="00D705F3">
        <w:rPr>
          <w:rFonts w:ascii="Arial" w:hAnsi="Arial" w:cs="Arial"/>
        </w:rPr>
        <w:t xml:space="preserve">i Rybackiego nie podlega wymienionym przepisom TFUE dotyczącym pomocy publicznej, </w:t>
      </w:r>
      <w:r w:rsidR="00ED408C">
        <w:rPr>
          <w:rFonts w:ascii="Arial" w:hAnsi="Arial" w:cs="Arial"/>
        </w:rPr>
        <w:br/>
      </w:r>
      <w:r w:rsidRPr="00D705F3">
        <w:rPr>
          <w:rFonts w:ascii="Arial" w:hAnsi="Arial" w:cs="Arial"/>
        </w:rPr>
        <w:t>a zatem również obowiązkowi zgłaszania do KE.</w:t>
      </w:r>
    </w:p>
    <w:p w:rsidR="0007621B" w:rsidRPr="00D705F3" w:rsidRDefault="0007621B" w:rsidP="00E72EE9">
      <w:pPr>
        <w:spacing w:after="0" w:line="240" w:lineRule="auto"/>
        <w:jc w:val="both"/>
        <w:rPr>
          <w:rFonts w:ascii="Arial" w:hAnsi="Arial" w:cs="Arial"/>
          <w:color w:val="000000" w:themeColor="text1"/>
          <w:sz w:val="16"/>
        </w:rPr>
      </w:pPr>
    </w:p>
    <w:p w:rsidR="0007621B" w:rsidRPr="00D705F3" w:rsidRDefault="0007621B" w:rsidP="00E72EE9">
      <w:pPr>
        <w:spacing w:after="0" w:line="240" w:lineRule="auto"/>
        <w:jc w:val="both"/>
        <w:rPr>
          <w:rFonts w:ascii="Arial" w:hAnsi="Arial" w:cs="Arial"/>
          <w:color w:val="000000" w:themeColor="text1"/>
          <w:sz w:val="16"/>
        </w:rPr>
      </w:pPr>
      <w:r w:rsidRPr="00D705F3">
        <w:rPr>
          <w:rFonts w:ascii="Arial" w:hAnsi="Arial" w:cs="Arial"/>
          <w:color w:val="000000" w:themeColor="text1"/>
          <w:sz w:val="16"/>
        </w:rPr>
        <w:br w:type="page"/>
      </w:r>
    </w:p>
    <w:p w:rsidR="0007621B" w:rsidRPr="00D705F3" w:rsidRDefault="00BA2114" w:rsidP="00ED408C">
      <w:pPr>
        <w:spacing w:after="0" w:line="240" w:lineRule="auto"/>
        <w:jc w:val="center"/>
        <w:rPr>
          <w:rFonts w:ascii="Arial" w:hAnsi="Arial" w:cs="Arial"/>
          <w:sz w:val="32"/>
        </w:rPr>
      </w:pPr>
      <w:r w:rsidRPr="00D705F3">
        <w:rPr>
          <w:rFonts w:ascii="Arial" w:hAnsi="Arial" w:cs="Arial"/>
          <w:sz w:val="32"/>
        </w:rPr>
        <w:lastRenderedPageBreak/>
        <w:t xml:space="preserve">Operacje </w:t>
      </w:r>
      <w:r w:rsidR="0007621B" w:rsidRPr="00D705F3">
        <w:rPr>
          <w:rFonts w:ascii="Arial" w:hAnsi="Arial" w:cs="Arial"/>
          <w:sz w:val="32"/>
        </w:rPr>
        <w:t>generujące dochód.</w:t>
      </w:r>
    </w:p>
    <w:p w:rsidR="00BA2114" w:rsidRPr="00D705F3" w:rsidRDefault="00BA2114" w:rsidP="00E72EE9">
      <w:pPr>
        <w:spacing w:after="0" w:line="240" w:lineRule="auto"/>
        <w:jc w:val="both"/>
        <w:rPr>
          <w:rFonts w:ascii="Arial" w:hAnsi="Arial" w:cs="Arial"/>
          <w:sz w:val="32"/>
        </w:rPr>
      </w:pPr>
    </w:p>
    <w:p w:rsidR="00134D10" w:rsidRPr="00D705F3" w:rsidRDefault="00134D10" w:rsidP="00E72EE9">
      <w:pPr>
        <w:shd w:val="clear" w:color="auto" w:fill="DEEAF6" w:themeFill="accent1" w:themeFillTint="33"/>
        <w:spacing w:after="0" w:line="240" w:lineRule="auto"/>
        <w:jc w:val="both"/>
        <w:rPr>
          <w:rFonts w:ascii="Arial" w:hAnsi="Arial" w:cs="Arial"/>
          <w:color w:val="000000" w:themeColor="text1"/>
          <w:sz w:val="16"/>
        </w:rPr>
      </w:pP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Artykuł 61 z 1303/2013</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Operacje generujące dochód po ukończeniu</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1.   Niniejszy artykuł ma zastosowanie do operacji generujących dochód po ich ukończeniu. Do celów niniejszego artykułu „dochód” oznacza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Oszczędności kosztów działalności osiągnięte przez operację są traktowane jako dochody, chyba że są skompensowane równoważnym zmniejszeniem dotacji na działalność.</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W przypadku gdy nie wszystkie koszty inwestycji są kwalifikowalne, dochód zostaje przyporządkowany pro rata </w:t>
      </w:r>
      <w:r w:rsidR="00E72EE9">
        <w:rPr>
          <w:rFonts w:ascii="Arial" w:hAnsi="Arial" w:cs="Arial"/>
          <w:color w:val="000000" w:themeColor="text1"/>
          <w:sz w:val="16"/>
        </w:rPr>
        <w:br/>
      </w:r>
      <w:r w:rsidRPr="00D705F3">
        <w:rPr>
          <w:rFonts w:ascii="Arial" w:hAnsi="Arial" w:cs="Arial"/>
          <w:color w:val="000000" w:themeColor="text1"/>
          <w:sz w:val="16"/>
        </w:rPr>
        <w:t>do kwalifikowalnych i niekwalifikowalnych części kosztu inwestycji.</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2.   Kwalifikowalne koszty operacji, która ma być dofinansowana z EFSI, są z góry pomniejszane z uwzględnieniem potencjału generowania dochodów przez daną operację w określonym okresie odniesienia obejmującym zarówno realizację tej operacji, jak i okres po jej ukończeniu.</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3.   Potencjalne dochody operacji są określane z góry za pomocą jednej z poniższych metod, wybranej przez instytucję zarządzającą dla danego sektora, podsektora lub rodzaju operacji:</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a)zastosowanie zryczałtowanej procentowej stawki dochodów określonej dla sektora lub podsektora właściwego dla danej operacji, zdefiniowanej w załączniku V lub w którymkolwiek z aktów delegowanych, o których mowa w akapicie drugim, trzecim</w:t>
      </w:r>
      <w:r w:rsidR="00E72EE9">
        <w:rPr>
          <w:rFonts w:ascii="Arial" w:hAnsi="Arial" w:cs="Arial"/>
          <w:color w:val="000000" w:themeColor="text1"/>
          <w:sz w:val="16"/>
        </w:rPr>
        <w:br/>
      </w:r>
      <w:r w:rsidRPr="00D705F3">
        <w:rPr>
          <w:rFonts w:ascii="Arial" w:hAnsi="Arial" w:cs="Arial"/>
          <w:color w:val="000000" w:themeColor="text1"/>
          <w:sz w:val="16"/>
        </w:rPr>
        <w:t>i czwartym;</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b)obliczenie zdyskontowanego dochodu danej operacji z uwzględnieniem okresu odniesienia odpowiedniego dla danego sektora lub podsektora właściwego dla danej operacji, zwykle oczekiwanej rentowności dla danej kategorii inwestycji, zastosowania zasady „zanieczyszczający płaci” oraz, w stosownych przypadkach, zastosowania zasady sprawiedliwości </w:t>
      </w:r>
      <w:r w:rsidR="00E72EE9">
        <w:rPr>
          <w:rFonts w:ascii="Arial" w:hAnsi="Arial" w:cs="Arial"/>
          <w:color w:val="000000" w:themeColor="text1"/>
          <w:sz w:val="16"/>
        </w:rPr>
        <w:br/>
      </w:r>
      <w:r w:rsidRPr="00D705F3">
        <w:rPr>
          <w:rFonts w:ascii="Arial" w:hAnsi="Arial" w:cs="Arial"/>
          <w:color w:val="000000" w:themeColor="text1"/>
          <w:sz w:val="16"/>
        </w:rPr>
        <w:t>w powiązaniu ze względną zamożnością danego państwa członkowskiego lub regionu.</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Komisja jest upoważniona do przyjmowania aktów delegowanych zgodnie z art. 149, aby w należycie uzasadnionych przypadkach dokonać dostosowania stawek zryczałtowanych ustalonych w załączniku V, z uwzględnieniem – w stosownych przypadkach – danych historycznych, możliwości odzyskania kosztów i zasady „zanieczyszczający płaci”.</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Komisja jest uprawniona do przyjmowania zgodnie z art. 149 aktów delegowanych ustanawiających stawki zryczałtowane dla sektorów lub podsektorów w dziedzinie TIK, badań, rozwoju i innowacji oraz efektywności energetycznej. Komisja powiadomi Parlament Europejski i Radę o aktach delegowanych nie później niż dnia 30 czerwca 2015 r.</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Ponadto, w należycie uzasadnionych przypadkach, Komisja jest uprawniona do przyjmowania aktów delegowanych zgodnie </w:t>
      </w:r>
      <w:r w:rsidR="00E72EE9">
        <w:rPr>
          <w:rFonts w:ascii="Arial" w:hAnsi="Arial" w:cs="Arial"/>
          <w:color w:val="000000" w:themeColor="text1"/>
          <w:sz w:val="16"/>
        </w:rPr>
        <w:br/>
      </w:r>
      <w:r w:rsidRPr="00D705F3">
        <w:rPr>
          <w:rFonts w:ascii="Arial" w:hAnsi="Arial" w:cs="Arial"/>
          <w:color w:val="000000" w:themeColor="text1"/>
          <w:sz w:val="16"/>
        </w:rPr>
        <w:t xml:space="preserve">z art. 149 w celu dodania do załącznika V sektorów lub podsektorów, w tym podsektorów w ramach sektorów wchodzących </w:t>
      </w:r>
      <w:r w:rsidR="00E72EE9">
        <w:rPr>
          <w:rFonts w:ascii="Arial" w:hAnsi="Arial" w:cs="Arial"/>
          <w:color w:val="000000" w:themeColor="text1"/>
          <w:sz w:val="16"/>
        </w:rPr>
        <w:br/>
      </w:r>
      <w:r w:rsidRPr="00D705F3">
        <w:rPr>
          <w:rFonts w:ascii="Arial" w:hAnsi="Arial" w:cs="Arial"/>
          <w:color w:val="000000" w:themeColor="text1"/>
          <w:sz w:val="16"/>
        </w:rPr>
        <w:t>w zakres celów tematycznych określonych w art. 9 akapit pierwszy i wspieranych przez EFSI.</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W przypadku stosowania metody, o której mowa w lit. a) akapit pierwszy, całość dochodów wygenerowanych w czasie realizacji i po ukończeniu danej operacji uznaje się za uwzględnione poprzez zastosowanie stawki zryczałtowanej i dlatego nie odejmuje się ich w późniejszym okresie od kwalifikowalnych wydatków danej operacji.</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Gdy zryczałtowana stawka dla nowego sektora lub podsektora została określona w drodze przyjęcia aktu delegowanego zgodnie z akapitem trzecim i czwartym, instytucja zarządzająca może postanowić o zastosowaniu w odniesieniu do nowych operacji związanych z odnośnym sektorem lub podsektorem metody wskazanej w lit. a) akapit pierwszy.</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Komisja jest uprawniona do przyjęcia zgodnie z art. 149 aktów delegowanych określających metodę, o której mowa w lit. b) akapit pierwszy. W przypadku stosowania tej metody, całość dochodów wygenerowanych w czasie realizacji danej operacji, pochodzących ze źródeł dochodów nieuwzględnionych przy określaniu potencjalnego dochodu danej operacji, odejmuje się </w:t>
      </w:r>
      <w:r w:rsidR="00ED408C">
        <w:rPr>
          <w:rFonts w:ascii="Arial" w:hAnsi="Arial" w:cs="Arial"/>
          <w:color w:val="000000" w:themeColor="text1"/>
          <w:sz w:val="16"/>
        </w:rPr>
        <w:br/>
      </w:r>
      <w:r w:rsidRPr="00D705F3">
        <w:rPr>
          <w:rFonts w:ascii="Arial" w:hAnsi="Arial" w:cs="Arial"/>
          <w:color w:val="000000" w:themeColor="text1"/>
          <w:sz w:val="16"/>
        </w:rPr>
        <w:t>od kwalifikowalnych wydatków tej operacji, nie później niż we wniosku o płatność końcową złożonym przez beneficjenta.</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4.   Metoda, według której dochody odejmowane są od wydatków operacji uwzględnionych we wniosku o płatność przedkładanym Komisji są określane zgodnie z przepisami krajowymi.</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5.   Jako rozwiązanie alternatywne wobec stosowania metod określonych w ust. 3, maksymalna stopa dofinansowania, o której mowa w art. 60 ust. 1, może na wniosek państwa członkowskiego zostać zmniejszona w momencie przyjęcia programu </w:t>
      </w:r>
      <w:r w:rsidR="00E72EE9">
        <w:rPr>
          <w:rFonts w:ascii="Arial" w:hAnsi="Arial" w:cs="Arial"/>
          <w:color w:val="000000" w:themeColor="text1"/>
          <w:sz w:val="16"/>
        </w:rPr>
        <w:br/>
      </w:r>
      <w:r w:rsidRPr="00D705F3">
        <w:rPr>
          <w:rFonts w:ascii="Arial" w:hAnsi="Arial" w:cs="Arial"/>
          <w:color w:val="000000" w:themeColor="text1"/>
          <w:sz w:val="16"/>
        </w:rPr>
        <w:t>w odniesieniu do priorytetu lub środka, w ramach którego wszystkie operacje, które mają być wspierane w ramach tego priorytetu lub środka, mogłyby stosować jednolitą stawkę zryczałtowaną zgodnie z ust. 3 lit. a) akapit pierwszy. Zmniejszenie to nie może być mniejsze niż wartość obliczona przez pomnożenie maksymalnej unijnej stopy dofinansowania mającej zastosowanie na mocy przepisów właściwych dla danego funduszu przez odnośną stawkę zryczałtowaną, o której mowa w ust. 3 lit. a) akapit pierwszy.</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W przypadku stosowania metody, o której mowa w pierwszym akapicie, całość dochodów wygenerowanych w czasie realizacji </w:t>
      </w:r>
      <w:r w:rsidR="00E72EE9">
        <w:rPr>
          <w:rFonts w:ascii="Arial" w:hAnsi="Arial" w:cs="Arial"/>
          <w:color w:val="000000" w:themeColor="text1"/>
          <w:sz w:val="16"/>
        </w:rPr>
        <w:br/>
      </w:r>
      <w:r w:rsidRPr="00D705F3">
        <w:rPr>
          <w:rFonts w:ascii="Arial" w:hAnsi="Arial" w:cs="Arial"/>
          <w:color w:val="000000" w:themeColor="text1"/>
          <w:sz w:val="16"/>
        </w:rPr>
        <w:t>i po ukończeniu danej operacji uznaje się za uwzględnioną poprzez zastosowanie zmniejszonej stopy dofinansowania i dlatego nie odejmuje się tych dochodów w późniejszym okresie od kwalifikowalnych wydatków danych operacji.</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6.   W przypadku gdy nie ma możliwości obiektywnego określenia dochodów z wyprzedzeniem na podstawie jednej z metod określonych w ust. 3 lub 5, dochód wygenerowany w okresie trzech lat od zakończenia operacji lub do terminu na złożenie dokumentów dotyczących zamknięcia programu określonego w przepisach dotyczących poszczególnych funduszy, </w:t>
      </w:r>
      <w:r w:rsidR="00E72EE9">
        <w:rPr>
          <w:rFonts w:ascii="Arial" w:hAnsi="Arial" w:cs="Arial"/>
          <w:color w:val="000000" w:themeColor="text1"/>
          <w:sz w:val="16"/>
        </w:rPr>
        <w:br/>
      </w:r>
      <w:r w:rsidRPr="00D705F3">
        <w:rPr>
          <w:rFonts w:ascii="Arial" w:hAnsi="Arial" w:cs="Arial"/>
          <w:color w:val="000000" w:themeColor="text1"/>
          <w:sz w:val="16"/>
        </w:rPr>
        <w:t>w zależności od tego, który termin nastąpi wcześniej, jest odliczany od wydatków deklarowanych Komisji.</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7.   Ustępy 1–6 nie mają zastosowania do:</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a)operacji lub części operacji finansowanych wyłącznie z Europejskiego Funduszu Społecznego;</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b)operacji, których całkowity kwalifikowalny koszt przed zastosowaniem ust. 1–6 nie przekracza 1 000 000 EUR;</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c)pomocy zwrotnej udzielonej z zastrzeżeniem obowiązku spłaty w całości ani nagród;</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d)pomocy technicznej;</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e)wsparcia udzielanego instrumentom finansowym lub przez instrumenty finansowe;</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f)operacji, dla których wydatki publiczne przyjmują postać kwot ryczałtowych lub standardowych stawek jednostkowych,</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g)operacji realizowanych w ramach wspólnego planu działania;</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h)operacji, dla których kwoty lub stawki wsparcia są określone w załączniku I do rozporządzenia w sprawie EFRROW.</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Niezależnie od lit. b) akapitu pierwszego niniejszego ustępu, w przypadku gdy państwo członkowskie stosuje ust. 5, może zawrzeć ono w odnośnym priorytecie lub środku operacje, których całkowity kwalifikowalny koszt przed zastosowaniem ust. 1–6 nie przekracza 1 000 000 EUR.</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lastRenderedPageBreak/>
        <w:t>8.   Ponadto ust. 1–6 nie mają zastosowania do operacji, dla których wsparcie w ramach programu stanowi:</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a)pomoc de </w:t>
      </w:r>
      <w:proofErr w:type="spellStart"/>
      <w:r w:rsidRPr="00D705F3">
        <w:rPr>
          <w:rFonts w:ascii="Arial" w:hAnsi="Arial" w:cs="Arial"/>
          <w:color w:val="000000" w:themeColor="text1"/>
          <w:sz w:val="16"/>
        </w:rPr>
        <w:t>minimis</w:t>
      </w:r>
      <w:proofErr w:type="spellEnd"/>
      <w:r w:rsidRPr="00D705F3">
        <w:rPr>
          <w:rFonts w:ascii="Arial" w:hAnsi="Arial" w:cs="Arial"/>
          <w:color w:val="000000" w:themeColor="text1"/>
          <w:sz w:val="16"/>
        </w:rPr>
        <w:t>;</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b)zgodną z rynkiem wewnętrznym pomoc państwa dla MŚP, gdy stosuje się limit w zakresie dopuszczalnej intensywności </w:t>
      </w:r>
      <w:r w:rsidR="00ED408C">
        <w:rPr>
          <w:rFonts w:ascii="Arial" w:hAnsi="Arial" w:cs="Arial"/>
          <w:color w:val="000000" w:themeColor="text1"/>
          <w:sz w:val="16"/>
        </w:rPr>
        <w:br/>
      </w:r>
      <w:r w:rsidRPr="00D705F3">
        <w:rPr>
          <w:rFonts w:ascii="Arial" w:hAnsi="Arial" w:cs="Arial"/>
          <w:color w:val="000000" w:themeColor="text1"/>
          <w:sz w:val="16"/>
        </w:rPr>
        <w:t>lub kwoty pomocy państwa;</w:t>
      </w:r>
    </w:p>
    <w:p w:rsidR="0007621B"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c)zgodną z rynkiem wewnętrznym pomoc państwa, gdy przeprowadzono indywidualną weryfikację potrzeb w zakresie finansowania zgodnie z mającymi zastosowanie przepisami dotyczącymi pomocy państwa.</w:t>
      </w:r>
    </w:p>
    <w:p w:rsidR="00134D10" w:rsidRPr="00D705F3" w:rsidRDefault="0007621B"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Niezależnie od przepisów akapitu pierwszego instytucja zarządzająca może zastosować przepisy ust. 1–6 do operacji, które </w:t>
      </w:r>
      <w:r w:rsidR="00ED408C">
        <w:rPr>
          <w:rFonts w:ascii="Arial" w:hAnsi="Arial" w:cs="Arial"/>
          <w:color w:val="000000" w:themeColor="text1"/>
          <w:sz w:val="16"/>
        </w:rPr>
        <w:br/>
      </w:r>
      <w:r w:rsidRPr="00D705F3">
        <w:rPr>
          <w:rFonts w:ascii="Arial" w:hAnsi="Arial" w:cs="Arial"/>
          <w:color w:val="000000" w:themeColor="text1"/>
          <w:sz w:val="16"/>
        </w:rPr>
        <w:t>są objęte lit. a–c) akapit pierwszy niniejszego ustępu, jeżeli stanowią tak przepisy krajowe.</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Artykuł 65</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Kwalifikowalność</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8.   Niniejszy ustęp ma zastosowanie do operacji generujących dochód w czasie ich wdrażania i do których nie ma zastosowania art. 61 ust. 1–6.</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 xml:space="preserve">Kwalifikowalne wydatki danej operacji, które mają być dofinansowane z EFSI, są pomniejszane o dochód, który nie został wzięty pod uwagę w czasie zatwierdzania operacji, wygenerowany bezpośrednio wyłącznie podczas jej wdrażania, nie później niż </w:t>
      </w:r>
      <w:r w:rsidR="00ED408C">
        <w:rPr>
          <w:rFonts w:ascii="Arial" w:hAnsi="Arial" w:cs="Arial"/>
          <w:color w:val="000000" w:themeColor="text1"/>
          <w:sz w:val="16"/>
        </w:rPr>
        <w:br/>
      </w:r>
      <w:r w:rsidRPr="00D705F3">
        <w:rPr>
          <w:rFonts w:ascii="Arial" w:hAnsi="Arial" w:cs="Arial"/>
          <w:color w:val="000000" w:themeColor="text1"/>
          <w:sz w:val="16"/>
        </w:rPr>
        <w:t xml:space="preserve">w momencie złożenia przez beneficjenta wniosku o płatność końcową. W przypadku gdy nie wszystkie koszty inwestycji </w:t>
      </w:r>
      <w:r w:rsidR="00ED408C">
        <w:rPr>
          <w:rFonts w:ascii="Arial" w:hAnsi="Arial" w:cs="Arial"/>
          <w:color w:val="000000" w:themeColor="text1"/>
          <w:sz w:val="16"/>
        </w:rPr>
        <w:br/>
      </w:r>
      <w:r w:rsidRPr="00D705F3">
        <w:rPr>
          <w:rFonts w:ascii="Arial" w:hAnsi="Arial" w:cs="Arial"/>
          <w:color w:val="000000" w:themeColor="text1"/>
          <w:sz w:val="16"/>
        </w:rPr>
        <w:t>są kwalifikowalne, dochód zostaje przyporządkowany pro rata do kwalifikowalnych i niekwalifikowalnych części kosztów inwestycji.</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Niniejszy ustęp nie ma zastosowania do:</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a)pomocy technicznej;</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b)instrumentów finansowych;</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c)pomocy zwrotnej udzielonej z zastrzeżeniem obowiązku spłaty w całości;</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d)nagród;</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e)operacji objętych zasadami pomocy państwa;</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f)operacji, w przypadku których wsparcie publiczne przybiera postać kwot ryczałtowych lub standardowych stawek jednostkowych, jeżeli dochód został z góry uwzględniony;</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g)operacji realizowanych w ramach wspólnego planu działania, jeżeli dochód został z góry uwzględniony;</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h)operacji, dla których kwoty lub stopy wsparcia są określone w załączniku I do rozporządzenia w sprawie EFRROW, lub</w:t>
      </w:r>
    </w:p>
    <w:p w:rsidR="00BA2114"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i)operacji, dla których łączne koszty kwalifikowalne nie przekraczają 50 000 EUR.</w:t>
      </w:r>
    </w:p>
    <w:p w:rsidR="00E62815" w:rsidRPr="00D705F3" w:rsidRDefault="00BA2114" w:rsidP="00E72EE9">
      <w:pPr>
        <w:shd w:val="clear" w:color="auto" w:fill="DEEAF6" w:themeFill="accent1" w:themeFillTint="33"/>
        <w:spacing w:after="0" w:line="240" w:lineRule="auto"/>
        <w:jc w:val="both"/>
        <w:rPr>
          <w:rFonts w:ascii="Arial" w:hAnsi="Arial" w:cs="Arial"/>
          <w:color w:val="000000" w:themeColor="text1"/>
          <w:sz w:val="16"/>
        </w:rPr>
      </w:pPr>
      <w:r w:rsidRPr="00D705F3">
        <w:rPr>
          <w:rFonts w:ascii="Arial" w:hAnsi="Arial" w:cs="Arial"/>
          <w:color w:val="000000" w:themeColor="text1"/>
          <w:sz w:val="16"/>
        </w:rPr>
        <w:t>Do celów niniejszego artykułu i art. 61 wszelkie płatności otrzymane przez beneficjenta z tytułu kar umownych na skutek naruszenia umowy zawartej między beneficjentem a stronami trzecimi, lub które miały miejsce w wyniku wycofania przez stronę trzecią oferty wybieranej w ramach przepisów o zamówieniach publicznych („wadium”) nie są uznawane za dochód i nie są odejmowane od kwalifikowalnych wydatków operacji.</w:t>
      </w:r>
    </w:p>
    <w:p w:rsidR="00E62815" w:rsidRPr="00D705F3" w:rsidRDefault="00E62815" w:rsidP="00E72EE9">
      <w:pPr>
        <w:spacing w:after="0" w:line="240" w:lineRule="auto"/>
        <w:jc w:val="both"/>
        <w:rPr>
          <w:rFonts w:ascii="Arial" w:hAnsi="Arial" w:cs="Arial"/>
        </w:rPr>
      </w:pPr>
    </w:p>
    <w:p w:rsidR="00110425" w:rsidRPr="00D705F3" w:rsidRDefault="00110425" w:rsidP="00E72EE9">
      <w:pPr>
        <w:spacing w:after="0" w:line="240" w:lineRule="auto"/>
        <w:jc w:val="both"/>
        <w:rPr>
          <w:rFonts w:ascii="Arial" w:hAnsi="Arial" w:cs="Arial"/>
        </w:rPr>
      </w:pPr>
      <w:r w:rsidRPr="00D705F3">
        <w:rPr>
          <w:rFonts w:ascii="Arial" w:hAnsi="Arial" w:cs="Arial"/>
        </w:rPr>
        <w:t xml:space="preserve">Pytanie do karty weryfikacji WOP i kontroli na miejscu: </w:t>
      </w:r>
    </w:p>
    <w:p w:rsidR="00110425" w:rsidRPr="00D705F3" w:rsidRDefault="00110425" w:rsidP="00E72EE9">
      <w:pPr>
        <w:spacing w:after="0" w:line="240" w:lineRule="auto"/>
        <w:jc w:val="both"/>
        <w:rPr>
          <w:rFonts w:ascii="Arial" w:hAnsi="Arial" w:cs="Arial"/>
          <w:b/>
        </w:rPr>
      </w:pPr>
      <w:r w:rsidRPr="00D705F3">
        <w:rPr>
          <w:rFonts w:ascii="Arial" w:hAnsi="Arial" w:cs="Arial"/>
          <w:b/>
        </w:rPr>
        <w:t>Czy operacja generuje dochód w rozumieniu art. 61, art. 65 pkt 8 rozporządzenia Parlamentu Europejskiego (WE) nr 1303/2013?</w:t>
      </w:r>
    </w:p>
    <w:p w:rsidR="00110425" w:rsidRPr="00D705F3" w:rsidRDefault="00110425" w:rsidP="00E72EE9">
      <w:pPr>
        <w:spacing w:after="0" w:line="240" w:lineRule="auto"/>
        <w:jc w:val="both"/>
        <w:rPr>
          <w:rFonts w:ascii="Arial" w:hAnsi="Arial" w:cs="Arial"/>
          <w:b/>
        </w:rPr>
      </w:pPr>
      <w:r w:rsidRPr="00D705F3">
        <w:rPr>
          <w:rFonts w:ascii="Arial" w:hAnsi="Arial" w:cs="Arial"/>
          <w:b/>
        </w:rPr>
        <w:t>NIE DOTYCZY</w:t>
      </w:r>
    </w:p>
    <w:p w:rsidR="00110425" w:rsidRPr="00D705F3" w:rsidRDefault="00110425" w:rsidP="00E72EE9">
      <w:pPr>
        <w:pStyle w:val="Akapitzlist"/>
        <w:spacing w:after="0" w:line="240" w:lineRule="auto"/>
        <w:jc w:val="both"/>
        <w:rPr>
          <w:rFonts w:ascii="Arial" w:hAnsi="Arial" w:cs="Arial"/>
        </w:rPr>
      </w:pPr>
    </w:p>
    <w:p w:rsidR="00110425" w:rsidRPr="00D705F3" w:rsidRDefault="00110425" w:rsidP="00E72EE9">
      <w:pPr>
        <w:spacing w:after="0" w:line="240" w:lineRule="auto"/>
        <w:jc w:val="both"/>
        <w:rPr>
          <w:rFonts w:ascii="Arial" w:hAnsi="Arial" w:cs="Arial"/>
          <w:u w:val="single"/>
        </w:rPr>
      </w:pPr>
      <w:r w:rsidRPr="00D705F3">
        <w:rPr>
          <w:rFonts w:ascii="Arial" w:hAnsi="Arial" w:cs="Arial"/>
          <w:u w:val="single"/>
        </w:rPr>
        <w:t>Instrukcja do wypełnienia odpowiedniego pola w ww. kartach:</w:t>
      </w:r>
    </w:p>
    <w:p w:rsidR="00110425" w:rsidRPr="00D705F3" w:rsidRDefault="00110425" w:rsidP="00E72EE9">
      <w:pPr>
        <w:pStyle w:val="Akapitzlist"/>
        <w:spacing w:after="0" w:line="240" w:lineRule="auto"/>
        <w:jc w:val="both"/>
        <w:rPr>
          <w:rFonts w:ascii="Arial" w:hAnsi="Arial" w:cs="Arial"/>
        </w:rPr>
      </w:pPr>
    </w:p>
    <w:p w:rsidR="00E62815" w:rsidRPr="00D705F3" w:rsidRDefault="00110425" w:rsidP="00E72EE9">
      <w:pPr>
        <w:spacing w:after="0" w:line="240" w:lineRule="auto"/>
        <w:jc w:val="both"/>
        <w:rPr>
          <w:rFonts w:ascii="Arial" w:hAnsi="Arial" w:cs="Arial"/>
        </w:rPr>
      </w:pPr>
      <w:r w:rsidRPr="00D705F3">
        <w:rPr>
          <w:rFonts w:ascii="Arial" w:hAnsi="Arial" w:cs="Arial"/>
        </w:rPr>
        <w:t xml:space="preserve">W ramach PO RYBY 2014-2020 beneficjentowi nie wolno pobierać bezpośrednio </w:t>
      </w:r>
      <w:r w:rsidR="00E72EE9">
        <w:rPr>
          <w:rFonts w:ascii="Arial" w:hAnsi="Arial" w:cs="Arial"/>
        </w:rPr>
        <w:br/>
      </w:r>
      <w:r w:rsidRPr="00D705F3">
        <w:rPr>
          <w:rFonts w:ascii="Arial" w:hAnsi="Arial" w:cs="Arial"/>
        </w:rPr>
        <w:t>od użytkowników wpłat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lub odnosić korzyści w postaci oszczędności generowanych przez towary lub usługi zapewniane przez daną operację.</w:t>
      </w:r>
    </w:p>
    <w:p w:rsidR="00BA2114" w:rsidRPr="00D705F3" w:rsidRDefault="00BA2114" w:rsidP="00E72EE9">
      <w:pPr>
        <w:jc w:val="both"/>
        <w:rPr>
          <w:rFonts w:ascii="Arial" w:hAnsi="Arial" w:cs="Arial"/>
          <w:sz w:val="16"/>
        </w:rPr>
      </w:pPr>
    </w:p>
    <w:sectPr w:rsidR="00BA2114" w:rsidRPr="00D705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771" w:rsidRDefault="00EE2771" w:rsidP="00081D32">
      <w:pPr>
        <w:spacing w:after="0" w:line="240" w:lineRule="auto"/>
      </w:pPr>
      <w:r>
        <w:separator/>
      </w:r>
    </w:p>
  </w:endnote>
  <w:endnote w:type="continuationSeparator" w:id="0">
    <w:p w:rsidR="00EE2771" w:rsidRDefault="00EE2771" w:rsidP="0008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771" w:rsidRDefault="00EE2771" w:rsidP="00081D32">
      <w:pPr>
        <w:spacing w:after="0" w:line="240" w:lineRule="auto"/>
      </w:pPr>
      <w:r>
        <w:separator/>
      </w:r>
    </w:p>
  </w:footnote>
  <w:footnote w:type="continuationSeparator" w:id="0">
    <w:p w:rsidR="00EE2771" w:rsidRDefault="00EE2771" w:rsidP="00081D32">
      <w:pPr>
        <w:spacing w:after="0" w:line="240" w:lineRule="auto"/>
      </w:pPr>
      <w:r>
        <w:continuationSeparator/>
      </w:r>
    </w:p>
  </w:footnote>
  <w:footnote w:id="1">
    <w:p w:rsidR="00081D32" w:rsidRPr="00081D32" w:rsidRDefault="00081D32">
      <w:pPr>
        <w:pStyle w:val="Tekstprzypisudolnego"/>
        <w:rPr>
          <w:rFonts w:ascii="Arial" w:hAnsi="Arial" w:cs="Arial"/>
          <w:sz w:val="18"/>
          <w:szCs w:val="18"/>
        </w:rPr>
      </w:pPr>
      <w:r w:rsidRPr="00081D32">
        <w:rPr>
          <w:rStyle w:val="Odwoanieprzypisudolnego"/>
          <w:rFonts w:ascii="Arial" w:hAnsi="Arial" w:cs="Arial"/>
          <w:sz w:val="18"/>
          <w:szCs w:val="18"/>
        </w:rPr>
        <w:footnoteRef/>
      </w:r>
      <w:r w:rsidRPr="00081D32">
        <w:rPr>
          <w:rFonts w:ascii="Arial" w:hAnsi="Arial" w:cs="Arial"/>
          <w:sz w:val="18"/>
          <w:szCs w:val="18"/>
        </w:rPr>
        <w:t xml:space="preserve"> Z uwagi na specyfikę P</w:t>
      </w:r>
      <w:r w:rsidR="00D93C53">
        <w:rPr>
          <w:rFonts w:ascii="Arial" w:hAnsi="Arial" w:cs="Arial"/>
          <w:sz w:val="18"/>
          <w:szCs w:val="18"/>
        </w:rPr>
        <w:t>U</w:t>
      </w:r>
      <w:r w:rsidRPr="00081D32">
        <w:rPr>
          <w:rFonts w:ascii="Arial" w:hAnsi="Arial" w:cs="Arial"/>
          <w:sz w:val="18"/>
          <w:szCs w:val="18"/>
        </w:rPr>
        <w:t xml:space="preserve"> 4 zasada weryfikacji pomocy publicznej została już wdrożona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16B"/>
    <w:multiLevelType w:val="hybridMultilevel"/>
    <w:tmpl w:val="EF8A0900"/>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1">
    <w:nsid w:val="2513740B"/>
    <w:multiLevelType w:val="hybridMultilevel"/>
    <w:tmpl w:val="17E4F2FE"/>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2">
    <w:nsid w:val="25C64CBE"/>
    <w:multiLevelType w:val="hybridMultilevel"/>
    <w:tmpl w:val="C6CE8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5B5A5A"/>
    <w:multiLevelType w:val="hybridMultilevel"/>
    <w:tmpl w:val="E7BCA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E6D0BF0"/>
    <w:multiLevelType w:val="hybridMultilevel"/>
    <w:tmpl w:val="3C68B31E"/>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5">
    <w:nsid w:val="49EE763E"/>
    <w:multiLevelType w:val="hybridMultilevel"/>
    <w:tmpl w:val="E5EC3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73314AD"/>
    <w:multiLevelType w:val="hybridMultilevel"/>
    <w:tmpl w:val="DF543174"/>
    <w:lvl w:ilvl="0" w:tplc="04150001">
      <w:start w:val="1"/>
      <w:numFmt w:val="bullet"/>
      <w:lvlText w:val=""/>
      <w:lvlJc w:val="left"/>
      <w:pPr>
        <w:ind w:left="764" w:hanging="360"/>
      </w:pPr>
      <w:rPr>
        <w:rFonts w:ascii="Symbol" w:hAnsi="Symbol" w:hint="default"/>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7">
    <w:nsid w:val="5D9C67F5"/>
    <w:multiLevelType w:val="hybridMultilevel"/>
    <w:tmpl w:val="E0ACC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6D06515"/>
    <w:multiLevelType w:val="hybridMultilevel"/>
    <w:tmpl w:val="2CBC8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6"/>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750"/>
    <w:rsid w:val="0007621B"/>
    <w:rsid w:val="00081D32"/>
    <w:rsid w:val="00087B34"/>
    <w:rsid w:val="000D7448"/>
    <w:rsid w:val="00110425"/>
    <w:rsid w:val="0012203B"/>
    <w:rsid w:val="00134D10"/>
    <w:rsid w:val="001C433A"/>
    <w:rsid w:val="0020230A"/>
    <w:rsid w:val="00222850"/>
    <w:rsid w:val="002476B7"/>
    <w:rsid w:val="00294C04"/>
    <w:rsid w:val="002A6310"/>
    <w:rsid w:val="002B06C2"/>
    <w:rsid w:val="002C3B7A"/>
    <w:rsid w:val="003967EA"/>
    <w:rsid w:val="003B251C"/>
    <w:rsid w:val="003B641E"/>
    <w:rsid w:val="003D2CFF"/>
    <w:rsid w:val="00424B7C"/>
    <w:rsid w:val="00524A41"/>
    <w:rsid w:val="005B3DFC"/>
    <w:rsid w:val="005B7CC2"/>
    <w:rsid w:val="00601662"/>
    <w:rsid w:val="006333CB"/>
    <w:rsid w:val="00665C12"/>
    <w:rsid w:val="00703F0B"/>
    <w:rsid w:val="00757E6B"/>
    <w:rsid w:val="00772AAE"/>
    <w:rsid w:val="00786025"/>
    <w:rsid w:val="007B61DD"/>
    <w:rsid w:val="007E781D"/>
    <w:rsid w:val="008A118B"/>
    <w:rsid w:val="008B62FD"/>
    <w:rsid w:val="009151B9"/>
    <w:rsid w:val="00A15437"/>
    <w:rsid w:val="00A33CC7"/>
    <w:rsid w:val="00AC58E2"/>
    <w:rsid w:val="00B54592"/>
    <w:rsid w:val="00B56DE6"/>
    <w:rsid w:val="00BA2114"/>
    <w:rsid w:val="00C06E63"/>
    <w:rsid w:val="00C11135"/>
    <w:rsid w:val="00C43F5A"/>
    <w:rsid w:val="00C857C0"/>
    <w:rsid w:val="00CC2750"/>
    <w:rsid w:val="00D166D7"/>
    <w:rsid w:val="00D705F3"/>
    <w:rsid w:val="00D93C53"/>
    <w:rsid w:val="00E53FB7"/>
    <w:rsid w:val="00E62815"/>
    <w:rsid w:val="00E72EE9"/>
    <w:rsid w:val="00ED408C"/>
    <w:rsid w:val="00ED7176"/>
    <w:rsid w:val="00EE2771"/>
    <w:rsid w:val="00F06410"/>
    <w:rsid w:val="00F36D2F"/>
    <w:rsid w:val="00F92495"/>
    <w:rsid w:val="00FA77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A7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E78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781D"/>
    <w:rPr>
      <w:rFonts w:ascii="Segoe UI" w:hAnsi="Segoe UI" w:cs="Segoe UI"/>
      <w:sz w:val="18"/>
      <w:szCs w:val="18"/>
    </w:rPr>
  </w:style>
  <w:style w:type="paragraph" w:styleId="Akapitzlist">
    <w:name w:val="List Paragraph"/>
    <w:basedOn w:val="Normalny"/>
    <w:uiPriority w:val="34"/>
    <w:qFormat/>
    <w:rsid w:val="00134D10"/>
    <w:pPr>
      <w:ind w:left="720"/>
      <w:contextualSpacing/>
    </w:pPr>
  </w:style>
  <w:style w:type="paragraph" w:customStyle="1" w:styleId="ti-art">
    <w:name w:val="ti-art"/>
    <w:basedOn w:val="Normalny"/>
    <w:rsid w:val="00AC58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i-art">
    <w:name w:val="sti-art"/>
    <w:basedOn w:val="Normalny"/>
    <w:rsid w:val="00AC58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1">
    <w:name w:val="Normalny1"/>
    <w:basedOn w:val="Normalny"/>
    <w:rsid w:val="00AC58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081D3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81D32"/>
    <w:rPr>
      <w:sz w:val="20"/>
      <w:szCs w:val="20"/>
    </w:rPr>
  </w:style>
  <w:style w:type="character" w:styleId="Odwoanieprzypisudolnego">
    <w:name w:val="footnote reference"/>
    <w:basedOn w:val="Domylnaczcionkaakapitu"/>
    <w:uiPriority w:val="99"/>
    <w:semiHidden/>
    <w:unhideWhenUsed/>
    <w:rsid w:val="00081D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A7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E78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781D"/>
    <w:rPr>
      <w:rFonts w:ascii="Segoe UI" w:hAnsi="Segoe UI" w:cs="Segoe UI"/>
      <w:sz w:val="18"/>
      <w:szCs w:val="18"/>
    </w:rPr>
  </w:style>
  <w:style w:type="paragraph" w:styleId="Akapitzlist">
    <w:name w:val="List Paragraph"/>
    <w:basedOn w:val="Normalny"/>
    <w:uiPriority w:val="34"/>
    <w:qFormat/>
    <w:rsid w:val="00134D10"/>
    <w:pPr>
      <w:ind w:left="720"/>
      <w:contextualSpacing/>
    </w:pPr>
  </w:style>
  <w:style w:type="paragraph" w:customStyle="1" w:styleId="ti-art">
    <w:name w:val="ti-art"/>
    <w:basedOn w:val="Normalny"/>
    <w:rsid w:val="00AC58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i-art">
    <w:name w:val="sti-art"/>
    <w:basedOn w:val="Normalny"/>
    <w:rsid w:val="00AC58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1">
    <w:name w:val="Normalny1"/>
    <w:basedOn w:val="Normalny"/>
    <w:rsid w:val="00AC58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081D3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81D32"/>
    <w:rPr>
      <w:sz w:val="20"/>
      <w:szCs w:val="20"/>
    </w:rPr>
  </w:style>
  <w:style w:type="character" w:styleId="Odwoanieprzypisudolnego">
    <w:name w:val="footnote reference"/>
    <w:basedOn w:val="Domylnaczcionkaakapitu"/>
    <w:uiPriority w:val="99"/>
    <w:semiHidden/>
    <w:unhideWhenUsed/>
    <w:rsid w:val="00081D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67416">
      <w:bodyDiv w:val="1"/>
      <w:marLeft w:val="0"/>
      <w:marRight w:val="0"/>
      <w:marTop w:val="0"/>
      <w:marBottom w:val="0"/>
      <w:divBdr>
        <w:top w:val="none" w:sz="0" w:space="0" w:color="auto"/>
        <w:left w:val="none" w:sz="0" w:space="0" w:color="auto"/>
        <w:bottom w:val="none" w:sz="0" w:space="0" w:color="auto"/>
        <w:right w:val="none" w:sz="0" w:space="0" w:color="auto"/>
      </w:divBdr>
    </w:div>
    <w:div w:id="177589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6E33-6D1E-47D1-88AE-64E033EA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3187</Words>
  <Characters>19125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22268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Owczarek Tomasz</dc:creator>
  <cp:lastModifiedBy>Kosobucka Edyta</cp:lastModifiedBy>
  <cp:revision>2</cp:revision>
  <cp:lastPrinted>2018-02-23T10:49:00Z</cp:lastPrinted>
  <dcterms:created xsi:type="dcterms:W3CDTF">2018-03-29T08:05:00Z</dcterms:created>
  <dcterms:modified xsi:type="dcterms:W3CDTF">2018-03-29T08:05:00Z</dcterms:modified>
</cp:coreProperties>
</file>