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9A7" w14:textId="3D33A525" w:rsidR="00CD4D4D" w:rsidRDefault="00CD4D4D" w:rsidP="00CD4D4D">
      <w:pPr>
        <w:pStyle w:val="Standard"/>
        <w:rPr>
          <w:rFonts w:ascii="Arial" w:hAnsi="Arial" w:cs="Arial"/>
        </w:rPr>
      </w:pPr>
      <w:r w:rsidRPr="00CD4D4D">
        <w:rPr>
          <w:rFonts w:ascii="Arial" w:hAnsi="Arial" w:cs="Arial"/>
          <w:noProof/>
          <w:lang w:eastAsia="pl-PL" w:bidi="ar-SA"/>
        </w:rPr>
        <w:drawing>
          <wp:inline distT="0" distB="0" distL="0" distR="0" wp14:anchorId="01536280" wp14:editId="4D96441B">
            <wp:extent cx="2590796" cy="622935"/>
            <wp:effectExtent l="0" t="0" r="635" b="5715"/>
            <wp:docPr id="2" name="Picture 1" descr="&#10;W nagłówku znajduje się logo Komisji do spraw reprywatyzacji nieruchomości warszawskich zawierające godło państwa polskiego i podkreślenie w formie miniaturki flagi RP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&#10;W nagłówku znajduje się logo Komisji do spraw reprywatyzacji nieruchomości warszawskich zawierające godło państwa polskiego i podkreślenie w formie miniaturki flagi RP&#10;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796" cy="622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25F957" w14:textId="77777777" w:rsidR="00CD4D4D" w:rsidRDefault="00CD4D4D" w:rsidP="00CD4D4D">
      <w:pPr>
        <w:pStyle w:val="Standard"/>
        <w:spacing w:line="360" w:lineRule="auto"/>
        <w:rPr>
          <w:rFonts w:ascii="Arial" w:hAnsi="Arial" w:cs="Arial"/>
        </w:rPr>
      </w:pPr>
    </w:p>
    <w:p w14:paraId="2DDB524D" w14:textId="77777777" w:rsidR="00CD4D4D" w:rsidRPr="007F46C8" w:rsidRDefault="00CD4D4D" w:rsidP="00CD4D4D">
      <w:pPr>
        <w:spacing w:after="480" w:line="360" w:lineRule="auto"/>
        <w:rPr>
          <w:rFonts w:ascii="Arial" w:hAnsi="Arial"/>
          <w:bCs/>
        </w:rPr>
      </w:pPr>
      <w:r w:rsidRPr="007F46C8">
        <w:rPr>
          <w:rFonts w:ascii="Arial" w:hAnsi="Arial"/>
          <w:bCs/>
        </w:rPr>
        <w:t>W nagłówku znajduje się logo Komisji do spraw reprywatyzacji nieruchomości warszawskich zawierające godło państwa polskiego i podkreślenie w formie miniaturki flagi RP</w:t>
      </w:r>
    </w:p>
    <w:p w14:paraId="75E8415E" w14:textId="77777777" w:rsidR="00CD4D4D" w:rsidRDefault="00CD4D4D" w:rsidP="00CD4D4D">
      <w:pPr>
        <w:pStyle w:val="Standard"/>
        <w:rPr>
          <w:rFonts w:ascii="Arial" w:hAnsi="Arial" w:cs="Arial"/>
        </w:rPr>
      </w:pPr>
    </w:p>
    <w:p w14:paraId="6032759B" w14:textId="251FDF02" w:rsidR="00E40486" w:rsidRPr="00CD4D4D" w:rsidRDefault="0043650F" w:rsidP="00CD4D4D">
      <w:pPr>
        <w:pStyle w:val="Standard"/>
        <w:rPr>
          <w:rFonts w:ascii="Arial" w:hAnsi="Arial" w:cs="Arial"/>
        </w:rPr>
      </w:pPr>
      <w:r w:rsidRPr="00CD4D4D">
        <w:rPr>
          <w:rFonts w:ascii="Arial" w:hAnsi="Arial" w:cs="Arial"/>
        </w:rPr>
        <w:t>Warszawa, dnia</w:t>
      </w:r>
      <w:r w:rsidR="00DC3AFD" w:rsidRPr="00CD4D4D">
        <w:rPr>
          <w:rFonts w:ascii="Arial" w:hAnsi="Arial" w:cs="Arial"/>
        </w:rPr>
        <w:t xml:space="preserve"> </w:t>
      </w:r>
      <w:r w:rsidR="00365D2C" w:rsidRPr="00CD4D4D">
        <w:rPr>
          <w:rFonts w:ascii="Arial" w:hAnsi="Arial" w:cs="Arial"/>
        </w:rPr>
        <w:t xml:space="preserve">15 </w:t>
      </w:r>
      <w:r w:rsidR="00241EE2" w:rsidRPr="00CD4D4D">
        <w:rPr>
          <w:rFonts w:ascii="Arial" w:hAnsi="Arial" w:cs="Arial"/>
        </w:rPr>
        <w:t>września</w:t>
      </w:r>
      <w:r w:rsidRPr="00CD4D4D">
        <w:rPr>
          <w:rFonts w:ascii="Arial" w:hAnsi="Arial" w:cs="Arial"/>
        </w:rPr>
        <w:t xml:space="preserve"> 202</w:t>
      </w:r>
      <w:r w:rsidR="003D008C" w:rsidRPr="00CD4D4D">
        <w:rPr>
          <w:rFonts w:ascii="Arial" w:hAnsi="Arial" w:cs="Arial"/>
        </w:rPr>
        <w:t>1</w:t>
      </w:r>
      <w:r w:rsidRPr="00CD4D4D">
        <w:rPr>
          <w:rFonts w:ascii="Arial" w:hAnsi="Arial" w:cs="Arial"/>
        </w:rPr>
        <w:t xml:space="preserve"> r.  </w:t>
      </w:r>
    </w:p>
    <w:p w14:paraId="00DFF158" w14:textId="64AA1C61" w:rsidR="00F15A15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Sygn. akt KR II R </w:t>
      </w:r>
      <w:r w:rsidR="00241EE2" w:rsidRPr="00CD4D4D">
        <w:rPr>
          <w:rFonts w:ascii="Arial" w:hAnsi="Arial" w:cs="Arial"/>
        </w:rPr>
        <w:t>23</w:t>
      </w:r>
      <w:r w:rsidRPr="00CD4D4D">
        <w:rPr>
          <w:rFonts w:ascii="Arial" w:hAnsi="Arial" w:cs="Arial"/>
        </w:rPr>
        <w:t>/</w:t>
      </w:r>
      <w:r w:rsidR="00241EE2" w:rsidRPr="00CD4D4D">
        <w:rPr>
          <w:rFonts w:ascii="Arial" w:hAnsi="Arial" w:cs="Arial"/>
        </w:rPr>
        <w:t>20</w:t>
      </w:r>
    </w:p>
    <w:p w14:paraId="1F998FD9" w14:textId="77777777" w:rsidR="00F15A15" w:rsidRPr="00CD4D4D" w:rsidRDefault="00F15A15" w:rsidP="00CD4D4D">
      <w:pPr>
        <w:pStyle w:val="Standard"/>
        <w:suppressAutoHyphens w:val="0"/>
        <w:ind w:left="3540"/>
        <w:rPr>
          <w:rFonts w:ascii="Arial" w:eastAsia="Calibri" w:hAnsi="Arial" w:cs="Arial"/>
          <w:b/>
          <w:lang w:eastAsia="en-US"/>
        </w:rPr>
      </w:pPr>
    </w:p>
    <w:p w14:paraId="674C8BA5" w14:textId="2A3A74A4" w:rsidR="00E40486" w:rsidRPr="00CD4D4D" w:rsidRDefault="0043650F" w:rsidP="00CD4D4D">
      <w:pPr>
        <w:pStyle w:val="Standard"/>
        <w:suppressAutoHyphens w:val="0"/>
        <w:ind w:left="3540"/>
        <w:rPr>
          <w:rFonts w:ascii="Arial" w:eastAsia="Calibri" w:hAnsi="Arial" w:cs="Arial"/>
          <w:b/>
          <w:lang w:eastAsia="en-US"/>
        </w:rPr>
      </w:pPr>
      <w:r w:rsidRPr="00CD4D4D">
        <w:rPr>
          <w:rFonts w:ascii="Arial" w:eastAsia="Calibri" w:hAnsi="Arial" w:cs="Arial"/>
          <w:b/>
          <w:lang w:eastAsia="en-US"/>
        </w:rPr>
        <w:t>POSTANOWIENIE</w:t>
      </w:r>
    </w:p>
    <w:p w14:paraId="7E9620B7" w14:textId="7777777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>Komisja do spraw reprywatyzacji nieruchomości warszawskich w składzie:</w:t>
      </w:r>
    </w:p>
    <w:p w14:paraId="6071FC46" w14:textId="7777777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/>
        </w:rPr>
      </w:pPr>
      <w:r w:rsidRPr="00CD4D4D">
        <w:rPr>
          <w:rFonts w:ascii="Arial" w:hAnsi="Arial" w:cs="Arial"/>
          <w:b/>
        </w:rPr>
        <w:t>Przewodniczący Komisji:</w:t>
      </w:r>
    </w:p>
    <w:p w14:paraId="0FE7E392" w14:textId="7777777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Sebastian Kaleta </w:t>
      </w:r>
      <w:r w:rsidRPr="00CD4D4D">
        <w:rPr>
          <w:rFonts w:ascii="Arial" w:hAnsi="Arial" w:cs="Arial"/>
        </w:rPr>
        <w:tab/>
      </w:r>
    </w:p>
    <w:p w14:paraId="4E121F38" w14:textId="7777777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/>
        </w:rPr>
      </w:pPr>
      <w:r w:rsidRPr="00CD4D4D">
        <w:rPr>
          <w:rFonts w:ascii="Arial" w:hAnsi="Arial" w:cs="Arial"/>
          <w:b/>
        </w:rPr>
        <w:t>Członkowie Komisji:</w:t>
      </w:r>
    </w:p>
    <w:p w14:paraId="2844969D" w14:textId="68047B19" w:rsidR="000445F2" w:rsidRPr="00CD4D4D" w:rsidRDefault="000445F2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>Wiktor Klimiuk, Łukasz Kondratko, Paweł Lisiecki, Sławomir Potapowicz, Bartłomiej Opaliński, Jan Mosiński,</w:t>
      </w:r>
      <w:r w:rsidR="00241EE2" w:rsidRPr="00CD4D4D">
        <w:rPr>
          <w:rFonts w:ascii="Arial" w:hAnsi="Arial" w:cs="Arial"/>
        </w:rPr>
        <w:t xml:space="preserve"> Robert Kropiwnicki,</w:t>
      </w:r>
      <w:r w:rsidRPr="00CD4D4D">
        <w:rPr>
          <w:rFonts w:ascii="Arial" w:hAnsi="Arial" w:cs="Arial"/>
        </w:rPr>
        <w:t xml:space="preserve"> Adam Zieliński</w:t>
      </w:r>
    </w:p>
    <w:p w14:paraId="6A52D4C2" w14:textId="79FF6962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po rozpoznaniu w dniu </w:t>
      </w:r>
      <w:r w:rsidR="00D92D68" w:rsidRPr="00CD4D4D">
        <w:rPr>
          <w:rFonts w:ascii="Arial" w:hAnsi="Arial" w:cs="Arial"/>
        </w:rPr>
        <w:t xml:space="preserve"> </w:t>
      </w:r>
      <w:r w:rsidR="00365D2C" w:rsidRPr="00CD4D4D">
        <w:rPr>
          <w:rFonts w:ascii="Arial" w:hAnsi="Arial" w:cs="Arial"/>
        </w:rPr>
        <w:t xml:space="preserve">15 </w:t>
      </w:r>
      <w:r w:rsidR="00D92D68" w:rsidRPr="00CD4D4D">
        <w:rPr>
          <w:rFonts w:ascii="Arial" w:hAnsi="Arial" w:cs="Arial"/>
        </w:rPr>
        <w:t xml:space="preserve"> </w:t>
      </w:r>
      <w:r w:rsidR="00241EE2" w:rsidRPr="00CD4D4D">
        <w:rPr>
          <w:rFonts w:ascii="Arial" w:hAnsi="Arial" w:cs="Arial"/>
        </w:rPr>
        <w:t>września</w:t>
      </w:r>
      <w:r w:rsidRPr="00CD4D4D">
        <w:rPr>
          <w:rFonts w:ascii="Arial" w:hAnsi="Arial" w:cs="Arial"/>
        </w:rPr>
        <w:t xml:space="preserve"> 202</w:t>
      </w:r>
      <w:r w:rsidR="00226B78" w:rsidRPr="00CD4D4D">
        <w:rPr>
          <w:rFonts w:ascii="Arial" w:hAnsi="Arial" w:cs="Arial"/>
        </w:rPr>
        <w:t>1</w:t>
      </w:r>
      <w:r w:rsidRPr="00CD4D4D">
        <w:rPr>
          <w:rFonts w:ascii="Arial" w:hAnsi="Arial" w:cs="Arial"/>
        </w:rPr>
        <w:t xml:space="preserve"> r. na posiedzeniu niejawnym</w:t>
      </w:r>
    </w:p>
    <w:p w14:paraId="06B8FA82" w14:textId="76018ACB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wniosku Miasta Stołecznego Warszawy reprezentowanego przez Prezydenta Miasta Stołecznego Warszawy o uzupełnienie decyzji Komisji do spraw reprywatyzacji nieruchomości warszawskich nr KR II R </w:t>
      </w:r>
      <w:r w:rsidR="00241EE2" w:rsidRPr="00CD4D4D">
        <w:rPr>
          <w:rFonts w:ascii="Arial" w:hAnsi="Arial" w:cs="Arial"/>
        </w:rPr>
        <w:t>23</w:t>
      </w:r>
      <w:r w:rsidRPr="00CD4D4D">
        <w:rPr>
          <w:rFonts w:ascii="Arial" w:hAnsi="Arial" w:cs="Arial"/>
        </w:rPr>
        <w:t>/</w:t>
      </w:r>
      <w:r w:rsidR="00241EE2" w:rsidRPr="00CD4D4D">
        <w:rPr>
          <w:rFonts w:ascii="Arial" w:hAnsi="Arial" w:cs="Arial"/>
        </w:rPr>
        <w:t>20</w:t>
      </w:r>
      <w:r w:rsidRPr="00CD4D4D">
        <w:rPr>
          <w:rFonts w:ascii="Arial" w:hAnsi="Arial" w:cs="Arial"/>
        </w:rPr>
        <w:t xml:space="preserve"> z dnia </w:t>
      </w:r>
      <w:r w:rsidR="00241EE2" w:rsidRPr="00CD4D4D">
        <w:rPr>
          <w:rFonts w:ascii="Arial" w:hAnsi="Arial" w:cs="Arial"/>
        </w:rPr>
        <w:t>21 lipca</w:t>
      </w:r>
      <w:r w:rsidRPr="00CD4D4D">
        <w:rPr>
          <w:rFonts w:ascii="Arial" w:hAnsi="Arial" w:cs="Arial"/>
        </w:rPr>
        <w:t xml:space="preserve"> 202</w:t>
      </w:r>
      <w:r w:rsidR="003D008C" w:rsidRPr="00CD4D4D">
        <w:rPr>
          <w:rFonts w:ascii="Arial" w:hAnsi="Arial" w:cs="Arial"/>
        </w:rPr>
        <w:t xml:space="preserve">1 </w:t>
      </w:r>
      <w:r w:rsidRPr="00CD4D4D">
        <w:rPr>
          <w:rFonts w:ascii="Arial" w:hAnsi="Arial" w:cs="Arial"/>
        </w:rPr>
        <w:t xml:space="preserve"> r.</w:t>
      </w:r>
      <w:r w:rsidR="00241EE2" w:rsidRPr="00CD4D4D">
        <w:rPr>
          <w:rFonts w:ascii="Arial" w:hAnsi="Arial" w:cs="Arial"/>
        </w:rPr>
        <w:t xml:space="preserve">, sprostowanego wnioskiem z dnia 20 sierpnia 2021 r. </w:t>
      </w:r>
    </w:p>
    <w:p w14:paraId="016F1383" w14:textId="7F41EBCE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z udziałem stron: Miasta Stołecznego Warszawy reprezentowanego przez Prezydenta Miasta Stołecznego Warszawy, </w:t>
      </w:r>
      <w:r w:rsidR="00885EF6" w:rsidRPr="00CD4D4D">
        <w:rPr>
          <w:rFonts w:ascii="Arial" w:hAnsi="Arial" w:cs="Arial"/>
        </w:rPr>
        <w:t xml:space="preserve">Marzeny Kruk, Prokuratora Regionalnego we Wrocławiu, </w:t>
      </w:r>
    </w:p>
    <w:p w14:paraId="12D6D0C3" w14:textId="185D8EFC" w:rsidR="00E40486" w:rsidRPr="00CD4D4D" w:rsidRDefault="00226B78" w:rsidP="00CD4D4D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  <w:r w:rsidRPr="00CD4D4D">
        <w:rPr>
          <w:rFonts w:ascii="Arial" w:eastAsia="Calibri" w:hAnsi="Arial" w:cs="Arial"/>
          <w:lang w:eastAsia="en-US"/>
        </w:rPr>
        <w:t>na podstawie art. 10 i 38 ust. 1 ustawy z dnia 9 marca 2017 r. o szczególnych zasadach usuwania skutków prawnych decyzji reprywatyzacyjnych dotyczących nieruchomości warszawskich, wydanych z naruszeniem prawa (Dz. U. z 2021 r. poz. 795; dalej: ustawa z 9 marca 2017 r.) w związku z art. 111 § 1 i § 1b ustawy z dnia 14 ustawy z dnia 14 czerwca 1960 r. – Kodeks postępowania administracyjnego (Dz. U. z 2021 r. poz. 735; dalej: k.p.a.)</w:t>
      </w:r>
    </w:p>
    <w:p w14:paraId="58430B26" w14:textId="77777777" w:rsidR="00226B78" w:rsidRPr="00CD4D4D" w:rsidRDefault="00226B78" w:rsidP="00CD4D4D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</w:p>
    <w:p w14:paraId="56138D83" w14:textId="77777777" w:rsidR="00E40486" w:rsidRPr="00CD4D4D" w:rsidRDefault="0043650F" w:rsidP="00CD4D4D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  <w:r w:rsidRPr="00CD4D4D">
        <w:rPr>
          <w:rFonts w:ascii="Arial" w:eastAsia="Calibri" w:hAnsi="Arial" w:cs="Arial"/>
          <w:b/>
          <w:lang w:eastAsia="en-US"/>
        </w:rPr>
        <w:t>postanawia:</w:t>
      </w:r>
    </w:p>
    <w:p w14:paraId="70BC9E21" w14:textId="4AF71FCF" w:rsidR="00226B78" w:rsidRPr="00CD4D4D" w:rsidRDefault="00226B78" w:rsidP="00CD4D4D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odmówić uzupełnienia decyzji Komisji do spraw reprywatyzacji nieruchomości warszawskich nr KR II R </w:t>
      </w:r>
      <w:r w:rsidR="00885EF6" w:rsidRPr="00CD4D4D">
        <w:rPr>
          <w:rFonts w:ascii="Arial" w:hAnsi="Arial" w:cs="Arial"/>
        </w:rPr>
        <w:t>23</w:t>
      </w:r>
      <w:r w:rsidRPr="00CD4D4D">
        <w:rPr>
          <w:rFonts w:ascii="Arial" w:hAnsi="Arial" w:cs="Arial"/>
        </w:rPr>
        <w:t>/</w:t>
      </w:r>
      <w:r w:rsidR="00885EF6" w:rsidRPr="00CD4D4D">
        <w:rPr>
          <w:rFonts w:ascii="Arial" w:hAnsi="Arial" w:cs="Arial"/>
        </w:rPr>
        <w:t>20</w:t>
      </w:r>
      <w:r w:rsidRPr="00CD4D4D">
        <w:rPr>
          <w:rFonts w:ascii="Arial" w:hAnsi="Arial" w:cs="Arial"/>
        </w:rPr>
        <w:t xml:space="preserve"> z </w:t>
      </w:r>
      <w:r w:rsidR="00885EF6" w:rsidRPr="00CD4D4D">
        <w:rPr>
          <w:rFonts w:ascii="Arial" w:hAnsi="Arial" w:cs="Arial"/>
        </w:rPr>
        <w:t>21 lipca</w:t>
      </w:r>
      <w:r w:rsidRPr="00CD4D4D">
        <w:rPr>
          <w:rFonts w:ascii="Arial" w:hAnsi="Arial" w:cs="Arial"/>
        </w:rPr>
        <w:t xml:space="preserve"> 2021 r.;</w:t>
      </w:r>
    </w:p>
    <w:p w14:paraId="780D13A6" w14:textId="45E08682" w:rsidR="00E40486" w:rsidRPr="00CD4D4D" w:rsidRDefault="00226B78" w:rsidP="00CD4D4D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5B058778" w14:textId="77777777" w:rsidR="005C3BF1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color w:val="000000"/>
        </w:rPr>
      </w:pPr>
      <w:r w:rsidRPr="00CD4D4D">
        <w:rPr>
          <w:rFonts w:ascii="Arial" w:hAnsi="Arial" w:cs="Arial"/>
        </w:rPr>
        <w:tab/>
      </w:r>
      <w:r w:rsidRPr="00CD4D4D">
        <w:rPr>
          <w:rFonts w:ascii="Arial" w:hAnsi="Arial" w:cs="Arial"/>
        </w:rPr>
        <w:tab/>
      </w:r>
      <w:r w:rsidRPr="00CD4D4D">
        <w:rPr>
          <w:rFonts w:ascii="Arial" w:hAnsi="Arial" w:cs="Arial"/>
        </w:rPr>
        <w:tab/>
      </w:r>
      <w:r w:rsidRPr="00CD4D4D">
        <w:rPr>
          <w:rFonts w:ascii="Arial" w:hAnsi="Arial" w:cs="Arial"/>
          <w:color w:val="000000"/>
        </w:rPr>
        <w:tab/>
      </w:r>
      <w:r w:rsidRPr="00CD4D4D">
        <w:rPr>
          <w:rFonts w:ascii="Arial" w:hAnsi="Arial" w:cs="Arial"/>
          <w:color w:val="000000"/>
        </w:rPr>
        <w:tab/>
      </w:r>
    </w:p>
    <w:p w14:paraId="28B7C543" w14:textId="5194F846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b/>
          <w:bCs/>
          <w:color w:val="000000"/>
        </w:rPr>
        <w:t>UZASADNIENIE</w:t>
      </w:r>
    </w:p>
    <w:p w14:paraId="72254362" w14:textId="18BF92D5" w:rsidR="00885EF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Cs/>
          <w:color w:val="000000"/>
        </w:rPr>
      </w:pPr>
      <w:r w:rsidRPr="00CD4D4D">
        <w:rPr>
          <w:rFonts w:ascii="Arial" w:hAnsi="Arial" w:cs="Arial"/>
          <w:color w:val="000000"/>
        </w:rPr>
        <w:t xml:space="preserve">Strona Miasto Stołeczne Warszawa reprezentowane przez Prezydenta Miasta Stołecznego Warszawy pismem z dnia </w:t>
      </w:r>
      <w:r w:rsidR="00885EF6" w:rsidRPr="00CD4D4D">
        <w:rPr>
          <w:rFonts w:ascii="Arial" w:hAnsi="Arial" w:cs="Arial"/>
          <w:color w:val="000000"/>
        </w:rPr>
        <w:t>18 sierpnia</w:t>
      </w:r>
      <w:r w:rsidRPr="00CD4D4D">
        <w:rPr>
          <w:rFonts w:ascii="Arial" w:hAnsi="Arial" w:cs="Arial"/>
          <w:color w:val="000000"/>
        </w:rPr>
        <w:t xml:space="preserve"> 202</w:t>
      </w:r>
      <w:r w:rsidR="00AE484C" w:rsidRPr="00CD4D4D">
        <w:rPr>
          <w:rFonts w:ascii="Arial" w:hAnsi="Arial" w:cs="Arial"/>
          <w:color w:val="000000"/>
        </w:rPr>
        <w:t>1</w:t>
      </w:r>
      <w:r w:rsidRPr="00CD4D4D">
        <w:rPr>
          <w:rFonts w:ascii="Arial" w:hAnsi="Arial" w:cs="Arial"/>
          <w:color w:val="000000"/>
        </w:rPr>
        <w:t xml:space="preserve"> r. wniosł</w:t>
      </w:r>
      <w:r w:rsidR="00AE484C" w:rsidRPr="00CD4D4D">
        <w:rPr>
          <w:rFonts w:ascii="Arial" w:hAnsi="Arial" w:cs="Arial"/>
          <w:color w:val="000000"/>
        </w:rPr>
        <w:t>a</w:t>
      </w:r>
      <w:r w:rsidRPr="00CD4D4D">
        <w:rPr>
          <w:rFonts w:ascii="Arial" w:hAnsi="Arial" w:cs="Arial"/>
          <w:color w:val="000000"/>
        </w:rPr>
        <w:t xml:space="preserve"> o</w:t>
      </w:r>
      <w:r w:rsidRPr="00CD4D4D">
        <w:rPr>
          <w:rFonts w:ascii="Arial" w:hAnsi="Arial" w:cs="Arial"/>
          <w:bCs/>
          <w:color w:val="000000"/>
        </w:rPr>
        <w:t xml:space="preserve"> uzupełnienie rozstrzygnięcia decyzji Komisji do spraw reprywatyzacji nieruchomości warszawskich</w:t>
      </w:r>
      <w:r w:rsidRPr="00CD4D4D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CD4D4D">
        <w:rPr>
          <w:rFonts w:ascii="Arial" w:hAnsi="Arial" w:cs="Arial"/>
          <w:bCs/>
          <w:color w:val="000000"/>
        </w:rPr>
        <w:t xml:space="preserve"> nr KR II R </w:t>
      </w:r>
      <w:r w:rsidR="00885EF6" w:rsidRPr="00CD4D4D">
        <w:rPr>
          <w:rFonts w:ascii="Arial" w:hAnsi="Arial" w:cs="Arial"/>
          <w:bCs/>
          <w:color w:val="000000"/>
        </w:rPr>
        <w:t>23</w:t>
      </w:r>
      <w:r w:rsidRPr="00CD4D4D">
        <w:rPr>
          <w:rFonts w:ascii="Arial" w:hAnsi="Arial" w:cs="Arial"/>
          <w:bCs/>
          <w:color w:val="000000"/>
        </w:rPr>
        <w:t>/</w:t>
      </w:r>
      <w:r w:rsidR="00885EF6" w:rsidRPr="00CD4D4D">
        <w:rPr>
          <w:rFonts w:ascii="Arial" w:hAnsi="Arial" w:cs="Arial"/>
          <w:bCs/>
          <w:color w:val="000000"/>
        </w:rPr>
        <w:t>20</w:t>
      </w:r>
      <w:r w:rsidRPr="00CD4D4D">
        <w:rPr>
          <w:rFonts w:ascii="Arial" w:hAnsi="Arial" w:cs="Arial"/>
          <w:bCs/>
          <w:color w:val="000000"/>
        </w:rPr>
        <w:t xml:space="preserve"> z dnia </w:t>
      </w:r>
      <w:r w:rsidR="00885EF6" w:rsidRPr="00CD4D4D">
        <w:rPr>
          <w:rFonts w:ascii="Arial" w:hAnsi="Arial" w:cs="Arial"/>
          <w:bCs/>
          <w:color w:val="000000"/>
        </w:rPr>
        <w:t>21</w:t>
      </w:r>
      <w:r w:rsidR="00127934" w:rsidRPr="00CD4D4D">
        <w:rPr>
          <w:rFonts w:ascii="Arial" w:hAnsi="Arial" w:cs="Arial"/>
          <w:bCs/>
          <w:color w:val="000000"/>
        </w:rPr>
        <w:t xml:space="preserve"> </w:t>
      </w:r>
      <w:r w:rsidR="00885EF6" w:rsidRPr="00CD4D4D">
        <w:rPr>
          <w:rFonts w:ascii="Arial" w:hAnsi="Arial" w:cs="Arial"/>
          <w:bCs/>
          <w:color w:val="000000"/>
        </w:rPr>
        <w:t>lipca</w:t>
      </w:r>
      <w:r w:rsidRPr="00CD4D4D">
        <w:rPr>
          <w:rFonts w:ascii="Arial" w:hAnsi="Arial" w:cs="Arial"/>
          <w:bCs/>
          <w:color w:val="000000"/>
        </w:rPr>
        <w:t xml:space="preserve"> 202</w:t>
      </w:r>
      <w:r w:rsidR="00127934" w:rsidRPr="00CD4D4D">
        <w:rPr>
          <w:rFonts w:ascii="Arial" w:hAnsi="Arial" w:cs="Arial"/>
          <w:bCs/>
          <w:color w:val="000000"/>
        </w:rPr>
        <w:t>1</w:t>
      </w:r>
      <w:r w:rsidRPr="00CD4D4D">
        <w:rPr>
          <w:rFonts w:ascii="Arial" w:hAnsi="Arial" w:cs="Arial"/>
          <w:bCs/>
          <w:color w:val="000000"/>
        </w:rPr>
        <w:t xml:space="preserve"> r. </w:t>
      </w:r>
      <w:r w:rsidR="00127934" w:rsidRPr="00CD4D4D">
        <w:rPr>
          <w:rFonts w:ascii="Arial" w:hAnsi="Arial" w:cs="Arial"/>
          <w:bCs/>
          <w:color w:val="000000"/>
        </w:rPr>
        <w:t xml:space="preserve">o obowiązku zwrotu przez beneficjenta decyzji reprywatyzacyjnej </w:t>
      </w:r>
      <w:r w:rsidR="00885EF6" w:rsidRPr="00CD4D4D">
        <w:rPr>
          <w:rFonts w:ascii="Arial" w:hAnsi="Arial" w:cs="Arial"/>
          <w:bCs/>
          <w:color w:val="000000"/>
        </w:rPr>
        <w:t>równowartości nienależnego świadczenia w kwocie 1 732 278, 75 zł na rzecz Miasta Stołecznego Warszawy.</w:t>
      </w:r>
    </w:p>
    <w:p w14:paraId="742BA318" w14:textId="0870B2C0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bCs/>
          <w:iCs/>
          <w:color w:val="000000"/>
        </w:rPr>
        <w:t>W uzasadnieniu wniosku podniesiono, że w ocenie wnioskodawcy w niniejszej sprawie zachodziły podstawy do orzeczenia o obowiązku zwrotu nienależnego świadczenia, którego jednak organ rozpoznający sprawę nie orzekł.</w:t>
      </w:r>
    </w:p>
    <w:p w14:paraId="491CB4F2" w14:textId="66861A28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D4D4D">
        <w:rPr>
          <w:rFonts w:ascii="Arial" w:hAnsi="Arial" w:cs="Arial"/>
          <w:bCs/>
          <w:iCs/>
          <w:color w:val="000000"/>
        </w:rPr>
        <w:t>W tym zakresie wskazano w uzasadnieniu wniosku, że w ocenie strony wydana w niniejszej sprawie decyzja podpada pod przepis art. 31 ust. 1 Ustawy o szczególnych zasadach usuwania skutków prawnych decyzji reprywatyzacyjnych dotyczących nieruchomości warszawskich, wydanych z naruszeniem prawa z dnia 9 marca 2017 r.</w:t>
      </w:r>
    </w:p>
    <w:p w14:paraId="177784FD" w14:textId="41A66964" w:rsidR="00885EF6" w:rsidRPr="00CD4D4D" w:rsidRDefault="00885EF6" w:rsidP="00CD4D4D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D4D4D">
        <w:rPr>
          <w:rFonts w:ascii="Arial" w:hAnsi="Arial" w:cs="Arial"/>
          <w:bCs/>
          <w:iCs/>
          <w:color w:val="000000"/>
        </w:rPr>
        <w:t xml:space="preserve">Pismem z dnia 20 sierpnia 2021 r. sprostowano ww. wniosek wskazując, że w miejsce Miasta Stołecznego Warszawy, jako podmiotu na rzecz którego ma być dokonany zwrot równowartości nienależnego świadczenia, wskazano Skarb Państwa. </w:t>
      </w:r>
    </w:p>
    <w:p w14:paraId="2D070067" w14:textId="2825FAA5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D4D4D">
        <w:rPr>
          <w:rFonts w:ascii="Arial" w:hAnsi="Arial" w:cs="Arial"/>
          <w:bCs/>
          <w:iCs/>
          <w:color w:val="000000"/>
        </w:rPr>
        <w:t>W ocenie Komisji niniejszy wniosek jest bezpodstawny, dlatego też odmówiono uzupełnienia przedmiotowej decyzji zgodnie z treścią ww. wniosku.</w:t>
      </w:r>
    </w:p>
    <w:p w14:paraId="00A74C42" w14:textId="540D5333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color w:val="000000"/>
        </w:rPr>
        <w:t xml:space="preserve">Zgodnie bowiem z treścią art. 31 ust. 1 ustawy „w decyzji, o której mowa w art. 29 ust. 1, Komisja </w:t>
      </w:r>
      <w:r w:rsidRPr="00CD4D4D">
        <w:rPr>
          <w:rFonts w:ascii="Arial" w:hAnsi="Arial" w:cs="Arial"/>
          <w:b/>
          <w:bCs/>
          <w:color w:val="000000"/>
          <w:u w:val="single"/>
        </w:rPr>
        <w:t>może</w:t>
      </w:r>
      <w:r w:rsidRPr="00CD4D4D">
        <w:rPr>
          <w:rFonts w:ascii="Arial" w:hAnsi="Arial" w:cs="Arial"/>
          <w:color w:val="000000"/>
        </w:rPr>
        <w:t xml:space="preserve"> nałożyć obowiązek zwrotu równowartości nienależnego świadczenia na osobę: 1) na rzecz której wydano decyzjęreprywatyzacyjną;2)</w:t>
      </w:r>
      <w:r w:rsidR="00CB0A51" w:rsidRPr="00CD4D4D">
        <w:rPr>
          <w:rFonts w:ascii="Arial" w:hAnsi="Arial" w:cs="Arial"/>
          <w:color w:val="000000"/>
        </w:rPr>
        <w:t xml:space="preserve"> </w:t>
      </w:r>
      <w:r w:rsidRPr="00CD4D4D">
        <w:rPr>
          <w:rFonts w:ascii="Arial" w:hAnsi="Arial" w:cs="Arial"/>
          <w:color w:val="000000"/>
        </w:rPr>
        <w:t xml:space="preserve">działającą w postępowaniu  </w:t>
      </w:r>
      <w:r w:rsidRPr="00CD4D4D">
        <w:rPr>
          <w:rFonts w:ascii="Arial" w:hAnsi="Arial" w:cs="Arial"/>
          <w:color w:val="000000"/>
        </w:rPr>
        <w:br/>
        <w:t xml:space="preserve"> o wydanie decyzji reprywatyzacyjnej w imieniu lub na rzecz osoby, o której mowa w </w:t>
      </w:r>
      <w:r w:rsidRPr="00CD4D4D">
        <w:rPr>
          <w:rFonts w:ascii="Arial" w:hAnsi="Arial" w:cs="Arial"/>
          <w:color w:val="000000"/>
        </w:rPr>
        <w:lastRenderedPageBreak/>
        <w:t>pkt 1, jeśli przeniesiono na nią prawo wynikające z tej decyzji lub faktycznie władała nieruchomością, której dotyczyła decyzja.”</w:t>
      </w:r>
    </w:p>
    <w:p w14:paraId="2D25357A" w14:textId="1E3D9B6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color w:val="000000"/>
        </w:rPr>
        <w:t xml:space="preserve">W tym miejscu należy podkreślić, że w sprawie objętej wnioskiem strony </w:t>
      </w:r>
      <w:r w:rsidRPr="00CD4D4D">
        <w:rPr>
          <w:rFonts w:ascii="Arial" w:hAnsi="Arial" w:cs="Arial"/>
          <w:color w:val="000000"/>
        </w:rPr>
        <w:br/>
        <w:t xml:space="preserve">o uzupełnienie osnowy decyzji wydano rozstrzygniecie na podstawie art. 29 ust. 1 pkt. </w:t>
      </w:r>
      <w:r w:rsidR="00E901D6" w:rsidRPr="00CD4D4D">
        <w:rPr>
          <w:rFonts w:ascii="Arial" w:hAnsi="Arial" w:cs="Arial"/>
          <w:color w:val="000000"/>
        </w:rPr>
        <w:t xml:space="preserve">3 </w:t>
      </w:r>
      <w:r w:rsidRPr="00CD4D4D">
        <w:rPr>
          <w:rFonts w:ascii="Arial" w:hAnsi="Arial" w:cs="Arial"/>
          <w:color w:val="000000"/>
        </w:rPr>
        <w:t xml:space="preserve">w związku z art. 30 ust. 1 pkt 4a </w:t>
      </w:r>
      <w:r w:rsidRPr="00CD4D4D">
        <w:rPr>
          <w:rFonts w:ascii="Arial" w:eastAsia="Calibri" w:hAnsi="Arial" w:cs="Arial"/>
          <w:color w:val="000000"/>
          <w:lang w:eastAsia="en-US"/>
        </w:rPr>
        <w:t>ustaw</w:t>
      </w:r>
      <w:r w:rsidR="00E901D6" w:rsidRPr="00CD4D4D">
        <w:rPr>
          <w:rFonts w:ascii="Arial" w:eastAsia="Calibri" w:hAnsi="Arial" w:cs="Arial"/>
          <w:color w:val="000000"/>
          <w:lang w:eastAsia="en-US"/>
        </w:rPr>
        <w:t>y</w:t>
      </w:r>
      <w:r w:rsidRPr="00CD4D4D">
        <w:rPr>
          <w:rFonts w:ascii="Arial" w:eastAsia="Calibri" w:hAnsi="Arial" w:cs="Arial"/>
          <w:color w:val="000000"/>
          <w:lang w:eastAsia="en-US"/>
        </w:rPr>
        <w:t xml:space="preserve"> z 9 marca 2017 r., tj. wydano orzeczenie </w:t>
      </w:r>
      <w:r w:rsidRPr="00CD4D4D">
        <w:rPr>
          <w:rFonts w:ascii="Arial" w:eastAsia="Calibri" w:hAnsi="Arial" w:cs="Arial"/>
          <w:color w:val="000000"/>
          <w:lang w:eastAsia="en-US"/>
        </w:rPr>
        <w:br/>
        <w:t>o charakterze kasatoryjnym skutkujące koniecznością ponownego ro</w:t>
      </w:r>
      <w:r w:rsidR="00E901D6" w:rsidRPr="00CD4D4D">
        <w:rPr>
          <w:rFonts w:ascii="Arial" w:eastAsia="Calibri" w:hAnsi="Arial" w:cs="Arial"/>
          <w:color w:val="000000"/>
          <w:lang w:eastAsia="en-US"/>
        </w:rPr>
        <w:t>zpatrzenia</w:t>
      </w:r>
      <w:r w:rsidRPr="00CD4D4D">
        <w:rPr>
          <w:rFonts w:ascii="Arial" w:eastAsia="Calibri" w:hAnsi="Arial" w:cs="Arial"/>
          <w:color w:val="000000"/>
          <w:lang w:eastAsia="en-US"/>
        </w:rPr>
        <w:t xml:space="preserve"> sprawy przez organ I instancji.  </w:t>
      </w:r>
    </w:p>
    <w:p w14:paraId="07815753" w14:textId="3C7F8A05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eastAsia="Calibri" w:hAnsi="Arial" w:cs="Arial"/>
          <w:lang w:eastAsia="en-US"/>
        </w:rPr>
        <w:t xml:space="preserve">Zgodnie zaś z ust. 2 art. 31 ustawy; zakres zwrotu równowartości nienależnego świadczenia określa Komisja, przy czym nie ustala zakresu, wartości ani </w:t>
      </w:r>
      <w:r w:rsidRPr="00CD4D4D">
        <w:rPr>
          <w:rFonts w:ascii="Arial" w:eastAsia="Calibri" w:hAnsi="Arial" w:cs="Arial"/>
          <w:color w:val="000000"/>
          <w:lang w:eastAsia="en-US"/>
        </w:rPr>
        <w:t>obowiązku zwrotu nakładów na rzecz osób, o których mowa w ust. 1. Równowartość obejmuje wartość korzyści uzyskanych przez te osoby z powodu władania lub rozporządzenia w zamian nieruchomości warszawskiej lub jej części, w szczególności cenę, czynsz lub inne pożytki (…).</w:t>
      </w:r>
    </w:p>
    <w:p w14:paraId="07FFCD81" w14:textId="03DEC639" w:rsidR="00E40486" w:rsidRPr="00CD4D4D" w:rsidRDefault="0043650F" w:rsidP="00CD4D4D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D4D4D">
        <w:rPr>
          <w:rFonts w:ascii="Arial" w:eastAsia="Calibri" w:hAnsi="Arial" w:cs="Arial"/>
          <w:color w:val="000000"/>
          <w:lang w:eastAsia="en-US"/>
        </w:rPr>
        <w:t>Natomiast z treści art. 2 ust. 4 ww. ustawy wynika, że przez nieodwracalne skutki prawne należy rozumieć stan prawny powstały wskutek przeniesienia prawa własności albo prawa użytkowania wieczystego nieruchomości warszawskiej na osobę trzecią, o ile nie nastąpiło ono nieodpłatnie lub na rzecz nabywcy działającego w złej wierze, lub zagospodarowania nieruchomości warszawskiej na cele publiczne (…).</w:t>
      </w:r>
    </w:p>
    <w:p w14:paraId="7B7B8E7C" w14:textId="14673B79" w:rsidR="00E40486" w:rsidRPr="00CD4D4D" w:rsidRDefault="0043650F" w:rsidP="00CD4D4D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D4D4D">
        <w:rPr>
          <w:rFonts w:ascii="Arial" w:eastAsia="Calibri" w:hAnsi="Arial" w:cs="Arial"/>
          <w:color w:val="000000"/>
          <w:lang w:eastAsia="en-US"/>
        </w:rPr>
        <w:t>W tym miejscu Komisja pragnie wyrazić zapatrywanie, że redakcja ww. przepisów wskazuje na uprawnienie organu do nałożenia obowiązku zwrotu równowartości nienależnego świadczenia w przypadku jeżeli rozstrzygnięcie Prezydenta m.st. Warszawy dot. konkretnej nieruchomości warszawskiej.</w:t>
      </w:r>
    </w:p>
    <w:p w14:paraId="4E163195" w14:textId="57613E5D" w:rsidR="00E40486" w:rsidRPr="00CD4D4D" w:rsidRDefault="0043650F" w:rsidP="00CD4D4D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D4D4D">
        <w:rPr>
          <w:rFonts w:ascii="Arial" w:eastAsia="Calibri" w:hAnsi="Arial" w:cs="Arial"/>
          <w:color w:val="000000"/>
          <w:lang w:eastAsia="en-US"/>
        </w:rPr>
        <w:t xml:space="preserve">W niniejszej zaś sprawie Prezydent m.st. Warszawy orzekł o wypłacie odszkodowania w określonej kwocie pieniężnej, co w ocenie Komisji wyklucza możliwość orzeczenia </w:t>
      </w:r>
      <w:r w:rsidRPr="00CD4D4D">
        <w:rPr>
          <w:rFonts w:ascii="Arial" w:eastAsia="Calibri" w:hAnsi="Arial" w:cs="Arial"/>
          <w:color w:val="000000"/>
          <w:lang w:eastAsia="en-US"/>
        </w:rPr>
        <w:br/>
        <w:t xml:space="preserve">o obowiązku zwrotu nienależnego świadczenia.  </w:t>
      </w:r>
    </w:p>
    <w:p w14:paraId="4478ED08" w14:textId="48A25279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eastAsia="Calibri" w:hAnsi="Arial" w:cs="Arial"/>
          <w:color w:val="000000"/>
          <w:lang w:eastAsia="en-US"/>
        </w:rPr>
        <w:t xml:space="preserve">Wydanie zaś decyzji uchylającej w całości decyzję Prezydenta m.st. Warszawy </w:t>
      </w:r>
      <w:r w:rsidRPr="00CD4D4D">
        <w:rPr>
          <w:rFonts w:ascii="Arial" w:eastAsia="Calibri" w:hAnsi="Arial" w:cs="Arial"/>
          <w:color w:val="000000"/>
          <w:lang w:eastAsia="en-US"/>
        </w:rPr>
        <w:br/>
        <w:t xml:space="preserve">i przekazania sprawy do jej ponownego rozpatrzenia organowi I instancji wyklucza możliwość orzeczenia w tym samym rozstrzygnięciu o obowiązku </w:t>
      </w:r>
      <w:r w:rsidRPr="00CD4D4D">
        <w:rPr>
          <w:rFonts w:ascii="Arial" w:hAnsi="Arial" w:cs="Arial"/>
          <w:bCs/>
          <w:iCs/>
          <w:color w:val="000000"/>
        </w:rPr>
        <w:t>zwrotu nienależnego świadczenia, jednakże warunkuje obowiązek wyegzekwowania zwrotu wypłaconej kwoty na zasadach ogólnych.</w:t>
      </w:r>
    </w:p>
    <w:p w14:paraId="23C2DF38" w14:textId="1642B9E3" w:rsidR="00127934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 xml:space="preserve">W aktualnym stadium postępowania to na Prezydencie m.st. Warszawy spoczywa obowiązek ponownego przeprowadzenia postępowania wyjaśniającego w niniejszej </w:t>
      </w:r>
      <w:r w:rsidRPr="00CD4D4D">
        <w:rPr>
          <w:rFonts w:ascii="Arial" w:hAnsi="Arial" w:cs="Arial"/>
        </w:rPr>
        <w:lastRenderedPageBreak/>
        <w:t xml:space="preserve">sprawie w zakresie dot. kluczowych przesłanek określonych w art. 215 ust. 2 ustawy o gospodarce nieruchomościami warunkujących wypłatę przedmiotowego odszkodowania. </w:t>
      </w:r>
    </w:p>
    <w:p w14:paraId="35103F56" w14:textId="18E1E959" w:rsidR="00127934" w:rsidRPr="00CD4D4D" w:rsidRDefault="00127934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</w:rPr>
        <w:t>Ewentualne zaś orzekanie w tożsamym rozstrzygnięciu o obowiązku zwrotu nienależnego świadczenia pozostawałoby w sprzeczności z charakterem wydanej przez Komisję decyzji, gdyż takie rozstrzygnięcia na obecnym etapie postępowania wzajemnie się wykluczają.</w:t>
      </w:r>
    </w:p>
    <w:p w14:paraId="1DC4F2B7" w14:textId="2DC1B16F" w:rsidR="00127934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bCs/>
          <w:iCs/>
        </w:rPr>
        <w:t xml:space="preserve">W tym kontekście podkreślenia wymaga okoliczność, że w niniejszej sprawie, z uwagi na stwierdzone przez Komisję w badanej decyzji naruszenia prawa rozstrzygnięto o uchyleniu przedmiotowej decyzji w całości i przekazaniu sprawy Prezydentowi m.st. Warszawy do ponownego rozpoznania. Należy mieć przy tym również na uwadze, że wytyczne co do ponownego rozpoznania sprawy nie mogą przy tym narzucać organowi I instancji konkretnego rozstrzygnięcia. Wszak kwestia oceny zasadności wypłaty orzeczonego przez Prezydenta m.s.t Warszawy odszkodowania będzie przedmiotem kompleksowej oceny w toku ponownego rozpoznania sprawy. Powyższe zaś oznacza, że kwestia ostatecznej oceny co do kwestii spełnienia w niniejszej sprawie wszystkich przesłanek określonych w treści art. 215 ust 2 </w:t>
      </w:r>
      <w:proofErr w:type="spellStart"/>
      <w:r w:rsidRPr="00CD4D4D">
        <w:rPr>
          <w:rFonts w:ascii="Arial" w:hAnsi="Arial" w:cs="Arial"/>
          <w:bCs/>
          <w:iCs/>
        </w:rPr>
        <w:t>u.g.n</w:t>
      </w:r>
      <w:proofErr w:type="spellEnd"/>
      <w:r w:rsidRPr="00CD4D4D">
        <w:rPr>
          <w:rFonts w:ascii="Arial" w:hAnsi="Arial" w:cs="Arial"/>
          <w:bCs/>
          <w:iCs/>
        </w:rPr>
        <w:t xml:space="preserve">. pozostaje kwestią otwartą. W przypadku zaś ewentualnego orzeczenia zgodnie </w:t>
      </w:r>
      <w:r w:rsidRPr="00CD4D4D">
        <w:rPr>
          <w:rFonts w:ascii="Arial" w:hAnsi="Arial" w:cs="Arial"/>
          <w:bCs/>
          <w:iCs/>
        </w:rPr>
        <w:br/>
        <w:t>z treścią niniejszego wniosku, Komisja w istocie rzeczy rozstrzygnęłaby w tym zakresie, iż orzeczone przez Prezydenta m.st. Warszawy świadczenie jest nienależne, tj. że zostało bezpodstawnie wypłacone - co pozostawałoby w oczywistej sprzeczności z obowiązkiem ponownego rozpoznania sprawy przez Prezydenta m.st. Warszawy.</w:t>
      </w:r>
      <w:r w:rsidRPr="00CD4D4D">
        <w:rPr>
          <w:rFonts w:ascii="Arial" w:hAnsi="Arial" w:cs="Arial"/>
        </w:rPr>
        <w:t xml:space="preserve"> W tym zaś zakresie </w:t>
      </w:r>
      <w:r w:rsidRPr="00CD4D4D">
        <w:rPr>
          <w:rFonts w:ascii="Arial" w:hAnsi="Arial" w:cs="Arial"/>
        </w:rPr>
        <w:br/>
        <w:t xml:space="preserve">w przypadku ewentualnego uwzględnienia wniosku o uzupełnienie rozstrzygnięcia zgodnie </w:t>
      </w:r>
      <w:r w:rsidRPr="00CD4D4D">
        <w:rPr>
          <w:rFonts w:ascii="Arial" w:hAnsi="Arial" w:cs="Arial"/>
        </w:rPr>
        <w:br/>
        <w:t xml:space="preserve">z jego treścią Komisja przesądziłaby rozstrzygnięcie, które wszak ma być wydane przez organ I instancji po ponownym rozpoznaniu sprawy. W przypadku zaś ewentualnego dokonania przez organ I instancji ustalenia, że po ponownym rozpoznaniu niniejszego wniosku  zasadnym jest wypłacenie odszkodowania w określonej kwocie – w takim przypadku mógłby wystąpić konflikt podjętych rozstrzygnięć jak i sprzeczność z ostateczną decyzją Komisji. </w:t>
      </w:r>
    </w:p>
    <w:p w14:paraId="61F9C1ED" w14:textId="0658F53E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</w:rPr>
      </w:pPr>
      <w:r w:rsidRPr="00CD4D4D">
        <w:rPr>
          <w:rFonts w:ascii="Arial" w:hAnsi="Arial" w:cs="Arial"/>
          <w:bCs/>
          <w:iCs/>
        </w:rPr>
        <w:t xml:space="preserve">Zgodnie zaś z art. 156 § 1 pkt. 5 k.p.a. organ administracji publicznej stwierdza nieważność decyzji, która była niewykonalna w dniu jej wydania i jej niewykonalność ma charakter trwały. Występowanie zaś w osnowie rozstrzygnięcia decyzji Komisji </w:t>
      </w:r>
      <w:r w:rsidRPr="00CD4D4D">
        <w:rPr>
          <w:rFonts w:ascii="Arial" w:hAnsi="Arial" w:cs="Arial"/>
          <w:bCs/>
          <w:iCs/>
        </w:rPr>
        <w:lastRenderedPageBreak/>
        <w:t xml:space="preserve">elementów </w:t>
      </w:r>
      <w:r w:rsidRPr="00CD4D4D">
        <w:rPr>
          <w:rFonts w:ascii="Arial" w:hAnsi="Arial" w:cs="Arial"/>
          <w:bCs/>
          <w:iCs/>
        </w:rPr>
        <w:br/>
        <w:t xml:space="preserve">o charakterze sprzecznym mogłoby stanowić przy tym podstawę do stwierdzenia nieważności rozstrzygnięci Komisji, bowiem w tym przedmiocie mogłaby </w:t>
      </w:r>
      <w:r w:rsidR="00617BEF" w:rsidRPr="00CD4D4D">
        <w:rPr>
          <w:rFonts w:ascii="Arial" w:hAnsi="Arial" w:cs="Arial"/>
          <w:bCs/>
          <w:iCs/>
        </w:rPr>
        <w:t>zostać</w:t>
      </w:r>
      <w:r w:rsidRPr="00CD4D4D">
        <w:rPr>
          <w:rFonts w:ascii="Arial" w:hAnsi="Arial" w:cs="Arial"/>
          <w:bCs/>
          <w:iCs/>
        </w:rPr>
        <w:t xml:space="preserve"> spełniona przesłanka określona w treści art. 156 § 1 pkt 5 k.p.a.</w:t>
      </w:r>
    </w:p>
    <w:p w14:paraId="45919CCE" w14:textId="7AC0A857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D4D4D">
        <w:rPr>
          <w:rFonts w:ascii="Arial" w:hAnsi="Arial" w:cs="Arial"/>
          <w:bCs/>
          <w:iCs/>
        </w:rPr>
        <w:t xml:space="preserve"> Nadto należy nadmienić, że z uwagi na okoliczność uchylenia przedmiotowej decyzji i przekazania sprawy do jej ponownego rozpatrzenia to na Prezydencie m.st. Warszawy aktualnie spoczywa obowiązek wyegzekwowania od strony kwoty wypłaconej na mocy wzruszonej decyzji na zasadach ogólnych. Niezale</w:t>
      </w:r>
      <w:r w:rsidR="00617BEF" w:rsidRPr="00CD4D4D">
        <w:rPr>
          <w:rFonts w:ascii="Arial" w:hAnsi="Arial" w:cs="Arial"/>
          <w:bCs/>
          <w:iCs/>
        </w:rPr>
        <w:t xml:space="preserve">żnie zauważyć przy tym należy, </w:t>
      </w:r>
      <w:r w:rsidRPr="00CD4D4D">
        <w:rPr>
          <w:rFonts w:ascii="Arial" w:hAnsi="Arial" w:cs="Arial"/>
          <w:bCs/>
          <w:iCs/>
        </w:rPr>
        <w:t>ż</w:t>
      </w:r>
      <w:r w:rsidR="00617BEF" w:rsidRPr="00CD4D4D">
        <w:rPr>
          <w:rFonts w:ascii="Arial" w:hAnsi="Arial" w:cs="Arial"/>
          <w:bCs/>
          <w:iCs/>
        </w:rPr>
        <w:t>e</w:t>
      </w:r>
      <w:r w:rsidRPr="00CD4D4D">
        <w:rPr>
          <w:rFonts w:ascii="Arial" w:hAnsi="Arial" w:cs="Arial"/>
          <w:bCs/>
          <w:iCs/>
        </w:rPr>
        <w:t xml:space="preserve"> ewentualne umieszczenie w decyzji rozstrzygnięcia </w:t>
      </w:r>
      <w:r w:rsidR="00617BEF" w:rsidRPr="00CD4D4D">
        <w:rPr>
          <w:rFonts w:ascii="Arial" w:hAnsi="Arial" w:cs="Arial"/>
          <w:bCs/>
          <w:iCs/>
        </w:rPr>
        <w:t>sformułowań dot. stwierdzenia, iż</w:t>
      </w:r>
      <w:r w:rsidRPr="00CD4D4D">
        <w:rPr>
          <w:rFonts w:ascii="Arial" w:hAnsi="Arial" w:cs="Arial"/>
          <w:bCs/>
          <w:iCs/>
        </w:rPr>
        <w:t xml:space="preserve"> wypłacone na mocy przedmiotowej decyzji świadczenie jest nienależne, w istocie rzeczy stanowiłoby przy tym swoiste „zdublowanie” obowiązku zwrotu wypłaconych kwot odszkodowań na beneficjentów decyzji.</w:t>
      </w:r>
    </w:p>
    <w:p w14:paraId="454D6FA5" w14:textId="4C071A93" w:rsidR="00EC13E3" w:rsidRPr="00CD4D4D" w:rsidRDefault="00C16C29" w:rsidP="00CD4D4D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D4D4D">
        <w:rPr>
          <w:rFonts w:ascii="Arial" w:hAnsi="Arial" w:cs="Arial"/>
          <w:bCs/>
          <w:iCs/>
        </w:rPr>
        <w:t>W tym zaś zakresie wbrew twierdzeniom wnioskodawcy</w:t>
      </w:r>
      <w:r w:rsidR="00E901D6" w:rsidRPr="00CD4D4D">
        <w:rPr>
          <w:rFonts w:ascii="Arial" w:hAnsi="Arial" w:cs="Arial"/>
          <w:bCs/>
          <w:iCs/>
        </w:rPr>
        <w:t>,</w:t>
      </w:r>
      <w:r w:rsidRPr="00CD4D4D">
        <w:rPr>
          <w:rFonts w:ascii="Arial" w:hAnsi="Arial" w:cs="Arial"/>
          <w:bCs/>
          <w:iCs/>
        </w:rPr>
        <w:t xml:space="preserve"> Komisja nie godzi w interesy majątkowe Miasta st. Warszawy, bowiem obiektywnie wykluczona jest możliwość nałożenia na beneficjenta decyzji obowiązku zwrotu nienależnego świadczenia w ninie</w:t>
      </w:r>
      <w:r w:rsidR="00EC13E3" w:rsidRPr="00CD4D4D">
        <w:rPr>
          <w:rFonts w:ascii="Arial" w:hAnsi="Arial" w:cs="Arial"/>
          <w:bCs/>
          <w:iCs/>
        </w:rPr>
        <w:t xml:space="preserve">jszej sprawie z uwagi na charakter wydanego w sprawie rozstrzygnięcia </w:t>
      </w:r>
      <w:proofErr w:type="spellStart"/>
      <w:r w:rsidR="00EC13E3" w:rsidRPr="00CD4D4D">
        <w:rPr>
          <w:rFonts w:ascii="Arial" w:hAnsi="Arial" w:cs="Arial"/>
          <w:bCs/>
          <w:iCs/>
        </w:rPr>
        <w:t>kasatoryjnego</w:t>
      </w:r>
      <w:proofErr w:type="spellEnd"/>
      <w:r w:rsidR="00EC13E3" w:rsidRPr="00CD4D4D">
        <w:rPr>
          <w:rFonts w:ascii="Arial" w:hAnsi="Arial" w:cs="Arial"/>
          <w:bCs/>
          <w:iCs/>
        </w:rPr>
        <w:t xml:space="preserve">. </w:t>
      </w:r>
    </w:p>
    <w:p w14:paraId="4EBFA3D8" w14:textId="479354BD" w:rsidR="00C16C29" w:rsidRPr="00CD4D4D" w:rsidRDefault="00EC13E3" w:rsidP="00CD4D4D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D4D4D">
        <w:rPr>
          <w:rFonts w:ascii="Arial" w:hAnsi="Arial" w:cs="Arial"/>
          <w:bCs/>
          <w:iCs/>
        </w:rPr>
        <w:t xml:space="preserve">W ocenie Komisji to na Prezydencie m.st. Warszawy spoczywa obowiązek zmierzenia się ze skutkami wydanego w niniejszej sprawie rozstrzygnięcia. Uwzględnienie zaś niniejszego wniosku mogłoby skutkować stwierdzeniem nieważności decyzji Komisji, a zatem utrzymaniem w obrocie decyzji Prezydenta m.st. Warszawy wydanej z naruszeniem przepisów prawa, które miały wpływ na treść wydanego rozstrzygnięcia.  </w:t>
      </w:r>
      <w:r w:rsidR="00C16C29" w:rsidRPr="00CD4D4D">
        <w:rPr>
          <w:rFonts w:ascii="Arial" w:hAnsi="Arial" w:cs="Arial"/>
          <w:bCs/>
          <w:iCs/>
        </w:rPr>
        <w:t xml:space="preserve">  </w:t>
      </w:r>
    </w:p>
    <w:p w14:paraId="0BD10998" w14:textId="7A26C09B" w:rsidR="00E40486" w:rsidRPr="00CD4D4D" w:rsidRDefault="0043650F" w:rsidP="00CD4D4D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D4D4D">
        <w:rPr>
          <w:rFonts w:ascii="Arial" w:hAnsi="Arial" w:cs="Arial"/>
          <w:bCs/>
          <w:iCs/>
          <w:color w:val="000000"/>
        </w:rPr>
        <w:t xml:space="preserve">Dlatego też orzeczono jak w osnowie </w:t>
      </w:r>
      <w:r w:rsidR="000445F2" w:rsidRPr="00CD4D4D">
        <w:rPr>
          <w:rFonts w:ascii="Arial" w:hAnsi="Arial" w:cs="Arial"/>
          <w:bCs/>
          <w:iCs/>
          <w:color w:val="000000"/>
        </w:rPr>
        <w:t xml:space="preserve">postanowienia. </w:t>
      </w:r>
      <w:r w:rsidRPr="00CD4D4D">
        <w:rPr>
          <w:rFonts w:ascii="Arial" w:hAnsi="Arial" w:cs="Arial"/>
          <w:bCs/>
          <w:iCs/>
          <w:color w:val="000000"/>
        </w:rPr>
        <w:t xml:space="preserve">  </w:t>
      </w:r>
    </w:p>
    <w:p w14:paraId="77377EA2" w14:textId="77777777" w:rsidR="005C3BF1" w:rsidRPr="00CD4D4D" w:rsidRDefault="0043650F" w:rsidP="00CD4D4D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CD4D4D">
        <w:rPr>
          <w:rFonts w:ascii="Arial" w:eastAsia="Calibri" w:hAnsi="Arial" w:cs="Arial"/>
          <w:b/>
          <w:color w:val="000000"/>
          <w:lang w:eastAsia="en-US"/>
        </w:rPr>
        <w:tab/>
      </w:r>
    </w:p>
    <w:p w14:paraId="6D69CBE8" w14:textId="5C5B77DB" w:rsidR="00E40486" w:rsidRPr="00CD4D4D" w:rsidRDefault="005C3BF1" w:rsidP="00CD4D4D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CD4D4D">
        <w:rPr>
          <w:rFonts w:ascii="Arial" w:eastAsia="Calibri" w:hAnsi="Arial" w:cs="Arial"/>
          <w:b/>
          <w:color w:val="000000"/>
          <w:lang w:eastAsia="en-US"/>
        </w:rPr>
        <w:t xml:space="preserve">      </w:t>
      </w:r>
      <w:r w:rsidR="0043650F" w:rsidRPr="00CD4D4D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0EC06C42" w14:textId="77777777" w:rsidR="00E40486" w:rsidRPr="00CD4D4D" w:rsidRDefault="0043650F" w:rsidP="00CD4D4D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CD4D4D">
        <w:rPr>
          <w:rFonts w:ascii="Arial" w:eastAsia="Calibri" w:hAnsi="Arial" w:cs="Arial"/>
          <w:b/>
          <w:color w:val="000000"/>
          <w:lang w:eastAsia="en-US"/>
        </w:rPr>
        <w:tab/>
        <w:t>     Sebastian Kaleta</w:t>
      </w:r>
    </w:p>
    <w:p w14:paraId="25B9F80F" w14:textId="77777777" w:rsidR="00E40486" w:rsidRPr="00CD4D4D" w:rsidRDefault="00E40486" w:rsidP="00CD4D4D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A6E0EBE" w14:textId="77777777" w:rsidR="00E40486" w:rsidRPr="00CD4D4D" w:rsidRDefault="0043650F" w:rsidP="00CD4D4D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CD4D4D">
        <w:rPr>
          <w:rFonts w:ascii="Arial" w:eastAsia="Calibri" w:hAnsi="Arial" w:cs="Arial"/>
          <w:b/>
          <w:color w:val="000000"/>
          <w:lang w:eastAsia="en-US"/>
        </w:rPr>
        <w:t>Pouczenie:</w:t>
      </w:r>
    </w:p>
    <w:p w14:paraId="1B38912D" w14:textId="0E38617E" w:rsidR="00E40486" w:rsidRPr="00CD4D4D" w:rsidRDefault="0043650F" w:rsidP="00CD4D4D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CD4D4D">
        <w:rPr>
          <w:rFonts w:ascii="Arial" w:eastAsia="Calibri" w:hAnsi="Arial" w:cs="Arial"/>
          <w:color w:val="000000"/>
          <w:lang w:eastAsia="en-US"/>
        </w:rPr>
        <w:t xml:space="preserve">Zgodnie z art. 10 ust. 4 ustawy z dnia 9 marca 2017 r. o szczególnych zasadach usuwania skutków prawnych decyzji reprywatyzacyjnych dotyczących nieruchomości warszawskich, wydanych z naruszeniem prawa (Dz.U. z </w:t>
      </w:r>
      <w:r w:rsidR="00AA3377" w:rsidRPr="00CD4D4D">
        <w:rPr>
          <w:rFonts w:ascii="Arial" w:eastAsia="Calibri" w:hAnsi="Arial" w:cs="Arial"/>
          <w:color w:val="000000"/>
          <w:lang w:eastAsia="en-US"/>
        </w:rPr>
        <w:t xml:space="preserve">2021 </w:t>
      </w:r>
      <w:r w:rsidRPr="00CD4D4D">
        <w:rPr>
          <w:rFonts w:ascii="Arial" w:eastAsia="Calibri" w:hAnsi="Arial" w:cs="Arial"/>
          <w:color w:val="000000"/>
          <w:lang w:eastAsia="en-US"/>
        </w:rPr>
        <w:t xml:space="preserve">r., poz. </w:t>
      </w:r>
      <w:r w:rsidR="00AA3377" w:rsidRPr="00CD4D4D">
        <w:rPr>
          <w:rFonts w:ascii="Arial" w:eastAsia="Calibri" w:hAnsi="Arial" w:cs="Arial"/>
          <w:color w:val="000000"/>
          <w:lang w:eastAsia="en-US"/>
        </w:rPr>
        <w:t>795</w:t>
      </w:r>
      <w:r w:rsidRPr="00CD4D4D">
        <w:rPr>
          <w:rFonts w:ascii="Arial" w:eastAsia="Calibri" w:hAnsi="Arial" w:cs="Arial"/>
          <w:color w:val="000000"/>
          <w:lang w:eastAsia="en-US"/>
        </w:rPr>
        <w:t xml:space="preserve">) od niniejszego postanowienia </w:t>
      </w:r>
      <w:r w:rsidRPr="00CD4D4D">
        <w:rPr>
          <w:rFonts w:ascii="Arial" w:eastAsia="Calibri" w:hAnsi="Arial" w:cs="Arial"/>
          <w:b/>
          <w:color w:val="000000"/>
          <w:lang w:eastAsia="en-US"/>
        </w:rPr>
        <w:t xml:space="preserve">nie przysługuje środek zaskarżenia. </w:t>
      </w:r>
      <w:r w:rsidRPr="00CD4D4D">
        <w:rPr>
          <w:rFonts w:ascii="Arial" w:eastAsia="Calibri" w:hAnsi="Arial" w:cs="Arial"/>
          <w:color w:val="000000"/>
          <w:lang w:eastAsia="en-US"/>
        </w:rPr>
        <w:t xml:space="preserve">Zgodnie z art. 16 ust. 3 i </w:t>
      </w:r>
      <w:r w:rsidRPr="00CD4D4D">
        <w:rPr>
          <w:rFonts w:ascii="Arial" w:eastAsia="Calibri" w:hAnsi="Arial" w:cs="Arial"/>
          <w:color w:val="000000"/>
          <w:lang w:eastAsia="en-US"/>
        </w:rPr>
        <w:lastRenderedPageBreak/>
        <w:t>4 tej ustawy zawiadomienie o wydaniu postanowienia uważa się za d</w:t>
      </w:r>
      <w:r w:rsidRPr="00CD4D4D">
        <w:rPr>
          <w:rFonts w:ascii="Arial" w:eastAsia="Calibri" w:hAnsi="Arial" w:cs="Arial"/>
          <w:lang w:eastAsia="en-US"/>
        </w:rPr>
        <w:t>okonane po upływie 7 dni od dnia publicznego ogłoszenia.</w:t>
      </w:r>
    </w:p>
    <w:p w14:paraId="64263261" w14:textId="4EE34931" w:rsidR="00E40486" w:rsidRPr="00CD4D4D" w:rsidRDefault="0043650F" w:rsidP="00CD4D4D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CD4D4D">
        <w:rPr>
          <w:rFonts w:ascii="Arial" w:eastAsia="Calibri" w:hAnsi="Arial" w:cs="Arial"/>
          <w:lang w:eastAsia="en-US"/>
        </w:rPr>
        <w:t>Zgodnie z art. 111 § 1 b k.p.a.</w:t>
      </w:r>
      <w:r w:rsidRPr="00CD4D4D">
        <w:rPr>
          <w:rFonts w:ascii="Arial" w:hAnsi="Arial" w:cs="Arial"/>
        </w:rPr>
        <w:t xml:space="preserve"> uzupełnienie lub odmowa uzupełnienia decyzji następuje w formie postanowienia; natomiast  art. 111 § 2 k.p.a. stanowi, że  w przypadku wydania postanowienia, o którym mowa w § 1b, termin dla strony do wniesienia odwołania, powództwa lub skargi biegnie od dnia jego doręczenia lub ogłoszenia.</w:t>
      </w:r>
    </w:p>
    <w:sectPr w:rsidR="00E40486" w:rsidRPr="00CD4D4D">
      <w:footerReference w:type="default" r:id="rId8"/>
      <w:footerReference w:type="first" r:id="rId9"/>
      <w:pgSz w:w="11906" w:h="16838"/>
      <w:pgMar w:top="1417" w:right="1417" w:bottom="708" w:left="1417" w:header="708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AD89" w14:textId="77777777" w:rsidR="00F92090" w:rsidRDefault="00F92090">
      <w:pPr>
        <w:spacing w:after="0" w:line="240" w:lineRule="auto"/>
      </w:pPr>
      <w:r>
        <w:separator/>
      </w:r>
    </w:p>
  </w:endnote>
  <w:endnote w:type="continuationSeparator" w:id="0">
    <w:p w14:paraId="7CF79265" w14:textId="77777777" w:rsidR="00F92090" w:rsidRDefault="00F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8A8" w14:textId="77777777" w:rsidR="00E42D08" w:rsidRDefault="004365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D46" w14:textId="77777777" w:rsidR="00E42D08" w:rsidRDefault="0043650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1</w:t>
    </w:r>
    <w:r>
      <w:fldChar w:fldCharType="end"/>
    </w:r>
  </w:p>
  <w:p w14:paraId="1A320D0D" w14:textId="77777777" w:rsidR="00E42D08" w:rsidRDefault="00F92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A547" w14:textId="77777777" w:rsidR="00F92090" w:rsidRDefault="00F920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F6EA50" w14:textId="77777777" w:rsidR="00F92090" w:rsidRDefault="00F9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25"/>
    <w:multiLevelType w:val="multilevel"/>
    <w:tmpl w:val="91AC1C1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6B1169"/>
    <w:multiLevelType w:val="multilevel"/>
    <w:tmpl w:val="4282016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46676A"/>
    <w:multiLevelType w:val="multilevel"/>
    <w:tmpl w:val="1430FA02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BC0A4A"/>
    <w:multiLevelType w:val="multilevel"/>
    <w:tmpl w:val="E5407DF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045197"/>
    <w:multiLevelType w:val="multilevel"/>
    <w:tmpl w:val="9C9C9F8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2628A4"/>
    <w:multiLevelType w:val="multilevel"/>
    <w:tmpl w:val="8C089A6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E4440C5"/>
    <w:multiLevelType w:val="multilevel"/>
    <w:tmpl w:val="2B1C5460"/>
    <w:styleLink w:val="WWNum20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3E17773"/>
    <w:multiLevelType w:val="hybridMultilevel"/>
    <w:tmpl w:val="CBF2A210"/>
    <w:lvl w:ilvl="0" w:tplc="DFE88348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90F15"/>
    <w:multiLevelType w:val="multilevel"/>
    <w:tmpl w:val="910CDD7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A2C7B48"/>
    <w:multiLevelType w:val="multilevel"/>
    <w:tmpl w:val="7FE4D0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0EC5566"/>
    <w:multiLevelType w:val="multilevel"/>
    <w:tmpl w:val="CD54A0B2"/>
    <w:styleLink w:val="WWNum2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D3C2FAD"/>
    <w:multiLevelType w:val="multilevel"/>
    <w:tmpl w:val="6AE6751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F3275D0"/>
    <w:multiLevelType w:val="multilevel"/>
    <w:tmpl w:val="F14C9C46"/>
    <w:styleLink w:val="WWNum5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CFD0F5F"/>
    <w:multiLevelType w:val="multilevel"/>
    <w:tmpl w:val="B614CFD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5EFD4975"/>
    <w:multiLevelType w:val="hybridMultilevel"/>
    <w:tmpl w:val="6E52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67FC"/>
    <w:multiLevelType w:val="multilevel"/>
    <w:tmpl w:val="F0548CC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63840172"/>
    <w:multiLevelType w:val="multilevel"/>
    <w:tmpl w:val="62F60CC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6620D85"/>
    <w:multiLevelType w:val="multilevel"/>
    <w:tmpl w:val="C74C60F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90709E3"/>
    <w:multiLevelType w:val="multilevel"/>
    <w:tmpl w:val="DE48F636"/>
    <w:styleLink w:val="WWNum15"/>
    <w:lvl w:ilvl="0">
      <w:numFmt w:val="bullet"/>
      <w:lvlText w:val="-"/>
      <w:lvlJc w:val="left"/>
    </w:lvl>
    <w:lvl w:ilvl="1">
      <w:numFmt w:val="bullet"/>
      <w:lvlText w:val="-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717A16F9"/>
    <w:multiLevelType w:val="multilevel"/>
    <w:tmpl w:val="1D0EEE3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2771340"/>
    <w:multiLevelType w:val="multilevel"/>
    <w:tmpl w:val="80F47B4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EE72D25"/>
    <w:multiLevelType w:val="multilevel"/>
    <w:tmpl w:val="53D8E8B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FB47271"/>
    <w:multiLevelType w:val="multilevel"/>
    <w:tmpl w:val="5FA6C2AC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4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22"/>
  </w:num>
  <w:num w:numId="15">
    <w:abstractNumId w:val="18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6"/>
    <w:rsid w:val="00014AE3"/>
    <w:rsid w:val="000445F2"/>
    <w:rsid w:val="00127934"/>
    <w:rsid w:val="00193BFA"/>
    <w:rsid w:val="001C5543"/>
    <w:rsid w:val="00225252"/>
    <w:rsid w:val="00226B78"/>
    <w:rsid w:val="00241EE2"/>
    <w:rsid w:val="00303893"/>
    <w:rsid w:val="00350E64"/>
    <w:rsid w:val="00365D2C"/>
    <w:rsid w:val="003861A1"/>
    <w:rsid w:val="003A45AF"/>
    <w:rsid w:val="003D008C"/>
    <w:rsid w:val="0043650F"/>
    <w:rsid w:val="004F2452"/>
    <w:rsid w:val="004F4FDF"/>
    <w:rsid w:val="00587A83"/>
    <w:rsid w:val="00594243"/>
    <w:rsid w:val="005951B9"/>
    <w:rsid w:val="005C3BF1"/>
    <w:rsid w:val="00617BEF"/>
    <w:rsid w:val="006F4050"/>
    <w:rsid w:val="007159A0"/>
    <w:rsid w:val="007B3EFD"/>
    <w:rsid w:val="007D16C1"/>
    <w:rsid w:val="008615DE"/>
    <w:rsid w:val="00885EF6"/>
    <w:rsid w:val="008A11D6"/>
    <w:rsid w:val="008C1903"/>
    <w:rsid w:val="009705AD"/>
    <w:rsid w:val="009A6EB0"/>
    <w:rsid w:val="00A149E2"/>
    <w:rsid w:val="00AA3377"/>
    <w:rsid w:val="00AD75BC"/>
    <w:rsid w:val="00AE484C"/>
    <w:rsid w:val="00AF43CB"/>
    <w:rsid w:val="00B60AE6"/>
    <w:rsid w:val="00B71F48"/>
    <w:rsid w:val="00C16C29"/>
    <w:rsid w:val="00C40E5A"/>
    <w:rsid w:val="00CB0A51"/>
    <w:rsid w:val="00CD4D4D"/>
    <w:rsid w:val="00CF7214"/>
    <w:rsid w:val="00D92D68"/>
    <w:rsid w:val="00DB77EA"/>
    <w:rsid w:val="00DC3AFD"/>
    <w:rsid w:val="00E40486"/>
    <w:rsid w:val="00E901D6"/>
    <w:rsid w:val="00EC13E3"/>
    <w:rsid w:val="00EE078C"/>
    <w:rsid w:val="00F15A15"/>
    <w:rsid w:val="00F26AFA"/>
    <w:rsid w:val="00F66786"/>
    <w:rsid w:val="00F92090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6858"/>
  <w15:docId w15:val="{49A4C4EF-4003-4379-B04E-F18D20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Akapitzlist">
    <w:name w:val="List Paragraph"/>
    <w:basedOn w:val="Standard"/>
    <w:pPr>
      <w:suppressAutoHyphens w:val="0"/>
      <w:spacing w:line="360" w:lineRule="auto"/>
      <w:ind w:left="720"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9">
    <w:name w:val="Font Style19"/>
    <w:rPr>
      <w:rFonts w:ascii="Arial" w:hAnsi="Arial" w:cs="Arial"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 KR II R 23.20 odmowa uzupełnienia decyzji - wersja dostępna cyfrowo</dc:title>
  <dc:creator/>
  <cp:lastModifiedBy>Młodawski Grzegorz  (DPA)</cp:lastModifiedBy>
  <cp:revision>3</cp:revision>
  <cp:lastPrinted>2019-11-12T15:00:00Z</cp:lastPrinted>
  <dcterms:created xsi:type="dcterms:W3CDTF">2021-10-27T13:16:00Z</dcterms:created>
  <dcterms:modified xsi:type="dcterms:W3CDTF">2021-10-27T14:40:00Z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