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5"/>
        <w:gridCol w:w="646"/>
        <w:gridCol w:w="425"/>
        <w:gridCol w:w="465"/>
        <w:gridCol w:w="414"/>
        <w:gridCol w:w="168"/>
        <w:gridCol w:w="201"/>
        <w:gridCol w:w="369"/>
        <w:gridCol w:w="570"/>
        <w:gridCol w:w="132"/>
        <w:gridCol w:w="151"/>
        <w:gridCol w:w="286"/>
        <w:gridCol w:w="369"/>
        <w:gridCol w:w="201"/>
        <w:gridCol w:w="570"/>
        <w:gridCol w:w="94"/>
        <w:gridCol w:w="73"/>
        <w:gridCol w:w="403"/>
        <w:gridCol w:w="127"/>
        <w:gridCol w:w="407"/>
        <w:gridCol w:w="35"/>
        <w:gridCol w:w="280"/>
        <w:gridCol w:w="290"/>
        <w:gridCol w:w="333"/>
        <w:gridCol w:w="237"/>
        <w:gridCol w:w="570"/>
        <w:gridCol w:w="131"/>
        <w:gridCol w:w="1406"/>
        <w:gridCol w:w="16"/>
      </w:tblGrid>
      <w:tr w:rsidR="006A701A" w:rsidRPr="008B4FE6" w14:paraId="31B88A5C" w14:textId="77777777" w:rsidTr="00E12EDC">
        <w:trPr>
          <w:trHeight w:val="1611"/>
        </w:trPr>
        <w:tc>
          <w:tcPr>
            <w:tcW w:w="6656" w:type="dxa"/>
            <w:gridSpan w:val="16"/>
          </w:tcPr>
          <w:p w14:paraId="55287CAB" w14:textId="77777777" w:rsidR="006A701A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bookmarkStart w:id="1" w:name="_GoBack"/>
            <w:bookmarkEnd w:id="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D438750" w14:textId="1C172CDA" w:rsidR="008B7753" w:rsidRPr="008B7753" w:rsidRDefault="008B7753" w:rsidP="007605A8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8B7753">
              <w:rPr>
                <w:rFonts w:ascii="Times New Roman" w:hAnsi="Times New Roman"/>
                <w:bCs/>
                <w:color w:val="000000"/>
              </w:rPr>
              <w:t>Rozporz</w:t>
            </w:r>
            <w:r>
              <w:rPr>
                <w:rFonts w:ascii="Times New Roman" w:hAnsi="Times New Roman"/>
                <w:bCs/>
                <w:color w:val="000000"/>
              </w:rPr>
              <w:t xml:space="preserve">ądzenie Ministra Zdrowia w sprawie ogólnopolskiego kardiologiczno-kardiochirurgicznego rejestru przezcewnikowego leczenia zastawek serca </w:t>
            </w:r>
            <w:r w:rsidR="000A5B1A">
              <w:rPr>
                <w:rFonts w:ascii="Times New Roman" w:hAnsi="Times New Roman"/>
                <w:bCs/>
                <w:color w:val="000000"/>
              </w:rPr>
              <w:t>„</w:t>
            </w:r>
            <w:r>
              <w:rPr>
                <w:rFonts w:ascii="Times New Roman" w:hAnsi="Times New Roman"/>
                <w:bCs/>
                <w:color w:val="000000"/>
              </w:rPr>
              <w:t>POL-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TaVALVE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”</w:t>
            </w:r>
          </w:p>
          <w:bookmarkEnd w:id="0"/>
          <w:p w14:paraId="72AABDB5" w14:textId="77777777" w:rsidR="008B7753" w:rsidRPr="00DF00A7" w:rsidRDefault="008B7753" w:rsidP="008B7753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DF00A7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1B3CCB0F" w14:textId="50D0A074" w:rsidR="008B7753" w:rsidRDefault="008B7753" w:rsidP="008B7753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DF00A7">
              <w:rPr>
                <w:rFonts w:ascii="Times New Roman" w:hAnsi="Times New Roman"/>
                <w:color w:val="000000"/>
              </w:rPr>
              <w:t>Ministerstwo Zdrowia</w:t>
            </w:r>
          </w:p>
          <w:p w14:paraId="6EA851B6" w14:textId="77777777" w:rsidR="00282711" w:rsidRPr="00DF00A7" w:rsidRDefault="00282711" w:rsidP="008B7753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0646AD22" w14:textId="77777777" w:rsidR="008B7753" w:rsidRPr="00DF00A7" w:rsidRDefault="008B7753" w:rsidP="008B775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F00A7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06CAB0B" w14:textId="77777777" w:rsidR="008B7753" w:rsidRPr="00DF00A7" w:rsidRDefault="008B7753" w:rsidP="008B7753">
            <w:pPr>
              <w:spacing w:line="240" w:lineRule="auto"/>
              <w:rPr>
                <w:rFonts w:ascii="Times New Roman" w:hAnsi="Times New Roman"/>
              </w:rPr>
            </w:pPr>
            <w:r w:rsidRPr="005C5AFE">
              <w:rPr>
                <w:rFonts w:ascii="Times New Roman" w:hAnsi="Times New Roman"/>
              </w:rPr>
              <w:t>Sławomir Gadomski</w:t>
            </w:r>
            <w:r>
              <w:rPr>
                <w:rFonts w:ascii="Times New Roman" w:hAnsi="Times New Roman"/>
              </w:rPr>
              <w:t xml:space="preserve"> – Podsekretarz Stanu w Ministerstwie Zdrowia</w:t>
            </w:r>
          </w:p>
          <w:p w14:paraId="43EABFF4" w14:textId="77777777" w:rsidR="008B7753" w:rsidRPr="00DF00A7" w:rsidRDefault="008B7753" w:rsidP="008B7753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DF00A7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1FD2D041" w14:textId="4B360B4A" w:rsidR="00334167" w:rsidRPr="005237A2" w:rsidRDefault="008B7753" w:rsidP="005237A2">
            <w:pPr>
              <w:spacing w:line="240" w:lineRule="auto"/>
              <w:ind w:hanging="34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</w:rPr>
              <w:t xml:space="preserve">Dominika Janiszewska-Kajka – </w:t>
            </w:r>
            <w:r w:rsidRPr="005C5AFE">
              <w:rPr>
                <w:rFonts w:ascii="Times New Roman" w:hAnsi="Times New Roman"/>
                <w:color w:val="000000"/>
              </w:rPr>
              <w:t>Zastępca Dyrektora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34D37" w:rsidRPr="00DF00A7">
              <w:rPr>
                <w:rFonts w:ascii="Times New Roman" w:hAnsi="Times New Roman"/>
                <w:color w:val="000000"/>
              </w:rPr>
              <w:t>Departamentu</w:t>
            </w:r>
            <w:r w:rsidR="00B34D37">
              <w:rPr>
                <w:rFonts w:ascii="Times New Roman" w:hAnsi="Times New Roman"/>
                <w:color w:val="000000"/>
              </w:rPr>
              <w:t xml:space="preserve"> Lecznictwa</w:t>
            </w:r>
            <w:r w:rsidRPr="00DF00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</w:t>
            </w:r>
            <w:hyperlink r:id="rId8" w:history="1">
              <w:r w:rsidR="00334167" w:rsidRPr="002E60C6">
                <w:rPr>
                  <w:rStyle w:val="Hipercze"/>
                  <w:rFonts w:ascii="Times New Roman" w:hAnsi="Times New Roman"/>
                  <w:shd w:val="clear" w:color="auto" w:fill="FFFFFF"/>
                </w:rPr>
                <w:t>d.janiszewska@mz.gov.pl</w:t>
              </w:r>
            </w:hyperlink>
            <w:r w:rsidR="00424543">
              <w:rPr>
                <w:rStyle w:val="Hipercze"/>
                <w:rFonts w:ascii="Times New Roman" w:hAnsi="Times New Roman"/>
                <w:shd w:val="clear" w:color="auto" w:fill="FFFFFF"/>
              </w:rPr>
              <w:t xml:space="preserve"> </w:t>
            </w:r>
            <w:r w:rsidR="002B0653">
              <w:rPr>
                <w:rStyle w:val="Hipercze"/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  <w:tc>
          <w:tcPr>
            <w:tcW w:w="4308" w:type="dxa"/>
            <w:gridSpan w:val="13"/>
            <w:shd w:val="clear" w:color="auto" w:fill="FFFFFF"/>
          </w:tcPr>
          <w:p w14:paraId="758C1491" w14:textId="26ECE03E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sdt>
              <w:sdtPr>
                <w:rPr>
                  <w:rFonts w:ascii="Times New Roman" w:hAnsi="Times New Roman"/>
                  <w:bCs/>
                  <w:sz w:val="21"/>
                  <w:szCs w:val="21"/>
                </w:rPr>
                <w:id w:val="-345788683"/>
                <w:placeholder>
                  <w:docPart w:val="DefaultPlaceholder_1082065160"/>
                </w:placeholder>
                <w:date w:fullDate="2020-12-30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2629CA">
                  <w:rPr>
                    <w:rFonts w:ascii="Times New Roman" w:hAnsi="Times New Roman"/>
                    <w:bCs/>
                    <w:sz w:val="21"/>
                    <w:szCs w:val="21"/>
                  </w:rPr>
                  <w:t>30</w:t>
                </w:r>
                <w:r w:rsidR="00800E2D">
                  <w:rPr>
                    <w:rFonts w:ascii="Times New Roman" w:hAnsi="Times New Roman"/>
                    <w:bCs/>
                    <w:sz w:val="21"/>
                    <w:szCs w:val="21"/>
                  </w:rPr>
                  <w:t>.12.2020</w:t>
                </w:r>
              </w:sdtContent>
            </w:sdt>
          </w:p>
          <w:p w14:paraId="19FDFF6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403BEEA8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 w:displacedByCustomXml="next"/>
          <w:sdt>
            <w:sdtPr>
              <w:rPr>
                <w:rFonts w:ascii="Times New Roman" w:hAnsi="Times New Roman"/>
              </w:rPr>
              <w:id w:val="-1451614635"/>
              <w:placeholder>
                <w:docPart w:val="DefaultPlaceholder_1082065159"/>
              </w:placeholder>
              <w:dropDownList>
                <w:listItem w:value="Wybierz element."/>
                <w:listItem w:displayText="Exposé PRM" w:value="Exposé PRM"/>
                <w:listItem w:displayText="Decyzja PRM/RM" w:value="Decyzja PRM/RM"/>
                <w:listItem w:displayText="Prawo UE" w:value="Prawo UE"/>
                <w:listItem w:displayText="Orzeczenie TK" w:value="Orzeczenie TK"/>
                <w:listItem w:displayText="Upoważnienie ustawowe" w:value="Upoważnienie ustawowe"/>
                <w:listItem w:displayText="Strategia" w:value="Strategia"/>
                <w:listItem w:displayText="Inne" w:value="Inne"/>
              </w:dropDownList>
            </w:sdtPr>
            <w:sdtEndPr/>
            <w:sdtContent>
              <w:p w14:paraId="563F6D82" w14:textId="77777777" w:rsidR="00F76884" w:rsidRPr="00EF290C" w:rsidRDefault="008B7753" w:rsidP="00F76884">
                <w:pPr>
                  <w:spacing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Upoważnienie ustawowe</w:t>
                </w:r>
              </w:p>
            </w:sdtContent>
          </w:sdt>
          <w:p w14:paraId="5A590332" w14:textId="2DD39466" w:rsidR="008B7753" w:rsidRPr="009416AD" w:rsidRDefault="008B7753" w:rsidP="008B77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271CB">
              <w:rPr>
                <w:rFonts w:ascii="Times New Roman" w:hAnsi="Times New Roman"/>
              </w:rPr>
              <w:t xml:space="preserve">art. 20 ust. 1 ustawy z dnia 28 kwietnia 2011 r. o systemie informacji w ochronie zdrowia (Dz. U. z </w:t>
            </w:r>
            <w:r w:rsidR="005760A7" w:rsidRPr="000271CB">
              <w:rPr>
                <w:rFonts w:ascii="Times New Roman" w:hAnsi="Times New Roman"/>
              </w:rPr>
              <w:t>20</w:t>
            </w:r>
            <w:r w:rsidR="005760A7">
              <w:rPr>
                <w:rFonts w:ascii="Times New Roman" w:hAnsi="Times New Roman"/>
              </w:rPr>
              <w:t>20</w:t>
            </w:r>
            <w:r w:rsidR="005760A7" w:rsidRPr="000271CB">
              <w:rPr>
                <w:rFonts w:ascii="Times New Roman" w:hAnsi="Times New Roman"/>
              </w:rPr>
              <w:t xml:space="preserve"> </w:t>
            </w:r>
            <w:r w:rsidRPr="000271CB">
              <w:rPr>
                <w:rFonts w:ascii="Times New Roman" w:hAnsi="Times New Roman"/>
              </w:rPr>
              <w:t xml:space="preserve">r. poz. </w:t>
            </w:r>
            <w:r w:rsidR="005760A7">
              <w:rPr>
                <w:rFonts w:ascii="Times New Roman" w:hAnsi="Times New Roman"/>
              </w:rPr>
              <w:t>702</w:t>
            </w:r>
            <w:r w:rsidR="00C515FE">
              <w:rPr>
                <w:rFonts w:ascii="Times New Roman" w:hAnsi="Times New Roman"/>
              </w:rPr>
              <w:t>, z późn. zm.</w:t>
            </w:r>
            <w:r w:rsidR="005760A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3DC6F61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5AA9AA63" w14:textId="77777777" w:rsidR="006A701A" w:rsidRPr="008B4FE6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8B7753">
              <w:rPr>
                <w:rFonts w:ascii="Times New Roman" w:hAnsi="Times New Roman"/>
                <w:b/>
                <w:color w:val="000000"/>
              </w:rPr>
              <w:t xml:space="preserve"> Ministra Zdrowia: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9FA831D" w14:textId="59B0CE4D" w:rsidR="006A701A" w:rsidRPr="008B4FE6" w:rsidRDefault="00497956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MZ 1036</w:t>
            </w:r>
          </w:p>
          <w:p w14:paraId="5A84BFA2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2577701E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</w:tcPr>
          <w:p w14:paraId="0FA0C377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297EE90B" w14:textId="77777777" w:rsidTr="00E12EDC">
        <w:trPr>
          <w:trHeight w:val="333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7214F81A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1207D2C0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FFFFFF"/>
          </w:tcPr>
          <w:p w14:paraId="28A9B815" w14:textId="2B9200A7" w:rsidR="006A701A" w:rsidRPr="005237A2" w:rsidRDefault="00DB7ED9" w:rsidP="00B37C80">
            <w:pPr>
              <w:spacing w:line="240" w:lineRule="auto"/>
              <w:jc w:val="both"/>
              <w:rPr>
                <w:rFonts w:ascii="Times New Roman" w:eastAsiaTheme="minorHAnsi" w:hAnsi="Times New Roman"/>
                <w:color w:val="000000" w:themeColor="text1"/>
              </w:rPr>
            </w:pPr>
            <w:r>
              <w:rPr>
                <w:rFonts w:ascii="Times New Roman" w:eastAsiaTheme="minorHAnsi" w:hAnsi="Times New Roman"/>
                <w:color w:val="000000" w:themeColor="text1"/>
              </w:rPr>
              <w:t xml:space="preserve">Brak wiarygodnych i rzetelnych narzędzi uniemożliwiających monitorowanie wyników leczenia </w:t>
            </w:r>
            <w:r w:rsidRPr="00D806E4">
              <w:rPr>
                <w:rFonts w:ascii="Times New Roman" w:eastAsiaTheme="minorHAnsi" w:hAnsi="Times New Roman"/>
                <w:color w:val="000000" w:themeColor="text1"/>
              </w:rPr>
              <w:t>w perspektywie wczesnej, średnio i długoterminowej</w:t>
            </w:r>
            <w:r>
              <w:rPr>
                <w:rFonts w:ascii="Times New Roman" w:eastAsiaTheme="minorHAnsi" w:hAnsi="Times New Roman"/>
                <w:color w:val="000000" w:themeColor="text1"/>
              </w:rPr>
              <w:t xml:space="preserve">, u pacjentów poddawanych </w:t>
            </w:r>
            <w:proofErr w:type="spellStart"/>
            <w:r>
              <w:rPr>
                <w:rFonts w:ascii="Times New Roman" w:eastAsiaTheme="minorHAnsi" w:hAnsi="Times New Roman"/>
                <w:color w:val="000000" w:themeColor="text1"/>
              </w:rPr>
              <w:t>przezcewnikowym</w:t>
            </w:r>
            <w:proofErr w:type="spellEnd"/>
            <w:r>
              <w:rPr>
                <w:rFonts w:ascii="Times New Roman" w:eastAsiaTheme="minorHAnsi" w:hAnsi="Times New Roman"/>
                <w:color w:val="000000" w:themeColor="text1"/>
              </w:rPr>
              <w:t xml:space="preserve"> zabiegom na zastawkach serca. Potrzeba </w:t>
            </w:r>
            <w:r w:rsidR="008B7753" w:rsidRPr="00750F92">
              <w:rPr>
                <w:rFonts w:ascii="Times New Roman" w:hAnsi="Times New Roman"/>
              </w:rPr>
              <w:t>obiektywn</w:t>
            </w:r>
            <w:r w:rsidR="00334167">
              <w:rPr>
                <w:rFonts w:ascii="Times New Roman" w:hAnsi="Times New Roman"/>
              </w:rPr>
              <w:t>ej</w:t>
            </w:r>
            <w:r w:rsidR="008B7753" w:rsidRPr="00750F92">
              <w:rPr>
                <w:rFonts w:ascii="Times New Roman" w:hAnsi="Times New Roman"/>
              </w:rPr>
              <w:t xml:space="preserve"> ocen</w:t>
            </w:r>
            <w:r w:rsidR="00334167">
              <w:rPr>
                <w:rFonts w:ascii="Times New Roman" w:hAnsi="Times New Roman"/>
              </w:rPr>
              <w:t>y</w:t>
            </w:r>
            <w:r w:rsidR="008B7753" w:rsidRPr="00750F92">
              <w:rPr>
                <w:rFonts w:ascii="Times New Roman" w:hAnsi="Times New Roman"/>
              </w:rPr>
              <w:t xml:space="preserve"> jakości przeprowadzanych przezcewnikowych zabiegów leczenia zastawek serca</w:t>
            </w:r>
            <w:r w:rsidR="00334167">
              <w:rPr>
                <w:rFonts w:ascii="Times New Roman" w:hAnsi="Times New Roman"/>
              </w:rPr>
              <w:t>, p</w:t>
            </w:r>
            <w:r w:rsidR="008B7753" w:rsidRPr="00750F92">
              <w:rPr>
                <w:rFonts w:ascii="Times New Roman" w:hAnsi="Times New Roman"/>
              </w:rPr>
              <w:t xml:space="preserve">rzede wszystkim pod względem </w:t>
            </w:r>
            <w:r w:rsidR="00E1119F">
              <w:rPr>
                <w:rFonts w:ascii="Times New Roman" w:hAnsi="Times New Roman"/>
              </w:rPr>
              <w:t xml:space="preserve">jakości, </w:t>
            </w:r>
            <w:r w:rsidR="00E1119F" w:rsidRPr="00750F92">
              <w:rPr>
                <w:rFonts w:ascii="Times New Roman" w:hAnsi="Times New Roman"/>
              </w:rPr>
              <w:t>bezpieczeństwa</w:t>
            </w:r>
            <w:r w:rsidR="00E1119F">
              <w:rPr>
                <w:rFonts w:ascii="Times New Roman" w:hAnsi="Times New Roman"/>
              </w:rPr>
              <w:t>,</w:t>
            </w:r>
            <w:r w:rsidR="00E1119F" w:rsidRPr="00750F92">
              <w:rPr>
                <w:rFonts w:ascii="Times New Roman" w:hAnsi="Times New Roman"/>
              </w:rPr>
              <w:t xml:space="preserve"> </w:t>
            </w:r>
            <w:r w:rsidR="008B7753" w:rsidRPr="00750F92">
              <w:rPr>
                <w:rFonts w:ascii="Times New Roman" w:hAnsi="Times New Roman"/>
              </w:rPr>
              <w:t xml:space="preserve">skuteczności i efektywności </w:t>
            </w:r>
            <w:r w:rsidR="00334167">
              <w:rPr>
                <w:rFonts w:ascii="Times New Roman" w:hAnsi="Times New Roman"/>
              </w:rPr>
              <w:t xml:space="preserve">stosowanych </w:t>
            </w:r>
            <w:r w:rsidR="008B7753" w:rsidRPr="00750F92">
              <w:rPr>
                <w:rFonts w:ascii="Times New Roman" w:hAnsi="Times New Roman"/>
              </w:rPr>
              <w:t xml:space="preserve">metod leczenia. </w:t>
            </w:r>
          </w:p>
        </w:tc>
      </w:tr>
      <w:tr w:rsidR="006A701A" w:rsidRPr="008B4FE6" w14:paraId="3F4442FB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512CD06A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4B974C13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auto"/>
          </w:tcPr>
          <w:p w14:paraId="2B9CA4EA" w14:textId="7D31F1E1" w:rsidR="00DB7ED9" w:rsidRPr="00EB1A58" w:rsidRDefault="00DB7ED9" w:rsidP="00DB7ED9">
            <w:pPr>
              <w:spacing w:before="60"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>Rekomendowanym rozwiązaniem jest utworzenie rejestru medycznego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 gromadzącego dane dotyczące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wykonywanych w 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>Rzeczypospolitej Polskiej</w:t>
            </w:r>
            <w:r w:rsidR="0044569C"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przezcewnikowych zabieg</w:t>
            </w:r>
            <w:r w:rsidR="00E1119F">
              <w:rPr>
                <w:rFonts w:ascii="Times New Roman" w:hAnsi="Times New Roman"/>
                <w:color w:val="000000" w:themeColor="text1"/>
                <w:spacing w:val="-2"/>
              </w:rPr>
              <w:t>ów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 na zastawkach serca, tj. zastawce aortalnej, mitralnej, trójdzielnej i płucnej. Analiza gromadzonych 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w rejestrze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danych pozwoli na obiektywną ocenę wyników zastosowanego leczenia u usługobiorców w perspektywie wczesnej, średnio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>-,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 jak i długoterminowej w podmiotach wykonujących te wysokospecjalistyczne świadczenia. 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W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drożenie rejestru pozwoli na:</w:t>
            </w:r>
          </w:p>
          <w:p w14:paraId="25D5C50F" w14:textId="17ACF26F" w:rsidR="00B65B7D" w:rsidRPr="00F66621" w:rsidRDefault="00B65B7D" w:rsidP="00DB7ED9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>monitorowanie jakości, skuteczności i bezpieczeństwa leczenia wad serca metodami przezcewnikowymi w perspektywie wczesnej, średnio</w:t>
            </w:r>
            <w:r w:rsidR="0044569C">
              <w:rPr>
                <w:rFonts w:ascii="Times New Roman" w:hAnsi="Times New Roman"/>
                <w:color w:val="000000"/>
                <w:spacing w:val="-2"/>
              </w:rPr>
              <w:t>-</w:t>
            </w:r>
            <w:r w:rsidRPr="00F84842">
              <w:rPr>
                <w:rFonts w:ascii="Times New Roman" w:hAnsi="Times New Roman"/>
                <w:color w:val="000000"/>
                <w:spacing w:val="-2"/>
              </w:rPr>
              <w:t xml:space="preserve"> i długoterminowej;</w:t>
            </w:r>
          </w:p>
          <w:p w14:paraId="14F5A891" w14:textId="77777777" w:rsidR="00B65B7D" w:rsidRPr="00F66621" w:rsidRDefault="00B65B7D" w:rsidP="00B65B7D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>monitorowanie wskazań i przeciwwskazań do leczenia wad serca metodami przezcewnikowymi;</w:t>
            </w:r>
          </w:p>
          <w:p w14:paraId="2F508D88" w14:textId="76EE8F9D" w:rsidR="00B65B7D" w:rsidRPr="00F66621" w:rsidRDefault="00B65B7D" w:rsidP="00B65B7D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>zdefiniowanie istotnych czynników ryzyka wczesnych i odległych powikłań i niepowodzeń po leczeniu usługobiorców metodami przezcewnikowymi</w:t>
            </w:r>
            <w:r w:rsidR="00E1119F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0525F7E" w14:textId="77777777" w:rsidR="00B65B7D" w:rsidRPr="00F66621" w:rsidRDefault="00B65B7D" w:rsidP="00B65B7D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>opracowanie metod skutecznego zapobiegania powikłaniom około- i pozabiegowym;</w:t>
            </w:r>
          </w:p>
          <w:p w14:paraId="33262A62" w14:textId="444702E8" w:rsidR="00B65B7D" w:rsidRPr="00F66621" w:rsidRDefault="00B65B7D" w:rsidP="00B65B7D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>poprawę praktyki klinicznej w leczeniu wad zastawkowych</w:t>
            </w:r>
            <w:r w:rsidR="00E1119F">
              <w:rPr>
                <w:rFonts w:ascii="Times New Roman" w:hAnsi="Times New Roman"/>
                <w:color w:val="000000"/>
                <w:spacing w:val="-2"/>
              </w:rPr>
              <w:t xml:space="preserve"> serca</w:t>
            </w:r>
            <w:r w:rsidRPr="00F84842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A34C1A0" w14:textId="77777777" w:rsidR="00B65B7D" w:rsidRPr="00F66621" w:rsidRDefault="00B65B7D" w:rsidP="00B65B7D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>przeprowadzenie analizy porównawczej poszczególnych usługodawców pod względem osiąganych wyników leczenia wad serca metodami przezcewnikowymi;</w:t>
            </w:r>
          </w:p>
          <w:p w14:paraId="34F4F0AA" w14:textId="18FEA10A" w:rsidR="00B65B7D" w:rsidRDefault="00B65B7D" w:rsidP="00B65B7D">
            <w:pPr>
              <w:pStyle w:val="Akapitzlist"/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4842">
              <w:rPr>
                <w:rFonts w:ascii="Times New Roman" w:hAnsi="Times New Roman"/>
                <w:color w:val="000000"/>
                <w:spacing w:val="-2"/>
              </w:rPr>
              <w:t xml:space="preserve">przeprowadzenie analizy wyników leczenia wad serca metodami przezcewnikowymi w odniesieniu do wyników osiąganych przy zastosowaniu metod chirurgicznych, gromadzonych w Krajowym Rejestrze Operacji Kardiochirurgicznych. </w:t>
            </w:r>
          </w:p>
          <w:p w14:paraId="4610B9CB" w14:textId="5FED185A" w:rsidR="00DB7ED9" w:rsidRPr="00EB1A58" w:rsidRDefault="00DB7ED9" w:rsidP="00DB7ED9">
            <w:pPr>
              <w:spacing w:before="60"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W 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>państwach członkowskich</w:t>
            </w:r>
            <w:r w:rsidR="0044569C"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Unii Europejskiej i na świecie od wielu lat istnieją rejestry medyczne służące gromadzeniu i ewaluacji danych o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 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przeprowadzanych procedurach przezcewnikowego leczenia zastawek serca, które są źródłem obiektywnej i wiarygodnej informacji pozwalającej na monitorowanie</w:t>
            </w:r>
            <w:r w:rsidR="00E1119F">
              <w:rPr>
                <w:rFonts w:ascii="Times New Roman" w:hAnsi="Times New Roman"/>
                <w:color w:val="000000" w:themeColor="text1"/>
                <w:spacing w:val="-2"/>
              </w:rPr>
              <w:t xml:space="preserve"> bezpieczeństwa i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 skuteczności leczenia wad zastawkowych serca u osób, u których leczenie metodą chirurgiczną jest niewskazane lub jest obarczone zbyt wysokim ryzykiem operacyjnym. Utworzenie podobnego rejestru w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 </w:t>
            </w:r>
            <w:r w:rsidR="001F0C6A">
              <w:rPr>
                <w:rFonts w:ascii="Times New Roman" w:hAnsi="Times New Roman"/>
                <w:color w:val="000000" w:themeColor="text1"/>
                <w:spacing w:val="-2"/>
              </w:rPr>
              <w:t>Rzeczypospolitej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 xml:space="preserve"> Polskiej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pozwoli na poszerzenie aktualnej wiedzy medycznej na temat </w:t>
            </w:r>
            <w:r w:rsidR="00E1119F"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bezpieczeństwa </w:t>
            </w:r>
            <w:r w:rsidR="00E1119F">
              <w:rPr>
                <w:rFonts w:ascii="Times New Roman" w:hAnsi="Times New Roman"/>
                <w:color w:val="000000" w:themeColor="text1"/>
                <w:spacing w:val="-2"/>
              </w:rPr>
              <w:t xml:space="preserve">i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skuteczności przezcewnikowej metody leczenia, jak również porównanie wyników przezcewnikowego leczenia zastawek serca w 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>Rzeczypospolitej Polskiej</w:t>
            </w:r>
            <w:r w:rsidR="0044569C"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z danymi pochodzącymi z innych krajów prowadzących podobne rejestry medyczne. Dzięki temu rejestr będzie mógł stanowić podstawę do ustalenia w przyszłości optymalnych standardów leczenia wad zastawkowych serca w 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>kraju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, jak również na świecie.</w:t>
            </w:r>
          </w:p>
          <w:p w14:paraId="7B74ACA9" w14:textId="57BD48B8" w:rsidR="00DB7ED9" w:rsidRPr="003E3A5B" w:rsidRDefault="00DB7ED9" w:rsidP="003E3A5B">
            <w:pPr>
              <w:spacing w:before="60"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Rejestr będzie prowadzony w systemie teleinformatycznym zapewniającym interoperacyjność i powiązanie z innymi rejestrami medycznymi, w szczególności z Narodowym Funduszem Zdrowia i innymi rejestrami kardiologicznymi. Rejestr będzie wykorzystywał szeroko stosowane w ochronie zdrowia skale i klasyfikacje, w tym Międzynarodową Statystyczną Klasyfikację Chorób i Problemów Zdrowotnych (ICD</w:t>
            </w:r>
            <w:r w:rsidR="002C100E">
              <w:rPr>
                <w:rFonts w:ascii="Times New Roman" w:hAnsi="Times New Roman"/>
                <w:color w:val="000000" w:themeColor="text1"/>
                <w:spacing w:val="-2"/>
              </w:rPr>
              <w:t>-10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 xml:space="preserve">). W przypadku daty i przyczyny zgonu (§ 4 pkt 1 lit. h), zarówno usługodawcy, jak i Narodowy Fundusz Zdrowia, </w:t>
            </w:r>
            <w:r w:rsidR="0044569C">
              <w:rPr>
                <w:rFonts w:ascii="Times New Roman" w:hAnsi="Times New Roman"/>
                <w:color w:val="000000" w:themeColor="text1"/>
                <w:spacing w:val="-2"/>
              </w:rPr>
              <w:t xml:space="preserve">będą 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przekazywać informacje odnoszące się do zgonów szpitalnych.</w:t>
            </w:r>
            <w:r w:rsidR="00603B26">
              <w:rPr>
                <w:rFonts w:ascii="Times New Roman" w:hAnsi="Times New Roman"/>
                <w:color w:val="000000" w:themeColor="text1"/>
                <w:spacing w:val="-2"/>
              </w:rPr>
              <w:t xml:space="preserve"> </w:t>
            </w:r>
            <w:bookmarkStart w:id="4" w:name="_Hlk57908018"/>
            <w:r w:rsidR="00603B26" w:rsidRPr="00603B26">
              <w:rPr>
                <w:rFonts w:ascii="Times New Roman" w:hAnsi="Times New Roman"/>
                <w:color w:val="000000" w:themeColor="text1"/>
                <w:spacing w:val="-2"/>
              </w:rPr>
              <w:t>Podmiot prowadzący rejestr</w:t>
            </w:r>
            <w:r w:rsidR="001F0C6A">
              <w:rPr>
                <w:rFonts w:ascii="Times New Roman" w:hAnsi="Times New Roman"/>
                <w:color w:val="000000" w:themeColor="text1"/>
                <w:spacing w:val="-2"/>
              </w:rPr>
              <w:t>,</w:t>
            </w:r>
            <w:r w:rsidR="00603B26" w:rsidRPr="00603B26">
              <w:rPr>
                <w:rFonts w:ascii="Times New Roman" w:hAnsi="Times New Roman"/>
                <w:color w:val="000000" w:themeColor="text1"/>
                <w:spacing w:val="-2"/>
              </w:rPr>
              <w:t xml:space="preserve"> w celu ułatwienia wprowadzania danych podejmie działania mające na celu zautomatyzowanie części pól oraz systematyczny </w:t>
            </w:r>
            <w:r w:rsidR="00B02B09" w:rsidRPr="00B02B09">
              <w:rPr>
                <w:rFonts w:ascii="Times New Roman" w:hAnsi="Times New Roman"/>
                <w:color w:val="000000" w:themeColor="text1"/>
                <w:spacing w:val="-2"/>
              </w:rPr>
              <w:t xml:space="preserve">rozwój funkcjonalności systemu tak by rejestr był bardziej przyjazny dla użytkowników </w:t>
            </w:r>
            <w:r w:rsidR="00603B26" w:rsidRPr="00603B26">
              <w:rPr>
                <w:rFonts w:ascii="Times New Roman" w:hAnsi="Times New Roman"/>
                <w:color w:val="000000" w:themeColor="text1"/>
                <w:spacing w:val="-2"/>
              </w:rPr>
              <w:t>(np. wygaszanie pól nieaktywnych dla danego przypadku klinicznego).</w:t>
            </w:r>
            <w:bookmarkEnd w:id="4"/>
          </w:p>
          <w:p w14:paraId="417F4C1A" w14:textId="1B2FD56C" w:rsidR="00E5790E" w:rsidRPr="005237A2" w:rsidRDefault="008B7753" w:rsidP="008A05B9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47FE8">
              <w:rPr>
                <w:rFonts w:ascii="Times New Roman" w:hAnsi="Times New Roman"/>
                <w:color w:val="000000" w:themeColor="text1"/>
              </w:rPr>
              <w:t>Spodziewanym efektem wynikając</w:t>
            </w:r>
            <w:r>
              <w:rPr>
                <w:rFonts w:ascii="Times New Roman" w:hAnsi="Times New Roman"/>
                <w:color w:val="000000" w:themeColor="text1"/>
              </w:rPr>
              <w:t>ym</w:t>
            </w:r>
            <w:r w:rsidRPr="00A47FE8">
              <w:rPr>
                <w:rFonts w:ascii="Times New Roman" w:hAnsi="Times New Roman"/>
                <w:color w:val="000000" w:themeColor="text1"/>
              </w:rPr>
              <w:t xml:space="preserve"> z wdrożenia rejestru POL-</w:t>
            </w:r>
            <w:proofErr w:type="spellStart"/>
            <w:r w:rsidRPr="00A47FE8">
              <w:rPr>
                <w:rFonts w:ascii="Times New Roman" w:hAnsi="Times New Roman"/>
                <w:color w:val="000000" w:themeColor="text1"/>
              </w:rPr>
              <w:t>T</w:t>
            </w:r>
            <w:r>
              <w:rPr>
                <w:rFonts w:ascii="Times New Roman" w:hAnsi="Times New Roman"/>
                <w:color w:val="000000" w:themeColor="text1"/>
              </w:rPr>
              <w:t>aVALVE</w:t>
            </w:r>
            <w:proofErr w:type="spellEnd"/>
            <w:r w:rsidRPr="00A47FE8">
              <w:rPr>
                <w:rFonts w:ascii="Times New Roman" w:hAnsi="Times New Roman"/>
                <w:color w:val="000000" w:themeColor="text1"/>
              </w:rPr>
              <w:t xml:space="preserve"> jest optymalizacja </w:t>
            </w:r>
            <w:r>
              <w:rPr>
                <w:rFonts w:ascii="Times New Roman" w:hAnsi="Times New Roman"/>
                <w:color w:val="000000" w:themeColor="text1"/>
              </w:rPr>
              <w:t xml:space="preserve">wyników leczenia, poprawa </w:t>
            </w:r>
            <w:r w:rsidR="00334167">
              <w:rPr>
                <w:rFonts w:ascii="Times New Roman" w:hAnsi="Times New Roman"/>
                <w:color w:val="000000" w:themeColor="text1"/>
              </w:rPr>
              <w:t>stanu zdrowia i jakości życia</w:t>
            </w:r>
            <w:r w:rsidRPr="00A47F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34167">
              <w:rPr>
                <w:rFonts w:ascii="Times New Roman" w:hAnsi="Times New Roman"/>
                <w:color w:val="000000" w:themeColor="text1"/>
              </w:rPr>
              <w:t>pacjentów leczonych</w:t>
            </w:r>
            <w:r w:rsidRPr="00A47FE8">
              <w:rPr>
                <w:rFonts w:ascii="Times New Roman" w:hAnsi="Times New Roman"/>
                <w:color w:val="000000" w:themeColor="text1"/>
              </w:rPr>
              <w:t xml:space="preserve"> przezcewnikowymi metodami </w:t>
            </w:r>
            <w:r w:rsidRPr="00302AEC">
              <w:rPr>
                <w:rFonts w:ascii="Times New Roman" w:hAnsi="Times New Roman"/>
                <w:color w:val="000000" w:themeColor="text1"/>
              </w:rPr>
              <w:t>wymiany lub naprawy</w:t>
            </w:r>
            <w:r w:rsidRPr="00A47FE8">
              <w:rPr>
                <w:rFonts w:ascii="Times New Roman" w:hAnsi="Times New Roman"/>
                <w:color w:val="000000" w:themeColor="text1"/>
              </w:rPr>
              <w:t xml:space="preserve"> zastawek.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6A701A" w:rsidRPr="008B4FE6" w14:paraId="04B12664" w14:textId="77777777" w:rsidTr="00E12EDC">
        <w:trPr>
          <w:trHeight w:val="307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064E4B73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B16DE4" w14:paraId="68FDAB8A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auto"/>
          </w:tcPr>
          <w:p w14:paraId="18DBF87B" w14:textId="77777777" w:rsidR="00E5790E" w:rsidRPr="00942114" w:rsidRDefault="00E5790E" w:rsidP="00E5790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W krajach Unii Europejskiej i na świecie od wielu lat istnieją rejestry medyczne służące gromadzeniu i ewaluacji danych o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 </w:t>
            </w:r>
            <w:r w:rsidRPr="00EB1A58">
              <w:rPr>
                <w:rFonts w:ascii="Times New Roman" w:hAnsi="Times New Roman"/>
                <w:color w:val="000000" w:themeColor="text1"/>
                <w:spacing w:val="-2"/>
              </w:rPr>
              <w:t>przeprowadzanych procedurach przezcewnikowego leczenia zastawek serca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942114">
              <w:rPr>
                <w:rFonts w:ascii="Times New Roman" w:hAnsi="Times New Roman"/>
                <w:color w:val="000000"/>
              </w:rPr>
              <w:t>czego przykładem są:</w:t>
            </w:r>
          </w:p>
          <w:p w14:paraId="49D839C9" w14:textId="77777777" w:rsidR="00E5790E" w:rsidRPr="003C601B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/>
                <w:color w:val="000000"/>
                <w:lang w:val="en-GB"/>
              </w:rPr>
            </w:pPr>
            <w:r w:rsidRPr="00942114">
              <w:rPr>
                <w:rFonts w:ascii="Times New Roman" w:hAnsi="Times New Roman"/>
                <w:color w:val="000000"/>
              </w:rPr>
              <w:t xml:space="preserve">Czechy (Kala P et al. </w:t>
            </w:r>
            <w:r w:rsidRPr="003C601B">
              <w:rPr>
                <w:rFonts w:ascii="Times New Roman" w:hAnsi="Times New Roman"/>
                <w:color w:val="000000"/>
                <w:lang w:val="en-GB"/>
              </w:rPr>
              <w:t>Czech TAVI registry – Hospital outcome, Cor et Vasa 59 (2017) e51-6; https://www.sciencedirect.com/science/article/pii/S0010865017300255);</w:t>
            </w:r>
          </w:p>
          <w:p w14:paraId="072DA937" w14:textId="77777777" w:rsidR="00E5790E" w:rsidRPr="00942114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2114">
              <w:rPr>
                <w:rFonts w:ascii="Times New Roman" w:hAnsi="Times New Roman"/>
                <w:color w:val="000000"/>
              </w:rPr>
              <w:t>Japonia (OCEAN-TAVI Registry</w:t>
            </w:r>
            <w:r>
              <w:rPr>
                <w:rFonts w:ascii="Times New Roman" w:hAnsi="Times New Roman"/>
                <w:color w:val="000000"/>
              </w:rPr>
              <w:t>;</w:t>
            </w:r>
            <w:r w:rsidRPr="00942114">
              <w:rPr>
                <w:rFonts w:ascii="Times New Roman" w:hAnsi="Times New Roman"/>
                <w:color w:val="000000"/>
              </w:rPr>
              <w:t xml:space="preserve"> https://www.sciencedirect.com/science/article/pii/S0735109718325427?via%3Dihub);</w:t>
            </w:r>
          </w:p>
          <w:p w14:paraId="7DC16A9C" w14:textId="77777777" w:rsidR="00E5790E" w:rsidRPr="003C601B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/>
                <w:color w:val="000000"/>
                <w:lang w:val="en-GB"/>
              </w:rPr>
            </w:pPr>
            <w:proofErr w:type="spellStart"/>
            <w:r w:rsidRPr="003C601B">
              <w:rPr>
                <w:rFonts w:ascii="Times New Roman" w:hAnsi="Times New Roman"/>
                <w:color w:val="000000"/>
                <w:lang w:val="en-GB"/>
              </w:rPr>
              <w:t>Szwajcaria</w:t>
            </w:r>
            <w:proofErr w:type="spellEnd"/>
            <w:r w:rsidRPr="003C601B">
              <w:rPr>
                <w:rFonts w:ascii="Times New Roman" w:hAnsi="Times New Roman"/>
                <w:color w:val="000000"/>
                <w:lang w:val="en-GB"/>
              </w:rPr>
              <w:t xml:space="preserve"> (Swiss TAVI Registry https://clinicaltrials.gov/ct2/show/NCT01368250);</w:t>
            </w:r>
          </w:p>
          <w:p w14:paraId="0023D564" w14:textId="77777777" w:rsidR="00E5790E" w:rsidRPr="007605A8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42114">
              <w:rPr>
                <w:rFonts w:ascii="Times New Roman" w:hAnsi="Times New Roman"/>
                <w:color w:val="000000"/>
              </w:rPr>
              <w:t xml:space="preserve">Wielka Brytania (UK TAVI Registry, http://interventions.onlinejacc.org/content/8/5/645) oraz </w:t>
            </w:r>
            <w:r w:rsidRPr="007605A8">
              <w:rPr>
                <w:rFonts w:ascii="Times New Roman" w:hAnsi="Times New Roman"/>
                <w:color w:val="000000"/>
              </w:rPr>
              <w:t xml:space="preserve">międzynarodowy rejestr TOPAS-TAVI, w którym zbierane są dane z realizacji procedur przezcewnikowej operacji zastawek serca z krajów takich jak: Austria, Belgia, Francja, Kanada, Niemcy, USA; Ribeiro HB et al. </w:t>
            </w:r>
            <w:r w:rsidRPr="003C601B">
              <w:rPr>
                <w:rFonts w:ascii="Times New Roman" w:hAnsi="Times New Roman"/>
                <w:color w:val="000000"/>
                <w:lang w:val="en-GB"/>
              </w:rPr>
              <w:t xml:space="preserve">Transcatheter Aortic Valve Replacement in Patients With Low-Flow, Low-Gradient Aortic Stenosis: The TOPAS-TAVI Registry, J Am Coll </w:t>
            </w:r>
            <w:proofErr w:type="spellStart"/>
            <w:r w:rsidRPr="003C601B">
              <w:rPr>
                <w:rFonts w:ascii="Times New Roman" w:hAnsi="Times New Roman"/>
                <w:color w:val="000000"/>
                <w:lang w:val="en-GB"/>
              </w:rPr>
              <w:t>Cardiol</w:t>
            </w:r>
            <w:proofErr w:type="spellEnd"/>
            <w:r w:rsidRPr="003C601B">
              <w:rPr>
                <w:rFonts w:ascii="Times New Roman" w:hAnsi="Times New Roman"/>
                <w:color w:val="000000"/>
                <w:lang w:val="en-GB"/>
              </w:rPr>
              <w:t xml:space="preserve">. </w:t>
            </w:r>
            <w:r w:rsidRPr="007605A8">
              <w:rPr>
                <w:rFonts w:ascii="Times New Roman" w:hAnsi="Times New Roman"/>
                <w:color w:val="000000"/>
              </w:rPr>
              <w:t xml:space="preserve">2018 Mar 27;71(12):1297-1308; </w:t>
            </w:r>
            <w:hyperlink r:id="rId9" w:history="1">
              <w:r w:rsidRPr="00223081">
                <w:rPr>
                  <w:rStyle w:val="Hipercze"/>
                  <w:rFonts w:ascii="Times New Roman" w:hAnsi="Times New Roman"/>
                  <w:color w:val="000000" w:themeColor="text1"/>
                  <w:u w:val="none"/>
                </w:rPr>
                <w:t>https://www.ncbi.nlm.nih.gov/pubmed/29566812</w:t>
              </w:r>
            </w:hyperlink>
            <w:r w:rsidRPr="007605A8">
              <w:rPr>
                <w:rFonts w:ascii="Times New Roman" w:hAnsi="Times New Roman"/>
                <w:color w:val="000000"/>
              </w:rPr>
              <w:t>);</w:t>
            </w:r>
          </w:p>
          <w:p w14:paraId="79BE1466" w14:textId="77777777" w:rsidR="00E5790E" w:rsidRPr="007605A8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3DFE">
              <w:rPr>
                <w:rFonts w:ascii="Times New Roman" w:hAnsi="Times New Roman"/>
              </w:rPr>
              <w:t xml:space="preserve">Niemcy: Rejestr GARY - German </w:t>
            </w:r>
            <w:proofErr w:type="spellStart"/>
            <w:r w:rsidRPr="00713DFE">
              <w:rPr>
                <w:rFonts w:ascii="Times New Roman" w:hAnsi="Times New Roman"/>
              </w:rPr>
              <w:t>Aortic</w:t>
            </w:r>
            <w:proofErr w:type="spellEnd"/>
            <w:r w:rsidRPr="00713DFE">
              <w:rPr>
                <w:rFonts w:ascii="Times New Roman" w:hAnsi="Times New Roman"/>
              </w:rPr>
              <w:t xml:space="preserve"> </w:t>
            </w:r>
            <w:proofErr w:type="spellStart"/>
            <w:r w:rsidRPr="00713DFE">
              <w:rPr>
                <w:rFonts w:ascii="Times New Roman" w:hAnsi="Times New Roman"/>
              </w:rPr>
              <w:t>Valve</w:t>
            </w:r>
            <w:proofErr w:type="spellEnd"/>
            <w:r w:rsidRPr="00713DFE">
              <w:rPr>
                <w:rFonts w:ascii="Times New Roman" w:hAnsi="Times New Roman"/>
              </w:rPr>
              <w:t xml:space="preserve"> Registry (Niemiecki Rejestr Leczenia Zastawki Aortalnej)</w:t>
            </w:r>
            <w:r>
              <w:rPr>
                <w:rFonts w:ascii="Times New Roman" w:hAnsi="Times New Roman"/>
              </w:rPr>
              <w:t xml:space="preserve"> </w:t>
            </w:r>
            <w:r w:rsidRPr="007605A8">
              <w:rPr>
                <w:rFonts w:ascii="Times New Roman" w:hAnsi="Times New Roman"/>
                <w:color w:val="000000"/>
              </w:rPr>
              <w:t>https://www.ncbi.nlm.nih.gov/pubmed/22859310;</w:t>
            </w:r>
          </w:p>
          <w:p w14:paraId="0C217A4E" w14:textId="77777777" w:rsidR="00E5790E" w:rsidRPr="00223081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color w:val="000000"/>
              </w:rPr>
            </w:pPr>
            <w:r w:rsidRPr="00713DFE">
              <w:rPr>
                <w:rFonts w:ascii="Times New Roman" w:hAnsi="Times New Roman"/>
              </w:rPr>
              <w:t xml:space="preserve">Europa: </w:t>
            </w:r>
            <w:proofErr w:type="spellStart"/>
            <w:r w:rsidRPr="00713DFE">
              <w:rPr>
                <w:rFonts w:ascii="Times New Roman" w:hAnsi="Times New Roman"/>
              </w:rPr>
              <w:t>European</w:t>
            </w:r>
            <w:proofErr w:type="spellEnd"/>
            <w:r w:rsidRPr="00713DFE">
              <w:rPr>
                <w:rFonts w:ascii="Times New Roman" w:hAnsi="Times New Roman"/>
              </w:rPr>
              <w:t xml:space="preserve"> </w:t>
            </w:r>
            <w:proofErr w:type="spellStart"/>
            <w:r w:rsidRPr="00713DFE">
              <w:rPr>
                <w:rFonts w:ascii="Times New Roman" w:hAnsi="Times New Roman"/>
              </w:rPr>
              <w:t>TransCatheter</w:t>
            </w:r>
            <w:proofErr w:type="spellEnd"/>
            <w:r w:rsidRPr="00713DFE">
              <w:rPr>
                <w:rFonts w:ascii="Times New Roman" w:hAnsi="Times New Roman"/>
              </w:rPr>
              <w:t xml:space="preserve"> </w:t>
            </w:r>
            <w:proofErr w:type="spellStart"/>
            <w:r w:rsidRPr="00713DFE">
              <w:rPr>
                <w:rFonts w:ascii="Times New Roman" w:hAnsi="Times New Roman"/>
              </w:rPr>
              <w:t>Valve</w:t>
            </w:r>
            <w:proofErr w:type="spellEnd"/>
            <w:r w:rsidRPr="00713DFE">
              <w:rPr>
                <w:rFonts w:ascii="Times New Roman" w:hAnsi="Times New Roman"/>
              </w:rPr>
              <w:t xml:space="preserve"> </w:t>
            </w:r>
            <w:proofErr w:type="spellStart"/>
            <w:r w:rsidRPr="00713DFE">
              <w:rPr>
                <w:rFonts w:ascii="Times New Roman" w:hAnsi="Times New Roman"/>
              </w:rPr>
              <w:t>Treatment</w:t>
            </w:r>
            <w:proofErr w:type="spellEnd"/>
            <w:r w:rsidRPr="00713DFE">
              <w:rPr>
                <w:rFonts w:ascii="Times New Roman" w:hAnsi="Times New Roman"/>
              </w:rPr>
              <w:t xml:space="preserve"> Registry, TCVT (Rejestr </w:t>
            </w:r>
            <w:proofErr w:type="spellStart"/>
            <w:r w:rsidRPr="00713DFE">
              <w:rPr>
                <w:rFonts w:ascii="Times New Roman" w:hAnsi="Times New Roman"/>
              </w:rPr>
              <w:t>Przecewnikowego</w:t>
            </w:r>
            <w:proofErr w:type="spellEnd"/>
            <w:r w:rsidRPr="00713DFE">
              <w:rPr>
                <w:rFonts w:ascii="Times New Roman" w:hAnsi="Times New Roman"/>
              </w:rPr>
              <w:t xml:space="preserve"> Leczenia Zastawek</w:t>
            </w:r>
            <w:r>
              <w:rPr>
                <w:rFonts w:ascii="Times New Roman" w:hAnsi="Times New Roman"/>
              </w:rPr>
              <w:t xml:space="preserve"> </w:t>
            </w:r>
            <w:r w:rsidRPr="007605A8">
              <w:rPr>
                <w:rFonts w:ascii="Times New Roman" w:hAnsi="Times New Roman"/>
              </w:rPr>
              <w:t>https://www.escardio.org/Research/Registries-&amp;-surveys/Registry-publications;</w:t>
            </w:r>
          </w:p>
          <w:p w14:paraId="7B5DBDC0" w14:textId="77777777" w:rsidR="00E5790E" w:rsidRPr="007605A8" w:rsidRDefault="00E5790E" w:rsidP="00E5790E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Francja: FRANCE 2 </w:t>
            </w:r>
            <w:r w:rsidRPr="007605A8">
              <w:rPr>
                <w:rFonts w:ascii="Times New Roman" w:hAnsi="Times New Roman"/>
                <w:color w:val="000000"/>
              </w:rPr>
              <w:t>http://spo.escardio.org/eslides/view.aspx?eevtid=54&amp;fp=5178;</w:t>
            </w:r>
          </w:p>
          <w:p w14:paraId="1C685125" w14:textId="05B3749D" w:rsidR="00334167" w:rsidRPr="005237A2" w:rsidRDefault="00E5790E" w:rsidP="005237A2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lang w:val="en-GB"/>
              </w:rPr>
            </w:pPr>
            <w:proofErr w:type="spellStart"/>
            <w:r w:rsidRPr="003C601B">
              <w:rPr>
                <w:rFonts w:ascii="Times New Roman" w:hAnsi="Times New Roman"/>
                <w:lang w:val="en-GB"/>
              </w:rPr>
              <w:t>Stany</w:t>
            </w:r>
            <w:proofErr w:type="spellEnd"/>
            <w:r w:rsidRPr="003C601B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3C601B">
              <w:rPr>
                <w:rFonts w:ascii="Times New Roman" w:hAnsi="Times New Roman"/>
                <w:lang w:val="en-GB"/>
              </w:rPr>
              <w:t>Zjednoczone</w:t>
            </w:r>
            <w:proofErr w:type="spellEnd"/>
            <w:r w:rsidRPr="003C601B">
              <w:rPr>
                <w:rFonts w:ascii="Times New Roman" w:hAnsi="Times New Roman"/>
                <w:lang w:val="en-GB"/>
              </w:rPr>
              <w:t>: STS/ ACC Transcatheter Valve Therapy Registry (STS/ ACC TVT Registry).</w:t>
            </w:r>
          </w:p>
        </w:tc>
      </w:tr>
      <w:tr w:rsidR="006A701A" w:rsidRPr="008B4FE6" w14:paraId="40E1F5EF" w14:textId="77777777" w:rsidTr="00E12EDC">
        <w:trPr>
          <w:trHeight w:val="359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66AAC8B0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FFE6C11" w14:textId="77777777" w:rsidTr="00E12EDC">
        <w:trPr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37A49E2D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319" w:type="dxa"/>
            <w:gridSpan w:val="7"/>
            <w:shd w:val="clear" w:color="auto" w:fill="auto"/>
          </w:tcPr>
          <w:p w14:paraId="415501B5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52F6307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3" w:type="dxa"/>
            <w:gridSpan w:val="7"/>
            <w:shd w:val="clear" w:color="auto" w:fill="auto"/>
          </w:tcPr>
          <w:p w14:paraId="35F7016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62B5681A" w14:textId="77777777" w:rsidTr="00E12EDC">
        <w:trPr>
          <w:trHeight w:val="142"/>
        </w:trPr>
        <w:tc>
          <w:tcPr>
            <w:tcW w:w="2666" w:type="dxa"/>
            <w:gridSpan w:val="3"/>
            <w:shd w:val="clear" w:color="auto" w:fill="auto"/>
            <w:vAlign w:val="center"/>
          </w:tcPr>
          <w:p w14:paraId="3E84AE3B" w14:textId="77777777" w:rsidR="00260F33" w:rsidRPr="008B4FE6" w:rsidRDefault="008B7753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0E2201">
              <w:rPr>
                <w:rFonts w:ascii="Times New Roman" w:hAnsi="Times New Roman"/>
                <w:color w:val="000000"/>
              </w:rPr>
              <w:t>Pacjenci</w:t>
            </w:r>
          </w:p>
        </w:tc>
        <w:tc>
          <w:tcPr>
            <w:tcW w:w="2319" w:type="dxa"/>
            <w:gridSpan w:val="7"/>
            <w:shd w:val="clear" w:color="auto" w:fill="auto"/>
            <w:vAlign w:val="center"/>
          </w:tcPr>
          <w:p w14:paraId="031CD00D" w14:textId="64A6103E" w:rsidR="00260F33" w:rsidRPr="00B37C80" w:rsidRDefault="008B7753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40D80">
              <w:rPr>
                <w:rFonts w:ascii="Times New Roman" w:hAnsi="Times New Roman"/>
                <w:color w:val="000000"/>
                <w:spacing w:val="-2"/>
              </w:rPr>
              <w:t xml:space="preserve">ok. </w:t>
            </w:r>
            <w:r w:rsidR="00B523F8">
              <w:rPr>
                <w:rFonts w:ascii="Times New Roman" w:hAnsi="Times New Roman"/>
                <w:color w:val="000000"/>
                <w:spacing w:val="-2"/>
              </w:rPr>
              <w:t>7</w:t>
            </w:r>
            <w:r w:rsidR="003E3A5B">
              <w:rPr>
                <w:rFonts w:ascii="Times New Roman" w:hAnsi="Times New Roman"/>
                <w:color w:val="000000"/>
                <w:spacing w:val="-2"/>
              </w:rPr>
              <w:t>18</w:t>
            </w:r>
            <w:r w:rsidR="00B523F8">
              <w:rPr>
                <w:rFonts w:ascii="Times New Roman" w:hAnsi="Times New Roman"/>
                <w:color w:val="000000"/>
                <w:spacing w:val="-2"/>
              </w:rPr>
              <w:t>2</w:t>
            </w:r>
          </w:p>
        </w:tc>
        <w:tc>
          <w:tcPr>
            <w:tcW w:w="2996" w:type="dxa"/>
            <w:gridSpan w:val="12"/>
            <w:shd w:val="clear" w:color="auto" w:fill="auto"/>
            <w:vAlign w:val="center"/>
          </w:tcPr>
          <w:p w14:paraId="03662232" w14:textId="27150B5F" w:rsidR="00260F33" w:rsidRPr="00B37C80" w:rsidRDefault="00B523F8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523F8">
              <w:rPr>
                <w:rFonts w:ascii="Times New Roman" w:hAnsi="Times New Roman"/>
                <w:color w:val="000000"/>
                <w:spacing w:val="-2"/>
              </w:rPr>
              <w:t>Baza Analiz Systemowych i Wdrożeniowych</w:t>
            </w:r>
            <w:r w:rsidR="00282711">
              <w:rPr>
                <w:rFonts w:ascii="Times New Roman" w:hAnsi="Times New Roman"/>
                <w:color w:val="000000"/>
                <w:spacing w:val="-2"/>
              </w:rPr>
              <w:t xml:space="preserve"> oraz </w:t>
            </w:r>
            <w:r>
              <w:rPr>
                <w:rFonts w:ascii="Times New Roman" w:hAnsi="Times New Roman"/>
                <w:color w:val="000000"/>
                <w:spacing w:val="-2"/>
              </w:rPr>
              <w:t>Ministerstwo Zdrowia</w:t>
            </w:r>
          </w:p>
        </w:tc>
        <w:tc>
          <w:tcPr>
            <w:tcW w:w="2983" w:type="dxa"/>
            <w:gridSpan w:val="7"/>
            <w:shd w:val="clear" w:color="auto" w:fill="auto"/>
            <w:vAlign w:val="center"/>
          </w:tcPr>
          <w:p w14:paraId="15DB4450" w14:textId="77777777" w:rsidR="003E3A5B" w:rsidRPr="00901D81" w:rsidRDefault="003E3A5B" w:rsidP="003E3A5B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>poprawa wyników leczenia wad zastawkowych serca</w:t>
            </w:r>
          </w:p>
          <w:p w14:paraId="003A96BC" w14:textId="38B59D06" w:rsidR="00260F33" w:rsidRPr="003E3A5B" w:rsidRDefault="003E3A5B" w:rsidP="003E3A5B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>poprawa jakości i długości życia pacjentów z wadami zastawkowymi serca</w:t>
            </w:r>
          </w:p>
        </w:tc>
      </w:tr>
      <w:tr w:rsidR="00260F33" w:rsidRPr="008B4FE6" w14:paraId="7D21272B" w14:textId="77777777" w:rsidTr="00E12EDC">
        <w:trPr>
          <w:trHeight w:val="142"/>
        </w:trPr>
        <w:tc>
          <w:tcPr>
            <w:tcW w:w="2666" w:type="dxa"/>
            <w:gridSpan w:val="3"/>
            <w:shd w:val="clear" w:color="auto" w:fill="auto"/>
            <w:vAlign w:val="center"/>
          </w:tcPr>
          <w:p w14:paraId="646798C5" w14:textId="2818E52F" w:rsidR="00260F33" w:rsidRPr="008B4FE6" w:rsidRDefault="00334167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Podmioty wykonujące działalność leczniczą</w:t>
            </w:r>
          </w:p>
        </w:tc>
        <w:tc>
          <w:tcPr>
            <w:tcW w:w="2319" w:type="dxa"/>
            <w:gridSpan w:val="7"/>
            <w:shd w:val="clear" w:color="auto" w:fill="auto"/>
            <w:vAlign w:val="center"/>
          </w:tcPr>
          <w:p w14:paraId="755CB167" w14:textId="17891430" w:rsidR="00260F33" w:rsidRPr="00B37C80" w:rsidRDefault="007B69E5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49</w:t>
            </w:r>
          </w:p>
        </w:tc>
        <w:tc>
          <w:tcPr>
            <w:tcW w:w="2996" w:type="dxa"/>
            <w:gridSpan w:val="12"/>
            <w:shd w:val="clear" w:color="auto" w:fill="auto"/>
            <w:vAlign w:val="center"/>
          </w:tcPr>
          <w:p w14:paraId="000EB595" w14:textId="0307BAC2" w:rsidR="00260F33" w:rsidRPr="00B37C80" w:rsidRDefault="007B69E5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523F8">
              <w:rPr>
                <w:rFonts w:ascii="Times New Roman" w:hAnsi="Times New Roman"/>
                <w:color w:val="000000"/>
                <w:spacing w:val="-2"/>
              </w:rPr>
              <w:t>Baza Analiz Systemowych i Wdrożeniowych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oraz Ministerstwo Zdrowia</w:t>
            </w:r>
          </w:p>
        </w:tc>
        <w:tc>
          <w:tcPr>
            <w:tcW w:w="2983" w:type="dxa"/>
            <w:gridSpan w:val="7"/>
            <w:shd w:val="clear" w:color="auto" w:fill="auto"/>
            <w:vAlign w:val="center"/>
          </w:tcPr>
          <w:p w14:paraId="28918D90" w14:textId="77777777" w:rsidR="003E3A5B" w:rsidRPr="00542754" w:rsidRDefault="003E3A5B" w:rsidP="003E3A5B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>z</w:t>
            </w:r>
            <w:r w:rsidRPr="00542754">
              <w:rPr>
                <w:rFonts w:ascii="Times New Roman" w:hAnsi="Times New Roman"/>
                <w:color w:val="000000" w:themeColor="text1"/>
                <w:spacing w:val="-2"/>
              </w:rPr>
              <w:t xml:space="preserve">obowiązanie do przekazywania danych do rejestru </w:t>
            </w:r>
          </w:p>
          <w:p w14:paraId="72F0A6D9" w14:textId="77777777" w:rsidR="003E3A5B" w:rsidRPr="00901D81" w:rsidRDefault="003E3A5B" w:rsidP="003E3A5B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/>
                <w:spacing w:val="-2"/>
              </w:rPr>
            </w:pPr>
            <w:r w:rsidRPr="00542754">
              <w:rPr>
                <w:rFonts w:ascii="Times New Roman" w:hAnsi="Times New Roman"/>
                <w:color w:val="000000" w:themeColor="text1"/>
                <w:spacing w:val="-2"/>
              </w:rPr>
              <w:t>stymulacja konkurencji między ośrodkami wykonującymi przezcewnikowe zabiegi na zastawkach serca</w:t>
            </w:r>
          </w:p>
          <w:p w14:paraId="153DD55C" w14:textId="77777777" w:rsidR="003E3A5B" w:rsidRPr="00901D81" w:rsidRDefault="003E3A5B" w:rsidP="003E3A5B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>poprawa wyników leczenia wad zastawkowych serca</w:t>
            </w:r>
          </w:p>
          <w:p w14:paraId="1A7106DE" w14:textId="06B6296C" w:rsidR="00260F33" w:rsidRPr="00B37C80" w:rsidRDefault="00260F33" w:rsidP="003E3A5B">
            <w:pPr>
              <w:ind w:left="-58"/>
              <w:rPr>
                <w:color w:val="000000"/>
              </w:rPr>
            </w:pPr>
          </w:p>
        </w:tc>
      </w:tr>
      <w:tr w:rsidR="00FA1291" w:rsidRPr="008B4FE6" w14:paraId="2245FA71" w14:textId="77777777" w:rsidTr="00E12EDC">
        <w:trPr>
          <w:trHeight w:val="142"/>
        </w:trPr>
        <w:tc>
          <w:tcPr>
            <w:tcW w:w="2666" w:type="dxa"/>
            <w:gridSpan w:val="3"/>
            <w:shd w:val="clear" w:color="auto" w:fill="auto"/>
            <w:vAlign w:val="center"/>
          </w:tcPr>
          <w:p w14:paraId="30C6B1F1" w14:textId="77777777" w:rsidR="00FA1291" w:rsidRPr="00D202F2" w:rsidRDefault="00FA1291" w:rsidP="00FA1291">
            <w:pPr>
              <w:tabs>
                <w:tab w:val="left" w:pos="156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449">
              <w:rPr>
                <w:rFonts w:ascii="Times New Roman" w:hAnsi="Times New Roman"/>
                <w:color w:val="000000"/>
                <w:spacing w:val="-2"/>
              </w:rPr>
              <w:t>N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arodowy </w:t>
            </w:r>
            <w:r w:rsidRPr="005A2449">
              <w:rPr>
                <w:rFonts w:ascii="Times New Roman" w:hAnsi="Times New Roman"/>
                <w:color w:val="000000"/>
                <w:spacing w:val="-2"/>
              </w:rPr>
              <w:t>F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undusz </w:t>
            </w:r>
            <w:r w:rsidRPr="005A2449">
              <w:rPr>
                <w:rFonts w:ascii="Times New Roman" w:hAnsi="Times New Roman"/>
                <w:color w:val="000000"/>
                <w:spacing w:val="-2"/>
              </w:rPr>
              <w:t>Z</w:t>
            </w:r>
            <w:r>
              <w:rPr>
                <w:rFonts w:ascii="Times New Roman" w:hAnsi="Times New Roman"/>
                <w:color w:val="000000"/>
                <w:spacing w:val="-2"/>
              </w:rPr>
              <w:t>drowia</w:t>
            </w:r>
          </w:p>
        </w:tc>
        <w:tc>
          <w:tcPr>
            <w:tcW w:w="2319" w:type="dxa"/>
            <w:gridSpan w:val="7"/>
            <w:shd w:val="clear" w:color="auto" w:fill="auto"/>
            <w:vAlign w:val="center"/>
          </w:tcPr>
          <w:p w14:paraId="51A53BD9" w14:textId="77777777" w:rsidR="00FA1291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  <w:vAlign w:val="center"/>
          </w:tcPr>
          <w:p w14:paraId="4AF5D0BE" w14:textId="1F31B47D" w:rsidR="00FA1291" w:rsidRDefault="0028271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Ustawa z dnia 27</w:t>
            </w:r>
            <w:r w:rsidR="0044569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sierpnia 2004 r. o świadczeniach opieki zdrowotnej finansowanych ze środków publicznych (Dz. U. z 2020 r. poz. 1398</w:t>
            </w:r>
            <w:r w:rsidR="00C515FE">
              <w:rPr>
                <w:rFonts w:ascii="Times New Roman" w:hAnsi="Times New Roman"/>
                <w:color w:val="000000"/>
                <w:spacing w:val="-2"/>
              </w:rPr>
              <w:t>, z późn. zm.</w:t>
            </w:r>
            <w:r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2983" w:type="dxa"/>
            <w:gridSpan w:val="7"/>
            <w:shd w:val="clear" w:color="auto" w:fill="auto"/>
            <w:vAlign w:val="center"/>
          </w:tcPr>
          <w:p w14:paraId="615D1F80" w14:textId="77777777" w:rsidR="00FA1291" w:rsidRDefault="00542754" w:rsidP="00542754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zobowiązanie do przekazania danych do rejestru</w:t>
            </w:r>
          </w:p>
          <w:p w14:paraId="5355EBDA" w14:textId="472756EB" w:rsidR="00DB7ED9" w:rsidRDefault="00DB7ED9" w:rsidP="00542754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02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otrzymywanie informacji o skuteczności, bezpieczeństwie i efektywności leczenia wad zastawkowych serca metodami przezcewnikowymi</w:t>
            </w:r>
          </w:p>
        </w:tc>
      </w:tr>
      <w:tr w:rsidR="00FA1291" w:rsidRPr="008B4FE6" w14:paraId="7403EA3F" w14:textId="77777777" w:rsidTr="00E12EDC">
        <w:trPr>
          <w:trHeight w:val="302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71A57845" w14:textId="77777777" w:rsidR="00FA1291" w:rsidRPr="008B4FE6" w:rsidRDefault="00FA1291" w:rsidP="00FA129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FA1291" w:rsidRPr="008B4FE6" w14:paraId="7A9AE32F" w14:textId="77777777" w:rsidTr="00E12EDC">
        <w:trPr>
          <w:trHeight w:val="342"/>
        </w:trPr>
        <w:tc>
          <w:tcPr>
            <w:tcW w:w="10964" w:type="dxa"/>
            <w:gridSpan w:val="29"/>
            <w:shd w:val="clear" w:color="auto" w:fill="FFFFFF"/>
          </w:tcPr>
          <w:p w14:paraId="553E6467" w14:textId="77777777" w:rsidR="00FA1291" w:rsidRPr="00223081" w:rsidRDefault="00FA1291" w:rsidP="00FA12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23081">
              <w:rPr>
                <w:rFonts w:ascii="Times New Roman" w:eastAsia="Times New Roman" w:hAnsi="Times New Roman"/>
                <w:bCs/>
                <w:lang w:eastAsia="pl-PL"/>
              </w:rPr>
              <w:t xml:space="preserve">Projekt nie był przedmiotem </w:t>
            </w:r>
            <w:proofErr w:type="spellStart"/>
            <w:r w:rsidRPr="00223081">
              <w:rPr>
                <w:rFonts w:ascii="Times New Roman" w:eastAsia="Times New Roman" w:hAnsi="Times New Roman"/>
                <w:bCs/>
                <w:lang w:eastAsia="pl-PL"/>
              </w:rPr>
              <w:t>pre</w:t>
            </w:r>
            <w:proofErr w:type="spellEnd"/>
            <w:r w:rsidRPr="00223081">
              <w:rPr>
                <w:rFonts w:ascii="Times New Roman" w:eastAsia="Times New Roman" w:hAnsi="Times New Roman"/>
                <w:bCs/>
                <w:lang w:eastAsia="pl-PL"/>
              </w:rPr>
              <w:t>-konsultacji.</w:t>
            </w:r>
          </w:p>
          <w:p w14:paraId="4217B23C" w14:textId="6B0D4259" w:rsidR="00FA1291" w:rsidRPr="00973995" w:rsidRDefault="00FA1291" w:rsidP="00FA12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Niniejszy projekt zosta</w:t>
            </w:r>
            <w:r w:rsidR="008C6780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przesłany do opiniowania i konsultacji publicznych</w:t>
            </w:r>
            <w:r w:rsidR="00B523F8" w:rsidRPr="00973995">
              <w:rPr>
                <w:rFonts w:ascii="Times New Roman" w:hAnsi="Times New Roman"/>
                <w:color w:val="000000"/>
                <w:spacing w:val="-2"/>
              </w:rPr>
              <w:t xml:space="preserve"> do:</w:t>
            </w:r>
          </w:p>
          <w:p w14:paraId="0DC3315D" w14:textId="1F1F1D54" w:rsidR="00B523F8" w:rsidRPr="00973995" w:rsidRDefault="00B523F8" w:rsidP="00B523F8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Konsultanta krajowego w dziedzinie kardiologii;</w:t>
            </w:r>
          </w:p>
          <w:p w14:paraId="14496314" w14:textId="77B8D1F9" w:rsidR="00B523F8" w:rsidRPr="00973995" w:rsidRDefault="00B523F8" w:rsidP="00B523F8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Konsultanta krajowego w dziedzinie chirurgii naczyniowej;</w:t>
            </w:r>
          </w:p>
          <w:p w14:paraId="5E6AA2C6" w14:textId="23131882" w:rsidR="00B523F8" w:rsidRPr="00973995" w:rsidRDefault="00B523F8" w:rsidP="00B523F8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Konsultant</w:t>
            </w:r>
            <w:r w:rsidR="001F6044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 w:rsidR="001F6044" w:rsidRPr="00973995">
              <w:rPr>
                <w:rFonts w:ascii="Times New Roman" w:hAnsi="Times New Roman"/>
                <w:color w:val="000000"/>
                <w:spacing w:val="-2"/>
              </w:rPr>
              <w:t>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w dziedzinie kardiochirurgii;</w:t>
            </w:r>
          </w:p>
          <w:p w14:paraId="2E9FFCF5" w14:textId="262661DC" w:rsidR="001F6044" w:rsidRPr="00973995" w:rsidRDefault="001F6044" w:rsidP="00B523F8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Konsultant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krajowy w dziedzinie inżynierii medycznej</w:t>
            </w:r>
            <w:r w:rsidR="005760A7" w:rsidRPr="00973995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A79E6DB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Rady Dialogu Społecznego;</w:t>
            </w:r>
          </w:p>
          <w:p w14:paraId="519A1A3A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973995">
              <w:rPr>
                <w:rFonts w:ascii="Times New Roman" w:hAnsi="Times New Roman"/>
                <w:color w:val="000000" w:themeColor="text1"/>
                <w:spacing w:val="-2"/>
              </w:rPr>
              <w:t xml:space="preserve">Biura Komisji Krajowej NSZZ „Solidarność”; </w:t>
            </w:r>
          </w:p>
          <w:p w14:paraId="1FED0587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973995">
              <w:rPr>
                <w:rFonts w:ascii="Times New Roman" w:hAnsi="Times New Roman"/>
                <w:color w:val="000000" w:themeColor="text1"/>
                <w:spacing w:val="-2"/>
              </w:rPr>
              <w:t>Krajowego Sekretariatu Ochrony Zdrowia NSZZ „Solidarność ’80”;</w:t>
            </w:r>
          </w:p>
          <w:p w14:paraId="62F9D971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973995">
              <w:rPr>
                <w:rFonts w:ascii="Times New Roman" w:hAnsi="Times New Roman"/>
                <w:color w:val="000000" w:themeColor="text1"/>
                <w:spacing w:val="-2"/>
              </w:rPr>
              <w:t xml:space="preserve">Ogólnopolskiego Związku Zawodowego Lekarzy; </w:t>
            </w:r>
          </w:p>
          <w:p w14:paraId="2617B63E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973995">
              <w:rPr>
                <w:rFonts w:ascii="Times New Roman" w:hAnsi="Times New Roman"/>
                <w:color w:val="000000" w:themeColor="text1"/>
                <w:spacing w:val="-2"/>
              </w:rPr>
              <w:t xml:space="preserve">Ogólnopolskiego Związku Zawodowego Pielęgniarek i Położnych; </w:t>
            </w:r>
          </w:p>
          <w:p w14:paraId="76B73B77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973995">
              <w:rPr>
                <w:rFonts w:ascii="Times New Roman" w:hAnsi="Times New Roman"/>
                <w:color w:val="000000" w:themeColor="text1"/>
                <w:spacing w:val="-2"/>
              </w:rPr>
              <w:lastRenderedPageBreak/>
              <w:t>Ogólnopolskiego Porozumienia Związków Zawodowych;</w:t>
            </w:r>
          </w:p>
          <w:p w14:paraId="0215B003" w14:textId="3ABAC59D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>Konfederacj</w:t>
            </w:r>
            <w:r w:rsidR="00C2147B" w:rsidRPr="00973995">
              <w:rPr>
                <w:rFonts w:ascii="Times New Roman" w:eastAsia="Times New Roman" w:hAnsi="Times New Roman"/>
                <w:bCs/>
                <w:lang w:eastAsia="pl-PL"/>
              </w:rPr>
              <w:t>i</w:t>
            </w: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 xml:space="preserve"> Lewiatan</w:t>
            </w:r>
            <w:r w:rsidR="005760A7" w:rsidRPr="00973995">
              <w:rPr>
                <w:rFonts w:ascii="Times New Roman" w:eastAsia="Times New Roman" w:hAnsi="Times New Roman"/>
                <w:bCs/>
                <w:lang w:eastAsia="pl-PL"/>
              </w:rPr>
              <w:t>;</w:t>
            </w:r>
          </w:p>
          <w:p w14:paraId="150E0423" w14:textId="0DA4590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>Business Centre Club</w:t>
            </w:r>
            <w:r w:rsidR="005760A7" w:rsidRPr="00973995">
              <w:rPr>
                <w:rFonts w:ascii="Times New Roman" w:eastAsia="Times New Roman" w:hAnsi="Times New Roman"/>
                <w:bCs/>
                <w:lang w:eastAsia="pl-PL"/>
              </w:rPr>
              <w:t>;</w:t>
            </w:r>
          </w:p>
          <w:p w14:paraId="55C16A2A" w14:textId="5EC8983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>Związ</w:t>
            </w:r>
            <w:r w:rsidR="00C2147B" w:rsidRPr="00973995">
              <w:rPr>
                <w:rFonts w:ascii="Times New Roman" w:eastAsia="Times New Roman" w:hAnsi="Times New Roman"/>
                <w:bCs/>
                <w:lang w:eastAsia="pl-PL"/>
              </w:rPr>
              <w:t>ku</w:t>
            </w: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 xml:space="preserve"> Rzemiosła Polskiego</w:t>
            </w:r>
            <w:r w:rsidR="00973995">
              <w:rPr>
                <w:rFonts w:ascii="Times New Roman" w:eastAsia="Times New Roman" w:hAnsi="Times New Roman"/>
                <w:bCs/>
                <w:lang w:eastAsia="pl-PL"/>
              </w:rPr>
              <w:t>;</w:t>
            </w:r>
          </w:p>
          <w:p w14:paraId="1174C0CF" w14:textId="1EDC473D" w:rsidR="001F6044" w:rsidRPr="00973995" w:rsidRDefault="00FA1291" w:rsidP="001F6044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>Związ</w:t>
            </w:r>
            <w:r w:rsidR="00C2147B" w:rsidRPr="00973995">
              <w:rPr>
                <w:rFonts w:ascii="Times New Roman" w:eastAsia="Times New Roman" w:hAnsi="Times New Roman"/>
                <w:bCs/>
                <w:lang w:eastAsia="pl-PL"/>
              </w:rPr>
              <w:t>ku</w:t>
            </w:r>
            <w:r w:rsidRPr="00973995">
              <w:rPr>
                <w:rFonts w:ascii="Times New Roman" w:eastAsia="Times New Roman" w:hAnsi="Times New Roman"/>
                <w:bCs/>
                <w:lang w:eastAsia="pl-PL"/>
              </w:rPr>
              <w:t xml:space="preserve"> Przedsiębiorców i Pracodawców</w:t>
            </w:r>
            <w:r w:rsidR="005760A7" w:rsidRPr="00973995">
              <w:rPr>
                <w:rFonts w:ascii="Times New Roman" w:eastAsia="Times New Roman" w:hAnsi="Times New Roman"/>
                <w:bCs/>
                <w:lang w:eastAsia="pl-PL"/>
              </w:rPr>
              <w:t>;</w:t>
            </w:r>
          </w:p>
          <w:p w14:paraId="0E6B19D1" w14:textId="2CFA17EE" w:rsidR="00FA1291" w:rsidRPr="00973995" w:rsidRDefault="00FA1291" w:rsidP="001F6044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Naczelnej Izby Lekarskiej; </w:t>
            </w:r>
          </w:p>
          <w:p w14:paraId="3DCA1874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Naczelnej Izby Pielęgniarek i Położnych;</w:t>
            </w:r>
          </w:p>
          <w:p w14:paraId="0D18F675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Naczelnej Izby Aptekarskiej; </w:t>
            </w:r>
          </w:p>
          <w:p w14:paraId="11B39197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Krajowej Izby Diagnostów Laboratoryjnych; </w:t>
            </w:r>
          </w:p>
          <w:p w14:paraId="30E51257" w14:textId="47556F00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Krajowej Izby Fizjoterapeutów</w:t>
            </w:r>
            <w:r w:rsidR="00973995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EFD6E31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Stowarzyszenia Pacjentów „</w:t>
            </w:r>
            <w:proofErr w:type="spellStart"/>
            <w:r w:rsidRPr="00973995">
              <w:rPr>
                <w:rFonts w:ascii="Times New Roman" w:hAnsi="Times New Roman"/>
                <w:color w:val="000000"/>
                <w:spacing w:val="-2"/>
              </w:rPr>
              <w:t>Primum</w:t>
            </w:r>
            <w:proofErr w:type="spellEnd"/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Non </w:t>
            </w:r>
            <w:proofErr w:type="spellStart"/>
            <w:r w:rsidRPr="00973995">
              <w:rPr>
                <w:rFonts w:ascii="Times New Roman" w:hAnsi="Times New Roman"/>
                <w:color w:val="000000"/>
                <w:spacing w:val="-2"/>
              </w:rPr>
              <w:t>Nocere</w:t>
            </w:r>
            <w:proofErr w:type="spellEnd"/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”; </w:t>
            </w:r>
          </w:p>
          <w:p w14:paraId="3B793ECB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Federacji Pacjentów Polskich; </w:t>
            </w:r>
          </w:p>
          <w:p w14:paraId="356AC84A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Instytutu Praw Pacjenta i Edukacji Zdrowotnej; </w:t>
            </w:r>
          </w:p>
          <w:p w14:paraId="5C9290DA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Obywatelskiego Stowarzyszenia „Dla Dobra Pacjenta”;</w:t>
            </w:r>
          </w:p>
          <w:p w14:paraId="7DCBF074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Polskiego Stowarzyszenia Pielęgniarek i Położnych;</w:t>
            </w:r>
          </w:p>
          <w:p w14:paraId="13D49C9C" w14:textId="7777777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Polskiego Towarzystwa Chirurgii Klinicznej; </w:t>
            </w:r>
          </w:p>
          <w:p w14:paraId="5E88D9EC" w14:textId="0310A771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Porozumieni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Pracodawców Ochrony Zdrowia; </w:t>
            </w:r>
          </w:p>
          <w:p w14:paraId="431D16FD" w14:textId="32EBF4BD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Federacj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Związków Pracodawców Ochrony Zdrowia „Porozumienie Zielonogórskie”;</w:t>
            </w:r>
          </w:p>
          <w:p w14:paraId="4E07C319" w14:textId="342FF6F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Ogólnopolsk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iego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Związk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Pracodawców Samodzielnych Publicznych Szpitali Klinicznych;</w:t>
            </w:r>
          </w:p>
          <w:p w14:paraId="1AD47219" w14:textId="49A967B1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Ogólnopolsk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iego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Stowarzyszeni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Pacjentów ze Schorzeniami Serca i Naczyń „</w:t>
            </w:r>
            <w:proofErr w:type="spellStart"/>
            <w:r w:rsidRPr="00973995">
              <w:rPr>
                <w:rFonts w:ascii="Times New Roman" w:hAnsi="Times New Roman"/>
                <w:color w:val="000000"/>
                <w:spacing w:val="-2"/>
              </w:rPr>
              <w:t>EcoSerce</w:t>
            </w:r>
            <w:proofErr w:type="spellEnd"/>
            <w:r w:rsidRPr="00973995">
              <w:rPr>
                <w:rFonts w:ascii="Times New Roman" w:hAnsi="Times New Roman"/>
                <w:color w:val="000000"/>
                <w:spacing w:val="-2"/>
              </w:rPr>
              <w:t>”;</w:t>
            </w:r>
          </w:p>
          <w:p w14:paraId="6329DEA7" w14:textId="1A710B8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Polski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Towarzystw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Chirurgii Naczyniowej;</w:t>
            </w:r>
          </w:p>
          <w:p w14:paraId="584FA800" w14:textId="3513E9C8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Polsk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iego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Towarzystw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Kardiologicznym;</w:t>
            </w:r>
          </w:p>
          <w:p w14:paraId="02ECE118" w14:textId="410DFA3C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Polsk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iego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Towarzystw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973995">
              <w:rPr>
                <w:rFonts w:ascii="Times New Roman" w:hAnsi="Times New Roman"/>
                <w:color w:val="000000"/>
                <w:spacing w:val="-2"/>
              </w:rPr>
              <w:t>Kardio</w:t>
            </w:r>
            <w:proofErr w:type="spellEnd"/>
            <w:r w:rsidRPr="00973995">
              <w:rPr>
                <w:rFonts w:ascii="Times New Roman" w:hAnsi="Times New Roman"/>
                <w:color w:val="000000"/>
                <w:spacing w:val="-2"/>
              </w:rPr>
              <w:t>-Torakochirurgów;</w:t>
            </w:r>
          </w:p>
          <w:p w14:paraId="54840812" w14:textId="64E40879" w:rsidR="00FA1291" w:rsidRPr="00973995" w:rsidRDefault="00996DA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Narodow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ego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A1291" w:rsidRPr="00973995">
              <w:rPr>
                <w:rFonts w:ascii="Times New Roman" w:hAnsi="Times New Roman"/>
                <w:color w:val="000000"/>
                <w:spacing w:val="-2"/>
              </w:rPr>
              <w:t>Instytut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FA1291" w:rsidRPr="00973995">
              <w:rPr>
                <w:rFonts w:ascii="Times New Roman" w:hAnsi="Times New Roman"/>
                <w:color w:val="000000"/>
                <w:spacing w:val="-2"/>
              </w:rPr>
              <w:t xml:space="preserve"> Kardiologii;</w:t>
            </w:r>
          </w:p>
          <w:p w14:paraId="683676C7" w14:textId="3512CF67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Instytut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„Centrum Zdrowia Matki Polki” w Łodzi; </w:t>
            </w:r>
          </w:p>
          <w:p w14:paraId="0C7791C7" w14:textId="19CE81B2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Instytut</w:t>
            </w:r>
            <w:r w:rsidR="00C2147B" w:rsidRPr="00973995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 xml:space="preserve"> „Pomnik – Centrum Zdrowia Dziecka” w Warszawie;</w:t>
            </w:r>
          </w:p>
          <w:p w14:paraId="0A174C6C" w14:textId="1FC6417E" w:rsidR="00FA1291" w:rsidRPr="00973995" w:rsidRDefault="00FA1291" w:rsidP="00B523F8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73995">
              <w:rPr>
                <w:rFonts w:ascii="Times New Roman" w:hAnsi="Times New Roman"/>
                <w:color w:val="000000"/>
                <w:spacing w:val="-2"/>
              </w:rPr>
              <w:t>Narodowego Instytutu Zdrowia Publicznego – P</w:t>
            </w:r>
            <w:r w:rsidR="000875E8">
              <w:rPr>
                <w:rFonts w:ascii="Times New Roman" w:hAnsi="Times New Roman"/>
                <w:color w:val="000000"/>
                <w:spacing w:val="-2"/>
              </w:rPr>
              <w:t xml:space="preserve">aństwowego 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>Z</w:t>
            </w:r>
            <w:r w:rsidR="000875E8">
              <w:rPr>
                <w:rFonts w:ascii="Times New Roman" w:hAnsi="Times New Roman"/>
                <w:color w:val="000000"/>
                <w:spacing w:val="-2"/>
              </w:rPr>
              <w:t xml:space="preserve">akładu </w:t>
            </w:r>
            <w:r w:rsidRPr="00973995">
              <w:rPr>
                <w:rFonts w:ascii="Times New Roman" w:hAnsi="Times New Roman"/>
                <w:color w:val="000000"/>
                <w:spacing w:val="-2"/>
              </w:rPr>
              <w:t>H</w:t>
            </w:r>
            <w:r w:rsidR="000875E8">
              <w:rPr>
                <w:rFonts w:ascii="Times New Roman" w:hAnsi="Times New Roman"/>
                <w:color w:val="000000"/>
                <w:spacing w:val="-2"/>
              </w:rPr>
              <w:t>igieny</w:t>
            </w:r>
            <w:r w:rsidR="005760A7" w:rsidRPr="0097399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FD59219" w14:textId="77777777" w:rsidR="00FA1291" w:rsidRDefault="00FA1291" w:rsidP="00FA12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E9DE65A" w14:textId="4CFC8677" w:rsidR="00E5790E" w:rsidRPr="00B37C80" w:rsidRDefault="00FA1291" w:rsidP="00FA12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Zgodnie z art. 5 ustawy z dnia 7 lipca 2005 r. o działalności lobbingowej w procesie stanowienia prawa (Dz. U. z 2017 r. poz. 248) oraz § 52 uchwały nr 190 Rady Ministrów z dnia 29 października 2013 r. </w:t>
            </w:r>
            <w:r w:rsidR="00223081">
              <w:rPr>
                <w:rFonts w:ascii="Times New Roman" w:hAnsi="Times New Roman"/>
                <w:color w:val="000000"/>
                <w:spacing w:val="-2"/>
              </w:rPr>
              <w:t>–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Regulamin pracy Rady Ministrów (M.P. z 2016 r. poz. 1006, z późn. zm.), niniejszy projekt zosta</w:t>
            </w:r>
            <w:r w:rsidR="008C6780">
              <w:rPr>
                <w:rFonts w:ascii="Times New Roman" w:hAnsi="Times New Roman"/>
                <w:color w:val="000000"/>
                <w:spacing w:val="-2"/>
              </w:rPr>
              <w:t>ł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opublikowany w Biuletynie Informacji Publicznej Ministerstwa Zdrowia oraz w Biuletynie Informacji Publicznej na stronie podmiotowej Rządowego Centrum Legislacji, w serwisie Rządowy Proces Legislacyjny.</w:t>
            </w:r>
          </w:p>
        </w:tc>
      </w:tr>
      <w:tr w:rsidR="00FA1291" w:rsidRPr="008B4FE6" w14:paraId="626EAF68" w14:textId="77777777" w:rsidTr="00E12EDC">
        <w:trPr>
          <w:trHeight w:val="363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230A6FC5" w14:textId="77777777" w:rsidR="00FA1291" w:rsidRPr="008B4FE6" w:rsidRDefault="00FA1291" w:rsidP="00FA129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FA1291" w:rsidRPr="008B4FE6" w14:paraId="25836F86" w14:textId="77777777" w:rsidTr="00E12EDC">
        <w:trPr>
          <w:trHeight w:val="142"/>
        </w:trPr>
        <w:tc>
          <w:tcPr>
            <w:tcW w:w="3131" w:type="dxa"/>
            <w:gridSpan w:val="4"/>
            <w:vMerge w:val="restart"/>
            <w:shd w:val="clear" w:color="auto" w:fill="FFFFFF"/>
          </w:tcPr>
          <w:p w14:paraId="4B4C16A0" w14:textId="77777777" w:rsidR="00FA1291" w:rsidRPr="00C53F26" w:rsidRDefault="00FA1291" w:rsidP="00FA1291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33" w:type="dxa"/>
            <w:gridSpan w:val="25"/>
            <w:shd w:val="clear" w:color="auto" w:fill="FFFFFF"/>
          </w:tcPr>
          <w:p w14:paraId="410CDCE7" w14:textId="77777777" w:rsidR="00FA1291" w:rsidRPr="00C53F26" w:rsidRDefault="00FA1291" w:rsidP="00FA1291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FA1291" w:rsidRPr="008B4FE6" w14:paraId="588CF688" w14:textId="77777777" w:rsidTr="00E12EDC">
        <w:trPr>
          <w:gridAfter w:val="1"/>
          <w:wAfter w:w="16" w:type="dxa"/>
          <w:trHeight w:val="142"/>
        </w:trPr>
        <w:tc>
          <w:tcPr>
            <w:tcW w:w="3131" w:type="dxa"/>
            <w:gridSpan w:val="4"/>
            <w:vMerge/>
            <w:shd w:val="clear" w:color="auto" w:fill="FFFFFF"/>
          </w:tcPr>
          <w:p w14:paraId="3E5A26D8" w14:textId="77777777" w:rsidR="00FA1291" w:rsidRPr="00C53F26" w:rsidRDefault="00FA1291" w:rsidP="00FA1291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82" w:type="dxa"/>
            <w:gridSpan w:val="2"/>
            <w:shd w:val="clear" w:color="auto" w:fill="FFFFFF"/>
          </w:tcPr>
          <w:p w14:paraId="23910B08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60EE3A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shd w:val="clear" w:color="auto" w:fill="FFFFFF"/>
          </w:tcPr>
          <w:p w14:paraId="379FE304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BD4CFEC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E393E70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751D473F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F431FC3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2680FD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2F3B35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FF3D2B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1DA5716" w14:textId="77777777" w:rsidR="00FA1291" w:rsidRPr="00C53F26" w:rsidRDefault="00FA1291" w:rsidP="00FA12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604BD73C" w14:textId="77777777" w:rsidR="00FA1291" w:rsidRPr="00C53F26" w:rsidRDefault="00FA1291" w:rsidP="00FA1291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FA1291" w:rsidRPr="008B4FE6" w14:paraId="7880EC31" w14:textId="77777777" w:rsidTr="00E12EDC">
        <w:trPr>
          <w:trHeight w:val="321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32DAA22A" w14:textId="77777777" w:rsidR="00FA1291" w:rsidRPr="00C53F26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088BE82C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A569B53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791B9F5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C97E11E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9A41211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655EBAB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93EE2A1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C88F65C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D5FDFEB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21E128F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6BAF023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4C9B2FAD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FA1291" w:rsidRPr="008B4FE6" w14:paraId="7BAB3C69" w14:textId="77777777" w:rsidTr="00E12EDC">
        <w:trPr>
          <w:trHeight w:val="321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04F206AB" w14:textId="77777777" w:rsidR="00FA1291" w:rsidRPr="00C53F26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53F69321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5773DFE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A920D6B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0199B0A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15D87F4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C3573C2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9A6A454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8FB15F7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3866A58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6AA5BA1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08A0906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7A892DB4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FA1291" w:rsidRPr="008B4FE6" w14:paraId="0DE621EC" w14:textId="77777777" w:rsidTr="00E12EDC">
        <w:trPr>
          <w:trHeight w:val="344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7339893E" w14:textId="77777777" w:rsidR="00FA1291" w:rsidRPr="00C53F26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01530E88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A612662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C0A7989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8E54C58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FAEA20F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98C0E56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D0EE0DE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ED58680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095E53E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1886864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919C19C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0C254C20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FA1291" w:rsidRPr="008B4FE6" w14:paraId="370E7B4F" w14:textId="77777777" w:rsidTr="00E12EDC">
        <w:trPr>
          <w:trHeight w:val="344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50B01A59" w14:textId="77777777" w:rsidR="00FA1291" w:rsidRPr="00C53F26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0EEFAA57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669590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9847381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94FEC8F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A331BD8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5BFE48A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DAF6F62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E50AFA3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86EBA10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AE4B3FA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2D9788D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4BF2A771" w14:textId="77777777" w:rsidR="00FA1291" w:rsidRPr="00B37C80" w:rsidRDefault="00FA1291" w:rsidP="00FA129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9A306E" w14:paraId="3C7A6D2D" w14:textId="77777777" w:rsidTr="00E12EDC">
        <w:trPr>
          <w:trHeight w:val="330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419D56B2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4C13D211" w14:textId="4EDE3C1F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F6EA321" w14:textId="4F91934B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14:paraId="4274F15F" w14:textId="2B28EB8C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B5C8ED3" w14:textId="2B444B1A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8DFE8CD" w14:textId="42578CCA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14:paraId="50F2EA7F" w14:textId="0F3D9909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21AE4CE" w14:textId="1811B30B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CC85E12" w14:textId="753CCA33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DCDAAF6" w14:textId="307BF432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62471B6" w14:textId="771CFBDE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14:paraId="6F2B44DB" w14:textId="04B87E65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69FD7B92" w14:textId="39178BBB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BC36DC" w:rsidRPr="008B4FE6" w14:paraId="6A2355FB" w14:textId="77777777" w:rsidTr="00E12EDC">
        <w:trPr>
          <w:trHeight w:val="330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3FBB28B8" w14:textId="5758661D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0A15FEBA" w14:textId="3D5A796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8D9DDEC" w14:textId="14D772D1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9234AA0" w14:textId="7571DEE5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9F2B630" w14:textId="114B5CAB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F443603" w14:textId="1BFE471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6D9047A" w14:textId="7CB495CD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E8DB207" w14:textId="5DEA9593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CF3C489" w14:textId="4FCDA385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C77756" w14:textId="06FBDC1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53A0797" w14:textId="520F550E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E421488" w14:textId="4E86A89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381A75BB" w14:textId="51701BD8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2DD2379A" w14:textId="77777777" w:rsidTr="00E12EDC">
        <w:trPr>
          <w:trHeight w:val="351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68A67039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542C2614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CBDB245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46CD536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E3C51C8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1A4558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9E2F2CB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2894DEE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87F8ACA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FFC2D70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681B86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CF4A4A5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205D13ED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4F50D25B" w14:textId="77777777" w:rsidTr="00E12EDC">
        <w:trPr>
          <w:trHeight w:val="351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74ABD3E0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7EEC3CC5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E45045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CE846E7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5F4CB9C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B33E248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07CD05A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F51F1A1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5AF544D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241EB42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5EB2248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88F2628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06B7AC12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17836178" w14:textId="77777777" w:rsidTr="00E12EDC">
        <w:trPr>
          <w:trHeight w:val="360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6AA2C027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00B282DF" w14:textId="0AC473A2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B534B4C" w14:textId="20A26075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57C9BD9" w14:textId="5D803983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8738EBA" w14:textId="0831CB23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4374691" w14:textId="76E3AD2E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79B1014" w14:textId="5B6C5824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2C49C38" w14:textId="334757C7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BA9D8BA" w14:textId="1F591069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EC1CE0" w14:textId="3215EAAF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61CBE40" w14:textId="4D2B4615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7BB8745" w14:textId="09A74B57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70416317" w14:textId="10236DA5" w:rsidR="00BC36DC" w:rsidRPr="003C601B" w:rsidRDefault="00BC36DC" w:rsidP="00BC36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BC36DC" w:rsidRPr="008B4FE6" w14:paraId="4824D6F0" w14:textId="77777777" w:rsidTr="00E12EDC">
        <w:trPr>
          <w:trHeight w:val="360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263EF2AA" w14:textId="3A31FDA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57F034D4" w14:textId="5A7B4BF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5279763" w14:textId="474E3084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AE779CB" w14:textId="096C381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D384FDE" w14:textId="3AEA8856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5CB96F" w14:textId="69388D2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442C398" w14:textId="71B24959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0568A1E" w14:textId="51E1FBF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2FD69F4" w14:textId="03CC5AC2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ED6934D" w14:textId="434E44A9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8DDCCC2" w14:textId="7110C5F2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0051BE0" w14:textId="3F2064FC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5F0B1B58" w14:textId="2DEB39C2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2A9403D9" w14:textId="77777777" w:rsidTr="00E12EDC">
        <w:trPr>
          <w:trHeight w:val="357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48567FF7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39780B36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D52E059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F7585FA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AA1CB3E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BFEFA72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FDA90A0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EEB2039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D3FD2DE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4897646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88B3D5C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0BDDBC5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4EA4FD3E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3F53C0E0" w14:textId="77777777" w:rsidTr="00E12EDC">
        <w:trPr>
          <w:trHeight w:val="357"/>
        </w:trPr>
        <w:tc>
          <w:tcPr>
            <w:tcW w:w="3131" w:type="dxa"/>
            <w:gridSpan w:val="4"/>
            <w:shd w:val="clear" w:color="auto" w:fill="FFFFFF"/>
            <w:vAlign w:val="center"/>
          </w:tcPr>
          <w:p w14:paraId="0B646AE3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82" w:type="dxa"/>
            <w:gridSpan w:val="2"/>
            <w:shd w:val="clear" w:color="auto" w:fill="FFFFFF"/>
          </w:tcPr>
          <w:p w14:paraId="26652BC8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24D5CAB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CE8CAC3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9B76EFC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D2992B7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EEE2FCD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2ACA396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40CA2B5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CAE546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9CAA15F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D9D856A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3" w:type="dxa"/>
            <w:gridSpan w:val="3"/>
            <w:shd w:val="clear" w:color="auto" w:fill="FFFFFF"/>
          </w:tcPr>
          <w:p w14:paraId="7F140D6B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78542A9A" w14:textId="77777777" w:rsidTr="00E12EDC">
        <w:trPr>
          <w:trHeight w:val="348"/>
        </w:trPr>
        <w:tc>
          <w:tcPr>
            <w:tcW w:w="2241" w:type="dxa"/>
            <w:gridSpan w:val="2"/>
            <w:shd w:val="clear" w:color="auto" w:fill="FFFFFF"/>
            <w:vAlign w:val="center"/>
          </w:tcPr>
          <w:p w14:paraId="0B1B26B9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723" w:type="dxa"/>
            <w:gridSpan w:val="27"/>
            <w:shd w:val="clear" w:color="auto" w:fill="FFFFFF"/>
            <w:vAlign w:val="center"/>
          </w:tcPr>
          <w:p w14:paraId="6B52FA6A" w14:textId="50E5DD26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 </w:t>
            </w:r>
            <w:r w:rsidRPr="00F37ECF">
              <w:rPr>
                <w:rFonts w:ascii="Times New Roman" w:hAnsi="Times New Roman"/>
                <w:color w:val="000000"/>
              </w:rPr>
              <w:t xml:space="preserve"> 202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F37ECF">
              <w:rPr>
                <w:rFonts w:ascii="Times New Roman" w:hAnsi="Times New Roman"/>
                <w:color w:val="000000"/>
              </w:rPr>
              <w:t xml:space="preserve"> </w:t>
            </w:r>
            <w:r w:rsidR="00C515FE">
              <w:rPr>
                <w:rFonts w:ascii="Times New Roman" w:hAnsi="Times New Roman"/>
                <w:color w:val="000000"/>
              </w:rPr>
              <w:t xml:space="preserve">r. </w:t>
            </w:r>
            <w:r w:rsidRPr="00F37ECF">
              <w:rPr>
                <w:rFonts w:ascii="Times New Roman" w:hAnsi="Times New Roman"/>
                <w:color w:val="000000"/>
              </w:rPr>
              <w:t xml:space="preserve">jak i </w:t>
            </w:r>
            <w:r>
              <w:rPr>
                <w:rFonts w:ascii="Times New Roman" w:hAnsi="Times New Roman"/>
                <w:color w:val="000000"/>
              </w:rPr>
              <w:t xml:space="preserve">w </w:t>
            </w:r>
            <w:r w:rsidRPr="00F37ECF">
              <w:rPr>
                <w:rFonts w:ascii="Times New Roman" w:hAnsi="Times New Roman"/>
                <w:color w:val="000000"/>
              </w:rPr>
              <w:t>kolejnych lat</w:t>
            </w:r>
            <w:r>
              <w:rPr>
                <w:rFonts w:ascii="Times New Roman" w:hAnsi="Times New Roman"/>
                <w:color w:val="000000"/>
              </w:rPr>
              <w:t xml:space="preserve">ach </w:t>
            </w:r>
            <w:r w:rsidRPr="00F37ECF">
              <w:rPr>
                <w:rFonts w:ascii="Times New Roman" w:hAnsi="Times New Roman"/>
                <w:color w:val="000000"/>
              </w:rPr>
              <w:t xml:space="preserve">skutki finansowe rejestru zostaną w całości sfinansowane w ramach budżetu </w:t>
            </w:r>
            <w:r w:rsidRPr="00B84C11">
              <w:rPr>
                <w:rFonts w:ascii="Times New Roman" w:hAnsi="Times New Roman"/>
                <w:color w:val="000000"/>
              </w:rPr>
              <w:t>ministra właściwego do spraw zdrowia (</w:t>
            </w:r>
            <w:r>
              <w:rPr>
                <w:rFonts w:ascii="Times New Roman" w:hAnsi="Times New Roman"/>
                <w:color w:val="000000"/>
              </w:rPr>
              <w:t xml:space="preserve">z </w:t>
            </w:r>
            <w:r w:rsidRPr="00B84C11">
              <w:rPr>
                <w:rFonts w:ascii="Times New Roman" w:hAnsi="Times New Roman"/>
                <w:color w:val="000000"/>
              </w:rPr>
              <w:t>części 46 – Zdrowie, w dziale 851 – Ochrona zdrowia, w rozdziale 85195 – Pozostała działalność)</w:t>
            </w:r>
            <w:r w:rsidRPr="00F37ECF">
              <w:rPr>
                <w:rFonts w:ascii="Times New Roman" w:hAnsi="Times New Roman"/>
                <w:color w:val="000000"/>
              </w:rPr>
              <w:t>, w tym w ramach niezwiększonego funduszu wynagrodzeń</w:t>
            </w:r>
            <w:r>
              <w:rPr>
                <w:rFonts w:ascii="Times New Roman" w:hAnsi="Times New Roman"/>
                <w:color w:val="000000"/>
              </w:rPr>
              <w:t xml:space="preserve">, w formie dotacji celowej lub ze środków programu polityki zdrowotnej. </w:t>
            </w:r>
          </w:p>
          <w:p w14:paraId="0D884194" w14:textId="77777777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Niniejszy</w:t>
            </w:r>
            <w:r w:rsidRPr="00B84C11">
              <w:rPr>
                <w:rFonts w:ascii="Times New Roman" w:hAnsi="Times New Roman"/>
                <w:color w:val="000000"/>
              </w:rPr>
              <w:t xml:space="preserve"> projekt nie będzie stanowił podstawy do ubiegania się o dodatkowe środki z budżetu państwa. </w:t>
            </w:r>
          </w:p>
          <w:p w14:paraId="197F3656" w14:textId="0979ECAC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6781E">
              <w:rPr>
                <w:rFonts w:ascii="Times New Roman" w:hAnsi="Times New Roman"/>
                <w:color w:val="000000"/>
              </w:rPr>
              <w:t>Projekt w latach 2020 – 2030 będzie finansowany ze środków ministra właściwego do spraw zdrowia w wysokości do 2 116 829 zł, w tym w 2021 r. w wysokości do 301 040 zł</w:t>
            </w:r>
            <w:r w:rsidR="0056781E" w:rsidRPr="0056781E">
              <w:rPr>
                <w:rFonts w:ascii="Times New Roman" w:hAnsi="Times New Roman"/>
                <w:color w:val="000000"/>
              </w:rPr>
              <w:t>.</w:t>
            </w:r>
          </w:p>
          <w:p w14:paraId="6D48E9E2" w14:textId="79369E5E" w:rsidR="00BC36DC" w:rsidRPr="00B84C11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lastRenderedPageBreak/>
              <w:t xml:space="preserve">W przypadku dodatkowych kosztów, ewentualne wydatki zostaną sfinansowane ze środków własnych Śląskiego Centrum Chorób Serca w Zabrzu. </w:t>
            </w:r>
          </w:p>
          <w:p w14:paraId="434CE759" w14:textId="0EBF5342" w:rsidR="00BC36DC" w:rsidRPr="00B84C11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Skutki finansowe wynikające z proponowanego rozporządzenia, zarówno w roku wejścia jego w życie jak i w latach następnych, zostaną sfinansowane w ramach wysokości środków określonej zgodnie z art. 131c ustawy z dnia 27 sierpnia 2004 r. o świadczeniach opieki zdrowotnej finansowanych ze środków publicznych.</w:t>
            </w:r>
          </w:p>
        </w:tc>
      </w:tr>
      <w:tr w:rsidR="00BC36DC" w:rsidRPr="008B4FE6" w14:paraId="39489A9F" w14:textId="77777777" w:rsidTr="00E12EDC">
        <w:trPr>
          <w:trHeight w:val="1926"/>
        </w:trPr>
        <w:tc>
          <w:tcPr>
            <w:tcW w:w="2241" w:type="dxa"/>
            <w:gridSpan w:val="2"/>
            <w:shd w:val="clear" w:color="auto" w:fill="FFFFFF"/>
          </w:tcPr>
          <w:p w14:paraId="4FF35E04" w14:textId="77777777" w:rsidR="00BC36DC" w:rsidRPr="00C53F2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723" w:type="dxa"/>
            <w:gridSpan w:val="27"/>
            <w:shd w:val="clear" w:color="auto" w:fill="FFFFFF"/>
          </w:tcPr>
          <w:p w14:paraId="45F75DCD" w14:textId="3AB1EE54" w:rsidR="00BC36DC" w:rsidRPr="00B84C11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 ramach skutków finansowych rejestru przewidziano środki na </w:t>
            </w:r>
            <w:r w:rsidRPr="00B84C11">
              <w:rPr>
                <w:rFonts w:ascii="Times New Roman" w:hAnsi="Times New Roman"/>
                <w:color w:val="000000"/>
              </w:rPr>
              <w:t>następujące zada</w:t>
            </w:r>
            <w:r>
              <w:rPr>
                <w:rFonts w:ascii="Times New Roman" w:hAnsi="Times New Roman"/>
                <w:color w:val="000000"/>
              </w:rPr>
              <w:t>nia</w:t>
            </w:r>
            <w:r w:rsidRPr="00B84C11">
              <w:rPr>
                <w:rFonts w:ascii="Times New Roman" w:hAnsi="Times New Roman"/>
                <w:color w:val="000000"/>
              </w:rPr>
              <w:t xml:space="preserve">: </w:t>
            </w:r>
          </w:p>
          <w:p w14:paraId="2333165F" w14:textId="5710E7A1" w:rsidR="00BC36DC" w:rsidRPr="003C601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601B">
              <w:rPr>
                <w:rFonts w:ascii="Times New Roman" w:hAnsi="Times New Roman"/>
                <w:color w:val="000000"/>
              </w:rPr>
              <w:t xml:space="preserve">1) 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Pr="003C601B">
              <w:rPr>
                <w:rFonts w:ascii="Times New Roman" w:hAnsi="Times New Roman"/>
                <w:color w:val="000000"/>
              </w:rPr>
              <w:t>ruchomienie rejestru, w tym prace informatyczne (wytworzenie oprogramowania, zakup licencji, analiza i architektura systemu, szkolenia dla użytkowników), testy bezpieczeństwa, przygotowanie rejestru CRF;</w:t>
            </w:r>
          </w:p>
          <w:p w14:paraId="79EDFF98" w14:textId="23BCA177" w:rsidR="00BC36DC" w:rsidRPr="003C601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601B">
              <w:rPr>
                <w:rFonts w:ascii="Times New Roman" w:hAnsi="Times New Roman"/>
                <w:color w:val="000000"/>
              </w:rPr>
              <w:t xml:space="preserve">2)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3C601B">
              <w:rPr>
                <w:rFonts w:ascii="Times New Roman" w:hAnsi="Times New Roman"/>
                <w:color w:val="000000"/>
              </w:rPr>
              <w:t>rowadzenie rejestru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3C601B">
              <w:rPr>
                <w:rFonts w:ascii="Times New Roman" w:hAnsi="Times New Roman"/>
                <w:color w:val="000000"/>
              </w:rPr>
              <w:t xml:space="preserve"> w tym analiza i walidacja danych w rejestrze, raporty i inne opracowania, spotkania i konferencje;</w:t>
            </w:r>
          </w:p>
          <w:p w14:paraId="3A735631" w14:textId="30E9F3AC" w:rsidR="00BC36DC" w:rsidRPr="003C601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601B">
              <w:rPr>
                <w:rFonts w:ascii="Times New Roman" w:hAnsi="Times New Roman"/>
                <w:color w:val="000000"/>
              </w:rPr>
              <w:t xml:space="preserve">3) </w:t>
            </w:r>
            <w:r>
              <w:rPr>
                <w:rFonts w:ascii="Times New Roman" w:hAnsi="Times New Roman"/>
                <w:color w:val="000000"/>
              </w:rPr>
              <w:t>k</w:t>
            </w:r>
            <w:r w:rsidRPr="003C601B">
              <w:rPr>
                <w:rFonts w:ascii="Times New Roman" w:hAnsi="Times New Roman"/>
                <w:color w:val="000000"/>
              </w:rPr>
              <w:t>oszty związane z administracją systemu, obsługą kadrowo-płacową i działania informacyjno-promocyjne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B52CBA">
              <w:rPr>
                <w:rFonts w:ascii="Times New Roman" w:hAnsi="Times New Roman"/>
                <w:color w:val="000000"/>
              </w:rPr>
              <w:t>a także materiały biurowe</w:t>
            </w:r>
            <w:r w:rsidR="00C515FE">
              <w:rPr>
                <w:rFonts w:ascii="Times New Roman" w:hAnsi="Times New Roman"/>
                <w:color w:val="000000"/>
              </w:rPr>
              <w:t>.</w:t>
            </w:r>
          </w:p>
          <w:p w14:paraId="48E4A6AE" w14:textId="765FEA95" w:rsidR="00BC36DC" w:rsidRPr="00B84C11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271B5FE" w14:textId="0A3E26AB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 ramach planowanych skutków finansowych rejestru w latach </w:t>
            </w:r>
            <w:r w:rsidRPr="00B84C11">
              <w:rPr>
                <w:rFonts w:ascii="Times New Roman" w:hAnsi="Times New Roman"/>
                <w:color w:val="000000"/>
              </w:rPr>
              <w:t xml:space="preserve">2020-2030 w wysokości </w:t>
            </w:r>
            <w:r>
              <w:rPr>
                <w:rFonts w:ascii="Times New Roman" w:hAnsi="Times New Roman"/>
                <w:color w:val="000000"/>
              </w:rPr>
              <w:t xml:space="preserve">do </w:t>
            </w:r>
            <w:r w:rsidRPr="00B84C11">
              <w:rPr>
                <w:rFonts w:ascii="Times New Roman" w:hAnsi="Times New Roman"/>
                <w:color w:val="000000"/>
              </w:rPr>
              <w:t>2 116 829 zł</w:t>
            </w:r>
            <w:r>
              <w:rPr>
                <w:rFonts w:ascii="Times New Roman" w:hAnsi="Times New Roman"/>
                <w:color w:val="000000"/>
              </w:rPr>
              <w:t xml:space="preserve">, w poszczególnych latach z </w:t>
            </w:r>
            <w:r w:rsidRPr="00F37ECF">
              <w:rPr>
                <w:rFonts w:ascii="Times New Roman" w:hAnsi="Times New Roman"/>
                <w:color w:val="000000"/>
              </w:rPr>
              <w:t xml:space="preserve">budżetu </w:t>
            </w:r>
            <w:r w:rsidRPr="00B84C11">
              <w:rPr>
                <w:rFonts w:ascii="Times New Roman" w:hAnsi="Times New Roman"/>
                <w:color w:val="000000"/>
              </w:rPr>
              <w:t xml:space="preserve">ministra właściwego do spraw zdrowia </w:t>
            </w:r>
            <w:r>
              <w:rPr>
                <w:rFonts w:ascii="Times New Roman" w:hAnsi="Times New Roman"/>
                <w:color w:val="000000"/>
              </w:rPr>
              <w:t xml:space="preserve">zostaną sfinansowane wydatki na utworzenie, modernizację i prowadzenie rejestru w następującej wysokości: </w:t>
            </w:r>
          </w:p>
          <w:p w14:paraId="72132E8D" w14:textId="0BF3D603" w:rsidR="00BC36DC" w:rsidRPr="00B84C11" w:rsidRDefault="00BC36DC" w:rsidP="003C601B">
            <w:pPr>
              <w:pStyle w:val="Akapitzlist"/>
              <w:numPr>
                <w:ilvl w:val="0"/>
                <w:numId w:val="37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2020 r. –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84C11">
              <w:rPr>
                <w:rFonts w:ascii="Times New Roman" w:hAnsi="Times New Roman"/>
                <w:color w:val="000000"/>
              </w:rPr>
              <w:t>0,00 zł;</w:t>
            </w:r>
          </w:p>
          <w:p w14:paraId="64EDBABA" w14:textId="77777777" w:rsidR="00BC36DC" w:rsidRPr="00B84C11" w:rsidRDefault="00BC36DC" w:rsidP="003C601B">
            <w:pPr>
              <w:pStyle w:val="Akapitzlist"/>
              <w:numPr>
                <w:ilvl w:val="0"/>
                <w:numId w:val="37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2021 r. – 301 040,00 zł;</w:t>
            </w:r>
          </w:p>
          <w:p w14:paraId="0F2153CE" w14:textId="77777777" w:rsidR="00BC36DC" w:rsidRPr="00B84C11" w:rsidRDefault="00BC36DC" w:rsidP="003C601B">
            <w:pPr>
              <w:pStyle w:val="Akapitzlist"/>
              <w:numPr>
                <w:ilvl w:val="0"/>
                <w:numId w:val="37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2022 r. – 186 500,00 zł;</w:t>
            </w:r>
          </w:p>
          <w:p w14:paraId="0C98BE56" w14:textId="77777777" w:rsidR="00BC36DC" w:rsidRPr="00B84C11" w:rsidRDefault="00BC36DC" w:rsidP="003C601B">
            <w:pPr>
              <w:pStyle w:val="Akapitzlist"/>
              <w:numPr>
                <w:ilvl w:val="0"/>
                <w:numId w:val="37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2023 r. – 186 500,00 zł;</w:t>
            </w:r>
          </w:p>
          <w:p w14:paraId="5ACA9B11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2024 r. – 191 163,00 zł;</w:t>
            </w:r>
          </w:p>
          <w:p w14:paraId="29ABD35D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2025 r. – 195 942,00 zł;</w:t>
            </w:r>
          </w:p>
          <w:p w14:paraId="3FD857C0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2026 r. – 200 841,00 zł;</w:t>
            </w:r>
          </w:p>
          <w:p w14:paraId="69AB26BB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2027 r. – 205 862,00 zł;</w:t>
            </w:r>
          </w:p>
          <w:p w14:paraId="65F9C6CC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2028 r. – 211 008,00 zł;</w:t>
            </w:r>
          </w:p>
          <w:p w14:paraId="3A4C6B68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2029 r. – 216 283,00 zł;</w:t>
            </w:r>
          </w:p>
          <w:p w14:paraId="20C152D2" w14:textId="77777777" w:rsidR="00BC36DC" w:rsidRPr="00B84C11" w:rsidRDefault="00BC36DC" w:rsidP="003C601B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74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>w 2030 r. – 221 690,00 zł.</w:t>
            </w:r>
          </w:p>
          <w:p w14:paraId="064FAB94" w14:textId="51046320" w:rsidR="00BC36DC" w:rsidRPr="00B84C11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 xml:space="preserve">W 2021 r. przewidziano </w:t>
            </w:r>
            <w:r w:rsidR="00AC315A">
              <w:rPr>
                <w:rFonts w:ascii="Times New Roman" w:hAnsi="Times New Roman"/>
                <w:color w:val="000000"/>
              </w:rPr>
              <w:t>13</w:t>
            </w:r>
            <w:r w:rsidR="00E61C36">
              <w:rPr>
                <w:rFonts w:ascii="Times New Roman" w:hAnsi="Times New Roman"/>
                <w:color w:val="000000"/>
              </w:rPr>
              <w:t>9</w:t>
            </w:r>
            <w:r w:rsidR="00AC315A">
              <w:rPr>
                <w:rFonts w:ascii="Times New Roman" w:hAnsi="Times New Roman"/>
                <w:color w:val="000000"/>
              </w:rPr>
              <w:t> 540</w:t>
            </w:r>
            <w:r w:rsidR="00E61C36">
              <w:rPr>
                <w:rFonts w:ascii="Times New Roman" w:hAnsi="Times New Roman"/>
                <w:color w:val="000000"/>
              </w:rPr>
              <w:t xml:space="preserve"> </w:t>
            </w:r>
            <w:r w:rsidR="0056781E" w:rsidRPr="00B84C11">
              <w:rPr>
                <w:rFonts w:ascii="Times New Roman" w:hAnsi="Times New Roman"/>
                <w:color w:val="000000"/>
              </w:rPr>
              <w:t xml:space="preserve">zł </w:t>
            </w:r>
            <w:r w:rsidRPr="00B84C11">
              <w:rPr>
                <w:rFonts w:ascii="Times New Roman" w:hAnsi="Times New Roman"/>
                <w:color w:val="000000"/>
              </w:rPr>
              <w:t xml:space="preserve">na </w:t>
            </w:r>
            <w:r>
              <w:rPr>
                <w:rFonts w:ascii="Times New Roman" w:hAnsi="Times New Roman"/>
                <w:color w:val="000000"/>
              </w:rPr>
              <w:t xml:space="preserve">wydatki związane z utworzeniem i modernizacją </w:t>
            </w:r>
            <w:r w:rsidRPr="00B84C11">
              <w:rPr>
                <w:rFonts w:ascii="Times New Roman" w:hAnsi="Times New Roman"/>
                <w:color w:val="000000"/>
              </w:rPr>
              <w:t xml:space="preserve">rejestru (w tym </w:t>
            </w:r>
            <w:r>
              <w:rPr>
                <w:rFonts w:ascii="Times New Roman" w:hAnsi="Times New Roman"/>
                <w:color w:val="000000"/>
              </w:rPr>
              <w:t>wydatki majątkowe w wysokości do</w:t>
            </w:r>
            <w:r w:rsidR="00AC315A">
              <w:rPr>
                <w:rFonts w:ascii="Times New Roman" w:hAnsi="Times New Roman"/>
                <w:color w:val="000000"/>
              </w:rPr>
              <w:t xml:space="preserve"> 43 000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84C11">
              <w:rPr>
                <w:rFonts w:ascii="Times New Roman" w:hAnsi="Times New Roman"/>
                <w:color w:val="000000"/>
              </w:rPr>
              <w:t>zł</w:t>
            </w:r>
            <w:r>
              <w:rPr>
                <w:rFonts w:ascii="Times New Roman" w:hAnsi="Times New Roman"/>
                <w:color w:val="000000"/>
              </w:rPr>
              <w:t>)</w:t>
            </w:r>
            <w:r w:rsidRPr="00B84C1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oraz</w:t>
            </w:r>
            <w:r w:rsidRPr="00B84C11">
              <w:rPr>
                <w:rFonts w:ascii="Times New Roman" w:hAnsi="Times New Roman"/>
                <w:color w:val="000000"/>
              </w:rPr>
              <w:t xml:space="preserve"> </w:t>
            </w:r>
            <w:r w:rsidR="00AC315A">
              <w:rPr>
                <w:rFonts w:ascii="Times New Roman" w:hAnsi="Times New Roman"/>
                <w:color w:val="000000"/>
              </w:rPr>
              <w:t>161</w:t>
            </w:r>
            <w:r w:rsidR="00E61C36">
              <w:rPr>
                <w:rFonts w:ascii="Times New Roman" w:hAnsi="Times New Roman"/>
                <w:color w:val="000000"/>
              </w:rPr>
              <w:t> </w:t>
            </w:r>
            <w:r w:rsidR="00AC315A">
              <w:rPr>
                <w:rFonts w:ascii="Times New Roman" w:hAnsi="Times New Roman"/>
                <w:color w:val="000000"/>
              </w:rPr>
              <w:t>500</w:t>
            </w:r>
            <w:r w:rsidR="00E61C36">
              <w:rPr>
                <w:rFonts w:ascii="Times New Roman" w:hAnsi="Times New Roman"/>
                <w:color w:val="000000"/>
              </w:rPr>
              <w:t xml:space="preserve"> </w:t>
            </w:r>
            <w:r w:rsidR="0056781E">
              <w:rPr>
                <w:rFonts w:ascii="Times New Roman" w:hAnsi="Times New Roman"/>
                <w:color w:val="000000"/>
              </w:rPr>
              <w:t xml:space="preserve">zł </w:t>
            </w:r>
            <w:r w:rsidRPr="00B84C11">
              <w:rPr>
                <w:rFonts w:ascii="Times New Roman" w:hAnsi="Times New Roman"/>
                <w:color w:val="000000"/>
              </w:rPr>
              <w:t xml:space="preserve">na </w:t>
            </w:r>
            <w:r>
              <w:rPr>
                <w:rFonts w:ascii="Times New Roman" w:hAnsi="Times New Roman"/>
                <w:color w:val="000000"/>
              </w:rPr>
              <w:t xml:space="preserve">zadania związane z </w:t>
            </w:r>
            <w:r w:rsidRPr="00B84C11">
              <w:rPr>
                <w:rFonts w:ascii="Times New Roman" w:hAnsi="Times New Roman"/>
                <w:color w:val="000000"/>
              </w:rPr>
              <w:t>prowadzenie</w:t>
            </w:r>
            <w:r>
              <w:rPr>
                <w:rFonts w:ascii="Times New Roman" w:hAnsi="Times New Roman"/>
                <w:color w:val="000000"/>
              </w:rPr>
              <w:t>m</w:t>
            </w:r>
            <w:r w:rsidRPr="00B84C11">
              <w:rPr>
                <w:rFonts w:ascii="Times New Roman" w:hAnsi="Times New Roman"/>
                <w:color w:val="000000"/>
              </w:rPr>
              <w:t xml:space="preserve"> rejestru</w:t>
            </w:r>
            <w:r>
              <w:rPr>
                <w:rFonts w:ascii="Times New Roman" w:hAnsi="Times New Roman"/>
                <w:color w:val="000000"/>
              </w:rPr>
              <w:t xml:space="preserve">, w 2022 </w:t>
            </w:r>
            <w:r w:rsidR="00C515FE">
              <w:rPr>
                <w:rFonts w:ascii="Times New Roman" w:hAnsi="Times New Roman"/>
                <w:color w:val="000000"/>
              </w:rPr>
              <w:t xml:space="preserve">r. </w:t>
            </w:r>
            <w:r>
              <w:rPr>
                <w:rFonts w:ascii="Times New Roman" w:hAnsi="Times New Roman"/>
                <w:color w:val="000000"/>
              </w:rPr>
              <w:t xml:space="preserve">odpowiednio w wysokości 23 000 zł i </w:t>
            </w:r>
            <w:r w:rsidR="00E61C36">
              <w:rPr>
                <w:rFonts w:ascii="Times New Roman" w:hAnsi="Times New Roman"/>
                <w:color w:val="000000"/>
              </w:rPr>
              <w:t>163 500</w:t>
            </w:r>
            <w:r>
              <w:rPr>
                <w:rFonts w:ascii="Times New Roman" w:hAnsi="Times New Roman"/>
                <w:color w:val="000000"/>
              </w:rPr>
              <w:t xml:space="preserve">zł. </w:t>
            </w:r>
          </w:p>
          <w:p w14:paraId="7AAC265C" w14:textId="5CE9BE27" w:rsidR="00BC36DC" w:rsidRPr="003C601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84C11">
              <w:rPr>
                <w:rFonts w:ascii="Times New Roman" w:hAnsi="Times New Roman"/>
                <w:color w:val="000000"/>
              </w:rPr>
              <w:t xml:space="preserve">W latach 2023-2030 założono coroczny wzrost kosztów </w:t>
            </w:r>
            <w:r>
              <w:rPr>
                <w:rFonts w:ascii="Times New Roman" w:hAnsi="Times New Roman"/>
                <w:color w:val="000000"/>
              </w:rPr>
              <w:t xml:space="preserve">prowadzenia rejestru w latach 2023-2030 na poziomie </w:t>
            </w:r>
            <w:r w:rsidRPr="00B84C11">
              <w:rPr>
                <w:rFonts w:ascii="Times New Roman" w:hAnsi="Times New Roman"/>
                <w:color w:val="000000"/>
              </w:rPr>
              <w:t xml:space="preserve">2,5%, </w:t>
            </w:r>
            <w:r>
              <w:rPr>
                <w:rFonts w:ascii="Times New Roman" w:hAnsi="Times New Roman"/>
                <w:color w:val="000000"/>
              </w:rPr>
              <w:t xml:space="preserve">zgodnie z założeniami dla </w:t>
            </w:r>
            <w:r w:rsidRPr="00B84C11">
              <w:rPr>
                <w:rFonts w:ascii="Times New Roman" w:hAnsi="Times New Roman"/>
                <w:color w:val="000000"/>
              </w:rPr>
              <w:t>wskaźnika CPI, określanego przez Ministra Finansów w „wytycznych dotyczących stosowania jednolitych wskaźników makroekonomicznych będących podstawą oszacowania skutków finansowych projektowanych ustaw”.</w:t>
            </w:r>
          </w:p>
        </w:tc>
      </w:tr>
      <w:tr w:rsidR="00BC36DC" w:rsidRPr="008B4FE6" w14:paraId="632824FF" w14:textId="77777777" w:rsidTr="00E12EDC">
        <w:trPr>
          <w:trHeight w:val="345"/>
        </w:trPr>
        <w:tc>
          <w:tcPr>
            <w:tcW w:w="10964" w:type="dxa"/>
            <w:gridSpan w:val="29"/>
            <w:shd w:val="clear" w:color="auto" w:fill="99CCFF"/>
          </w:tcPr>
          <w:p w14:paraId="3160A1B3" w14:textId="77777777" w:rsidR="00BC36DC" w:rsidRPr="008B4FE6" w:rsidRDefault="00BC36DC" w:rsidP="00BC36DC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BC36DC" w:rsidRPr="008B4FE6" w14:paraId="6A076F48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FFFFFF"/>
          </w:tcPr>
          <w:p w14:paraId="162023BB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BC36DC" w:rsidRPr="008B4FE6" w14:paraId="48E374C2" w14:textId="77777777" w:rsidTr="00E12EDC">
        <w:trPr>
          <w:trHeight w:val="142"/>
        </w:trPr>
        <w:tc>
          <w:tcPr>
            <w:tcW w:w="3914" w:type="dxa"/>
            <w:gridSpan w:val="7"/>
            <w:shd w:val="clear" w:color="auto" w:fill="FFFFFF"/>
          </w:tcPr>
          <w:p w14:paraId="3A451FC2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9" w:type="dxa"/>
            <w:gridSpan w:val="2"/>
            <w:shd w:val="clear" w:color="auto" w:fill="FFFFFF"/>
          </w:tcPr>
          <w:p w14:paraId="08E01FF5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936C29D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4D4B4E2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F2C369D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E38102E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7D1AB2B" w14:textId="77777777" w:rsidR="00BC36DC" w:rsidRPr="00301959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41A09791" w14:textId="77777777" w:rsidR="00BC36DC" w:rsidRPr="001B3460" w:rsidRDefault="00BC36DC" w:rsidP="00BC36DC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C36DC" w:rsidRPr="008B4FE6" w14:paraId="09EDB186" w14:textId="77777777" w:rsidTr="00E12EDC">
        <w:trPr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59032392" w14:textId="77777777" w:rsidR="00BC36DC" w:rsidRDefault="00BC36DC" w:rsidP="00BC36D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687883DC" w14:textId="77777777" w:rsidR="00BC36DC" w:rsidRDefault="00BC36DC" w:rsidP="00BC36DC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7267775F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319" w:type="dxa"/>
            <w:gridSpan w:val="6"/>
            <w:shd w:val="clear" w:color="auto" w:fill="FFFFFF"/>
          </w:tcPr>
          <w:p w14:paraId="065B594C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9" w:type="dxa"/>
            <w:gridSpan w:val="2"/>
            <w:shd w:val="clear" w:color="auto" w:fill="FFFFFF"/>
          </w:tcPr>
          <w:p w14:paraId="797D6DBB" w14:textId="49C9D11C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BE796D1" w14:textId="5E67EEAB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91C1BE" w14:textId="543C0B9C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C26C7E" w14:textId="1E963252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5C8E8C6" w14:textId="031534AE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796ED50" w14:textId="5F92B639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341AF9CB" w14:textId="1A659FB3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C36DC" w:rsidRPr="008B4FE6" w14:paraId="19ACF9FD" w14:textId="77777777" w:rsidTr="00E12EDC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7EC00DCF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319" w:type="dxa"/>
            <w:gridSpan w:val="6"/>
            <w:shd w:val="clear" w:color="auto" w:fill="FFFFFF"/>
          </w:tcPr>
          <w:p w14:paraId="28DEBDE1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9" w:type="dxa"/>
            <w:gridSpan w:val="2"/>
            <w:shd w:val="clear" w:color="auto" w:fill="FFFFFF"/>
          </w:tcPr>
          <w:p w14:paraId="04272800" w14:textId="32414966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D363182" w14:textId="75B4C04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3163A31" w14:textId="16A29181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6C34E48" w14:textId="4325A7C9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D9EE9E2" w14:textId="12F103A6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47F791D" w14:textId="37CEC890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19562A99" w14:textId="47AC4B3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C36DC" w:rsidRPr="008B4FE6" w14:paraId="655EECBD" w14:textId="77777777" w:rsidTr="00E12EDC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1BFF208D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319" w:type="dxa"/>
            <w:gridSpan w:val="6"/>
            <w:shd w:val="clear" w:color="auto" w:fill="FFFFFF"/>
          </w:tcPr>
          <w:p w14:paraId="25907932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9" w:type="dxa"/>
            <w:gridSpan w:val="2"/>
            <w:shd w:val="clear" w:color="auto" w:fill="FFFFFF"/>
          </w:tcPr>
          <w:p w14:paraId="328640F1" w14:textId="0DA98D39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37625DB" w14:textId="3C9B7BE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972743" w14:textId="33ED2F99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FCA13FA" w14:textId="2D47E2E4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66D211A" w14:textId="39D8044B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39BE6FE" w14:textId="2F298551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1EF9848E" w14:textId="66EC469F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C36DC" w:rsidRPr="008B4FE6" w14:paraId="2FC7C136" w14:textId="77777777" w:rsidTr="00E12EDC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05ACEE7F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319" w:type="dxa"/>
            <w:gridSpan w:val="6"/>
            <w:shd w:val="clear" w:color="auto" w:fill="FFFFFF"/>
          </w:tcPr>
          <w:p w14:paraId="56463DD3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9" w:type="dxa"/>
            <w:gridSpan w:val="2"/>
            <w:shd w:val="clear" w:color="auto" w:fill="FFFFFF"/>
          </w:tcPr>
          <w:p w14:paraId="5FBEB0A0" w14:textId="553AAED4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18AD653" w14:textId="078D5D23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64CECB8" w14:textId="4D13B180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0221C05" w14:textId="6127C093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799C919" w14:textId="5793EE3F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1C4C9C1" w14:textId="63D4036A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557CCCC0" w14:textId="115E2592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C36DC" w:rsidRPr="008B4FE6" w14:paraId="565D4EA6" w14:textId="77777777" w:rsidTr="00E12EDC">
        <w:trPr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1D4BF7D5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319" w:type="dxa"/>
            <w:gridSpan w:val="6"/>
            <w:shd w:val="clear" w:color="auto" w:fill="FFFFFF"/>
          </w:tcPr>
          <w:p w14:paraId="066F573C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50" w:type="dxa"/>
            <w:gridSpan w:val="22"/>
            <w:shd w:val="clear" w:color="auto" w:fill="FFFFFF"/>
          </w:tcPr>
          <w:p w14:paraId="5DB5F803" w14:textId="77777777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</w:rPr>
            </w:pPr>
            <w:bookmarkStart w:id="5" w:name="_Hlk47012054"/>
            <w:r>
              <w:rPr>
                <w:rFonts w:ascii="Times New Roman" w:hAnsi="Times New Roman"/>
              </w:rPr>
              <w:t>Obowiązek przekazywania danych do rejestru będzie obowiązywał usługodawców wykonujących przezcewnikowe zabiegi na zastawkach serca.</w:t>
            </w:r>
            <w:bookmarkEnd w:id="5"/>
          </w:p>
          <w:p w14:paraId="78725CC1" w14:textId="47748F9B" w:rsidR="00BC36DC" w:rsidRPr="00B37C80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C36DC" w:rsidRPr="008B4FE6" w14:paraId="2B3E19B5" w14:textId="77777777" w:rsidTr="00E12EDC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549F1DEE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319" w:type="dxa"/>
            <w:gridSpan w:val="6"/>
            <w:shd w:val="clear" w:color="auto" w:fill="FFFFFF"/>
          </w:tcPr>
          <w:p w14:paraId="774C1550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50" w:type="dxa"/>
            <w:gridSpan w:val="22"/>
            <w:shd w:val="clear" w:color="auto" w:fill="FFFFFF"/>
            <w:vAlign w:val="center"/>
          </w:tcPr>
          <w:p w14:paraId="5CD1A9CB" w14:textId="660B52DA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</w:rPr>
            </w:pPr>
            <w:bookmarkStart w:id="6" w:name="_Hlk47012070"/>
            <w:r>
              <w:rPr>
                <w:rFonts w:ascii="Times New Roman" w:hAnsi="Times New Roman"/>
              </w:rPr>
              <w:t>Brak wpływu na mikroprzedsiębiorców. W przypadku małych i średnich przedsiębiorców obowiązek przekazywania danych do rejestru będzie obowiązywał usługodawców wykonujących przezcewnikowe zabiegi na zastawkach serca.</w:t>
            </w:r>
            <w:bookmarkEnd w:id="6"/>
          </w:p>
          <w:p w14:paraId="3CDAA6CF" w14:textId="28F8689A" w:rsidR="00BC36DC" w:rsidRPr="00B37C80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C36DC" w:rsidRPr="008B4FE6" w14:paraId="5A5D0CA9" w14:textId="77777777" w:rsidTr="00E12EDC">
        <w:trPr>
          <w:trHeight w:val="596"/>
        </w:trPr>
        <w:tc>
          <w:tcPr>
            <w:tcW w:w="1595" w:type="dxa"/>
            <w:vMerge/>
            <w:shd w:val="clear" w:color="auto" w:fill="FFFFFF"/>
          </w:tcPr>
          <w:p w14:paraId="086D0BAD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319" w:type="dxa"/>
            <w:gridSpan w:val="6"/>
            <w:shd w:val="clear" w:color="auto" w:fill="FFFFFF"/>
          </w:tcPr>
          <w:p w14:paraId="5A6593EF" w14:textId="77777777" w:rsidR="00BC36DC" w:rsidRPr="00301959" w:rsidRDefault="00BC36DC" w:rsidP="00BC36DC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50" w:type="dxa"/>
            <w:gridSpan w:val="22"/>
            <w:shd w:val="clear" w:color="auto" w:fill="FFFFFF"/>
          </w:tcPr>
          <w:p w14:paraId="2D43B029" w14:textId="77777777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C786D">
              <w:rPr>
                <w:rFonts w:ascii="Times New Roman" w:hAnsi="Times New Roman"/>
                <w:color w:val="000000"/>
                <w:spacing w:val="-2"/>
              </w:rPr>
              <w:t>Projekt rozporządzenia nie będzie miał bezpośredniego wpływu na działalność rodziny, obywateli oraz gospodarstw domowych. Pośrednio projektowane rozporządzenie może wywrzeć pozytywny wpływ na dostępność świadczeń opieki zdrowotnej o wysokiej jakości dla obywateli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5E9187C" w14:textId="2BA67E30" w:rsidR="00BC36DC" w:rsidRPr="00B37C80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C36DC" w:rsidRPr="008B4FE6" w14:paraId="66FFEFDF" w14:textId="77777777" w:rsidTr="00E12EDC">
        <w:trPr>
          <w:trHeight w:val="240"/>
        </w:trPr>
        <w:tc>
          <w:tcPr>
            <w:tcW w:w="1595" w:type="dxa"/>
            <w:vMerge/>
            <w:shd w:val="clear" w:color="auto" w:fill="FFFFFF"/>
          </w:tcPr>
          <w:p w14:paraId="3EBB9167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319" w:type="dxa"/>
            <w:gridSpan w:val="6"/>
            <w:shd w:val="clear" w:color="auto" w:fill="FFFFFF"/>
          </w:tcPr>
          <w:p w14:paraId="3CC5E65F" w14:textId="77777777" w:rsidR="00BC36DC" w:rsidRPr="00301959" w:rsidRDefault="00BC36DC" w:rsidP="00BC36DC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 w:rsidRPr="00CE2A7F">
              <w:rPr>
                <w:rFonts w:ascii="Times New Roman" w:hAnsi="Times New Roman"/>
              </w:rPr>
              <w:t>osoby niepełnosprawne, osoby starsze</w:t>
            </w:r>
          </w:p>
        </w:tc>
        <w:tc>
          <w:tcPr>
            <w:tcW w:w="7050" w:type="dxa"/>
            <w:gridSpan w:val="22"/>
            <w:shd w:val="clear" w:color="auto" w:fill="FFFFFF"/>
          </w:tcPr>
          <w:p w14:paraId="12FB74F3" w14:textId="2D55BA76" w:rsidR="00BC36DC" w:rsidRDefault="00BC36DC" w:rsidP="00BC36DC">
            <w:pPr>
              <w:tabs>
                <w:tab w:val="left" w:pos="300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C786D">
              <w:rPr>
                <w:rFonts w:ascii="Times New Roman" w:hAnsi="Times New Roman"/>
                <w:color w:val="000000"/>
                <w:spacing w:val="-2"/>
              </w:rPr>
              <w:t xml:space="preserve">Projekt rozporządzenia nie będzie miał bezpośredniego wpływu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na osoby niepełnosprawne i osoby starsze. </w:t>
            </w:r>
            <w:r w:rsidRPr="003C786D">
              <w:rPr>
                <w:rFonts w:ascii="Times New Roman" w:hAnsi="Times New Roman"/>
                <w:color w:val="000000"/>
                <w:spacing w:val="-2"/>
              </w:rPr>
              <w:t>Pośrednio projektowane rozporządzenie może wywrzeć pozytywny wpływ na dostępność świadczeń opieki zdrowotnej o wysokiej jakości dla obywateli, w tym dla osób niepełnosprawnych i osób starszych, w podmiotach posiadających umowę o udzielanie świadczeń opieki zdrowotnej.</w:t>
            </w:r>
          </w:p>
          <w:p w14:paraId="0F23AF12" w14:textId="18C9DBA1" w:rsidR="00BC36DC" w:rsidRPr="00B37C80" w:rsidRDefault="00BC36DC" w:rsidP="00BC36DC">
            <w:pPr>
              <w:tabs>
                <w:tab w:val="left" w:pos="300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C36DC" w:rsidRPr="008B4FE6" w14:paraId="0E5893F3" w14:textId="77777777" w:rsidTr="00E12EDC">
        <w:trPr>
          <w:trHeight w:val="142"/>
        </w:trPr>
        <w:tc>
          <w:tcPr>
            <w:tcW w:w="1595" w:type="dxa"/>
            <w:shd w:val="clear" w:color="auto" w:fill="FFFFFF"/>
          </w:tcPr>
          <w:p w14:paraId="03A22FE8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319" w:type="dxa"/>
            <w:gridSpan w:val="6"/>
            <w:shd w:val="clear" w:color="auto" w:fill="FFFFFF"/>
          </w:tcPr>
          <w:p w14:paraId="00148E5C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50" w:type="dxa"/>
            <w:gridSpan w:val="22"/>
            <w:shd w:val="clear" w:color="auto" w:fill="FFFFFF"/>
          </w:tcPr>
          <w:p w14:paraId="2FA5FFF1" w14:textId="77777777" w:rsidR="00BC36DC" w:rsidRPr="00B37C80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C36DC" w:rsidRPr="008B4FE6" w14:paraId="79842160" w14:textId="77777777" w:rsidTr="005F6A8F">
        <w:trPr>
          <w:trHeight w:val="1299"/>
        </w:trPr>
        <w:tc>
          <w:tcPr>
            <w:tcW w:w="2241" w:type="dxa"/>
            <w:gridSpan w:val="2"/>
            <w:shd w:val="clear" w:color="auto" w:fill="FFFFFF"/>
          </w:tcPr>
          <w:p w14:paraId="773098C2" w14:textId="77777777" w:rsidR="00BC36DC" w:rsidRPr="00301959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723" w:type="dxa"/>
            <w:gridSpan w:val="27"/>
            <w:shd w:val="clear" w:color="auto" w:fill="FFFFFF"/>
            <w:vAlign w:val="center"/>
          </w:tcPr>
          <w:p w14:paraId="1E612F42" w14:textId="33ED0E75" w:rsidR="00BC36DC" w:rsidRPr="00301959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----</w:t>
            </w:r>
          </w:p>
          <w:p w14:paraId="115EB64B" w14:textId="77777777" w:rsidR="00BC36DC" w:rsidRPr="00301959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C36DC" w:rsidRPr="008B4FE6" w14:paraId="18E6AFFB" w14:textId="77777777" w:rsidTr="00E12EDC">
        <w:trPr>
          <w:trHeight w:val="342"/>
        </w:trPr>
        <w:tc>
          <w:tcPr>
            <w:tcW w:w="10964" w:type="dxa"/>
            <w:gridSpan w:val="29"/>
            <w:shd w:val="clear" w:color="auto" w:fill="99CCFF"/>
            <w:vAlign w:val="center"/>
          </w:tcPr>
          <w:p w14:paraId="5D0160AD" w14:textId="77777777" w:rsidR="00BC36DC" w:rsidRPr="008B4FE6" w:rsidRDefault="00BC36DC" w:rsidP="00BC36D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C36DC" w:rsidRPr="008B4FE6" w14:paraId="6368A780" w14:textId="77777777" w:rsidTr="00E12EDC">
        <w:trPr>
          <w:trHeight w:val="151"/>
        </w:trPr>
        <w:tc>
          <w:tcPr>
            <w:tcW w:w="10964" w:type="dxa"/>
            <w:gridSpan w:val="29"/>
            <w:shd w:val="clear" w:color="auto" w:fill="FFFFFF"/>
          </w:tcPr>
          <w:p w14:paraId="64F9EF92" w14:textId="14499FB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C36DC" w:rsidRPr="008B4FE6" w14:paraId="75E3EC4E" w14:textId="77777777" w:rsidTr="00E12EDC">
        <w:trPr>
          <w:trHeight w:val="946"/>
        </w:trPr>
        <w:tc>
          <w:tcPr>
            <w:tcW w:w="5136" w:type="dxa"/>
            <w:gridSpan w:val="11"/>
            <w:shd w:val="clear" w:color="auto" w:fill="FFFFFF"/>
          </w:tcPr>
          <w:p w14:paraId="40EED62E" w14:textId="77777777" w:rsidR="00BC36DC" w:rsidRDefault="00BC36DC" w:rsidP="00BC36DC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8" w:type="dxa"/>
            <w:gridSpan w:val="18"/>
            <w:shd w:val="clear" w:color="auto" w:fill="FFFFFF"/>
          </w:tcPr>
          <w:p w14:paraId="259B8625" w14:textId="4874CB55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5A75EE57" w14:textId="77777777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9456295" w14:textId="77777777" w:rsidR="00BC36DC" w:rsidRDefault="008C6494" w:rsidP="00BC36DC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C36DC" w:rsidRPr="008B4FE6" w14:paraId="2A521CA7" w14:textId="77777777" w:rsidTr="00E12EDC">
        <w:trPr>
          <w:trHeight w:val="1245"/>
        </w:trPr>
        <w:tc>
          <w:tcPr>
            <w:tcW w:w="5136" w:type="dxa"/>
            <w:gridSpan w:val="11"/>
            <w:shd w:val="clear" w:color="auto" w:fill="FFFFFF"/>
          </w:tcPr>
          <w:p w14:paraId="43ED680B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5BD43A5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48D8B5A8" w14:textId="77777777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3CBDC805" w14:textId="77777777" w:rsidR="00BC36DC" w:rsidRPr="008B4FE6" w:rsidRDefault="008C6494" w:rsidP="00BC36DC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BC36DC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BC36DC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5828" w:type="dxa"/>
            <w:gridSpan w:val="18"/>
            <w:shd w:val="clear" w:color="auto" w:fill="FFFFFF"/>
          </w:tcPr>
          <w:p w14:paraId="57AF476C" w14:textId="4DBCF17F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7A53F1BE" w14:textId="4FAFBF2C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16DFB5E" w14:textId="71ABE135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13A0803" w14:textId="7D2D063B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BC36DC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BC36DC">
              <w:rPr>
                <w:rFonts w:ascii="Times New Roman" w:hAnsi="Times New Roman"/>
                <w:color w:val="000000"/>
              </w:rPr>
              <w:t xml:space="preserve">zobowiązanie do przekazania danych do rejestru </w:t>
            </w:r>
          </w:p>
        </w:tc>
      </w:tr>
      <w:tr w:rsidR="00BC36DC" w:rsidRPr="008B4FE6" w14:paraId="3C8C5B1B" w14:textId="77777777" w:rsidTr="00E12EDC">
        <w:trPr>
          <w:trHeight w:val="870"/>
        </w:trPr>
        <w:tc>
          <w:tcPr>
            <w:tcW w:w="5136" w:type="dxa"/>
            <w:gridSpan w:val="11"/>
            <w:shd w:val="clear" w:color="auto" w:fill="FFFFFF"/>
          </w:tcPr>
          <w:p w14:paraId="2B220A0A" w14:textId="77777777" w:rsidR="00BC36DC" w:rsidRPr="008B4FE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8" w:type="dxa"/>
            <w:gridSpan w:val="18"/>
            <w:shd w:val="clear" w:color="auto" w:fill="FFFFFF"/>
          </w:tcPr>
          <w:p w14:paraId="53E7D8AB" w14:textId="77777777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06FEEB4" w14:textId="77777777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12531A0" w14:textId="77777777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6AEDB6D8" w14:textId="77777777" w:rsidR="00BC36DC" w:rsidRPr="008B4FE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C36DC" w:rsidRPr="008B4FE6" w14:paraId="0A8875D5" w14:textId="77777777" w:rsidTr="00E12EDC">
        <w:trPr>
          <w:trHeight w:val="630"/>
        </w:trPr>
        <w:tc>
          <w:tcPr>
            <w:tcW w:w="10964" w:type="dxa"/>
            <w:gridSpan w:val="29"/>
            <w:shd w:val="clear" w:color="auto" w:fill="FFFFFF"/>
          </w:tcPr>
          <w:p w14:paraId="6F8FDE2B" w14:textId="355CCE95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 -------</w:t>
            </w:r>
          </w:p>
          <w:p w14:paraId="40D01A29" w14:textId="77777777" w:rsidR="00BC36DC" w:rsidRPr="008B4FE6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C36DC" w:rsidRPr="008B4FE6" w14:paraId="6927FD0C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</w:tcPr>
          <w:p w14:paraId="301D252D" w14:textId="77777777" w:rsidR="00BC36DC" w:rsidRPr="008B4FE6" w:rsidRDefault="00BC36DC" w:rsidP="00BC36D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C36DC" w:rsidRPr="008B4FE6" w14:paraId="21EDD543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auto"/>
          </w:tcPr>
          <w:p w14:paraId="073D033B" w14:textId="72703A25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>P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>rzezcewnikowe leczeni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e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 xml:space="preserve"> zastawek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 serca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 xml:space="preserve"> może skutkować mniejszą liczbą powikłań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 w stosunku do leczenia chirurgicznego wad zastawkowych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>, poprawą stanu zdrowia i jakości życia osób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 poddanych </w:t>
            </w:r>
            <w:proofErr w:type="spellStart"/>
            <w:r>
              <w:rPr>
                <w:rFonts w:ascii="Times New Roman" w:hAnsi="Times New Roman"/>
                <w:color w:val="000000" w:themeColor="text1"/>
                <w:spacing w:val="-2"/>
              </w:rPr>
              <w:t>przezcewnikowym</w:t>
            </w:r>
            <w:proofErr w:type="spellEnd"/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 zabiegom na zastawkach serca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>, a zatem może wpływać na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 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>zmniejszenie absencji chorobowej, związanej m.in. z koniecznością rehospitalizacji i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 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>ograniczenie</w:t>
            </w:r>
            <w:r>
              <w:rPr>
                <w:rFonts w:ascii="Times New Roman" w:hAnsi="Times New Roman"/>
                <w:color w:val="000000" w:themeColor="text1"/>
                <w:spacing w:val="-2"/>
              </w:rPr>
              <w:t>m</w:t>
            </w:r>
            <w:r w:rsidRPr="00A47FE8">
              <w:rPr>
                <w:rFonts w:ascii="Times New Roman" w:hAnsi="Times New Roman"/>
                <w:color w:val="000000" w:themeColor="text1"/>
                <w:spacing w:val="-2"/>
              </w:rPr>
              <w:t xml:space="preserve"> zjawiska czasowej lub trwałej niezdolności do pracy.</w:t>
            </w:r>
          </w:p>
          <w:p w14:paraId="676828B0" w14:textId="10DCF202" w:rsidR="00BC36DC" w:rsidRPr="008B4FE6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C36DC" w:rsidRPr="008B4FE6" w14:paraId="778E28B0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</w:tcPr>
          <w:p w14:paraId="3C1B1F57" w14:textId="77777777" w:rsidR="00BC36DC" w:rsidRPr="008B4FE6" w:rsidRDefault="00BC36DC" w:rsidP="00BC36D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C36DC" w:rsidRPr="008B4FE6" w14:paraId="2B938652" w14:textId="77777777" w:rsidTr="00E12EDC">
        <w:trPr>
          <w:trHeight w:val="1031"/>
        </w:trPr>
        <w:tc>
          <w:tcPr>
            <w:tcW w:w="3545" w:type="dxa"/>
            <w:gridSpan w:val="5"/>
            <w:shd w:val="clear" w:color="auto" w:fill="FFFFFF"/>
          </w:tcPr>
          <w:p w14:paraId="23BBF135" w14:textId="77777777" w:rsidR="00BC36DC" w:rsidRPr="008B4FE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C214F19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4E471E9" w14:textId="77777777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AF2CCFC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="00BC36DC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3714" w:type="dxa"/>
            <w:gridSpan w:val="14"/>
            <w:shd w:val="clear" w:color="auto" w:fill="FFFFFF"/>
          </w:tcPr>
          <w:p w14:paraId="7FAEDB7A" w14:textId="77777777" w:rsidR="00BC36DC" w:rsidRPr="008B4FE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226C1F1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3EB26AC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C36DC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5" w:type="dxa"/>
            <w:gridSpan w:val="10"/>
            <w:shd w:val="clear" w:color="auto" w:fill="FFFFFF"/>
          </w:tcPr>
          <w:p w14:paraId="7F377284" w14:textId="77777777" w:rsidR="00BC36DC" w:rsidRPr="008B4FE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D313096" w14:textId="15E10BF4" w:rsidR="00BC36DC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C36DC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33219D12" w14:textId="77777777" w:rsidR="00BC36DC" w:rsidRPr="008B4FE6" w:rsidRDefault="008C6494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6DC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C36DC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BC36DC" w:rsidRPr="008B4FE6" w14:paraId="6753F39C" w14:textId="77777777" w:rsidTr="00E12EDC">
        <w:trPr>
          <w:trHeight w:val="712"/>
        </w:trPr>
        <w:tc>
          <w:tcPr>
            <w:tcW w:w="2241" w:type="dxa"/>
            <w:gridSpan w:val="2"/>
            <w:shd w:val="clear" w:color="auto" w:fill="FFFFFF"/>
            <w:vAlign w:val="center"/>
          </w:tcPr>
          <w:p w14:paraId="5594B5E7" w14:textId="77777777" w:rsidR="00BC36DC" w:rsidRPr="008B4FE6" w:rsidRDefault="00BC36DC" w:rsidP="00BC36D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723" w:type="dxa"/>
            <w:gridSpan w:val="27"/>
            <w:shd w:val="clear" w:color="auto" w:fill="FFFFFF"/>
            <w:vAlign w:val="center"/>
          </w:tcPr>
          <w:p w14:paraId="554230B8" w14:textId="713AEAE0" w:rsidR="00BC36DC" w:rsidRPr="008B4FE6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Zakłada się, że utworzenie rejestru przyczyni się do podniesienia jakości przezcewnikowego leczenia zastawek serca.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Tworzony rozporządzeniem rejestr będzie prowadzony w systemie teleinformatycznym, a zatem wszystkie wymagania dotyczące jego interoperacyjności i neutralności technologicznej określone w obowiązujących przepisach, m.in. ustawy z dnia 17 lutego 2005 r. o </w:t>
            </w:r>
            <w:r w:rsidRPr="00812555">
              <w:rPr>
                <w:rFonts w:ascii="Times New Roman" w:hAnsi="Times New Roman"/>
                <w:color w:val="000000"/>
                <w:spacing w:val="-2"/>
              </w:rPr>
              <w:t>informatyzacji działalności podmiotów realizujących zadania publiczne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5F6A8F">
              <w:rPr>
                <w:rFonts w:ascii="Times New Roman" w:eastAsia="Times New Roman" w:hAnsi="Times New Roman"/>
                <w:bCs/>
                <w:lang w:eastAsia="pl-PL"/>
              </w:rPr>
              <w:t>(Dz. U. z 20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20</w:t>
            </w:r>
            <w:r w:rsidRPr="005F6A8F">
              <w:rPr>
                <w:rFonts w:ascii="Times New Roman" w:eastAsia="Times New Roman" w:hAnsi="Times New Roman"/>
                <w:bCs/>
                <w:lang w:eastAsia="pl-PL"/>
              </w:rPr>
              <w:t xml:space="preserve"> r. poz. 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346</w:t>
            </w:r>
            <w:r w:rsidRPr="005F6A8F">
              <w:rPr>
                <w:rFonts w:ascii="Times New Roman" w:eastAsia="Times New Roman" w:hAnsi="Times New Roman"/>
                <w:bCs/>
                <w:lang w:eastAsia="pl-PL"/>
              </w:rPr>
              <w:t>, z późn. zm.)</w:t>
            </w:r>
            <w:r w:rsidRPr="00223081">
              <w:rPr>
                <w:rFonts w:ascii="Times New Roman" w:hAnsi="Times New Roman"/>
                <w:color w:val="000000"/>
                <w:spacing w:val="-2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powinny być zachowane.</w:t>
            </w:r>
          </w:p>
        </w:tc>
      </w:tr>
      <w:tr w:rsidR="00BC36DC" w:rsidRPr="008B4FE6" w14:paraId="425597D2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</w:tcPr>
          <w:p w14:paraId="1AB58FAD" w14:textId="77777777" w:rsidR="00BC36DC" w:rsidRPr="00627221" w:rsidRDefault="00BC36DC" w:rsidP="00BC36D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C36DC" w:rsidRPr="008B4FE6" w14:paraId="200A749A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FFFFFF"/>
          </w:tcPr>
          <w:p w14:paraId="68AE2110" w14:textId="77777777" w:rsidR="00BC36DC" w:rsidRPr="000F06FD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06FD">
              <w:rPr>
                <w:rFonts w:ascii="Times New Roman" w:hAnsi="Times New Roman"/>
                <w:color w:val="000000"/>
                <w:spacing w:val="-2"/>
              </w:rPr>
              <w:t>Rozporządzenie wejdzie w życie po upływie 14 dni od dnia ogłoszenia.</w:t>
            </w:r>
          </w:p>
          <w:p w14:paraId="7B37517A" w14:textId="1FE2016B" w:rsidR="00BC36DC" w:rsidRPr="000F06FD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06FD">
              <w:rPr>
                <w:rFonts w:ascii="Times New Roman" w:hAnsi="Times New Roman"/>
                <w:color w:val="000000"/>
                <w:spacing w:val="-2"/>
              </w:rPr>
              <w:t>Usługodawcy przeka</w:t>
            </w:r>
            <w:r w:rsidR="00A7456B">
              <w:rPr>
                <w:rFonts w:ascii="Times New Roman" w:hAnsi="Times New Roman"/>
                <w:color w:val="000000"/>
                <w:spacing w:val="-2"/>
              </w:rPr>
              <w:t xml:space="preserve">żą </w:t>
            </w:r>
            <w:r w:rsidRPr="000F06FD">
              <w:rPr>
                <w:rFonts w:ascii="Times New Roman" w:hAnsi="Times New Roman"/>
                <w:color w:val="000000"/>
                <w:spacing w:val="-2"/>
              </w:rPr>
              <w:t xml:space="preserve">po raz pierwszy dane i identyfikatory, o których mowa w § 4 rozporządzenia, po poinformowaniu przez podmiot prowadzący rejestr, jednak nie później niż w terminie 6 miesięcy od dnia wejścia w życie rozporządzenia. </w:t>
            </w:r>
          </w:p>
          <w:p w14:paraId="143DC064" w14:textId="1BC69154" w:rsidR="00BC36DC" w:rsidRPr="00A7456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06FD">
              <w:rPr>
                <w:rFonts w:ascii="Times New Roman" w:hAnsi="Times New Roman"/>
                <w:color w:val="000000"/>
                <w:spacing w:val="-2"/>
              </w:rPr>
              <w:t>Usługodawcy w terminie 3 miesięcy od dnia uruchomienia rejestru przeka</w:t>
            </w:r>
            <w:r w:rsidR="00A7456B">
              <w:rPr>
                <w:rFonts w:ascii="Times New Roman" w:hAnsi="Times New Roman"/>
                <w:color w:val="000000"/>
                <w:spacing w:val="-2"/>
              </w:rPr>
              <w:t xml:space="preserve">żą </w:t>
            </w:r>
            <w:r w:rsidRPr="000F06FD">
              <w:rPr>
                <w:rFonts w:ascii="Times New Roman" w:hAnsi="Times New Roman"/>
                <w:color w:val="000000"/>
                <w:spacing w:val="-2"/>
              </w:rPr>
              <w:t>dane i identyfikatory, o których mowa w § 4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rozporządzenia</w:t>
            </w:r>
            <w:r w:rsidRPr="000F06FD">
              <w:rPr>
                <w:rFonts w:ascii="Times New Roman" w:hAnsi="Times New Roman"/>
                <w:color w:val="000000"/>
                <w:spacing w:val="-2"/>
              </w:rPr>
              <w:t xml:space="preserve">, w odniesieniu do usługobiorców, którym udzielano świadczeń opieki zdrowotnej od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dnia 1 stycznia </w:t>
            </w:r>
            <w:r w:rsidRPr="000F06FD">
              <w:rPr>
                <w:rFonts w:ascii="Times New Roman" w:hAnsi="Times New Roman"/>
                <w:color w:val="000000"/>
                <w:spacing w:val="-2"/>
              </w:rPr>
              <w:t>2020 r.</w:t>
            </w:r>
          </w:p>
        </w:tc>
      </w:tr>
      <w:tr w:rsidR="00BC36DC" w:rsidRPr="008B4FE6" w14:paraId="34DDE49F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</w:tcPr>
          <w:p w14:paraId="4C27FB3B" w14:textId="77777777" w:rsidR="00BC36DC" w:rsidRPr="008B4FE6" w:rsidRDefault="00BC36DC" w:rsidP="00BC36D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BC36DC" w:rsidRPr="008B4FE6" w14:paraId="48ECBA6E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FFFFFF"/>
          </w:tcPr>
          <w:p w14:paraId="0C6BE292" w14:textId="77777777" w:rsidR="00BC36DC" w:rsidRPr="00EF099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F099B">
              <w:rPr>
                <w:rFonts w:ascii="Times New Roman" w:hAnsi="Times New Roman"/>
                <w:color w:val="000000"/>
                <w:spacing w:val="-2"/>
              </w:rPr>
              <w:lastRenderedPageBreak/>
              <w:t>Efektem wdrożenia projektu rozporządzenia dotyczącego utworzenia rejestru przezcewnikowego leczenia zastawek serca będzie:</w:t>
            </w:r>
          </w:p>
          <w:p w14:paraId="21DF9F88" w14:textId="11419B53" w:rsidR="00BC36DC" w:rsidRPr="00EF099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F099B">
              <w:rPr>
                <w:rFonts w:ascii="Times New Roman" w:hAnsi="Times New Roman"/>
                <w:color w:val="000000"/>
                <w:spacing w:val="-2"/>
              </w:rPr>
              <w:t>1) prowadzenie monitorowania jakości, skuteczności i bezpieczeństwa leczenia wad serca metodami przezcewnikowymi w perspektywie wczesnej, średnio</w:t>
            </w: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  <w:r w:rsidRPr="00EF099B">
              <w:rPr>
                <w:rFonts w:ascii="Times New Roman" w:hAnsi="Times New Roman"/>
                <w:color w:val="000000"/>
                <w:spacing w:val="-2"/>
              </w:rPr>
              <w:t xml:space="preserve"> i długoterminowej;</w:t>
            </w:r>
          </w:p>
          <w:p w14:paraId="1AF7E97E" w14:textId="77777777" w:rsidR="00BC36DC" w:rsidRPr="00EF099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F099B">
              <w:rPr>
                <w:rFonts w:ascii="Times New Roman" w:hAnsi="Times New Roman"/>
                <w:color w:val="000000"/>
                <w:spacing w:val="-2"/>
              </w:rPr>
              <w:t>2) prowadzenie monitorowania wskazań i przeciwwskazań do leczenia wad serca metodami przezcewnikowymi;</w:t>
            </w:r>
          </w:p>
          <w:p w14:paraId="33C54C62" w14:textId="77777777" w:rsidR="00BC36DC" w:rsidRPr="00EF099B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F099B">
              <w:rPr>
                <w:rFonts w:ascii="Times New Roman" w:hAnsi="Times New Roman"/>
                <w:color w:val="000000"/>
                <w:spacing w:val="-2"/>
              </w:rPr>
              <w:t>3) zdefiniowanie istotnych czynników ryzyka wczesnych i odległych powikłań i niepowodzeń po leczeniu usługobiorców metodami przezcewnikowymi;</w:t>
            </w:r>
          </w:p>
          <w:p w14:paraId="638D8CC3" w14:textId="7EA65073" w:rsidR="00BC36DC" w:rsidRDefault="00BC36DC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F099B">
              <w:rPr>
                <w:rFonts w:ascii="Times New Roman" w:hAnsi="Times New Roman"/>
                <w:color w:val="000000"/>
                <w:spacing w:val="-2"/>
              </w:rPr>
              <w:t>4) poprawa praktyki klinicznej w leczeniu wad zastawkowych.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D694BFB" w14:textId="5B94ADEE" w:rsidR="00603B26" w:rsidRDefault="00603B26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A31F0B8" w14:textId="2BC1F9FD" w:rsidR="00BC36DC" w:rsidRPr="00B37C80" w:rsidRDefault="00603B26" w:rsidP="00BC36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03B26">
              <w:rPr>
                <w:rFonts w:ascii="Times New Roman" w:hAnsi="Times New Roman"/>
                <w:color w:val="000000"/>
                <w:spacing w:val="-2"/>
              </w:rPr>
              <w:t>Wyniki leczenia, zarówno wczesne, średnioterminowe, jak i odległe, poddawane będą systematycznej, okresowej analizie i wielowymiarowej ocenie (uwzględniającej perspektywę kliniczną, ekonomiczną, organizacyjną). Przeprowadzone będą także roczne analizy porównawcze danych ogólnopolskich na osi czasu. W ewaluacji bezpieczeństwa, jakości, medyczno-ekonomicznej efektywności uwzględnione zostaną  m.in.  takie parametry i dane, jak ocena wskazań i przeciwwskazań do zabiegu, rodzaj ewentualnych powikłań oko</w:t>
            </w:r>
            <w:r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603B26">
              <w:rPr>
                <w:rFonts w:ascii="Times New Roman" w:hAnsi="Times New Roman"/>
                <w:color w:val="000000"/>
                <w:spacing w:val="-2"/>
              </w:rPr>
              <w:t xml:space="preserve">ooperacyjnych (ze szczególnym uwzględnieniem takich powikłań, jak m.in.  przeciek </w:t>
            </w:r>
            <w:proofErr w:type="spellStart"/>
            <w:r w:rsidRPr="00603B26">
              <w:rPr>
                <w:rFonts w:ascii="Times New Roman" w:hAnsi="Times New Roman"/>
                <w:color w:val="000000"/>
                <w:spacing w:val="-2"/>
              </w:rPr>
              <w:t>okołozastawkowy</w:t>
            </w:r>
            <w:proofErr w:type="spellEnd"/>
            <w:r w:rsidRPr="00603B26">
              <w:rPr>
                <w:rFonts w:ascii="Times New Roman" w:hAnsi="Times New Roman"/>
                <w:color w:val="000000"/>
                <w:spacing w:val="-2"/>
              </w:rPr>
              <w:t xml:space="preserve">, liczba wszczepionych w trakcie zabiegu stymulatorów) oraz </w:t>
            </w:r>
            <w:proofErr w:type="spellStart"/>
            <w:r w:rsidRPr="00603B26">
              <w:rPr>
                <w:rFonts w:ascii="Times New Roman" w:hAnsi="Times New Roman"/>
                <w:color w:val="000000"/>
                <w:spacing w:val="-2"/>
              </w:rPr>
              <w:t>pozabiegowych</w:t>
            </w:r>
            <w:proofErr w:type="spellEnd"/>
            <w:r w:rsidRPr="00603B26">
              <w:rPr>
                <w:rFonts w:ascii="Times New Roman" w:hAnsi="Times New Roman"/>
                <w:color w:val="000000"/>
                <w:spacing w:val="-2"/>
              </w:rPr>
              <w:t>, długość hospitalizacji, w tym czas pobytu na oddziale intensywnej terapii, wyniki badań obrazowych po zabiegu, śmiertelność szpitalna, wczesna i odległa, poziom jakości życia przed i po zabiegu (obserwacja wczesna i odległa)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C36DC" w:rsidRPr="008B4FE6" w14:paraId="1F7E742B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99CCFF"/>
          </w:tcPr>
          <w:p w14:paraId="3CB8FAE8" w14:textId="77777777" w:rsidR="00BC36DC" w:rsidRPr="008B4FE6" w:rsidRDefault="00BC36DC" w:rsidP="00BC36D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C36DC" w:rsidRPr="008B4FE6" w14:paraId="396A6265" w14:textId="77777777" w:rsidTr="00E12EDC">
        <w:trPr>
          <w:trHeight w:val="142"/>
        </w:trPr>
        <w:tc>
          <w:tcPr>
            <w:tcW w:w="10964" w:type="dxa"/>
            <w:gridSpan w:val="29"/>
            <w:shd w:val="clear" w:color="auto" w:fill="FFFFFF"/>
          </w:tcPr>
          <w:p w14:paraId="16F7BF16" w14:textId="4BA03AC6" w:rsidR="00BC36DC" w:rsidRPr="00A7456B" w:rsidRDefault="00C515FE" w:rsidP="00BC36DC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Raport z konsultacji publicznych i opiniowania.</w:t>
            </w:r>
          </w:p>
        </w:tc>
      </w:tr>
    </w:tbl>
    <w:p w14:paraId="414D8765" w14:textId="77777777" w:rsidR="006176ED" w:rsidRPr="00522D94" w:rsidRDefault="006176ED" w:rsidP="00605F3E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09305" w14:textId="77777777" w:rsidR="008C6494" w:rsidRDefault="008C6494" w:rsidP="00044739">
      <w:pPr>
        <w:spacing w:line="240" w:lineRule="auto"/>
      </w:pPr>
      <w:r>
        <w:separator/>
      </w:r>
    </w:p>
  </w:endnote>
  <w:endnote w:type="continuationSeparator" w:id="0">
    <w:p w14:paraId="7BC957CA" w14:textId="77777777" w:rsidR="008C6494" w:rsidRDefault="008C6494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876C4" w14:textId="77777777" w:rsidR="008C6494" w:rsidRDefault="008C6494" w:rsidP="00044739">
      <w:pPr>
        <w:spacing w:line="240" w:lineRule="auto"/>
      </w:pPr>
      <w:r>
        <w:separator/>
      </w:r>
    </w:p>
  </w:footnote>
  <w:footnote w:type="continuationSeparator" w:id="0">
    <w:p w14:paraId="59407679" w14:textId="77777777" w:rsidR="008C6494" w:rsidRDefault="008C6494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065BB"/>
    <w:multiLevelType w:val="hybridMultilevel"/>
    <w:tmpl w:val="1632FA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B6A2B"/>
    <w:multiLevelType w:val="hybridMultilevel"/>
    <w:tmpl w:val="958C7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5ED4"/>
    <w:multiLevelType w:val="hybridMultilevel"/>
    <w:tmpl w:val="88828130"/>
    <w:lvl w:ilvl="0" w:tplc="4D1C7A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1018"/>
    <w:multiLevelType w:val="hybridMultilevel"/>
    <w:tmpl w:val="36664FDA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17C7F"/>
    <w:multiLevelType w:val="hybridMultilevel"/>
    <w:tmpl w:val="C1B61C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8" w15:restartNumberingAfterBreak="0">
    <w:nsid w:val="149711DB"/>
    <w:multiLevelType w:val="hybridMultilevel"/>
    <w:tmpl w:val="74B83EB6"/>
    <w:lvl w:ilvl="0" w:tplc="69624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C78CA"/>
    <w:multiLevelType w:val="hybridMultilevel"/>
    <w:tmpl w:val="AB009DF4"/>
    <w:lvl w:ilvl="0" w:tplc="C0B2F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03B21FC"/>
    <w:multiLevelType w:val="hybridMultilevel"/>
    <w:tmpl w:val="F8AEC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214E5"/>
    <w:multiLevelType w:val="hybridMultilevel"/>
    <w:tmpl w:val="27FEA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A675B"/>
    <w:multiLevelType w:val="hybridMultilevel"/>
    <w:tmpl w:val="91F4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7" w15:restartNumberingAfterBreak="0">
    <w:nsid w:val="23035E3E"/>
    <w:multiLevelType w:val="hybridMultilevel"/>
    <w:tmpl w:val="82988030"/>
    <w:lvl w:ilvl="0" w:tplc="4D1C7A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8548B"/>
    <w:multiLevelType w:val="hybridMultilevel"/>
    <w:tmpl w:val="38187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6125A"/>
    <w:multiLevelType w:val="hybridMultilevel"/>
    <w:tmpl w:val="70247CEA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07920"/>
    <w:multiLevelType w:val="hybridMultilevel"/>
    <w:tmpl w:val="15E0802A"/>
    <w:lvl w:ilvl="0" w:tplc="0874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623ED"/>
    <w:multiLevelType w:val="hybridMultilevel"/>
    <w:tmpl w:val="D6F2A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D1549"/>
    <w:multiLevelType w:val="hybridMultilevel"/>
    <w:tmpl w:val="C6BCC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F07C9F"/>
    <w:multiLevelType w:val="hybridMultilevel"/>
    <w:tmpl w:val="09E87FC0"/>
    <w:lvl w:ilvl="0" w:tplc="E03607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7059D"/>
    <w:multiLevelType w:val="hybridMultilevel"/>
    <w:tmpl w:val="24089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8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31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AA648FE"/>
    <w:multiLevelType w:val="hybridMultilevel"/>
    <w:tmpl w:val="0C604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36737"/>
    <w:multiLevelType w:val="hybridMultilevel"/>
    <w:tmpl w:val="D720A62E"/>
    <w:lvl w:ilvl="0" w:tplc="4D1C7A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8B6000"/>
    <w:multiLevelType w:val="hybridMultilevel"/>
    <w:tmpl w:val="6274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F0E7460"/>
    <w:multiLevelType w:val="hybridMultilevel"/>
    <w:tmpl w:val="05447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1" w15:restartNumberingAfterBreak="0">
    <w:nsid w:val="6A8D6FE8"/>
    <w:multiLevelType w:val="hybridMultilevel"/>
    <w:tmpl w:val="E684E7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53461F"/>
    <w:multiLevelType w:val="hybridMultilevel"/>
    <w:tmpl w:val="95DC8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5383A"/>
    <w:multiLevelType w:val="hybridMultilevel"/>
    <w:tmpl w:val="A4FA9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5"/>
  </w:num>
  <w:num w:numId="4">
    <w:abstractNumId w:val="39"/>
  </w:num>
  <w:num w:numId="5">
    <w:abstractNumId w:val="4"/>
  </w:num>
  <w:num w:numId="6">
    <w:abstractNumId w:val="18"/>
  </w:num>
  <w:num w:numId="7">
    <w:abstractNumId w:val="29"/>
  </w:num>
  <w:num w:numId="8">
    <w:abstractNumId w:val="11"/>
  </w:num>
  <w:num w:numId="9">
    <w:abstractNumId w:val="31"/>
  </w:num>
  <w:num w:numId="10">
    <w:abstractNumId w:val="28"/>
  </w:num>
  <w:num w:numId="11">
    <w:abstractNumId w:val="30"/>
  </w:num>
  <w:num w:numId="12">
    <w:abstractNumId w:val="7"/>
  </w:num>
  <w:num w:numId="13">
    <w:abstractNumId w:val="27"/>
  </w:num>
  <w:num w:numId="14">
    <w:abstractNumId w:val="40"/>
  </w:num>
  <w:num w:numId="15">
    <w:abstractNumId w:val="32"/>
  </w:num>
  <w:num w:numId="16">
    <w:abstractNumId w:val="38"/>
  </w:num>
  <w:num w:numId="17">
    <w:abstractNumId w:val="15"/>
  </w:num>
  <w:num w:numId="18">
    <w:abstractNumId w:val="42"/>
  </w:num>
  <w:num w:numId="19">
    <w:abstractNumId w:val="43"/>
  </w:num>
  <w:num w:numId="20">
    <w:abstractNumId w:val="36"/>
  </w:num>
  <w:num w:numId="21">
    <w:abstractNumId w:val="16"/>
  </w:num>
  <w:num w:numId="22">
    <w:abstractNumId w:val="24"/>
  </w:num>
  <w:num w:numId="23">
    <w:abstractNumId w:val="33"/>
  </w:num>
  <w:num w:numId="24">
    <w:abstractNumId w:val="26"/>
  </w:num>
  <w:num w:numId="25">
    <w:abstractNumId w:val="34"/>
  </w:num>
  <w:num w:numId="26">
    <w:abstractNumId w:val="3"/>
  </w:num>
  <w:num w:numId="27">
    <w:abstractNumId w:val="17"/>
  </w:num>
  <w:num w:numId="28">
    <w:abstractNumId w:val="1"/>
  </w:num>
  <w:num w:numId="29">
    <w:abstractNumId w:val="19"/>
  </w:num>
  <w:num w:numId="30">
    <w:abstractNumId w:val="13"/>
  </w:num>
  <w:num w:numId="31">
    <w:abstractNumId w:val="14"/>
  </w:num>
  <w:num w:numId="32">
    <w:abstractNumId w:val="45"/>
  </w:num>
  <w:num w:numId="33">
    <w:abstractNumId w:val="23"/>
  </w:num>
  <w:num w:numId="34">
    <w:abstractNumId w:val="37"/>
  </w:num>
  <w:num w:numId="35">
    <w:abstractNumId w:val="44"/>
  </w:num>
  <w:num w:numId="36">
    <w:abstractNumId w:val="20"/>
  </w:num>
  <w:num w:numId="37">
    <w:abstractNumId w:val="5"/>
  </w:num>
  <w:num w:numId="38">
    <w:abstractNumId w:val="8"/>
  </w:num>
  <w:num w:numId="39">
    <w:abstractNumId w:val="21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41"/>
  </w:num>
  <w:num w:numId="43">
    <w:abstractNumId w:val="9"/>
  </w:num>
  <w:num w:numId="44">
    <w:abstractNumId w:val="2"/>
  </w:num>
  <w:num w:numId="45">
    <w:abstractNumId w:val="12"/>
  </w:num>
  <w:num w:numId="46">
    <w:abstractNumId w:val="6"/>
  </w:num>
  <w:num w:numId="47">
    <w:abstractNumId w:val="35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C6A"/>
    <w:rsid w:val="00012D11"/>
    <w:rsid w:val="00013EB5"/>
    <w:rsid w:val="00016292"/>
    <w:rsid w:val="00023836"/>
    <w:rsid w:val="000356A9"/>
    <w:rsid w:val="00037C00"/>
    <w:rsid w:val="00044138"/>
    <w:rsid w:val="00044739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75E8"/>
    <w:rsid w:val="000944AC"/>
    <w:rsid w:val="00094CB9"/>
    <w:rsid w:val="000956B2"/>
    <w:rsid w:val="000969E7"/>
    <w:rsid w:val="000A23DE"/>
    <w:rsid w:val="000A4020"/>
    <w:rsid w:val="000A5B1A"/>
    <w:rsid w:val="000B54FB"/>
    <w:rsid w:val="000C29B0"/>
    <w:rsid w:val="000C47C2"/>
    <w:rsid w:val="000C76FC"/>
    <w:rsid w:val="000D38FC"/>
    <w:rsid w:val="000D4D90"/>
    <w:rsid w:val="000E0350"/>
    <w:rsid w:val="000E2D10"/>
    <w:rsid w:val="000F06FD"/>
    <w:rsid w:val="000F3204"/>
    <w:rsid w:val="000F6334"/>
    <w:rsid w:val="0010548B"/>
    <w:rsid w:val="001072D1"/>
    <w:rsid w:val="00117017"/>
    <w:rsid w:val="00130E8E"/>
    <w:rsid w:val="0013216E"/>
    <w:rsid w:val="001401B5"/>
    <w:rsid w:val="001422B9"/>
    <w:rsid w:val="0014665F"/>
    <w:rsid w:val="00147314"/>
    <w:rsid w:val="001518C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11E"/>
    <w:rsid w:val="001956A7"/>
    <w:rsid w:val="00196683"/>
    <w:rsid w:val="001A118A"/>
    <w:rsid w:val="001A27F4"/>
    <w:rsid w:val="001A2D95"/>
    <w:rsid w:val="001B3460"/>
    <w:rsid w:val="001B4CA1"/>
    <w:rsid w:val="001B75D8"/>
    <w:rsid w:val="001C1060"/>
    <w:rsid w:val="001C3C63"/>
    <w:rsid w:val="001D02CF"/>
    <w:rsid w:val="001D4732"/>
    <w:rsid w:val="001D6A3C"/>
    <w:rsid w:val="001D6D51"/>
    <w:rsid w:val="001F0C6A"/>
    <w:rsid w:val="001F6044"/>
    <w:rsid w:val="001F653A"/>
    <w:rsid w:val="001F6979"/>
    <w:rsid w:val="00202BC6"/>
    <w:rsid w:val="00205141"/>
    <w:rsid w:val="0020516B"/>
    <w:rsid w:val="00213559"/>
    <w:rsid w:val="00213EFD"/>
    <w:rsid w:val="002172F1"/>
    <w:rsid w:val="00220F73"/>
    <w:rsid w:val="00223081"/>
    <w:rsid w:val="00223C7B"/>
    <w:rsid w:val="00224AB1"/>
    <w:rsid w:val="0022687A"/>
    <w:rsid w:val="00230728"/>
    <w:rsid w:val="00234040"/>
    <w:rsid w:val="00235CD2"/>
    <w:rsid w:val="00236C51"/>
    <w:rsid w:val="00254DED"/>
    <w:rsid w:val="00255619"/>
    <w:rsid w:val="00255DAD"/>
    <w:rsid w:val="00256108"/>
    <w:rsid w:val="00260F33"/>
    <w:rsid w:val="002613BD"/>
    <w:rsid w:val="002624F1"/>
    <w:rsid w:val="002629CA"/>
    <w:rsid w:val="00267C24"/>
    <w:rsid w:val="00270C81"/>
    <w:rsid w:val="00271558"/>
    <w:rsid w:val="00274862"/>
    <w:rsid w:val="0028073E"/>
    <w:rsid w:val="00282711"/>
    <w:rsid w:val="00282D72"/>
    <w:rsid w:val="00283402"/>
    <w:rsid w:val="00284FBA"/>
    <w:rsid w:val="00290FD6"/>
    <w:rsid w:val="00294259"/>
    <w:rsid w:val="002A0850"/>
    <w:rsid w:val="002A2C81"/>
    <w:rsid w:val="002B0653"/>
    <w:rsid w:val="002B3D1A"/>
    <w:rsid w:val="002C100E"/>
    <w:rsid w:val="002C114A"/>
    <w:rsid w:val="002C27D0"/>
    <w:rsid w:val="002C2C9B"/>
    <w:rsid w:val="002D17D6"/>
    <w:rsid w:val="002D18D7"/>
    <w:rsid w:val="002D21CE"/>
    <w:rsid w:val="002D4C44"/>
    <w:rsid w:val="002E3DA3"/>
    <w:rsid w:val="002E450F"/>
    <w:rsid w:val="002E6B38"/>
    <w:rsid w:val="002E6D63"/>
    <w:rsid w:val="002E6E2B"/>
    <w:rsid w:val="002F4098"/>
    <w:rsid w:val="002F500B"/>
    <w:rsid w:val="00300991"/>
    <w:rsid w:val="00301959"/>
    <w:rsid w:val="00302AEC"/>
    <w:rsid w:val="00305B8A"/>
    <w:rsid w:val="003163A1"/>
    <w:rsid w:val="003168C0"/>
    <w:rsid w:val="00331BF9"/>
    <w:rsid w:val="00334167"/>
    <w:rsid w:val="0033495E"/>
    <w:rsid w:val="00334A79"/>
    <w:rsid w:val="00334D8D"/>
    <w:rsid w:val="00337345"/>
    <w:rsid w:val="00337DD2"/>
    <w:rsid w:val="003404D1"/>
    <w:rsid w:val="003443FF"/>
    <w:rsid w:val="00351561"/>
    <w:rsid w:val="00355808"/>
    <w:rsid w:val="00362C7E"/>
    <w:rsid w:val="00363309"/>
    <w:rsid w:val="00363601"/>
    <w:rsid w:val="00371501"/>
    <w:rsid w:val="00371857"/>
    <w:rsid w:val="00376AC9"/>
    <w:rsid w:val="00383AD8"/>
    <w:rsid w:val="00393032"/>
    <w:rsid w:val="00394A01"/>
    <w:rsid w:val="00394B69"/>
    <w:rsid w:val="00395D73"/>
    <w:rsid w:val="00397078"/>
    <w:rsid w:val="003A65B2"/>
    <w:rsid w:val="003A6953"/>
    <w:rsid w:val="003A7FF3"/>
    <w:rsid w:val="003B6083"/>
    <w:rsid w:val="003C3838"/>
    <w:rsid w:val="003C4DB7"/>
    <w:rsid w:val="003C5847"/>
    <w:rsid w:val="003C601B"/>
    <w:rsid w:val="003D0681"/>
    <w:rsid w:val="003D12F6"/>
    <w:rsid w:val="003D1426"/>
    <w:rsid w:val="003D34F0"/>
    <w:rsid w:val="003E2F4E"/>
    <w:rsid w:val="003E3A5B"/>
    <w:rsid w:val="003E720A"/>
    <w:rsid w:val="003F2DB3"/>
    <w:rsid w:val="003F779B"/>
    <w:rsid w:val="00403E6E"/>
    <w:rsid w:val="004129B4"/>
    <w:rsid w:val="00417EF0"/>
    <w:rsid w:val="00422181"/>
    <w:rsid w:val="004244A8"/>
    <w:rsid w:val="00424543"/>
    <w:rsid w:val="00425F72"/>
    <w:rsid w:val="00426262"/>
    <w:rsid w:val="00427736"/>
    <w:rsid w:val="00441787"/>
    <w:rsid w:val="00444F2D"/>
    <w:rsid w:val="0044569C"/>
    <w:rsid w:val="00452034"/>
    <w:rsid w:val="004554E1"/>
    <w:rsid w:val="00455FA6"/>
    <w:rsid w:val="00460042"/>
    <w:rsid w:val="00464325"/>
    <w:rsid w:val="00466C70"/>
    <w:rsid w:val="004702C9"/>
    <w:rsid w:val="00472E45"/>
    <w:rsid w:val="00473DFC"/>
    <w:rsid w:val="00473FEA"/>
    <w:rsid w:val="0047579D"/>
    <w:rsid w:val="0048142F"/>
    <w:rsid w:val="00483262"/>
    <w:rsid w:val="00484107"/>
    <w:rsid w:val="00485094"/>
    <w:rsid w:val="00485CC5"/>
    <w:rsid w:val="0049343F"/>
    <w:rsid w:val="004964FC"/>
    <w:rsid w:val="0049674D"/>
    <w:rsid w:val="00497956"/>
    <w:rsid w:val="004A145E"/>
    <w:rsid w:val="004A1F15"/>
    <w:rsid w:val="004A2A81"/>
    <w:rsid w:val="004A7BD7"/>
    <w:rsid w:val="004B12B8"/>
    <w:rsid w:val="004B731F"/>
    <w:rsid w:val="004C15C2"/>
    <w:rsid w:val="004C36D8"/>
    <w:rsid w:val="004D04B8"/>
    <w:rsid w:val="004D1248"/>
    <w:rsid w:val="004D1E3C"/>
    <w:rsid w:val="004D3194"/>
    <w:rsid w:val="004D4169"/>
    <w:rsid w:val="004D6E14"/>
    <w:rsid w:val="004F0575"/>
    <w:rsid w:val="004F4E17"/>
    <w:rsid w:val="0050082F"/>
    <w:rsid w:val="00500C56"/>
    <w:rsid w:val="00501713"/>
    <w:rsid w:val="00506568"/>
    <w:rsid w:val="0051551B"/>
    <w:rsid w:val="00517A22"/>
    <w:rsid w:val="005205EB"/>
    <w:rsid w:val="00520C57"/>
    <w:rsid w:val="00522D94"/>
    <w:rsid w:val="005237A2"/>
    <w:rsid w:val="00533D89"/>
    <w:rsid w:val="00536564"/>
    <w:rsid w:val="00542754"/>
    <w:rsid w:val="00544597"/>
    <w:rsid w:val="00544FFE"/>
    <w:rsid w:val="005473F5"/>
    <w:rsid w:val="005477E7"/>
    <w:rsid w:val="00552794"/>
    <w:rsid w:val="00563199"/>
    <w:rsid w:val="00564874"/>
    <w:rsid w:val="0056781E"/>
    <w:rsid w:val="00567963"/>
    <w:rsid w:val="0057009A"/>
    <w:rsid w:val="00571260"/>
    <w:rsid w:val="0057189C"/>
    <w:rsid w:val="00573FC1"/>
    <w:rsid w:val="005741EE"/>
    <w:rsid w:val="005760A7"/>
    <w:rsid w:val="0057668E"/>
    <w:rsid w:val="00581A9F"/>
    <w:rsid w:val="0059252E"/>
    <w:rsid w:val="00595E83"/>
    <w:rsid w:val="00596530"/>
    <w:rsid w:val="005967F3"/>
    <w:rsid w:val="005A06DF"/>
    <w:rsid w:val="005A46EC"/>
    <w:rsid w:val="005A5527"/>
    <w:rsid w:val="005A5AE6"/>
    <w:rsid w:val="005B1206"/>
    <w:rsid w:val="005B37E8"/>
    <w:rsid w:val="005B686A"/>
    <w:rsid w:val="005C0056"/>
    <w:rsid w:val="005D61D6"/>
    <w:rsid w:val="005E0D13"/>
    <w:rsid w:val="005E5047"/>
    <w:rsid w:val="005E7205"/>
    <w:rsid w:val="005E7371"/>
    <w:rsid w:val="005F116C"/>
    <w:rsid w:val="005F2131"/>
    <w:rsid w:val="005F6A8F"/>
    <w:rsid w:val="00603B26"/>
    <w:rsid w:val="00605EF6"/>
    <w:rsid w:val="00605F3E"/>
    <w:rsid w:val="00606455"/>
    <w:rsid w:val="006123D1"/>
    <w:rsid w:val="00614929"/>
    <w:rsid w:val="00616511"/>
    <w:rsid w:val="006176ED"/>
    <w:rsid w:val="006202F3"/>
    <w:rsid w:val="0062097A"/>
    <w:rsid w:val="00621DA6"/>
    <w:rsid w:val="00623CFE"/>
    <w:rsid w:val="00627221"/>
    <w:rsid w:val="00627EE8"/>
    <w:rsid w:val="006316FA"/>
    <w:rsid w:val="0063275A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6169"/>
    <w:rsid w:val="00676C8D"/>
    <w:rsid w:val="00676F1F"/>
    <w:rsid w:val="00677381"/>
    <w:rsid w:val="00677414"/>
    <w:rsid w:val="006832CF"/>
    <w:rsid w:val="0068601E"/>
    <w:rsid w:val="0069486B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06D"/>
    <w:rsid w:val="006F1435"/>
    <w:rsid w:val="006F78C4"/>
    <w:rsid w:val="007012C0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2350"/>
    <w:rsid w:val="00733167"/>
    <w:rsid w:val="00737096"/>
    <w:rsid w:val="00740D2C"/>
    <w:rsid w:val="007415D0"/>
    <w:rsid w:val="00744BF9"/>
    <w:rsid w:val="00752623"/>
    <w:rsid w:val="007605A8"/>
    <w:rsid w:val="00760F1F"/>
    <w:rsid w:val="0076423E"/>
    <w:rsid w:val="007646CB"/>
    <w:rsid w:val="00764E04"/>
    <w:rsid w:val="0076658F"/>
    <w:rsid w:val="0077040A"/>
    <w:rsid w:val="00772D64"/>
    <w:rsid w:val="00782D81"/>
    <w:rsid w:val="007912E2"/>
    <w:rsid w:val="00792609"/>
    <w:rsid w:val="00792887"/>
    <w:rsid w:val="007943E2"/>
    <w:rsid w:val="00794F2C"/>
    <w:rsid w:val="007A1E34"/>
    <w:rsid w:val="007A3B5B"/>
    <w:rsid w:val="007A3BC7"/>
    <w:rsid w:val="007A5AC4"/>
    <w:rsid w:val="007A6637"/>
    <w:rsid w:val="007B0FDD"/>
    <w:rsid w:val="007B4802"/>
    <w:rsid w:val="007B6668"/>
    <w:rsid w:val="007B69E5"/>
    <w:rsid w:val="007B6B33"/>
    <w:rsid w:val="007B76E4"/>
    <w:rsid w:val="007C2701"/>
    <w:rsid w:val="007D2192"/>
    <w:rsid w:val="007E4579"/>
    <w:rsid w:val="007F0021"/>
    <w:rsid w:val="007F2F52"/>
    <w:rsid w:val="00800E2D"/>
    <w:rsid w:val="00801F71"/>
    <w:rsid w:val="00805F28"/>
    <w:rsid w:val="00807499"/>
    <w:rsid w:val="0080749F"/>
    <w:rsid w:val="00811D46"/>
    <w:rsid w:val="008125B0"/>
    <w:rsid w:val="008144CB"/>
    <w:rsid w:val="00815626"/>
    <w:rsid w:val="00821717"/>
    <w:rsid w:val="00824210"/>
    <w:rsid w:val="008250FA"/>
    <w:rsid w:val="008263C0"/>
    <w:rsid w:val="00841422"/>
    <w:rsid w:val="00841D3B"/>
    <w:rsid w:val="0084314C"/>
    <w:rsid w:val="00843171"/>
    <w:rsid w:val="00855A4A"/>
    <w:rsid w:val="00856799"/>
    <w:rsid w:val="008575C3"/>
    <w:rsid w:val="00863D28"/>
    <w:rsid w:val="008648C3"/>
    <w:rsid w:val="00867B2C"/>
    <w:rsid w:val="008768FE"/>
    <w:rsid w:val="00880F26"/>
    <w:rsid w:val="00886B2A"/>
    <w:rsid w:val="00896C2E"/>
    <w:rsid w:val="008A05B9"/>
    <w:rsid w:val="008A1328"/>
    <w:rsid w:val="008A2779"/>
    <w:rsid w:val="008A5095"/>
    <w:rsid w:val="008A608F"/>
    <w:rsid w:val="008B1A9A"/>
    <w:rsid w:val="008B4FE6"/>
    <w:rsid w:val="008B6C37"/>
    <w:rsid w:val="008B7753"/>
    <w:rsid w:val="008C6494"/>
    <w:rsid w:val="008C6780"/>
    <w:rsid w:val="008E18F7"/>
    <w:rsid w:val="008E1E10"/>
    <w:rsid w:val="008E291B"/>
    <w:rsid w:val="008E4F2F"/>
    <w:rsid w:val="008E7405"/>
    <w:rsid w:val="008E74B0"/>
    <w:rsid w:val="009008A8"/>
    <w:rsid w:val="00905465"/>
    <w:rsid w:val="00905E31"/>
    <w:rsid w:val="009063B0"/>
    <w:rsid w:val="00907106"/>
    <w:rsid w:val="009107FD"/>
    <w:rsid w:val="0091137C"/>
    <w:rsid w:val="00911567"/>
    <w:rsid w:val="00914F26"/>
    <w:rsid w:val="00917AAE"/>
    <w:rsid w:val="009251A9"/>
    <w:rsid w:val="00926E31"/>
    <w:rsid w:val="009273AD"/>
    <w:rsid w:val="00930699"/>
    <w:rsid w:val="00931F69"/>
    <w:rsid w:val="00934123"/>
    <w:rsid w:val="00934EBA"/>
    <w:rsid w:val="009479CB"/>
    <w:rsid w:val="0095011D"/>
    <w:rsid w:val="00955774"/>
    <w:rsid w:val="009560B5"/>
    <w:rsid w:val="009703D6"/>
    <w:rsid w:val="0097181B"/>
    <w:rsid w:val="009731B4"/>
    <w:rsid w:val="00973995"/>
    <w:rsid w:val="00976DC5"/>
    <w:rsid w:val="009818C7"/>
    <w:rsid w:val="00982CD9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DA1"/>
    <w:rsid w:val="00996F0A"/>
    <w:rsid w:val="009A0658"/>
    <w:rsid w:val="009A1D86"/>
    <w:rsid w:val="009A2D5E"/>
    <w:rsid w:val="009A306E"/>
    <w:rsid w:val="009B049C"/>
    <w:rsid w:val="009B11C8"/>
    <w:rsid w:val="009B2BCF"/>
    <w:rsid w:val="009B2FF8"/>
    <w:rsid w:val="009B5BA3"/>
    <w:rsid w:val="009D0027"/>
    <w:rsid w:val="009D0655"/>
    <w:rsid w:val="009D6734"/>
    <w:rsid w:val="009E1A70"/>
    <w:rsid w:val="009E1E98"/>
    <w:rsid w:val="009E3ABE"/>
    <w:rsid w:val="009E3C4B"/>
    <w:rsid w:val="009E6BB1"/>
    <w:rsid w:val="009F0637"/>
    <w:rsid w:val="009F35C6"/>
    <w:rsid w:val="009F62A6"/>
    <w:rsid w:val="009F674F"/>
    <w:rsid w:val="009F799E"/>
    <w:rsid w:val="00A02020"/>
    <w:rsid w:val="00A02F78"/>
    <w:rsid w:val="00A056CB"/>
    <w:rsid w:val="00A07A29"/>
    <w:rsid w:val="00A10FF1"/>
    <w:rsid w:val="00A1506B"/>
    <w:rsid w:val="00A17CB2"/>
    <w:rsid w:val="00A23191"/>
    <w:rsid w:val="00A319C0"/>
    <w:rsid w:val="00A33560"/>
    <w:rsid w:val="00A356E2"/>
    <w:rsid w:val="00A364E4"/>
    <w:rsid w:val="00A371A5"/>
    <w:rsid w:val="00A45CA1"/>
    <w:rsid w:val="00A47BDF"/>
    <w:rsid w:val="00A50C13"/>
    <w:rsid w:val="00A51CD7"/>
    <w:rsid w:val="00A52ADB"/>
    <w:rsid w:val="00A533E8"/>
    <w:rsid w:val="00A542D9"/>
    <w:rsid w:val="00A56E64"/>
    <w:rsid w:val="00A624C3"/>
    <w:rsid w:val="00A62C8D"/>
    <w:rsid w:val="00A64982"/>
    <w:rsid w:val="00A6610C"/>
    <w:rsid w:val="00A66171"/>
    <w:rsid w:val="00A6641C"/>
    <w:rsid w:val="00A72D1E"/>
    <w:rsid w:val="00A7456B"/>
    <w:rsid w:val="00A767D2"/>
    <w:rsid w:val="00A77616"/>
    <w:rsid w:val="00A805DA"/>
    <w:rsid w:val="00A811B4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C315A"/>
    <w:rsid w:val="00AD069C"/>
    <w:rsid w:val="00AD14F9"/>
    <w:rsid w:val="00AD35D6"/>
    <w:rsid w:val="00AD58C5"/>
    <w:rsid w:val="00AE36C4"/>
    <w:rsid w:val="00AE472C"/>
    <w:rsid w:val="00AE5375"/>
    <w:rsid w:val="00AE6CF8"/>
    <w:rsid w:val="00AF39B8"/>
    <w:rsid w:val="00AF4CAC"/>
    <w:rsid w:val="00B02B09"/>
    <w:rsid w:val="00B03E0D"/>
    <w:rsid w:val="00B054F8"/>
    <w:rsid w:val="00B16DE4"/>
    <w:rsid w:val="00B17010"/>
    <w:rsid w:val="00B2219A"/>
    <w:rsid w:val="00B34D37"/>
    <w:rsid w:val="00B3581B"/>
    <w:rsid w:val="00B36B81"/>
    <w:rsid w:val="00B36FEE"/>
    <w:rsid w:val="00B37C80"/>
    <w:rsid w:val="00B5092B"/>
    <w:rsid w:val="00B5194E"/>
    <w:rsid w:val="00B51AF5"/>
    <w:rsid w:val="00B523F8"/>
    <w:rsid w:val="00B531FC"/>
    <w:rsid w:val="00B55347"/>
    <w:rsid w:val="00B5731C"/>
    <w:rsid w:val="00B57E5E"/>
    <w:rsid w:val="00B61F37"/>
    <w:rsid w:val="00B63B54"/>
    <w:rsid w:val="00B65B7D"/>
    <w:rsid w:val="00B7770F"/>
    <w:rsid w:val="00B77A89"/>
    <w:rsid w:val="00B77B27"/>
    <w:rsid w:val="00B8134E"/>
    <w:rsid w:val="00B81B55"/>
    <w:rsid w:val="00B84613"/>
    <w:rsid w:val="00B84C11"/>
    <w:rsid w:val="00B87AF0"/>
    <w:rsid w:val="00B9037B"/>
    <w:rsid w:val="00B910BD"/>
    <w:rsid w:val="00B9189C"/>
    <w:rsid w:val="00B93834"/>
    <w:rsid w:val="00B93B11"/>
    <w:rsid w:val="00B96469"/>
    <w:rsid w:val="00BA0DA2"/>
    <w:rsid w:val="00BA2981"/>
    <w:rsid w:val="00BA2BB7"/>
    <w:rsid w:val="00BA42EE"/>
    <w:rsid w:val="00BA48F9"/>
    <w:rsid w:val="00BB0DCA"/>
    <w:rsid w:val="00BB13C1"/>
    <w:rsid w:val="00BB2666"/>
    <w:rsid w:val="00BB6B80"/>
    <w:rsid w:val="00BC36DC"/>
    <w:rsid w:val="00BC3773"/>
    <w:rsid w:val="00BC381A"/>
    <w:rsid w:val="00BD0962"/>
    <w:rsid w:val="00BD1EED"/>
    <w:rsid w:val="00BE6C50"/>
    <w:rsid w:val="00BF0DA2"/>
    <w:rsid w:val="00BF109C"/>
    <w:rsid w:val="00BF2088"/>
    <w:rsid w:val="00BF34FA"/>
    <w:rsid w:val="00C004B6"/>
    <w:rsid w:val="00C047A7"/>
    <w:rsid w:val="00C05DE5"/>
    <w:rsid w:val="00C2147B"/>
    <w:rsid w:val="00C33027"/>
    <w:rsid w:val="00C37667"/>
    <w:rsid w:val="00C435DB"/>
    <w:rsid w:val="00C44D73"/>
    <w:rsid w:val="00C503B6"/>
    <w:rsid w:val="00C50B42"/>
    <w:rsid w:val="00C515FE"/>
    <w:rsid w:val="00C516FF"/>
    <w:rsid w:val="00C52BFA"/>
    <w:rsid w:val="00C53D1D"/>
    <w:rsid w:val="00C53F26"/>
    <w:rsid w:val="00C540BC"/>
    <w:rsid w:val="00C5499D"/>
    <w:rsid w:val="00C64F7D"/>
    <w:rsid w:val="00C67309"/>
    <w:rsid w:val="00C72E50"/>
    <w:rsid w:val="00C7614E"/>
    <w:rsid w:val="00C77BF1"/>
    <w:rsid w:val="00C80D60"/>
    <w:rsid w:val="00C82FBD"/>
    <w:rsid w:val="00C83563"/>
    <w:rsid w:val="00C85267"/>
    <w:rsid w:val="00C8721B"/>
    <w:rsid w:val="00C9372C"/>
    <w:rsid w:val="00C9470E"/>
    <w:rsid w:val="00C95CEB"/>
    <w:rsid w:val="00CA1054"/>
    <w:rsid w:val="00CA63EB"/>
    <w:rsid w:val="00CA69F1"/>
    <w:rsid w:val="00CB5A55"/>
    <w:rsid w:val="00CB6991"/>
    <w:rsid w:val="00CC6194"/>
    <w:rsid w:val="00CC6305"/>
    <w:rsid w:val="00CC78A5"/>
    <w:rsid w:val="00CD0516"/>
    <w:rsid w:val="00CD756B"/>
    <w:rsid w:val="00CE734F"/>
    <w:rsid w:val="00CF0242"/>
    <w:rsid w:val="00CF112E"/>
    <w:rsid w:val="00CF3C2C"/>
    <w:rsid w:val="00CF5F4F"/>
    <w:rsid w:val="00D13107"/>
    <w:rsid w:val="00D154FE"/>
    <w:rsid w:val="00D218DC"/>
    <w:rsid w:val="00D2333F"/>
    <w:rsid w:val="00D24E56"/>
    <w:rsid w:val="00D31643"/>
    <w:rsid w:val="00D31AEB"/>
    <w:rsid w:val="00D32ECD"/>
    <w:rsid w:val="00D335FB"/>
    <w:rsid w:val="00D361E4"/>
    <w:rsid w:val="00D42A8F"/>
    <w:rsid w:val="00D439F6"/>
    <w:rsid w:val="00D459C6"/>
    <w:rsid w:val="00D50729"/>
    <w:rsid w:val="00D50C19"/>
    <w:rsid w:val="00D5379E"/>
    <w:rsid w:val="00D62643"/>
    <w:rsid w:val="00D64C0F"/>
    <w:rsid w:val="00D64E89"/>
    <w:rsid w:val="00D72EFE"/>
    <w:rsid w:val="00D7332F"/>
    <w:rsid w:val="00D76227"/>
    <w:rsid w:val="00D77DF1"/>
    <w:rsid w:val="00D806E4"/>
    <w:rsid w:val="00D86AFF"/>
    <w:rsid w:val="00D93399"/>
    <w:rsid w:val="00D95A44"/>
    <w:rsid w:val="00D95D16"/>
    <w:rsid w:val="00D97C76"/>
    <w:rsid w:val="00DB02B4"/>
    <w:rsid w:val="00DB538D"/>
    <w:rsid w:val="00DB7ED9"/>
    <w:rsid w:val="00DC275C"/>
    <w:rsid w:val="00DC4B0D"/>
    <w:rsid w:val="00DC51DA"/>
    <w:rsid w:val="00DC7FE1"/>
    <w:rsid w:val="00DD3F3F"/>
    <w:rsid w:val="00DD5572"/>
    <w:rsid w:val="00DE1FAE"/>
    <w:rsid w:val="00DE5D80"/>
    <w:rsid w:val="00DF58CD"/>
    <w:rsid w:val="00DF65A5"/>
    <w:rsid w:val="00DF65DE"/>
    <w:rsid w:val="00E019A5"/>
    <w:rsid w:val="00E02EC8"/>
    <w:rsid w:val="00E037F5"/>
    <w:rsid w:val="00E04ECB"/>
    <w:rsid w:val="00E05A09"/>
    <w:rsid w:val="00E06CA1"/>
    <w:rsid w:val="00E1119F"/>
    <w:rsid w:val="00E12EDC"/>
    <w:rsid w:val="00E172B8"/>
    <w:rsid w:val="00E17FB4"/>
    <w:rsid w:val="00E20B75"/>
    <w:rsid w:val="00E214F2"/>
    <w:rsid w:val="00E2371E"/>
    <w:rsid w:val="00E243E8"/>
    <w:rsid w:val="00E24BD7"/>
    <w:rsid w:val="00E25EB6"/>
    <w:rsid w:val="00E26523"/>
    <w:rsid w:val="00E26809"/>
    <w:rsid w:val="00E30DE9"/>
    <w:rsid w:val="00E3412D"/>
    <w:rsid w:val="00E342DC"/>
    <w:rsid w:val="00E410E1"/>
    <w:rsid w:val="00E47950"/>
    <w:rsid w:val="00E54A6E"/>
    <w:rsid w:val="00E57322"/>
    <w:rsid w:val="00E5790E"/>
    <w:rsid w:val="00E61C36"/>
    <w:rsid w:val="00E628CB"/>
    <w:rsid w:val="00E62AD9"/>
    <w:rsid w:val="00E638C8"/>
    <w:rsid w:val="00E7509B"/>
    <w:rsid w:val="00E86590"/>
    <w:rsid w:val="00E907FF"/>
    <w:rsid w:val="00EA42D1"/>
    <w:rsid w:val="00EA42EF"/>
    <w:rsid w:val="00EB2DD1"/>
    <w:rsid w:val="00EB3323"/>
    <w:rsid w:val="00EB6B37"/>
    <w:rsid w:val="00EC29FE"/>
    <w:rsid w:val="00EC3C70"/>
    <w:rsid w:val="00ED1020"/>
    <w:rsid w:val="00ED3A3D"/>
    <w:rsid w:val="00ED538A"/>
    <w:rsid w:val="00ED6FBC"/>
    <w:rsid w:val="00EE2F16"/>
    <w:rsid w:val="00EE3861"/>
    <w:rsid w:val="00EF099B"/>
    <w:rsid w:val="00EF290C"/>
    <w:rsid w:val="00EF2E73"/>
    <w:rsid w:val="00EF2F20"/>
    <w:rsid w:val="00EF7683"/>
    <w:rsid w:val="00EF7A2D"/>
    <w:rsid w:val="00F04C0A"/>
    <w:rsid w:val="00F04F8D"/>
    <w:rsid w:val="00F072A7"/>
    <w:rsid w:val="00F10AD0"/>
    <w:rsid w:val="00F116CC"/>
    <w:rsid w:val="00F12BD1"/>
    <w:rsid w:val="00F14189"/>
    <w:rsid w:val="00F15327"/>
    <w:rsid w:val="00F168CF"/>
    <w:rsid w:val="00F2555C"/>
    <w:rsid w:val="00F30258"/>
    <w:rsid w:val="00F31DF3"/>
    <w:rsid w:val="00F33AE5"/>
    <w:rsid w:val="00F3597D"/>
    <w:rsid w:val="00F37ECF"/>
    <w:rsid w:val="00F4376D"/>
    <w:rsid w:val="00F45399"/>
    <w:rsid w:val="00F465EA"/>
    <w:rsid w:val="00F54E7B"/>
    <w:rsid w:val="00F55A88"/>
    <w:rsid w:val="00F64796"/>
    <w:rsid w:val="00F73389"/>
    <w:rsid w:val="00F74005"/>
    <w:rsid w:val="00F76884"/>
    <w:rsid w:val="00F83D24"/>
    <w:rsid w:val="00F83DD9"/>
    <w:rsid w:val="00F83F40"/>
    <w:rsid w:val="00F92E09"/>
    <w:rsid w:val="00FA117A"/>
    <w:rsid w:val="00FA1291"/>
    <w:rsid w:val="00FB0EA2"/>
    <w:rsid w:val="00FB386A"/>
    <w:rsid w:val="00FC0786"/>
    <w:rsid w:val="00FC49EF"/>
    <w:rsid w:val="00FE36E2"/>
    <w:rsid w:val="00FE74E2"/>
    <w:rsid w:val="00FF11AD"/>
    <w:rsid w:val="00FF16EC"/>
    <w:rsid w:val="00FF2971"/>
    <w:rsid w:val="00FF2D0C"/>
    <w:rsid w:val="00FF34D4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361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16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15626"/>
    <w:rPr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B02B09"/>
    <w:pPr>
      <w:spacing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B02B09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janiszewska@m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2956681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1BFA08-CA9F-4AF9-91D6-5D6458516FEB}"/>
      </w:docPartPr>
      <w:docPartBody>
        <w:p w:rsidR="00F523DD" w:rsidRDefault="00AD66A9">
          <w:r w:rsidRPr="008D248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147E8F"/>
    <w:rsid w:val="0019463A"/>
    <w:rsid w:val="0020032C"/>
    <w:rsid w:val="0020145A"/>
    <w:rsid w:val="00202ED4"/>
    <w:rsid w:val="00297A2A"/>
    <w:rsid w:val="002C04AC"/>
    <w:rsid w:val="002C7B91"/>
    <w:rsid w:val="002F525A"/>
    <w:rsid w:val="00336490"/>
    <w:rsid w:val="00336582"/>
    <w:rsid w:val="0038246C"/>
    <w:rsid w:val="003F7954"/>
    <w:rsid w:val="004413D1"/>
    <w:rsid w:val="00470113"/>
    <w:rsid w:val="004F38FA"/>
    <w:rsid w:val="00521024"/>
    <w:rsid w:val="005566AD"/>
    <w:rsid w:val="00561F37"/>
    <w:rsid w:val="005A6A2C"/>
    <w:rsid w:val="005B51F3"/>
    <w:rsid w:val="005E247F"/>
    <w:rsid w:val="00637FFB"/>
    <w:rsid w:val="006B0BDA"/>
    <w:rsid w:val="006B4BAF"/>
    <w:rsid w:val="007538BC"/>
    <w:rsid w:val="0077798A"/>
    <w:rsid w:val="00802694"/>
    <w:rsid w:val="00807B03"/>
    <w:rsid w:val="00851AAE"/>
    <w:rsid w:val="0089680F"/>
    <w:rsid w:val="008C7CA2"/>
    <w:rsid w:val="00971999"/>
    <w:rsid w:val="009F7F59"/>
    <w:rsid w:val="00A6700F"/>
    <w:rsid w:val="00AC5594"/>
    <w:rsid w:val="00AD66A9"/>
    <w:rsid w:val="00B03CCE"/>
    <w:rsid w:val="00B4067B"/>
    <w:rsid w:val="00B96CE9"/>
    <w:rsid w:val="00BE7DD0"/>
    <w:rsid w:val="00BF3DE9"/>
    <w:rsid w:val="00C46DF8"/>
    <w:rsid w:val="00D85056"/>
    <w:rsid w:val="00E44F38"/>
    <w:rsid w:val="00EF6A26"/>
    <w:rsid w:val="00F02929"/>
    <w:rsid w:val="00F523DD"/>
    <w:rsid w:val="00F611A8"/>
    <w:rsid w:val="00F9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414D9-69CB-4373-A6F2-35F44527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2752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LinksUpToDate>false</LinksUpToDate>
  <CharactersWithSpaces>19230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/>
  <cp:keywords>ocena skutków regulacji</cp:keywords>
  <cp:lastModifiedBy/>
  <cp:revision>1</cp:revision>
  <dcterms:created xsi:type="dcterms:W3CDTF">2021-01-07T07:23:00Z</dcterms:created>
  <dcterms:modified xsi:type="dcterms:W3CDTF">2021-01-07T07:23:00Z</dcterms:modified>
</cp:coreProperties>
</file>