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6A00" w14:textId="6324D3ED" w:rsidR="00AD3122" w:rsidRPr="00FB04ED" w:rsidRDefault="00D50D2A" w:rsidP="00673F8A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FB04ED">
        <w:rPr>
          <w:rFonts w:ascii="Times New Roman" w:hAnsi="Times New Roman"/>
          <w:color w:val="000000" w:themeColor="text1"/>
          <w:sz w:val="22"/>
          <w:szCs w:val="22"/>
        </w:rPr>
        <w:t>Załącznik</w:t>
      </w:r>
      <w:r w:rsidR="007E117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FB04ED">
        <w:rPr>
          <w:rFonts w:ascii="Times New Roman" w:hAnsi="Times New Roman"/>
          <w:color w:val="000000" w:themeColor="text1"/>
          <w:sz w:val="22"/>
          <w:szCs w:val="22"/>
        </w:rPr>
        <w:t>B.29.</w:t>
      </w:r>
    </w:p>
    <w:p w14:paraId="15484058" w14:textId="77777777" w:rsidR="00D50D2A" w:rsidRPr="00FB04ED" w:rsidRDefault="00D50D2A" w:rsidP="00673F8A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0FD9283E" w14:textId="323B92A7" w:rsidR="00D50D2A" w:rsidRPr="00FB04ED" w:rsidRDefault="00D50D2A" w:rsidP="00673F8A">
      <w:pPr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04ED">
        <w:rPr>
          <w:rFonts w:ascii="Times New Roman" w:hAnsi="Times New Roman"/>
          <w:b/>
          <w:color w:val="000000" w:themeColor="text1"/>
          <w:sz w:val="28"/>
          <w:szCs w:val="28"/>
        </w:rPr>
        <w:t>LECZENIE</w:t>
      </w:r>
      <w:r w:rsidR="007E11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B04ED">
        <w:rPr>
          <w:rFonts w:ascii="Times New Roman" w:hAnsi="Times New Roman"/>
          <w:b/>
          <w:color w:val="000000" w:themeColor="text1"/>
          <w:sz w:val="28"/>
          <w:szCs w:val="28"/>
        </w:rPr>
        <w:t>STWARDNIENIA</w:t>
      </w:r>
      <w:r w:rsidR="007E11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B04ED">
        <w:rPr>
          <w:rFonts w:ascii="Times New Roman" w:hAnsi="Times New Roman"/>
          <w:b/>
          <w:color w:val="000000" w:themeColor="text1"/>
          <w:sz w:val="28"/>
          <w:szCs w:val="28"/>
        </w:rPr>
        <w:t>ROZSIANEGO</w:t>
      </w:r>
      <w:r w:rsidR="007E11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B04ED">
        <w:rPr>
          <w:rFonts w:ascii="Times New Roman" w:hAnsi="Times New Roman"/>
          <w:b/>
          <w:color w:val="000000" w:themeColor="text1"/>
          <w:sz w:val="28"/>
          <w:szCs w:val="28"/>
        </w:rPr>
        <w:t>(ICD-10</w:t>
      </w:r>
      <w:r w:rsidR="007E11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B04ED">
        <w:rPr>
          <w:rFonts w:ascii="Times New Roman" w:hAnsi="Times New Roman"/>
          <w:b/>
          <w:color w:val="000000" w:themeColor="text1"/>
          <w:sz w:val="28"/>
          <w:szCs w:val="28"/>
        </w:rPr>
        <w:t>G</w:t>
      </w:r>
      <w:r w:rsidR="007E11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B04ED">
        <w:rPr>
          <w:rFonts w:ascii="Times New Roman" w:hAnsi="Times New Roman"/>
          <w:b/>
          <w:color w:val="000000" w:themeColor="text1"/>
          <w:sz w:val="28"/>
          <w:szCs w:val="28"/>
        </w:rPr>
        <w:t>35)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9"/>
        <w:gridCol w:w="4296"/>
        <w:gridCol w:w="4293"/>
      </w:tblGrid>
      <w:tr w:rsidR="003D23E9" w:rsidRPr="00FB04ED" w14:paraId="54250462" w14:textId="77777777" w:rsidTr="00910715">
        <w:trPr>
          <w:trHeight w:val="567"/>
        </w:trPr>
        <w:tc>
          <w:tcPr>
            <w:tcW w:w="5000" w:type="pct"/>
            <w:gridSpan w:val="3"/>
            <w:vAlign w:val="center"/>
          </w:tcPr>
          <w:p w14:paraId="18E995D0" w14:textId="658B0A47" w:rsidR="00D50D2A" w:rsidRPr="00FB04ED" w:rsidRDefault="00D50D2A" w:rsidP="007639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B04ED">
              <w:rPr>
                <w:rFonts w:ascii="Times New Roman" w:hAnsi="Times New Roman"/>
                <w:b/>
                <w:color w:val="000000" w:themeColor="text1"/>
              </w:rPr>
              <w:t>ZAKRES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ŚWIADCZENIA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GWARANTOWANEGO</w:t>
            </w:r>
          </w:p>
        </w:tc>
      </w:tr>
      <w:tr w:rsidR="003D23E9" w:rsidRPr="00FB04ED" w14:paraId="2C3E286A" w14:textId="77777777" w:rsidTr="00BD33BF">
        <w:trPr>
          <w:trHeight w:val="567"/>
        </w:trPr>
        <w:tc>
          <w:tcPr>
            <w:tcW w:w="2209" w:type="pct"/>
            <w:vAlign w:val="center"/>
          </w:tcPr>
          <w:p w14:paraId="2B2609CE" w14:textId="77777777" w:rsidR="00D50D2A" w:rsidRPr="00FB04ED" w:rsidRDefault="00D50D2A" w:rsidP="007639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B04ED">
              <w:rPr>
                <w:rFonts w:ascii="Times New Roman" w:hAnsi="Times New Roman"/>
                <w:b/>
                <w:color w:val="000000" w:themeColor="text1"/>
              </w:rPr>
              <w:t>ŚWIADCZENIOBIORCY</w:t>
            </w:r>
          </w:p>
        </w:tc>
        <w:tc>
          <w:tcPr>
            <w:tcW w:w="1396" w:type="pct"/>
            <w:vAlign w:val="center"/>
          </w:tcPr>
          <w:p w14:paraId="6D52F462" w14:textId="5A261C3A" w:rsidR="00D50D2A" w:rsidRPr="00FB04ED" w:rsidRDefault="00D50D2A" w:rsidP="007639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B04ED">
              <w:rPr>
                <w:rFonts w:ascii="Times New Roman" w:hAnsi="Times New Roman"/>
                <w:b/>
                <w:color w:val="000000" w:themeColor="text1"/>
              </w:rPr>
              <w:t>SCHEMAT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DAWKOWANIA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LEKÓW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br/>
              <w:t>W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PROGRAMIE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276378F" w14:textId="6BCA1439" w:rsidR="00D50D2A" w:rsidRPr="00FB04ED" w:rsidRDefault="00D50D2A" w:rsidP="007639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B04ED">
              <w:rPr>
                <w:rFonts w:ascii="Times New Roman" w:hAnsi="Times New Roman"/>
                <w:b/>
                <w:color w:val="000000" w:themeColor="text1"/>
              </w:rPr>
              <w:t>BADA</w:t>
            </w:r>
            <w:r w:rsidR="00651862">
              <w:rPr>
                <w:rFonts w:ascii="Times New Roman" w:hAnsi="Times New Roman"/>
                <w:b/>
                <w:color w:val="000000" w:themeColor="text1"/>
              </w:rPr>
              <w:t>NIA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51862">
              <w:rPr>
                <w:rFonts w:ascii="Times New Roman" w:hAnsi="Times New Roman"/>
                <w:b/>
                <w:color w:val="000000" w:themeColor="text1"/>
              </w:rPr>
              <w:t>DIAGNOSTYCZNE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51862">
              <w:rPr>
                <w:rFonts w:ascii="Times New Roman" w:hAnsi="Times New Roman"/>
                <w:b/>
                <w:color w:val="000000" w:themeColor="text1"/>
              </w:rPr>
              <w:t>WYKONYWANE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51862">
              <w:rPr>
                <w:rFonts w:ascii="Times New Roman" w:hAnsi="Times New Roman"/>
                <w:b/>
                <w:color w:val="000000" w:themeColor="text1"/>
              </w:rPr>
              <w:t>W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RAMACH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PROGRAMU</w:t>
            </w:r>
          </w:p>
        </w:tc>
      </w:tr>
      <w:tr w:rsidR="003D23E9" w:rsidRPr="00E87A2A" w14:paraId="14CA3FD0" w14:textId="77777777" w:rsidTr="00BD33BF">
        <w:tc>
          <w:tcPr>
            <w:tcW w:w="2209" w:type="pct"/>
          </w:tcPr>
          <w:p w14:paraId="67A13E93" w14:textId="6E6FBF34" w:rsidR="00D50D2A" w:rsidRPr="00CA1BE9" w:rsidRDefault="00D50D2A" w:rsidP="00D10AF6">
            <w:pPr>
              <w:pStyle w:val="Akapitzlist"/>
              <w:numPr>
                <w:ilvl w:val="0"/>
                <w:numId w:val="7"/>
              </w:numPr>
              <w:spacing w:before="120"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A1BE9">
              <w:rPr>
                <w:rFonts w:ascii="Times New Roman" w:hAnsi="Times New Roman"/>
                <w:b/>
                <w:color w:val="000000" w:themeColor="text1"/>
              </w:rPr>
              <w:t>Kryteria</w:t>
            </w:r>
            <w:r w:rsidR="007E1177" w:rsidRPr="00CA1BE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A1BE9">
              <w:rPr>
                <w:rFonts w:ascii="Times New Roman" w:hAnsi="Times New Roman"/>
                <w:b/>
                <w:color w:val="000000" w:themeColor="text1"/>
              </w:rPr>
              <w:t>kwalifikacji</w:t>
            </w:r>
          </w:p>
          <w:p w14:paraId="637520DD" w14:textId="353F3F0D" w:rsidR="00BD33BF" w:rsidRPr="00D10AF6" w:rsidRDefault="00BD33BF" w:rsidP="00D10AF6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10AF6">
              <w:rPr>
                <w:rFonts w:ascii="Times New Roman" w:hAnsi="Times New Roman"/>
                <w:color w:val="000000" w:themeColor="text1"/>
              </w:rPr>
              <w:t xml:space="preserve">Do leczenia interferonem beta, octanem </w:t>
            </w:r>
            <w:proofErr w:type="spellStart"/>
            <w:r w:rsidRPr="00D10AF6">
              <w:rPr>
                <w:rFonts w:ascii="Times New Roman" w:hAnsi="Times New Roman"/>
                <w:color w:val="000000" w:themeColor="text1"/>
              </w:rPr>
              <w:t>glatirameru</w:t>
            </w:r>
            <w:proofErr w:type="spellEnd"/>
            <w:r w:rsidRPr="00D10AF6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10AF6">
              <w:rPr>
                <w:rFonts w:ascii="Times New Roman" w:hAnsi="Times New Roman"/>
                <w:color w:val="000000" w:themeColor="text1"/>
              </w:rPr>
              <w:t>fumaranem</w:t>
            </w:r>
            <w:proofErr w:type="spellEnd"/>
            <w:r w:rsidRPr="00D10AF6">
              <w:rPr>
                <w:rFonts w:ascii="Times New Roman" w:hAnsi="Times New Roman"/>
                <w:color w:val="000000" w:themeColor="text1"/>
              </w:rPr>
              <w:t xml:space="preserve"> dimetylu, </w:t>
            </w:r>
            <w:proofErr w:type="spellStart"/>
            <w:r w:rsidRPr="00D10AF6">
              <w:rPr>
                <w:rFonts w:ascii="Times New Roman" w:hAnsi="Times New Roman"/>
                <w:color w:val="000000" w:themeColor="text1"/>
              </w:rPr>
              <w:t>peginterferonem</w:t>
            </w:r>
            <w:proofErr w:type="spellEnd"/>
            <w:r w:rsidRPr="00D10AF6">
              <w:rPr>
                <w:rFonts w:ascii="Times New Roman" w:hAnsi="Times New Roman"/>
                <w:color w:val="000000" w:themeColor="text1"/>
              </w:rPr>
              <w:t xml:space="preserve"> beta-1a albo </w:t>
            </w:r>
            <w:proofErr w:type="spellStart"/>
            <w:r w:rsidRPr="00D10AF6">
              <w:rPr>
                <w:rFonts w:ascii="Times New Roman" w:hAnsi="Times New Roman"/>
                <w:color w:val="000000" w:themeColor="text1"/>
              </w:rPr>
              <w:t>teryflunomidem</w:t>
            </w:r>
            <w:proofErr w:type="spellEnd"/>
            <w:r w:rsidRPr="00D10AF6">
              <w:rPr>
                <w:rFonts w:ascii="Times New Roman" w:hAnsi="Times New Roman"/>
                <w:color w:val="000000" w:themeColor="text1"/>
              </w:rPr>
              <w:t xml:space="preserve"> kwalifikowani są pacjenci spełniający łącznie kryteria wymienione w punktach: 1,2,3,4</w:t>
            </w:r>
            <w:r w:rsidR="005D563A" w:rsidRPr="00D10AF6">
              <w:rPr>
                <w:rFonts w:ascii="Times New Roman" w:hAnsi="Times New Roman"/>
                <w:color w:val="000000" w:themeColor="text1"/>
              </w:rPr>
              <w:t xml:space="preserve"> i </w:t>
            </w:r>
            <w:r w:rsidRPr="00D10AF6">
              <w:rPr>
                <w:rFonts w:ascii="Times New Roman" w:hAnsi="Times New Roman"/>
                <w:color w:val="000000" w:themeColor="text1"/>
              </w:rPr>
              <w:t>5</w:t>
            </w:r>
            <w:r w:rsidR="005D563A" w:rsidRPr="00D10AF6">
              <w:rPr>
                <w:rFonts w:ascii="Times New Roman" w:hAnsi="Times New Roman"/>
                <w:color w:val="000000" w:themeColor="text1"/>
              </w:rPr>
              <w:t xml:space="preserve"> albo pacjenci spełniający kryterium 6.</w:t>
            </w:r>
          </w:p>
          <w:p w14:paraId="2FEA85F7" w14:textId="31EB0DA4" w:rsidR="001F2477" w:rsidRPr="00CA1BE9" w:rsidRDefault="00D10AF6" w:rsidP="00D10AF6">
            <w:pPr>
              <w:pStyle w:val="Default"/>
              <w:numPr>
                <w:ilvl w:val="2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ozpoznanie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postaci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rzutowej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stwardnienia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rozsianego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oparte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31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aktualnych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kryteriach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diagnostycznych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McDonalda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badaniami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rezonansem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magnetycznym,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podaniu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kontrastu;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322122C" w14:textId="7040C89D" w:rsidR="001F2477" w:rsidRPr="00CA1BE9" w:rsidRDefault="00D10AF6" w:rsidP="00D10AF6">
            <w:pPr>
              <w:pStyle w:val="Default"/>
              <w:numPr>
                <w:ilvl w:val="2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przypadku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rozpoznania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postaci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rzutowej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stwardnienia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rozsianego,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wystąpienie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minimum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rzutu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klinicznego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albo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najmniej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ognisko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GD+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miesięcy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kwalifikacją;</w:t>
            </w:r>
          </w:p>
          <w:p w14:paraId="5D1FF9B9" w14:textId="0FC7E17B" w:rsidR="006B13F1" w:rsidRPr="00CA1BE9" w:rsidRDefault="00D10AF6" w:rsidP="00D10AF6">
            <w:pPr>
              <w:pStyle w:val="Default"/>
              <w:numPr>
                <w:ilvl w:val="2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B5299B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tan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5299B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neurolo</w:t>
            </w:r>
            <w:r w:rsidR="00FB389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giczny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389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389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skali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389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EDSS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389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389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389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389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5299B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włącznie</w:t>
            </w:r>
            <w:r w:rsidR="001F24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06083CE" w14:textId="6BD0C186" w:rsidR="00BD33BF" w:rsidRPr="00CA1BE9" w:rsidRDefault="00D10AF6" w:rsidP="00D10AF6">
            <w:pPr>
              <w:pStyle w:val="Default"/>
              <w:numPr>
                <w:ilvl w:val="2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33706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rak ograniczenia wiekowego w przypadku terapii interferonem beta albo octanem </w:t>
            </w:r>
            <w:proofErr w:type="spellStart"/>
            <w:r w:rsidR="0033706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glatirameru</w:t>
            </w:r>
            <w:proofErr w:type="spellEnd"/>
            <w:r w:rsidR="0033706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 wiek powyżej 12 </w:t>
            </w:r>
            <w:r w:rsidR="00BF60B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33706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oku życia w przypadku terapii </w:t>
            </w:r>
            <w:proofErr w:type="spellStart"/>
            <w:r w:rsidR="0033706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fumaranem</w:t>
            </w:r>
            <w:proofErr w:type="spellEnd"/>
            <w:r w:rsidR="0033706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dimetylu albo </w:t>
            </w:r>
            <w:proofErr w:type="spellStart"/>
            <w:r w:rsidR="0033706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peginterferonem</w:t>
            </w:r>
            <w:proofErr w:type="spellEnd"/>
            <w:r w:rsidR="0033706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beta-1a albo </w:t>
            </w:r>
            <w:proofErr w:type="spellStart"/>
            <w:r w:rsidR="0033706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teryflunomidem</w:t>
            </w:r>
            <w:proofErr w:type="spellEnd"/>
            <w:r w:rsidR="0033706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295779B" w14:textId="5049DDE0" w:rsidR="006B13F1" w:rsidRPr="00CA1BE9" w:rsidRDefault="00D10AF6" w:rsidP="00D10AF6">
            <w:pPr>
              <w:pStyle w:val="Default"/>
              <w:numPr>
                <w:ilvl w:val="4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33706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acjentów poniżej 18 roku życia kwalifikuje się do leczenia wyłącznie w ośrodkach zapewniających leczenie pod opieką zespołów lekarskich składających się z neurologów lub neurologów dziecięcych posiadających doświadczenie w leczeniu SM oraz pod warunkiem przekazania opiekunom chorych/chorym kwalifikowanym do terapii pisemnej informacji na temat aktualnego stanu wiedzy na temat bezpieczeństwa i skuteczności stosowania leku w tej grupie wiekowej oraz po uzyskaniu pisemnej, świadomej zgody na jego zastosowanie;</w:t>
            </w:r>
          </w:p>
          <w:p w14:paraId="51DE06BD" w14:textId="1EC09342" w:rsidR="00BD33BF" w:rsidRPr="00CA1BE9" w:rsidRDefault="00D10AF6" w:rsidP="00D10AF6">
            <w:pPr>
              <w:pStyle w:val="Default"/>
              <w:numPr>
                <w:ilvl w:val="2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B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rak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przeciwskazań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wskazanych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</w:t>
            </w:r>
            <w:r w:rsidR="008211C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rystykach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11C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Produktów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11CF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Leczniczych;</w:t>
            </w:r>
          </w:p>
          <w:p w14:paraId="0665F56D" w14:textId="32C8D8D0" w:rsidR="00810DB0" w:rsidRPr="00CA1BE9" w:rsidRDefault="00D10AF6" w:rsidP="00D10AF6">
            <w:pPr>
              <w:pStyle w:val="Default"/>
              <w:numPr>
                <w:ilvl w:val="4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tosowanie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antykoncepcji,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ciąży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karmienia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piersią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aktualnymi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Charakterystykami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Produktów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Leczniczych.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ciąży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przekazaniu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pacjentce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pisemnej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informacji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aktualnego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stanu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wiedzy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temat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skuteczności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kobiet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ciąży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uzyskaniu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pisemnej,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świadomej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leku;</w:t>
            </w:r>
          </w:p>
          <w:p w14:paraId="465A83E6" w14:textId="4B5D9AFA" w:rsidR="007177F8" w:rsidRPr="00CA1BE9" w:rsidRDefault="00D10AF6" w:rsidP="00D10AF6">
            <w:pPr>
              <w:pStyle w:val="Default"/>
              <w:numPr>
                <w:ilvl w:val="2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7177F8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włącza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6149A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ię</w:t>
            </w:r>
            <w:r w:rsidR="007177F8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sz w:val="20"/>
                <w:szCs w:val="20"/>
              </w:rPr>
              <w:t>konieczności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sz w:val="20"/>
                <w:szCs w:val="20"/>
              </w:rPr>
              <w:t>ponownej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zapewnienia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kontynuacji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terapii:</w:t>
            </w:r>
          </w:p>
          <w:p w14:paraId="1982E52D" w14:textId="566B3796" w:rsidR="00D520BD" w:rsidRPr="00CA1BE9" w:rsidRDefault="00D10AF6" w:rsidP="00D10AF6">
            <w:pPr>
              <w:pStyle w:val="Default"/>
              <w:numPr>
                <w:ilvl w:val="3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acjentki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D520BD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yłączone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programu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związku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ciążą,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które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momencie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wyłączenia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spełniały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pozostałe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kryteria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przedłużenia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leczenia</w:t>
            </w:r>
            <w:r w:rsidR="007177F8" w:rsidRPr="00CA1B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9EA1EC" w14:textId="4415B4AD" w:rsidR="00D520BD" w:rsidRPr="00CA1BE9" w:rsidRDefault="00D10AF6" w:rsidP="00D10AF6">
            <w:pPr>
              <w:pStyle w:val="Default"/>
              <w:numPr>
                <w:ilvl w:val="3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acjen</w:t>
            </w:r>
            <w:r w:rsidR="006149A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tów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uprzednio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54F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leczonych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interferonem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beta,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peginterferonem</w:t>
            </w:r>
            <w:proofErr w:type="spellEnd"/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beta-1a,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octanem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glatirameru</w:t>
            </w:r>
            <w:proofErr w:type="spellEnd"/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fumaranem</w:t>
            </w:r>
            <w:proofErr w:type="spellEnd"/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dimetylu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teryflunomidem</w:t>
            </w:r>
            <w:proofErr w:type="spellEnd"/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sposobu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finansowania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terapii,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dzień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rozpoczęcia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spełnili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stosowne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kwalifikacji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jednocześnie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spełniali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kryteriów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uniemożliwiających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włączenie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programu;</w:t>
            </w:r>
          </w:p>
          <w:p w14:paraId="67EC4415" w14:textId="47E43322" w:rsidR="001E0381" w:rsidRPr="00D10AF6" w:rsidRDefault="00D10AF6" w:rsidP="00D10AF6">
            <w:pPr>
              <w:pStyle w:val="Default"/>
              <w:numPr>
                <w:ilvl w:val="3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acjen</w:t>
            </w:r>
            <w:r w:rsidR="006149A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tów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uprzednio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54F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leczonych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miesięcy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lekiem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modyfikującym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przebieg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choroby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sposobu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finansowania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terapii,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dzień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rozpoczęcia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spełnili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stosowne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kwalifikacji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wymagane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wystąpienie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minimum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rzutu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klinicznego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albo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najmniej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ognisko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GD+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ostatnich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miesięcy)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jednocześnie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spełniali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kryteriów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uniemożliwiających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włączenie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programu</w:t>
            </w:r>
            <w:r w:rsidR="001E038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88A8362" w14:textId="77777777" w:rsidR="00D10AF6" w:rsidRPr="00CA1BE9" w:rsidRDefault="00D10AF6" w:rsidP="00D10AF6">
            <w:pPr>
              <w:pStyle w:val="Default"/>
              <w:spacing w:after="60" w:line="276" w:lineRule="auto"/>
              <w:ind w:left="68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4B834DA" w14:textId="4F17C5A8" w:rsidR="009F17E2" w:rsidRPr="00CA1BE9" w:rsidRDefault="009F0886" w:rsidP="00D10AF6">
            <w:pPr>
              <w:pStyle w:val="Default"/>
              <w:numPr>
                <w:ilvl w:val="0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Zamiana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leków</w:t>
            </w:r>
            <w:r w:rsidR="007E1177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interferon</w:t>
            </w:r>
            <w:r w:rsidR="007E1177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beta,</w:t>
            </w:r>
            <w:r w:rsidR="007E1177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peginterferon</w:t>
            </w:r>
            <w:proofErr w:type="spellEnd"/>
            <w:r w:rsidR="007E1177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beta-1a,</w:t>
            </w:r>
            <w:r w:rsidR="007E1177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octan</w:t>
            </w:r>
            <w:r w:rsidR="007E1177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glatirameru</w:t>
            </w:r>
            <w:proofErr w:type="spellEnd"/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E1177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fumaran</w:t>
            </w:r>
            <w:proofErr w:type="spellEnd"/>
            <w:r w:rsidR="007E1177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dimetylu</w:t>
            </w:r>
            <w:r w:rsidR="007E1177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oraz</w:t>
            </w:r>
            <w:r w:rsidR="007E1177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F17E2" w:rsidRPr="00CA1BE9">
              <w:rPr>
                <w:rFonts w:ascii="Times New Roman" w:hAnsi="Times New Roman" w:cs="Times New Roman"/>
                <w:b/>
                <w:sz w:val="20"/>
                <w:szCs w:val="20"/>
              </w:rPr>
              <w:t>teryflunomid</w:t>
            </w:r>
            <w:proofErr w:type="spellEnd"/>
          </w:p>
          <w:p w14:paraId="5D3F819C" w14:textId="6786EA97" w:rsidR="00E85E71" w:rsidRPr="00CA1BE9" w:rsidRDefault="009F0886" w:rsidP="00D10AF6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Dopuszcza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zamiany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pierwszej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linii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(interferon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beta,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peginterferon</w:t>
            </w:r>
            <w:proofErr w:type="spellEnd"/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beta-1a,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octan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glatirameru</w:t>
            </w:r>
            <w:proofErr w:type="spellEnd"/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fum</w:t>
            </w:r>
            <w:r w:rsidR="00651862" w:rsidRPr="00CA1BE9">
              <w:rPr>
                <w:rFonts w:ascii="Times New Roman" w:hAnsi="Times New Roman" w:cs="Times New Roman"/>
                <w:sz w:val="20"/>
                <w:szCs w:val="20"/>
              </w:rPr>
              <w:t>aran</w:t>
            </w:r>
            <w:proofErr w:type="spellEnd"/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sz w:val="20"/>
                <w:szCs w:val="20"/>
              </w:rPr>
              <w:t>dimetylu,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1862" w:rsidRPr="00CA1BE9">
              <w:rPr>
                <w:rFonts w:ascii="Times New Roman" w:hAnsi="Times New Roman" w:cs="Times New Roman"/>
                <w:sz w:val="20"/>
                <w:szCs w:val="20"/>
              </w:rPr>
              <w:t>teryflunomid</w:t>
            </w:r>
            <w:proofErr w:type="spellEnd"/>
            <w:r w:rsidR="00651862" w:rsidRPr="00CA1B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7E2" w:rsidRPr="00CA1BE9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85E71" w:rsidRPr="00CA1B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61EE392" w14:textId="56C6EB46" w:rsidR="00E85E71" w:rsidRPr="00CA1BE9" w:rsidRDefault="009F17E2" w:rsidP="00D10AF6">
            <w:pPr>
              <w:pStyle w:val="Default"/>
              <w:numPr>
                <w:ilvl w:val="3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wystąpienia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objawów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niepożądanych</w:t>
            </w:r>
            <w:r w:rsidR="00E85E71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A2839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albo</w:t>
            </w:r>
          </w:p>
          <w:p w14:paraId="11A69DE7" w14:textId="37060D95" w:rsidR="00E85E71" w:rsidRPr="00CA1BE9" w:rsidRDefault="009F17E2" w:rsidP="00D10AF6">
            <w:pPr>
              <w:pStyle w:val="Default"/>
              <w:numPr>
                <w:ilvl w:val="3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jeżeli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opinii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lekarza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prowadzącego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terapię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zamiana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taka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wykazuje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korzyść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terapeutyczną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dla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pacjenta</w:t>
            </w:r>
            <w:r w:rsidR="00E85E71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F0886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albo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1B0EE67" w14:textId="07F33A55" w:rsidR="001E0381" w:rsidRDefault="009F17E2" w:rsidP="00D10AF6">
            <w:pPr>
              <w:pStyle w:val="Default"/>
              <w:numPr>
                <w:ilvl w:val="3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przypadku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częściowej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nieskuteczności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terapii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definiowanej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jako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wystąpienie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jednego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kryteriów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wymienionych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punkcie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117E3C" w14:textId="77777777" w:rsidR="00D10AF6" w:rsidRPr="00CA1BE9" w:rsidRDefault="00D10AF6" w:rsidP="00D10AF6">
            <w:pPr>
              <w:pStyle w:val="Default"/>
              <w:spacing w:after="60" w:line="276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00989" w14:textId="562704E1" w:rsidR="005C5429" w:rsidRPr="00CA1BE9" w:rsidRDefault="00D50D2A" w:rsidP="00D10AF6">
            <w:pPr>
              <w:pStyle w:val="Default"/>
              <w:numPr>
                <w:ilvl w:val="0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wyłączenia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C62E6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C62E6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programu</w:t>
            </w:r>
          </w:p>
          <w:p w14:paraId="126A8378" w14:textId="213B020B" w:rsidR="005440F1" w:rsidRPr="00CA1BE9" w:rsidRDefault="00D10AF6" w:rsidP="00D10AF6">
            <w:pPr>
              <w:pStyle w:val="Default"/>
              <w:numPr>
                <w:ilvl w:val="2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rzejście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postać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wtórnie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postępującą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pogorszenie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skali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EDSS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pkt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ciągu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miesięcy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związane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aktywnością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rzutową;</w:t>
            </w:r>
          </w:p>
          <w:p w14:paraId="1B425D00" w14:textId="38FD5C3D" w:rsidR="005440F1" w:rsidRPr="00CA1BE9" w:rsidRDefault="00D10AF6" w:rsidP="00D10AF6">
            <w:pPr>
              <w:pStyle w:val="Default"/>
              <w:numPr>
                <w:ilvl w:val="2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tan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kliniczny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chorego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oceniany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trakcie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kontrolnego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skali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EDSS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powyżej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A758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trakcie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0F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remisji);</w:t>
            </w:r>
          </w:p>
          <w:p w14:paraId="092D8657" w14:textId="2421A47C" w:rsidR="001E0381" w:rsidRDefault="00D10AF6" w:rsidP="00D10AF6">
            <w:pPr>
              <w:pStyle w:val="Akapitzlist"/>
              <w:widowControl/>
              <w:numPr>
                <w:ilvl w:val="2"/>
                <w:numId w:val="7"/>
              </w:numPr>
              <w:autoSpaceDE/>
              <w:autoSpaceDN/>
              <w:adjustRightInd/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</w:t>
            </w:r>
            <w:r w:rsidR="00784CFF" w:rsidRPr="00CA1BE9">
              <w:rPr>
                <w:rFonts w:ascii="Times New Roman" w:hAnsi="Times New Roman"/>
                <w:color w:val="000000" w:themeColor="text1"/>
              </w:rPr>
              <w:t>ojawienie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4CFF" w:rsidRPr="00CA1BE9">
              <w:rPr>
                <w:rFonts w:ascii="Times New Roman" w:hAnsi="Times New Roman"/>
                <w:color w:val="000000" w:themeColor="text1"/>
              </w:rPr>
              <w:t>się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440F1" w:rsidRPr="00CA1BE9">
              <w:rPr>
                <w:rFonts w:ascii="Times New Roman" w:hAnsi="Times New Roman"/>
                <w:color w:val="000000" w:themeColor="text1"/>
              </w:rPr>
              <w:t>przeciwwskazań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4CFF" w:rsidRPr="00CA1BE9">
              <w:rPr>
                <w:rFonts w:ascii="Times New Roman" w:hAnsi="Times New Roman"/>
                <w:color w:val="000000" w:themeColor="text1"/>
              </w:rPr>
              <w:t>do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4CFF" w:rsidRPr="00CA1BE9">
              <w:rPr>
                <w:rFonts w:ascii="Times New Roman" w:hAnsi="Times New Roman"/>
                <w:color w:val="000000" w:themeColor="text1"/>
              </w:rPr>
              <w:t>leczenia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4CFF" w:rsidRPr="00CA1BE9">
              <w:rPr>
                <w:rFonts w:ascii="Times New Roman" w:hAnsi="Times New Roman"/>
                <w:color w:val="000000" w:themeColor="text1"/>
              </w:rPr>
              <w:t>wymienionych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4CFF" w:rsidRPr="00CA1BE9">
              <w:rPr>
                <w:rFonts w:ascii="Times New Roman" w:hAnsi="Times New Roman"/>
                <w:color w:val="000000" w:themeColor="text1"/>
              </w:rPr>
              <w:t>w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4CFF" w:rsidRPr="00CA1BE9">
              <w:rPr>
                <w:rFonts w:ascii="Times New Roman" w:hAnsi="Times New Roman"/>
                <w:color w:val="000000" w:themeColor="text1"/>
              </w:rPr>
              <w:t>Charakterystykach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4CFF" w:rsidRPr="00CA1BE9">
              <w:rPr>
                <w:rFonts w:ascii="Times New Roman" w:hAnsi="Times New Roman"/>
                <w:color w:val="000000" w:themeColor="text1"/>
              </w:rPr>
              <w:t>Produktów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4CFF" w:rsidRPr="00CA1BE9">
              <w:rPr>
                <w:rFonts w:ascii="Times New Roman" w:hAnsi="Times New Roman"/>
                <w:color w:val="000000" w:themeColor="text1"/>
              </w:rPr>
              <w:t>Leczniczych.</w:t>
            </w:r>
          </w:p>
          <w:p w14:paraId="7ACD720B" w14:textId="77777777" w:rsidR="00D10AF6" w:rsidRPr="00CA1BE9" w:rsidRDefault="00D10AF6" w:rsidP="00D10AF6">
            <w:pPr>
              <w:pStyle w:val="Akapitzlist"/>
              <w:widowControl/>
              <w:autoSpaceDE/>
              <w:autoSpaceDN/>
              <w:adjustRightInd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C316D8D" w14:textId="5230AD8D" w:rsidR="0084365A" w:rsidRPr="00CA1BE9" w:rsidRDefault="00D50D2A" w:rsidP="00D10AF6">
            <w:pPr>
              <w:pStyle w:val="Default"/>
              <w:numPr>
                <w:ilvl w:val="0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Określenie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czasu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leczenia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programie</w:t>
            </w:r>
          </w:p>
          <w:p w14:paraId="2F448800" w14:textId="0E4A8B76" w:rsidR="00965AAA" w:rsidRPr="00CA1BE9" w:rsidRDefault="002675A9" w:rsidP="00D10AF6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miesiącach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trwania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dokonuje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się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oceny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AA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skuteczności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AA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leczenia.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brak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skuteczności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wymagający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zmiany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przyjmuje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się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wystą</w:t>
            </w:r>
            <w:r w:rsidR="006A7633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7633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7633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poniższych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7633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sytuacji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7633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(pkt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7633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7633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7633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pkt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7633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2).</w:t>
            </w:r>
          </w:p>
          <w:p w14:paraId="7322304E" w14:textId="05097A60" w:rsidR="00D50D2A" w:rsidRPr="00CA1BE9" w:rsidRDefault="00965AAA" w:rsidP="00D10AF6">
            <w:pPr>
              <w:pStyle w:val="Default"/>
              <w:numPr>
                <w:ilvl w:val="2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iczba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ciężkość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rzutów: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1A4050B" w14:textId="4966C2C5" w:rsidR="00D50D2A" w:rsidRPr="00CA1BE9" w:rsidRDefault="00965AAA" w:rsidP="00D10AF6">
            <w:pPr>
              <w:pStyle w:val="Default"/>
              <w:numPr>
                <w:ilvl w:val="3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więcej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rzutów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0458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umiarkowanych,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</w:t>
            </w:r>
          </w:p>
          <w:p w14:paraId="0C622F45" w14:textId="0013A083" w:rsidR="00D50D2A" w:rsidRPr="00CA1BE9" w:rsidRDefault="00D50D2A" w:rsidP="00D10AF6">
            <w:pPr>
              <w:pStyle w:val="Default"/>
              <w:numPr>
                <w:ilvl w:val="3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ciężki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rzut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rwszych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miesiącach</w:t>
            </w:r>
            <w:r w:rsidR="00965AA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DBC2D5B" w14:textId="527DF381" w:rsidR="00D50D2A" w:rsidRPr="00CA1BE9" w:rsidRDefault="00965AAA" w:rsidP="00D10AF6">
            <w:pPr>
              <w:pStyle w:val="Default"/>
              <w:numPr>
                <w:ilvl w:val="2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miany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rezonansu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magnetycznego,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gdy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stwierdza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się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poniższych: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724BF62" w14:textId="667E3A0B" w:rsidR="00D50D2A" w:rsidRPr="00CA1BE9" w:rsidRDefault="00D50D2A" w:rsidP="00D10AF6">
            <w:pPr>
              <w:pStyle w:val="Default"/>
              <w:numPr>
                <w:ilvl w:val="3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więcej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niż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zmiana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Gd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(+),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60970FF" w14:textId="39B00117" w:rsidR="001E0381" w:rsidRDefault="00D50D2A" w:rsidP="00D10AF6">
            <w:pPr>
              <w:pStyle w:val="Default"/>
              <w:numPr>
                <w:ilvl w:val="3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więcej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niż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AA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dwie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AA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AA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zmiany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AA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AA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sekwencji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AA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T2</w:t>
            </w:r>
            <w:r w:rsidR="001E038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026933E" w14:textId="77777777" w:rsidR="00D10AF6" w:rsidRPr="00CA1BE9" w:rsidRDefault="00D10AF6" w:rsidP="00D10AF6">
            <w:pPr>
              <w:pStyle w:val="Default"/>
              <w:spacing w:after="60" w:line="276" w:lineRule="auto"/>
              <w:ind w:left="6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9E0050" w14:textId="7E5A9058" w:rsidR="00DF1E23" w:rsidRPr="00CA1BE9" w:rsidRDefault="00D50D2A" w:rsidP="00D10AF6">
            <w:pPr>
              <w:pStyle w:val="Default"/>
              <w:numPr>
                <w:ilvl w:val="0"/>
                <w:numId w:val="7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kontynuacji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leczenia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75A9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65C6C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programie</w:t>
            </w:r>
          </w:p>
          <w:p w14:paraId="567EF433" w14:textId="131F0CE8" w:rsidR="009F0886" w:rsidRPr="00CA1BE9" w:rsidRDefault="00451B8A" w:rsidP="00D10AF6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erapia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być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przedłużona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każde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kolejne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miesięcy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pacjentów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niespełniających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kryteriów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wyłączenia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pkt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kryteriów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nieskuteczności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21F9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wskazanych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21F9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pkt.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2321F9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eczenie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powinno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być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długo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jak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osiągana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skuteczność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kliniczna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wystąpią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wyłączenia</w:t>
            </w:r>
            <w:r w:rsidR="002321F9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D01D2B" w14:textId="77777777" w:rsidR="001E0381" w:rsidRDefault="00451B8A" w:rsidP="00D10AF6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ukończeniu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520BD" w:rsidRPr="00CA1BE9">
              <w:rPr>
                <w:rFonts w:ascii="Times New Roman" w:hAnsi="Times New Roman" w:cs="Times New Roman"/>
                <w:sz w:val="20"/>
                <w:szCs w:val="20"/>
              </w:rPr>
              <w:t>oku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0BD" w:rsidRPr="00CA1BE9">
              <w:rPr>
                <w:rFonts w:ascii="Times New Roman" w:hAnsi="Times New Roman" w:cs="Times New Roman"/>
                <w:sz w:val="20"/>
                <w:szCs w:val="20"/>
              </w:rPr>
              <w:t>życia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konieczności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ponownej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BD3693" w:rsidRPr="00CA1B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przeniesieniu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ośrodka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sz w:val="20"/>
                <w:szCs w:val="20"/>
              </w:rPr>
              <w:t>dorosłych.</w:t>
            </w:r>
          </w:p>
          <w:p w14:paraId="5F6B1B06" w14:textId="52EB7ABA" w:rsidR="00D10AF6" w:rsidRPr="00CA1BE9" w:rsidRDefault="00D10AF6" w:rsidP="00D10AF6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</w:tcPr>
          <w:p w14:paraId="2AF88E7F" w14:textId="496DADC6" w:rsidR="00EC1042" w:rsidRPr="00CA1BE9" w:rsidRDefault="002E4F71" w:rsidP="00D10AF6">
            <w:pPr>
              <w:pStyle w:val="Default"/>
              <w:numPr>
                <w:ilvl w:val="0"/>
                <w:numId w:val="8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Dawkowanie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oraz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sposób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modyfikacji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dawkowania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C1042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C1042" w:rsidRPr="00CA1B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programie</w:t>
            </w:r>
          </w:p>
          <w:p w14:paraId="1C7F6565" w14:textId="4A1AC0CB" w:rsidR="00D50D2A" w:rsidRPr="00CA1BE9" w:rsidRDefault="00F53FC7" w:rsidP="00D10AF6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Dawkowanie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sposób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modyfikacji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dawkowania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interferonem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beta,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pegi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nterferonem</w:t>
            </w:r>
            <w:proofErr w:type="spellEnd"/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beta-1a,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octanem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glatirameru</w:t>
            </w:r>
            <w:proofErr w:type="spellEnd"/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fum</w:t>
            </w:r>
            <w:r w:rsidR="0055087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aranem</w:t>
            </w:r>
            <w:proofErr w:type="spellEnd"/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087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dimetylu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087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50874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teryflunomidem</w:t>
            </w:r>
            <w:proofErr w:type="spellEnd"/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prowadzić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zapisami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właściwych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Charakterystyk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Produktów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Leczniczych.</w:t>
            </w:r>
          </w:p>
        </w:tc>
        <w:tc>
          <w:tcPr>
            <w:tcW w:w="1395" w:type="pct"/>
            <w:tcBorders>
              <w:right w:val="single" w:sz="4" w:space="0" w:color="auto"/>
            </w:tcBorders>
          </w:tcPr>
          <w:p w14:paraId="5E61A390" w14:textId="7937D83E" w:rsidR="00EC1042" w:rsidRPr="00CA1BE9" w:rsidRDefault="00D50D2A" w:rsidP="00D10AF6">
            <w:pPr>
              <w:pStyle w:val="Akapitzlist"/>
              <w:numPr>
                <w:ilvl w:val="0"/>
                <w:numId w:val="9"/>
              </w:numPr>
              <w:spacing w:before="120"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A1BE9">
              <w:rPr>
                <w:rFonts w:ascii="Times New Roman" w:hAnsi="Times New Roman"/>
                <w:b/>
                <w:color w:val="000000" w:themeColor="text1"/>
              </w:rPr>
              <w:t>Badania</w:t>
            </w:r>
            <w:r w:rsidR="007E1177" w:rsidRPr="00CA1BE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A1BE9">
              <w:rPr>
                <w:rFonts w:ascii="Times New Roman" w:hAnsi="Times New Roman"/>
                <w:b/>
                <w:color w:val="000000" w:themeColor="text1"/>
              </w:rPr>
              <w:t>przy</w:t>
            </w:r>
            <w:r w:rsidR="007E1177" w:rsidRPr="00CA1BE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A1BE9">
              <w:rPr>
                <w:rFonts w:ascii="Times New Roman" w:hAnsi="Times New Roman"/>
                <w:b/>
                <w:color w:val="000000" w:themeColor="text1"/>
              </w:rPr>
              <w:t>kwalifikacji</w:t>
            </w:r>
          </w:p>
          <w:p w14:paraId="62CCBD47" w14:textId="308DBE5C" w:rsidR="00EC1042" w:rsidRPr="00CA1BE9" w:rsidRDefault="008B5C3C" w:rsidP="00D10AF6">
            <w:pPr>
              <w:pStyle w:val="Default"/>
              <w:numPr>
                <w:ilvl w:val="2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biochemiczne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oceniające:</w:t>
            </w:r>
          </w:p>
          <w:p w14:paraId="63863132" w14:textId="707454F8" w:rsidR="00D50D2A" w:rsidRPr="00CA1BE9" w:rsidRDefault="00D50D2A" w:rsidP="00D10AF6">
            <w:pPr>
              <w:pStyle w:val="Default"/>
              <w:numPr>
                <w:ilvl w:val="3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nerek,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E1A344A" w14:textId="230B7320" w:rsidR="00D50D2A" w:rsidRPr="00CA1BE9" w:rsidRDefault="00D50D2A" w:rsidP="00D10AF6">
            <w:pPr>
              <w:pStyle w:val="Default"/>
              <w:numPr>
                <w:ilvl w:val="3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wątroby,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E54CEA7" w14:textId="5168DFBE" w:rsidR="00EC1042" w:rsidRPr="00CA1BE9" w:rsidRDefault="00D50D2A" w:rsidP="00D10AF6">
            <w:pPr>
              <w:pStyle w:val="Default"/>
              <w:numPr>
                <w:ilvl w:val="3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tarczycy;</w:t>
            </w:r>
          </w:p>
          <w:p w14:paraId="5688B95A" w14:textId="1A862A78" w:rsidR="00D50D2A" w:rsidRPr="00CA1BE9" w:rsidRDefault="008B5C3C" w:rsidP="00D10AF6">
            <w:pPr>
              <w:pStyle w:val="Default"/>
              <w:numPr>
                <w:ilvl w:val="2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ogólne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moczu;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63BA5FC" w14:textId="1765C3BC" w:rsidR="00D50D2A" w:rsidRPr="00CA1BE9" w:rsidRDefault="008B5C3C" w:rsidP="00D10AF6">
            <w:pPr>
              <w:pStyle w:val="Default"/>
              <w:numPr>
                <w:ilvl w:val="2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orfologia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krwi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rozmazem;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95B8ACA" w14:textId="658A7084" w:rsidR="00562140" w:rsidRPr="00CA1BE9" w:rsidRDefault="008B5C3C" w:rsidP="00D10AF6">
            <w:pPr>
              <w:pStyle w:val="Default"/>
              <w:numPr>
                <w:ilvl w:val="2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ezonans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magnetyczny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podaniu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kontrastu</w:t>
            </w:r>
          </w:p>
          <w:p w14:paraId="57E843D8" w14:textId="3DC3952A" w:rsidR="00565222" w:rsidRPr="00CA1BE9" w:rsidRDefault="00CE79EF" w:rsidP="00D10AF6">
            <w:pPr>
              <w:pStyle w:val="Default"/>
              <w:spacing w:after="60" w:line="276" w:lineRule="auto"/>
              <w:ind w:lef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ezonans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magnetyczny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wykonuje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się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kwalifikacji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programu.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Jeżeli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zostanie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rozpoczęte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dni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wykonania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powtarza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się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tuż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</w:t>
            </w:r>
            <w:r w:rsidR="008B5C3C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tosowaniem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5C3C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pierwszej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5C3C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5C3C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leku.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uzasadnionych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przypadkach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lekarz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prowadzący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uznać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wyjściowe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rezonansu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magnetycznego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wykonane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ostatnich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dni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rozpoczęciem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leczenia.</w:t>
            </w: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1E038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47F94DB" w14:textId="34980EC9" w:rsidR="007F433A" w:rsidRPr="00CA1BE9" w:rsidRDefault="008B5C3C" w:rsidP="00D10AF6">
            <w:pPr>
              <w:pStyle w:val="Default"/>
              <w:numPr>
                <w:ilvl w:val="2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9746F5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ciążowy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pacjentek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wieku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rozrodczym</w:t>
            </w:r>
            <w:r w:rsidR="00D47C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B499142" w14:textId="67F7D583" w:rsidR="001E0381" w:rsidRDefault="008B5C3C" w:rsidP="00D10AF6">
            <w:pPr>
              <w:pStyle w:val="Default"/>
              <w:numPr>
                <w:ilvl w:val="2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D47C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cena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7C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stanu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7C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neurologicznego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7C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7C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określeniem</w:t>
            </w:r>
            <w:r w:rsidR="007E1177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7C22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EDSS</w:t>
            </w:r>
            <w:r w:rsidR="001E0381" w:rsidRPr="00CA1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9C701E5" w14:textId="77777777" w:rsidR="00D10AF6" w:rsidRDefault="00D10AF6" w:rsidP="00D10AF6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1500CF" w14:textId="50A2649A" w:rsidR="009537E9" w:rsidRPr="00CA1BE9" w:rsidRDefault="009537E9" w:rsidP="00D10AF6">
            <w:pPr>
              <w:pStyle w:val="Akapitzlist"/>
              <w:numPr>
                <w:ilvl w:val="0"/>
                <w:numId w:val="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A1BE9">
              <w:rPr>
                <w:rFonts w:ascii="Times New Roman" w:hAnsi="Times New Roman"/>
                <w:b/>
                <w:color w:val="000000"/>
              </w:rPr>
              <w:t>Monitorowanie</w:t>
            </w:r>
            <w:r w:rsidR="007E1177" w:rsidRPr="00CA1BE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1BE9">
              <w:rPr>
                <w:rFonts w:ascii="Times New Roman" w:hAnsi="Times New Roman"/>
                <w:b/>
                <w:color w:val="000000"/>
              </w:rPr>
              <w:t>leczenia</w:t>
            </w:r>
          </w:p>
          <w:p w14:paraId="5ACCEF26" w14:textId="77C82EAD" w:rsidR="009537E9" w:rsidRPr="00CA1BE9" w:rsidRDefault="009537E9" w:rsidP="00D10AF6">
            <w:pPr>
              <w:pStyle w:val="Akapitzlist"/>
              <w:numPr>
                <w:ilvl w:val="2"/>
                <w:numId w:val="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CA1BE9">
              <w:rPr>
                <w:rFonts w:ascii="Times New Roman" w:hAnsi="Times New Roman"/>
                <w:color w:val="000000"/>
              </w:rPr>
              <w:t>Ocena</w:t>
            </w:r>
            <w:r w:rsidR="007E1177" w:rsidRPr="00CA1BE9">
              <w:rPr>
                <w:rFonts w:ascii="Times New Roman" w:hAnsi="Times New Roman"/>
                <w:color w:val="000000"/>
              </w:rPr>
              <w:t xml:space="preserve"> </w:t>
            </w:r>
            <w:r w:rsidRPr="00CA1BE9">
              <w:rPr>
                <w:rFonts w:ascii="Times New Roman" w:hAnsi="Times New Roman"/>
                <w:color w:val="000000"/>
              </w:rPr>
              <w:t>stanu</w:t>
            </w:r>
            <w:r w:rsidR="007E1177" w:rsidRPr="00CA1BE9">
              <w:rPr>
                <w:rFonts w:ascii="Times New Roman" w:hAnsi="Times New Roman"/>
                <w:color w:val="000000"/>
              </w:rPr>
              <w:t xml:space="preserve"> </w:t>
            </w:r>
            <w:r w:rsidRPr="00CA1BE9">
              <w:rPr>
                <w:rFonts w:ascii="Times New Roman" w:hAnsi="Times New Roman"/>
                <w:color w:val="000000"/>
              </w:rPr>
              <w:t>neurologicznego,</w:t>
            </w:r>
            <w:r w:rsidR="007E1177" w:rsidRPr="00CA1BE9">
              <w:rPr>
                <w:rFonts w:ascii="Times New Roman" w:hAnsi="Times New Roman"/>
                <w:color w:val="000000"/>
              </w:rPr>
              <w:t xml:space="preserve"> </w:t>
            </w:r>
            <w:r w:rsidRPr="00CA1BE9">
              <w:rPr>
                <w:rFonts w:ascii="Times New Roman" w:hAnsi="Times New Roman"/>
                <w:color w:val="000000"/>
              </w:rPr>
              <w:t>co</w:t>
            </w:r>
            <w:r w:rsidR="007E1177" w:rsidRPr="00CA1BE9">
              <w:rPr>
                <w:rFonts w:ascii="Times New Roman" w:hAnsi="Times New Roman"/>
                <w:color w:val="000000"/>
              </w:rPr>
              <w:t xml:space="preserve"> </w:t>
            </w:r>
            <w:r w:rsidRPr="00CA1BE9">
              <w:rPr>
                <w:rFonts w:ascii="Times New Roman" w:hAnsi="Times New Roman"/>
                <w:color w:val="000000"/>
              </w:rPr>
              <w:t>3</w:t>
            </w:r>
            <w:r w:rsidR="007E1177" w:rsidRPr="00CA1BE9">
              <w:rPr>
                <w:rFonts w:ascii="Times New Roman" w:hAnsi="Times New Roman"/>
                <w:color w:val="000000"/>
              </w:rPr>
              <w:t xml:space="preserve"> </w:t>
            </w:r>
            <w:r w:rsidRPr="00CA1BE9">
              <w:rPr>
                <w:rFonts w:ascii="Times New Roman" w:hAnsi="Times New Roman"/>
                <w:color w:val="000000"/>
              </w:rPr>
              <w:t>miesiące;</w:t>
            </w:r>
          </w:p>
          <w:p w14:paraId="02FF5881" w14:textId="7E7C3EDD" w:rsidR="009537E9" w:rsidRPr="00CA1BE9" w:rsidRDefault="009537E9" w:rsidP="00D10AF6">
            <w:pPr>
              <w:pStyle w:val="Akapitzlist"/>
              <w:numPr>
                <w:ilvl w:val="2"/>
                <w:numId w:val="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u w:val="single"/>
              </w:rPr>
            </w:pPr>
            <w:r w:rsidRPr="00CA1BE9">
              <w:rPr>
                <w:rFonts w:ascii="Times New Roman" w:hAnsi="Times New Roman"/>
              </w:rPr>
              <w:t>Rezonans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magnetyczny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po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każdych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12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miesiącach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leczenia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(podanie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kontrastu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do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decyzji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lekarza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prowadzącego);</w:t>
            </w:r>
          </w:p>
          <w:p w14:paraId="18F2FC38" w14:textId="61F20FBF" w:rsidR="009537E9" w:rsidRPr="00CA1BE9" w:rsidRDefault="009537E9" w:rsidP="00D10AF6">
            <w:pPr>
              <w:pStyle w:val="Akapitzlist"/>
              <w:numPr>
                <w:ilvl w:val="2"/>
                <w:numId w:val="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CA1BE9">
              <w:rPr>
                <w:rFonts w:ascii="Times New Roman" w:hAnsi="Times New Roman"/>
              </w:rPr>
              <w:t>Badania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laboratoryjne,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o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których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mowa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w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ust.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1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(z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wyjątkiem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oceny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funkcji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tarczycy)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wykonywane</w:t>
            </w:r>
            <w:r w:rsidR="007E1177" w:rsidRPr="00CA1BE9">
              <w:rPr>
                <w:rFonts w:ascii="Times New Roman" w:hAnsi="Times New Roman"/>
              </w:rPr>
              <w:t xml:space="preserve"> </w:t>
            </w:r>
            <w:r w:rsidRPr="00CA1BE9">
              <w:rPr>
                <w:rFonts w:ascii="Times New Roman" w:hAnsi="Times New Roman"/>
              </w:rPr>
              <w:t>są:</w:t>
            </w:r>
          </w:p>
          <w:p w14:paraId="3CC2C265" w14:textId="735C03C4" w:rsidR="009537E9" w:rsidRPr="00CA1BE9" w:rsidRDefault="009537E9" w:rsidP="00D10AF6">
            <w:pPr>
              <w:pStyle w:val="Default"/>
              <w:numPr>
                <w:ilvl w:val="3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dorosłych:</w:t>
            </w:r>
          </w:p>
          <w:p w14:paraId="16A86334" w14:textId="3B745CDE" w:rsidR="009537E9" w:rsidRPr="00CA1BE9" w:rsidRDefault="009537E9" w:rsidP="00D10AF6">
            <w:pPr>
              <w:pStyle w:val="Default"/>
              <w:numPr>
                <w:ilvl w:val="4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pierwsze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br/>
              <w:t>co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miesiące,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F27271" w14:textId="2AD9352C" w:rsidR="009537E9" w:rsidRPr="00CA1BE9" w:rsidRDefault="009537E9" w:rsidP="00D10AF6">
            <w:pPr>
              <w:pStyle w:val="Default"/>
              <w:numPr>
                <w:ilvl w:val="4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A2B" w:rsidRPr="00CA1BE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A2B" w:rsidRPr="00CA1B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miesięcy,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wyjątkiem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morfologii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rozmazem,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która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powinna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wykonywana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miesiące,</w:t>
            </w:r>
          </w:p>
          <w:p w14:paraId="741D4DDC" w14:textId="6779FA07" w:rsidR="009537E9" w:rsidRPr="00CA1BE9" w:rsidRDefault="009537E9" w:rsidP="00D10AF6">
            <w:pPr>
              <w:pStyle w:val="Default"/>
              <w:numPr>
                <w:ilvl w:val="3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dzieci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młodzieży:</w:t>
            </w:r>
          </w:p>
          <w:p w14:paraId="2340F7F2" w14:textId="78C53EA9" w:rsidR="009537E9" w:rsidRPr="00CA1BE9" w:rsidRDefault="009537E9" w:rsidP="00D10AF6">
            <w:pPr>
              <w:pStyle w:val="Default"/>
              <w:numPr>
                <w:ilvl w:val="4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pierwsze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miesiące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miesiąc,</w:t>
            </w:r>
          </w:p>
          <w:p w14:paraId="0E74BEAE" w14:textId="29B3F532" w:rsidR="009537E9" w:rsidRPr="00CA1BE9" w:rsidRDefault="009537E9" w:rsidP="00D10AF6">
            <w:pPr>
              <w:pStyle w:val="Default"/>
              <w:numPr>
                <w:ilvl w:val="4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miesią</w:t>
            </w:r>
            <w:r w:rsidR="00BD3693" w:rsidRPr="00CA1BE9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693" w:rsidRPr="00CA1BE9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693" w:rsidRPr="00CA1BE9">
              <w:rPr>
                <w:rFonts w:ascii="Times New Roman" w:hAnsi="Times New Roman" w:cs="Times New Roman"/>
                <w:sz w:val="20"/>
                <w:szCs w:val="20"/>
              </w:rPr>
              <w:t>częściej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693" w:rsidRPr="00CA1BE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693" w:rsidRPr="00CA1BE9">
              <w:rPr>
                <w:rFonts w:ascii="Times New Roman" w:hAnsi="Times New Roman" w:cs="Times New Roman"/>
                <w:sz w:val="20"/>
                <w:szCs w:val="20"/>
              </w:rPr>
              <w:t>razie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693" w:rsidRPr="00CA1BE9">
              <w:rPr>
                <w:rFonts w:ascii="Times New Roman" w:hAnsi="Times New Roman" w:cs="Times New Roman"/>
                <w:sz w:val="20"/>
                <w:szCs w:val="20"/>
              </w:rPr>
              <w:t>konieczności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693" w:rsidRPr="00CA1BE9">
              <w:rPr>
                <w:rFonts w:ascii="Times New Roman" w:hAnsi="Times New Roman" w:cs="Times New Roman"/>
                <w:sz w:val="20"/>
                <w:szCs w:val="20"/>
              </w:rPr>
              <w:t>(do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693" w:rsidRPr="00CA1BE9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693" w:rsidRPr="00CA1BE9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693" w:rsidRPr="00CA1BE9">
              <w:rPr>
                <w:rFonts w:ascii="Times New Roman" w:hAnsi="Times New Roman" w:cs="Times New Roman"/>
                <w:sz w:val="20"/>
                <w:szCs w:val="20"/>
              </w:rPr>
              <w:t>leczącego);</w:t>
            </w:r>
          </w:p>
          <w:p w14:paraId="2FC3E2CB" w14:textId="5EA76795" w:rsidR="009537E9" w:rsidRPr="00CA1BE9" w:rsidRDefault="008B5C3C" w:rsidP="00D10AF6">
            <w:pPr>
              <w:pStyle w:val="Default"/>
              <w:numPr>
                <w:ilvl w:val="2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ozostałe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powinny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wykonywane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zapisami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właściwych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Charakterystyk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Produktów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E9" w:rsidRPr="00CA1BE9">
              <w:rPr>
                <w:rFonts w:ascii="Times New Roman" w:hAnsi="Times New Roman" w:cs="Times New Roman"/>
                <w:sz w:val="20"/>
                <w:szCs w:val="20"/>
              </w:rPr>
              <w:t>Leczniczych</w:t>
            </w:r>
            <w:r w:rsidR="001E0381" w:rsidRPr="00CA1B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366D38" w14:textId="52A078F8" w:rsidR="001E0381" w:rsidRDefault="002B65C4" w:rsidP="00D10AF6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oceniające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skuteczność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umożliwiające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kontynuacje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7E1177" w:rsidRPr="00C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BE9">
              <w:rPr>
                <w:rFonts w:ascii="Times New Roman" w:hAnsi="Times New Roman" w:cs="Times New Roman"/>
                <w:sz w:val="20"/>
                <w:szCs w:val="20"/>
              </w:rPr>
              <w:t>leczenia.</w:t>
            </w:r>
          </w:p>
          <w:p w14:paraId="714DA692" w14:textId="77777777" w:rsidR="00D10AF6" w:rsidRPr="00CA1BE9" w:rsidRDefault="00D10AF6" w:rsidP="00D10AF6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238CF" w14:textId="234F9C28" w:rsidR="00D50D2A" w:rsidRPr="00CA1BE9" w:rsidRDefault="00D50D2A" w:rsidP="00D10AF6">
            <w:pPr>
              <w:pStyle w:val="Akapitzlist"/>
              <w:numPr>
                <w:ilvl w:val="0"/>
                <w:numId w:val="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A1BE9">
              <w:rPr>
                <w:rFonts w:ascii="Times New Roman" w:hAnsi="Times New Roman"/>
                <w:b/>
                <w:color w:val="000000" w:themeColor="text1"/>
              </w:rPr>
              <w:lastRenderedPageBreak/>
              <w:t>Monitorowanie</w:t>
            </w:r>
            <w:r w:rsidR="007E1177" w:rsidRPr="00CA1BE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A1BE9">
              <w:rPr>
                <w:rFonts w:ascii="Times New Roman" w:hAnsi="Times New Roman"/>
                <w:b/>
                <w:color w:val="000000" w:themeColor="text1"/>
              </w:rPr>
              <w:t>programu</w:t>
            </w:r>
          </w:p>
          <w:p w14:paraId="7EEA26DA" w14:textId="3CD75A2C" w:rsidR="00D50D2A" w:rsidRPr="00CA1BE9" w:rsidRDefault="006A294F" w:rsidP="00D10AF6">
            <w:pPr>
              <w:numPr>
                <w:ilvl w:val="2"/>
                <w:numId w:val="9"/>
              </w:num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A1BE9">
              <w:rPr>
                <w:rFonts w:ascii="Times New Roman" w:hAnsi="Times New Roman"/>
                <w:color w:val="000000" w:themeColor="text1"/>
              </w:rPr>
              <w:t>G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romadzenie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w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dokumentacji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medycznej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pacjenta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danych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dotycz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ących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monitorowania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leczenia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i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każdorazowe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ich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przedst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awianie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na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żądanie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kontrolerów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Narodowego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Funduszu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Zdrowia;</w:t>
            </w:r>
          </w:p>
          <w:p w14:paraId="77E1683C" w14:textId="60EE218A" w:rsidR="00D50D2A" w:rsidRPr="00CA1BE9" w:rsidRDefault="006A294F" w:rsidP="00D10AF6">
            <w:pPr>
              <w:numPr>
                <w:ilvl w:val="2"/>
                <w:numId w:val="9"/>
              </w:num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A1BE9">
              <w:rPr>
                <w:rFonts w:ascii="Times New Roman" w:hAnsi="Times New Roman"/>
                <w:color w:val="000000" w:themeColor="text1"/>
              </w:rPr>
              <w:t>U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zupełnienie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danych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zawartych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w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rejestrze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(SMPT)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dostępnym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za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pomocą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aplikacji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internetowej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udostępnionej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przez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OW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NFZ,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z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częstotliwością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zgodną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z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opisem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programu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oraz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na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zakończenie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leczenia;</w:t>
            </w:r>
          </w:p>
          <w:p w14:paraId="1D68CD7F" w14:textId="64B442B9" w:rsidR="007B3C6A" w:rsidRPr="00CA1BE9" w:rsidRDefault="006A294F" w:rsidP="00D10AF6">
            <w:pPr>
              <w:numPr>
                <w:ilvl w:val="2"/>
                <w:numId w:val="9"/>
              </w:num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A1BE9">
              <w:rPr>
                <w:rFonts w:ascii="Times New Roman" w:hAnsi="Times New Roman"/>
                <w:color w:val="000000" w:themeColor="text1"/>
              </w:rPr>
              <w:t>P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rzekazywanie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informacji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sprawozdawczo-rozliczeniowych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do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NFZ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: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informacje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przekazuje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się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1862" w:rsidRPr="00CA1BE9">
              <w:rPr>
                <w:rFonts w:ascii="Times New Roman" w:hAnsi="Times New Roman"/>
                <w:color w:val="000000" w:themeColor="text1"/>
              </w:rPr>
              <w:t>do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NFZ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w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formie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papierowej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lub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w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formie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elektronicznej,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zgodnie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z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wymaganiami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opublikowanymi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przez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Narodowy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Fundusz</w:t>
            </w:r>
            <w:r w:rsidR="007E1177" w:rsidRPr="00CA1B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D2A" w:rsidRPr="00CA1BE9">
              <w:rPr>
                <w:rFonts w:ascii="Times New Roman" w:hAnsi="Times New Roman"/>
                <w:color w:val="000000" w:themeColor="text1"/>
              </w:rPr>
              <w:t>Zdrowia.</w:t>
            </w:r>
          </w:p>
          <w:p w14:paraId="58A032D0" w14:textId="77777777" w:rsidR="00D50D2A" w:rsidRPr="00CA1BE9" w:rsidRDefault="00D50D2A" w:rsidP="00D10AF6">
            <w:pPr>
              <w:spacing w:after="60" w:line="276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2DFED7C5" w14:textId="77777777" w:rsidR="00B22192" w:rsidRPr="00E87A2A" w:rsidRDefault="00B22192" w:rsidP="00E87A2A">
      <w:pPr>
        <w:spacing w:before="120" w:after="120"/>
        <w:jc w:val="both"/>
        <w:rPr>
          <w:rFonts w:ascii="Times New Roman" w:hAnsi="Times New Roman"/>
          <w:color w:val="000000" w:themeColor="text1"/>
        </w:rPr>
      </w:pPr>
    </w:p>
    <w:sectPr w:rsidR="00B22192" w:rsidRPr="00E87A2A" w:rsidSect="000479E7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BKD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52226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369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454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B8F0D28"/>
    <w:multiLevelType w:val="multilevel"/>
    <w:tmpl w:val="B8844B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9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185645B5"/>
    <w:multiLevelType w:val="multilevel"/>
    <w:tmpl w:val="FB7C8B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9" w:hanging="227"/>
      </w:pPr>
      <w:rPr>
        <w:rFonts w:ascii="Symbol" w:hAnsi="Symbol"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20EC442A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369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454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353E4D19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3F904057"/>
    <w:multiLevelType w:val="multilevel"/>
    <w:tmpl w:val="0C4045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49BD0BFE"/>
    <w:multiLevelType w:val="hybridMultilevel"/>
    <w:tmpl w:val="9E14F6FA"/>
    <w:lvl w:ilvl="0" w:tplc="5E566C3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54CE34A1"/>
    <w:multiLevelType w:val="multilevel"/>
    <w:tmpl w:val="0C4045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6FA84547"/>
    <w:multiLevelType w:val="multilevel"/>
    <w:tmpl w:val="0C4045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2A"/>
    <w:rsid w:val="000024E8"/>
    <w:rsid w:val="000219CE"/>
    <w:rsid w:val="00034B96"/>
    <w:rsid w:val="0003586C"/>
    <w:rsid w:val="00040A6B"/>
    <w:rsid w:val="000479E7"/>
    <w:rsid w:val="00095F2D"/>
    <w:rsid w:val="000C0002"/>
    <w:rsid w:val="000C62E6"/>
    <w:rsid w:val="000D177A"/>
    <w:rsid w:val="000E2EDA"/>
    <w:rsid w:val="00114CEA"/>
    <w:rsid w:val="00145CF6"/>
    <w:rsid w:val="001538B7"/>
    <w:rsid w:val="0017498F"/>
    <w:rsid w:val="001935B2"/>
    <w:rsid w:val="001B0B8A"/>
    <w:rsid w:val="001B0B98"/>
    <w:rsid w:val="001B1095"/>
    <w:rsid w:val="001E0381"/>
    <w:rsid w:val="001E0EAC"/>
    <w:rsid w:val="001F2477"/>
    <w:rsid w:val="00221F37"/>
    <w:rsid w:val="002321F9"/>
    <w:rsid w:val="002405DD"/>
    <w:rsid w:val="00242AC4"/>
    <w:rsid w:val="002435AB"/>
    <w:rsid w:val="00243901"/>
    <w:rsid w:val="00252F48"/>
    <w:rsid w:val="00262E69"/>
    <w:rsid w:val="0026413D"/>
    <w:rsid w:val="002675A9"/>
    <w:rsid w:val="00285CC3"/>
    <w:rsid w:val="002A7587"/>
    <w:rsid w:val="002B65C4"/>
    <w:rsid w:val="002E4F71"/>
    <w:rsid w:val="00300497"/>
    <w:rsid w:val="0032242F"/>
    <w:rsid w:val="0033706F"/>
    <w:rsid w:val="00365BCD"/>
    <w:rsid w:val="00366590"/>
    <w:rsid w:val="003D23E9"/>
    <w:rsid w:val="003D2D20"/>
    <w:rsid w:val="00451B8A"/>
    <w:rsid w:val="00481453"/>
    <w:rsid w:val="00487E46"/>
    <w:rsid w:val="004A4185"/>
    <w:rsid w:val="00537910"/>
    <w:rsid w:val="005440F1"/>
    <w:rsid w:val="00550874"/>
    <w:rsid w:val="00561158"/>
    <w:rsid w:val="00562140"/>
    <w:rsid w:val="00565222"/>
    <w:rsid w:val="005736D8"/>
    <w:rsid w:val="005852A4"/>
    <w:rsid w:val="00596B35"/>
    <w:rsid w:val="005C5429"/>
    <w:rsid w:val="005D5245"/>
    <w:rsid w:val="005D563A"/>
    <w:rsid w:val="005E276C"/>
    <w:rsid w:val="005F17CC"/>
    <w:rsid w:val="005F5A8C"/>
    <w:rsid w:val="006149A7"/>
    <w:rsid w:val="00620F09"/>
    <w:rsid w:val="00634EF5"/>
    <w:rsid w:val="00651862"/>
    <w:rsid w:val="00657CCA"/>
    <w:rsid w:val="00673F8A"/>
    <w:rsid w:val="00676ECA"/>
    <w:rsid w:val="006879D5"/>
    <w:rsid w:val="006A294F"/>
    <w:rsid w:val="006A7633"/>
    <w:rsid w:val="006B13F1"/>
    <w:rsid w:val="006B3983"/>
    <w:rsid w:val="006F0183"/>
    <w:rsid w:val="00703957"/>
    <w:rsid w:val="007177F8"/>
    <w:rsid w:val="00763919"/>
    <w:rsid w:val="00765A53"/>
    <w:rsid w:val="00772EC0"/>
    <w:rsid w:val="00784CFF"/>
    <w:rsid w:val="007B3C6A"/>
    <w:rsid w:val="007B5B58"/>
    <w:rsid w:val="007E1177"/>
    <w:rsid w:val="007E526E"/>
    <w:rsid w:val="007F433A"/>
    <w:rsid w:val="00804618"/>
    <w:rsid w:val="00807D21"/>
    <w:rsid w:val="00810DB0"/>
    <w:rsid w:val="008211CF"/>
    <w:rsid w:val="0084365A"/>
    <w:rsid w:val="00870FC6"/>
    <w:rsid w:val="008719E1"/>
    <w:rsid w:val="008772DE"/>
    <w:rsid w:val="00893BD5"/>
    <w:rsid w:val="008B5C3C"/>
    <w:rsid w:val="008C4C99"/>
    <w:rsid w:val="008C6B83"/>
    <w:rsid w:val="008F6EBB"/>
    <w:rsid w:val="0090170D"/>
    <w:rsid w:val="00910715"/>
    <w:rsid w:val="00912C90"/>
    <w:rsid w:val="0092439B"/>
    <w:rsid w:val="009537E9"/>
    <w:rsid w:val="00965AAA"/>
    <w:rsid w:val="00973F61"/>
    <w:rsid w:val="009746F5"/>
    <w:rsid w:val="009D515F"/>
    <w:rsid w:val="009D77F9"/>
    <w:rsid w:val="009F0886"/>
    <w:rsid w:val="009F17E2"/>
    <w:rsid w:val="009F3955"/>
    <w:rsid w:val="00A04582"/>
    <w:rsid w:val="00A12AF0"/>
    <w:rsid w:val="00A300B5"/>
    <w:rsid w:val="00A70D99"/>
    <w:rsid w:val="00A73E7D"/>
    <w:rsid w:val="00A756BE"/>
    <w:rsid w:val="00A76817"/>
    <w:rsid w:val="00A86600"/>
    <w:rsid w:val="00A941E1"/>
    <w:rsid w:val="00AA2839"/>
    <w:rsid w:val="00AA2CAC"/>
    <w:rsid w:val="00AB4AC6"/>
    <w:rsid w:val="00AD3122"/>
    <w:rsid w:val="00B22192"/>
    <w:rsid w:val="00B5299B"/>
    <w:rsid w:val="00B61C49"/>
    <w:rsid w:val="00B64A2B"/>
    <w:rsid w:val="00B665B7"/>
    <w:rsid w:val="00B771C8"/>
    <w:rsid w:val="00B92B5F"/>
    <w:rsid w:val="00B96E4B"/>
    <w:rsid w:val="00BA0DE2"/>
    <w:rsid w:val="00BD1F44"/>
    <w:rsid w:val="00BD33BF"/>
    <w:rsid w:val="00BD3693"/>
    <w:rsid w:val="00BE1460"/>
    <w:rsid w:val="00BF24BB"/>
    <w:rsid w:val="00BF2D94"/>
    <w:rsid w:val="00BF4321"/>
    <w:rsid w:val="00BF60B4"/>
    <w:rsid w:val="00C56D14"/>
    <w:rsid w:val="00C60F3A"/>
    <w:rsid w:val="00C67941"/>
    <w:rsid w:val="00C77711"/>
    <w:rsid w:val="00CA1BE9"/>
    <w:rsid w:val="00CE79EF"/>
    <w:rsid w:val="00D10AF6"/>
    <w:rsid w:val="00D2386A"/>
    <w:rsid w:val="00D47C22"/>
    <w:rsid w:val="00D50607"/>
    <w:rsid w:val="00D50D2A"/>
    <w:rsid w:val="00D520BD"/>
    <w:rsid w:val="00D86479"/>
    <w:rsid w:val="00D93CA4"/>
    <w:rsid w:val="00DB1A40"/>
    <w:rsid w:val="00DD254D"/>
    <w:rsid w:val="00DE0187"/>
    <w:rsid w:val="00DE296D"/>
    <w:rsid w:val="00DF1E23"/>
    <w:rsid w:val="00E21AB9"/>
    <w:rsid w:val="00E32C7C"/>
    <w:rsid w:val="00E51255"/>
    <w:rsid w:val="00E654FD"/>
    <w:rsid w:val="00E80EB7"/>
    <w:rsid w:val="00E85E71"/>
    <w:rsid w:val="00E87A2A"/>
    <w:rsid w:val="00E87A60"/>
    <w:rsid w:val="00E90EDE"/>
    <w:rsid w:val="00EA7078"/>
    <w:rsid w:val="00EC02B6"/>
    <w:rsid w:val="00EC1042"/>
    <w:rsid w:val="00ED7640"/>
    <w:rsid w:val="00F50911"/>
    <w:rsid w:val="00F53FC7"/>
    <w:rsid w:val="00F65C6C"/>
    <w:rsid w:val="00F909E6"/>
    <w:rsid w:val="00FA03E2"/>
    <w:rsid w:val="00FB04ED"/>
    <w:rsid w:val="00FB3891"/>
    <w:rsid w:val="00FC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3D04"/>
  <w15:chartTrackingRefBased/>
  <w15:docId w15:val="{2EC6F899-6BC8-4DB6-A230-2DED3854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50D2A"/>
    <w:pPr>
      <w:widowControl w:val="0"/>
      <w:autoSpaceDE w:val="0"/>
      <w:autoSpaceDN w:val="0"/>
      <w:adjustRightInd w:val="0"/>
      <w:spacing w:after="0" w:line="240" w:lineRule="auto"/>
    </w:pPr>
    <w:rPr>
      <w:rFonts w:ascii="CKBKDC+Arial" w:eastAsia="Times New Roman" w:hAnsi="CKBKDC+Arial" w:cs="CKBKDC+Arial"/>
      <w:color w:val="000000"/>
      <w:sz w:val="24"/>
      <w:szCs w:val="24"/>
      <w:lang w:eastAsia="pl-PL"/>
    </w:rPr>
  </w:style>
  <w:style w:type="paragraph" w:styleId="Akapitzlist">
    <w:name w:val="List Paragraph"/>
    <w:aliases w:val="Styl moj,Dot pt,F5 List Paragraph,List Paragraph1,No Spacing1,List Paragraph Char Char Char,Indicator Text,Colorful List - Accent 11,Numbered Para 1,Bullet 1,Bullet Points,List Paragraph2,MAIN CONTENT,Normal numbered,列出段落"/>
    <w:basedOn w:val="Normalny"/>
    <w:link w:val="AkapitzlistZnak"/>
    <w:uiPriority w:val="99"/>
    <w:qFormat/>
    <w:rsid w:val="00D50D2A"/>
    <w:pPr>
      <w:ind w:left="720"/>
      <w:contextualSpacing/>
    </w:pPr>
  </w:style>
  <w:style w:type="paragraph" w:styleId="Poprawka">
    <w:name w:val="Revision"/>
    <w:hidden/>
    <w:uiPriority w:val="99"/>
    <w:semiHidden/>
    <w:rsid w:val="00365B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B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C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Styl moj Znak,Dot pt Znak,F5 List Paragraph Znak,List Paragraph1 Znak,No Spacing1 Znak,List Paragraph Char Char Char Znak,Indicator Text Znak,Colorful List - Accent 11 Znak,Numbered Para 1 Znak,Bullet 1 Znak,Bullet Points Znak"/>
    <w:link w:val="Akapitzlist"/>
    <w:uiPriority w:val="34"/>
    <w:locked/>
    <w:rsid w:val="00365BC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0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0B5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0B5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0D59-F63C-435C-96D9-CDFB555F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Bonek Przemysław</dc:creator>
  <cp:keywords/>
  <dc:description/>
  <cp:lastModifiedBy>Królak-Buzakowska Joanna</cp:lastModifiedBy>
  <cp:revision>5</cp:revision>
  <cp:lastPrinted>2019-07-31T12:54:00Z</cp:lastPrinted>
  <dcterms:created xsi:type="dcterms:W3CDTF">2020-10-20T14:59:00Z</dcterms:created>
  <dcterms:modified xsi:type="dcterms:W3CDTF">2020-10-20T21:34:00Z</dcterms:modified>
</cp:coreProperties>
</file>