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85B81" w14:textId="77777777" w:rsidR="00065794" w:rsidRDefault="00065794" w:rsidP="00400877">
      <w:pPr>
        <w:pStyle w:val="Standard"/>
        <w:ind w:left="-426" w:right="-1276"/>
        <w:jc w:val="center"/>
        <w:rPr>
          <w:rFonts w:ascii="Times New Roman" w:hAnsi="Times New Roman"/>
          <w:sz w:val="22"/>
          <w:szCs w:val="22"/>
        </w:rPr>
      </w:pPr>
    </w:p>
    <w:tbl>
      <w:tblPr>
        <w:tblW w:w="10367" w:type="dxa"/>
        <w:tblInd w:w="-589" w:type="dxa"/>
        <w:tblLayout w:type="fixed"/>
        <w:tblCellMar>
          <w:left w:w="10" w:type="dxa"/>
          <w:right w:w="10" w:type="dxa"/>
        </w:tblCellMar>
        <w:tblLook w:val="04A0" w:firstRow="1" w:lastRow="0" w:firstColumn="1" w:lastColumn="0" w:noHBand="0" w:noVBand="1"/>
      </w:tblPr>
      <w:tblGrid>
        <w:gridCol w:w="1862"/>
        <w:gridCol w:w="8505"/>
      </w:tblGrid>
      <w:tr w:rsidR="00065794" w14:paraId="634125C7" w14:textId="77777777" w:rsidTr="002F366C">
        <w:trPr>
          <w:trHeight w:val="1200"/>
        </w:trPr>
        <w:tc>
          <w:tcPr>
            <w:tcW w:w="10367" w:type="dxa"/>
            <w:gridSpan w:val="2"/>
            <w:tcBorders>
              <w:top w:val="single" w:sz="2" w:space="0" w:color="000000"/>
              <w:left w:val="single" w:sz="2" w:space="0" w:color="000000"/>
              <w:bottom w:val="single" w:sz="2" w:space="0" w:color="000000"/>
              <w:right w:val="single" w:sz="2" w:space="0" w:color="000000"/>
            </w:tcBorders>
            <w:shd w:val="clear" w:color="auto" w:fill="DDDDDD"/>
            <w:tcMar>
              <w:top w:w="55" w:type="dxa"/>
              <w:left w:w="55" w:type="dxa"/>
              <w:bottom w:w="55" w:type="dxa"/>
              <w:right w:w="55" w:type="dxa"/>
            </w:tcMar>
          </w:tcPr>
          <w:p w14:paraId="5C8B3370" w14:textId="68AB09A2" w:rsidR="00065794" w:rsidRPr="002F366C" w:rsidRDefault="00065794" w:rsidP="00F37583">
            <w:pPr>
              <w:spacing w:line="276" w:lineRule="auto"/>
              <w:jc w:val="both"/>
              <w:rPr>
                <w:rFonts w:hint="eastAsia"/>
                <w:sz w:val="20"/>
                <w:szCs w:val="20"/>
              </w:rPr>
            </w:pPr>
            <w:r w:rsidRPr="002F366C">
              <w:rPr>
                <w:rFonts w:ascii="Times New Roman" w:hAnsi="Times New Roman" w:cs="Calibri"/>
                <w:sz w:val="20"/>
                <w:szCs w:val="20"/>
              </w:rPr>
              <w:t xml:space="preserve">Klauzula informacyjna dot. przetwarzania danych osobowych na podstawie obowiązku prawnego ciążącego na administratorze zgodnie z art. 13 ust. 1 i ust. 2 Rozporządzenia Parlamentu Europejskiego i Rady (UE) 2016/679 z dnia 27 kwietnia 2016 r. </w:t>
            </w:r>
            <w:r w:rsidR="00F37583">
              <w:rPr>
                <w:rFonts w:ascii="Times New Roman" w:hAnsi="Times New Roman" w:cs="Calibri"/>
                <w:sz w:val="20"/>
                <w:szCs w:val="20"/>
              </w:rPr>
              <w:t xml:space="preserve">                </w:t>
            </w:r>
            <w:r w:rsidRPr="002F366C">
              <w:rPr>
                <w:rFonts w:ascii="Times New Roman" w:hAnsi="Times New Roman" w:cs="Calibri"/>
                <w:sz w:val="20"/>
                <w:szCs w:val="20"/>
              </w:rPr>
              <w:t>w sprawie ochrony osób fizycznych w związku z przetwarzaniem danych osobowych i w sprawie swobodnego przepływu takich danych oraz uchylenia dyrektywy 95/46/WE (dalej: RODO)</w:t>
            </w:r>
          </w:p>
        </w:tc>
      </w:tr>
      <w:tr w:rsidR="00065794" w14:paraId="1841D91A" w14:textId="77777777" w:rsidTr="000E5886">
        <w:tc>
          <w:tcPr>
            <w:tcW w:w="1862" w:type="dxa"/>
            <w:tcBorders>
              <w:left w:val="single" w:sz="2" w:space="0" w:color="000000"/>
              <w:bottom w:val="single" w:sz="2" w:space="0" w:color="000000"/>
            </w:tcBorders>
            <w:shd w:val="clear" w:color="auto" w:fill="DDDDDD"/>
            <w:tcMar>
              <w:top w:w="55" w:type="dxa"/>
              <w:left w:w="55" w:type="dxa"/>
              <w:bottom w:w="55" w:type="dxa"/>
              <w:right w:w="55" w:type="dxa"/>
            </w:tcMar>
          </w:tcPr>
          <w:p w14:paraId="5553382E" w14:textId="77777777" w:rsidR="00065794" w:rsidRPr="00F5017C" w:rsidRDefault="00065794" w:rsidP="007F5049">
            <w:pPr>
              <w:rPr>
                <w:rFonts w:ascii="Times New Roman" w:hAnsi="Times New Roman" w:cs="Calibri"/>
                <w:b/>
                <w:sz w:val="16"/>
                <w:szCs w:val="16"/>
              </w:rPr>
            </w:pPr>
            <w:r w:rsidRPr="00F5017C">
              <w:rPr>
                <w:rFonts w:ascii="Times New Roman" w:hAnsi="Times New Roman" w:cs="Calibri"/>
                <w:b/>
                <w:sz w:val="16"/>
                <w:szCs w:val="16"/>
              </w:rPr>
              <w:t>TOŻSAMOŚĆ ADMINISTRATORA</w:t>
            </w:r>
          </w:p>
        </w:tc>
        <w:tc>
          <w:tcPr>
            <w:tcW w:w="8505" w:type="dxa"/>
            <w:tcBorders>
              <w:left w:val="single" w:sz="2" w:space="0" w:color="000000"/>
              <w:bottom w:val="single" w:sz="2" w:space="0" w:color="000000"/>
              <w:right w:val="single" w:sz="2" w:space="0" w:color="000000"/>
            </w:tcBorders>
            <w:tcMar>
              <w:top w:w="55" w:type="dxa"/>
              <w:left w:w="55" w:type="dxa"/>
              <w:bottom w:w="55" w:type="dxa"/>
              <w:right w:w="55" w:type="dxa"/>
            </w:tcMar>
          </w:tcPr>
          <w:p w14:paraId="749F2455" w14:textId="77777777" w:rsidR="00065794" w:rsidRPr="002F366C" w:rsidRDefault="00065794" w:rsidP="00F37583">
            <w:pPr>
              <w:pStyle w:val="Textbody"/>
              <w:spacing w:after="0"/>
              <w:jc w:val="both"/>
              <w:rPr>
                <w:rFonts w:ascii="Times New Roman" w:hAnsi="Times New Roman"/>
                <w:sz w:val="20"/>
                <w:szCs w:val="20"/>
              </w:rPr>
            </w:pPr>
            <w:r w:rsidRPr="002F366C">
              <w:rPr>
                <w:rFonts w:ascii="Times New Roman" w:hAnsi="Times New Roman"/>
                <w:sz w:val="20"/>
                <w:szCs w:val="20"/>
              </w:rPr>
              <w:t>Administratorem danych osobowych jest Powiatowa Stacja Sanitarno-Epidemiologiczna w Chorzowie reprezentowana przez Państwowego Powiatowego Inspektora Sanitarnego/ Dyrektora Powiatowej Stacji Sanitarno - Epidemiologicznej z siedzibą w Chorzowie przy ul. Kazimierza Wielkiego 6;</w:t>
            </w:r>
          </w:p>
        </w:tc>
      </w:tr>
      <w:tr w:rsidR="00065794" w14:paraId="4890127D" w14:textId="77777777" w:rsidTr="000E5886">
        <w:tc>
          <w:tcPr>
            <w:tcW w:w="1862" w:type="dxa"/>
            <w:tcBorders>
              <w:left w:val="single" w:sz="2" w:space="0" w:color="000000"/>
              <w:bottom w:val="single" w:sz="2" w:space="0" w:color="000000"/>
            </w:tcBorders>
            <w:shd w:val="clear" w:color="auto" w:fill="DDDDDD"/>
            <w:tcMar>
              <w:top w:w="55" w:type="dxa"/>
              <w:left w:w="55" w:type="dxa"/>
              <w:bottom w:w="55" w:type="dxa"/>
              <w:right w:w="55" w:type="dxa"/>
            </w:tcMar>
          </w:tcPr>
          <w:p w14:paraId="3132769D" w14:textId="77777777" w:rsidR="00065794" w:rsidRPr="00F5017C" w:rsidRDefault="00065794" w:rsidP="007F5049">
            <w:pPr>
              <w:rPr>
                <w:rFonts w:ascii="Times New Roman" w:hAnsi="Times New Roman" w:cs="Calibri"/>
                <w:b/>
                <w:sz w:val="16"/>
                <w:szCs w:val="16"/>
              </w:rPr>
            </w:pPr>
            <w:r w:rsidRPr="00F5017C">
              <w:rPr>
                <w:rFonts w:ascii="Times New Roman" w:hAnsi="Times New Roman" w:cs="Calibri"/>
                <w:b/>
                <w:sz w:val="16"/>
                <w:szCs w:val="16"/>
              </w:rPr>
              <w:t>DANE KONTAKTOWE ADMINISTRATORA</w:t>
            </w:r>
          </w:p>
        </w:tc>
        <w:tc>
          <w:tcPr>
            <w:tcW w:w="8505" w:type="dxa"/>
            <w:tcBorders>
              <w:left w:val="single" w:sz="2" w:space="0" w:color="000000"/>
              <w:bottom w:val="single" w:sz="2" w:space="0" w:color="000000"/>
              <w:right w:val="single" w:sz="2" w:space="0" w:color="000000"/>
            </w:tcBorders>
            <w:tcMar>
              <w:top w:w="55" w:type="dxa"/>
              <w:left w:w="55" w:type="dxa"/>
              <w:bottom w:w="55" w:type="dxa"/>
              <w:right w:w="55" w:type="dxa"/>
            </w:tcMar>
          </w:tcPr>
          <w:p w14:paraId="77FD3967" w14:textId="15785974" w:rsidR="00065794" w:rsidRPr="002F366C" w:rsidRDefault="00065794" w:rsidP="00F37583">
            <w:pPr>
              <w:shd w:val="clear" w:color="auto" w:fill="FFFFFF"/>
              <w:jc w:val="both"/>
              <w:rPr>
                <w:rFonts w:hint="eastAsia"/>
                <w:sz w:val="20"/>
                <w:szCs w:val="20"/>
              </w:rPr>
            </w:pPr>
            <w:r w:rsidRPr="002F366C">
              <w:rPr>
                <w:rFonts w:ascii="Times New Roman" w:hAnsi="Times New Roman" w:cs="Calibri"/>
                <w:sz w:val="20"/>
                <w:szCs w:val="20"/>
              </w:rPr>
              <w:t xml:space="preserve">Z administratorem danych można się skontaktować poprzez adres email: </w:t>
            </w:r>
            <w:r w:rsidRPr="002F366C">
              <w:rPr>
                <w:rStyle w:val="Hipercze"/>
                <w:rFonts w:ascii="Times New Roman" w:hAnsi="Times New Roman" w:cs="Calibri"/>
                <w:sz w:val="20"/>
                <w:szCs w:val="20"/>
              </w:rPr>
              <w:t>psse.chorzow@</w:t>
            </w:r>
            <w:r w:rsidR="00F37583">
              <w:rPr>
                <w:rStyle w:val="Hipercze"/>
                <w:rFonts w:ascii="Times New Roman" w:hAnsi="Times New Roman" w:cs="Calibri"/>
                <w:sz w:val="20"/>
                <w:szCs w:val="20"/>
              </w:rPr>
              <w:t>sanepid.gov.pl</w:t>
            </w:r>
            <w:r w:rsidRPr="002F366C">
              <w:rPr>
                <w:rFonts w:ascii="Times New Roman" w:hAnsi="Times New Roman" w:cs="Calibri"/>
                <w:sz w:val="20"/>
                <w:szCs w:val="20"/>
              </w:rPr>
              <w:t>, za pośrednictwem </w:t>
            </w:r>
            <w:proofErr w:type="spellStart"/>
            <w:r w:rsidRPr="002F366C">
              <w:rPr>
                <w:rFonts w:ascii="Times New Roman" w:hAnsi="Times New Roman" w:cs="Calibri"/>
                <w:sz w:val="20"/>
                <w:szCs w:val="20"/>
              </w:rPr>
              <w:t>ePUAP</w:t>
            </w:r>
            <w:proofErr w:type="spellEnd"/>
            <w:r w:rsidRPr="002F366C">
              <w:rPr>
                <w:rFonts w:ascii="Times New Roman" w:hAnsi="Times New Roman" w:cs="Calibri"/>
                <w:sz w:val="20"/>
                <w:szCs w:val="20"/>
              </w:rPr>
              <w:t xml:space="preserve"> lub pisemnie na adres:  41-500 Chorzów ul. Kazimierza Wielkiego 6;</w:t>
            </w:r>
          </w:p>
        </w:tc>
      </w:tr>
      <w:tr w:rsidR="00065794" w14:paraId="50C9C387" w14:textId="77777777" w:rsidTr="000E5886">
        <w:tc>
          <w:tcPr>
            <w:tcW w:w="1862" w:type="dxa"/>
            <w:tcBorders>
              <w:left w:val="single" w:sz="2" w:space="0" w:color="000000"/>
              <w:bottom w:val="single" w:sz="2" w:space="0" w:color="000000"/>
            </w:tcBorders>
            <w:shd w:val="clear" w:color="auto" w:fill="DDDDDD"/>
            <w:tcMar>
              <w:top w:w="55" w:type="dxa"/>
              <w:left w:w="55" w:type="dxa"/>
              <w:bottom w:w="55" w:type="dxa"/>
              <w:right w:w="55" w:type="dxa"/>
            </w:tcMar>
          </w:tcPr>
          <w:p w14:paraId="5A2218CE" w14:textId="77777777" w:rsidR="00065794" w:rsidRPr="00F5017C" w:rsidRDefault="00065794" w:rsidP="007F5049">
            <w:pPr>
              <w:rPr>
                <w:rFonts w:ascii="Times New Roman" w:hAnsi="Times New Roman" w:cs="Calibri"/>
                <w:b/>
                <w:sz w:val="16"/>
                <w:szCs w:val="16"/>
              </w:rPr>
            </w:pPr>
            <w:r w:rsidRPr="00F5017C">
              <w:rPr>
                <w:rFonts w:ascii="Times New Roman" w:hAnsi="Times New Roman" w:cs="Calibri"/>
                <w:b/>
                <w:sz w:val="16"/>
                <w:szCs w:val="16"/>
              </w:rPr>
              <w:t>DANE KONTAKTOWE INSPEKTORA OCHRONY DANYCH</w:t>
            </w:r>
          </w:p>
        </w:tc>
        <w:tc>
          <w:tcPr>
            <w:tcW w:w="8505" w:type="dxa"/>
            <w:tcBorders>
              <w:left w:val="single" w:sz="2" w:space="0" w:color="000000"/>
              <w:bottom w:val="single" w:sz="2" w:space="0" w:color="000000"/>
              <w:right w:val="single" w:sz="2" w:space="0" w:color="000000"/>
            </w:tcBorders>
            <w:tcMar>
              <w:top w:w="55" w:type="dxa"/>
              <w:left w:w="55" w:type="dxa"/>
              <w:bottom w:w="55" w:type="dxa"/>
              <w:right w:w="55" w:type="dxa"/>
            </w:tcMar>
          </w:tcPr>
          <w:p w14:paraId="691E770B" w14:textId="6BAC70C0" w:rsidR="00065794" w:rsidRPr="002F366C" w:rsidRDefault="00065794" w:rsidP="00F37583">
            <w:pPr>
              <w:pStyle w:val="TableContents"/>
              <w:jc w:val="both"/>
              <w:rPr>
                <w:rFonts w:hint="eastAsia"/>
                <w:sz w:val="20"/>
                <w:szCs w:val="20"/>
              </w:rPr>
            </w:pPr>
            <w:r w:rsidRPr="002F366C">
              <w:rPr>
                <w:rFonts w:ascii="Times New Roman" w:hAnsi="Times New Roman"/>
                <w:sz w:val="20"/>
                <w:szCs w:val="20"/>
              </w:rPr>
              <w:t xml:space="preserve">Powiatowa Stacja Sanitarno-Epidemiologiczna w Chorzowie wyznaczyła inspektora ochrony danych, </w:t>
            </w:r>
            <w:r w:rsidR="00F37583">
              <w:rPr>
                <w:rFonts w:ascii="Times New Roman" w:hAnsi="Times New Roman"/>
                <w:sz w:val="20"/>
                <w:szCs w:val="20"/>
              </w:rPr>
              <w:t xml:space="preserve">          </w:t>
            </w:r>
            <w:r w:rsidRPr="002F366C">
              <w:rPr>
                <w:rFonts w:ascii="Times New Roman" w:hAnsi="Times New Roman"/>
                <w:sz w:val="20"/>
                <w:szCs w:val="20"/>
              </w:rPr>
              <w:t>z którym może się Pani / Pan skontaktować poprzez email iod@mail.com lub pisemnie na adres siedziby Administratora. Z inspektorem ochrony danych można się kontaktować we wszystkich sprawach dotyczących przetwarzania danych osobowych oraz korzystania z praw związanych z przetwarzaniem danych;</w:t>
            </w:r>
          </w:p>
        </w:tc>
      </w:tr>
      <w:tr w:rsidR="00065794" w14:paraId="2645A67B" w14:textId="77777777" w:rsidTr="000E5886">
        <w:trPr>
          <w:trHeight w:val="792"/>
        </w:trPr>
        <w:tc>
          <w:tcPr>
            <w:tcW w:w="1862" w:type="dxa"/>
            <w:tcBorders>
              <w:left w:val="single" w:sz="2" w:space="0" w:color="000000"/>
              <w:bottom w:val="single" w:sz="2" w:space="0" w:color="000000"/>
            </w:tcBorders>
            <w:shd w:val="clear" w:color="auto" w:fill="DDDDDD"/>
            <w:tcMar>
              <w:top w:w="55" w:type="dxa"/>
              <w:left w:w="55" w:type="dxa"/>
              <w:bottom w:w="55" w:type="dxa"/>
              <w:right w:w="55" w:type="dxa"/>
            </w:tcMar>
          </w:tcPr>
          <w:p w14:paraId="675EE669" w14:textId="77777777" w:rsidR="00065794" w:rsidRPr="00F5017C" w:rsidRDefault="00065794" w:rsidP="007F5049">
            <w:pPr>
              <w:rPr>
                <w:rFonts w:ascii="Times New Roman" w:hAnsi="Times New Roman" w:cs="Calibri"/>
                <w:b/>
                <w:sz w:val="16"/>
                <w:szCs w:val="16"/>
              </w:rPr>
            </w:pPr>
            <w:r w:rsidRPr="00F5017C">
              <w:rPr>
                <w:rFonts w:ascii="Times New Roman" w:hAnsi="Times New Roman" w:cs="Calibri"/>
                <w:b/>
                <w:sz w:val="16"/>
                <w:szCs w:val="16"/>
              </w:rPr>
              <w:t xml:space="preserve">CELE PRZETWARZANIA </w:t>
            </w:r>
            <w:r w:rsidR="00174747">
              <w:rPr>
                <w:rFonts w:ascii="Times New Roman" w:hAnsi="Times New Roman" w:cs="Calibri"/>
                <w:b/>
                <w:sz w:val="16"/>
                <w:szCs w:val="16"/>
              </w:rPr>
              <w:br/>
            </w:r>
            <w:r w:rsidRPr="00F5017C">
              <w:rPr>
                <w:rFonts w:ascii="Times New Roman" w:hAnsi="Times New Roman" w:cs="Calibri"/>
                <w:b/>
                <w:sz w:val="16"/>
                <w:szCs w:val="16"/>
              </w:rPr>
              <w:t>I PODSTAWA PRAWNA</w:t>
            </w:r>
          </w:p>
        </w:tc>
        <w:tc>
          <w:tcPr>
            <w:tcW w:w="8505" w:type="dxa"/>
            <w:tcBorders>
              <w:left w:val="single" w:sz="2" w:space="0" w:color="000000"/>
              <w:bottom w:val="single" w:sz="2" w:space="0" w:color="000000"/>
              <w:right w:val="single" w:sz="2" w:space="0" w:color="000000"/>
            </w:tcBorders>
            <w:tcMar>
              <w:top w:w="55" w:type="dxa"/>
              <w:left w:w="55" w:type="dxa"/>
              <w:bottom w:w="55" w:type="dxa"/>
              <w:right w:w="55" w:type="dxa"/>
            </w:tcMar>
          </w:tcPr>
          <w:p w14:paraId="3EBA3837" w14:textId="2F11BA4F" w:rsidR="00065794" w:rsidRPr="002F366C" w:rsidRDefault="00065794" w:rsidP="00F37583">
            <w:pPr>
              <w:pStyle w:val="TableContents"/>
              <w:jc w:val="both"/>
              <w:rPr>
                <w:rFonts w:ascii="Times New Roman" w:hAnsi="Times New Roman"/>
                <w:sz w:val="20"/>
                <w:szCs w:val="20"/>
              </w:rPr>
            </w:pPr>
            <w:r w:rsidRPr="002F366C">
              <w:rPr>
                <w:rFonts w:ascii="Times New Roman" w:hAnsi="Times New Roman"/>
                <w:sz w:val="20"/>
                <w:szCs w:val="20"/>
              </w:rPr>
              <w:t xml:space="preserve">PSSE przetwarza dane na mocy przepisów prawa stojących na straży ochrony zdrowia publicznego. Pani / Pana dane będą przetwarzane zgodnie z przepisami prawa. Podstawą prawną przetwarzania danych jest niezbędność do wypełnienia obowiązków prawnych ciążących na administratorze. Przetwarzamy Pani/Pana dane osobowe, aby dopełnić obowiązków, które wynikają z przepisów prawa związanych </w:t>
            </w:r>
            <w:r w:rsidR="00F37583">
              <w:rPr>
                <w:rFonts w:ascii="Times New Roman" w:hAnsi="Times New Roman"/>
                <w:sz w:val="20"/>
                <w:szCs w:val="20"/>
              </w:rPr>
              <w:t xml:space="preserve">           </w:t>
            </w:r>
            <w:r w:rsidRPr="002F366C">
              <w:rPr>
                <w:rFonts w:ascii="Times New Roman" w:hAnsi="Times New Roman"/>
                <w:sz w:val="20"/>
                <w:szCs w:val="20"/>
              </w:rPr>
              <w:t>z zakresem naszej działalności lub w związku z wiążącą nas umową - zatem podstawą przetwarzania przez nas Pani/Pana danych jest art. 6  ust.1  lit. a ,  b,  c, e  rozporządzenia RODO.</w:t>
            </w:r>
          </w:p>
          <w:p w14:paraId="090B694E" w14:textId="77777777" w:rsidR="00065794" w:rsidRPr="002F366C" w:rsidRDefault="00065794" w:rsidP="00F37583">
            <w:pPr>
              <w:pStyle w:val="TableContents"/>
              <w:jc w:val="both"/>
              <w:rPr>
                <w:rFonts w:ascii="Times New Roman" w:hAnsi="Times New Roman"/>
                <w:sz w:val="20"/>
                <w:szCs w:val="20"/>
              </w:rPr>
            </w:pPr>
            <w:r w:rsidRPr="002F366C">
              <w:rPr>
                <w:rFonts w:ascii="Times New Roman" w:hAnsi="Times New Roman"/>
                <w:sz w:val="20"/>
                <w:szCs w:val="20"/>
              </w:rPr>
              <w:t>Podstawowe cele przetwarzania Pani/Pana danych osobowych to:</w:t>
            </w:r>
          </w:p>
          <w:p w14:paraId="15D38837" w14:textId="77777777" w:rsidR="00065794" w:rsidRPr="002F366C" w:rsidRDefault="00065794" w:rsidP="00F37583">
            <w:pPr>
              <w:pStyle w:val="TableContents"/>
              <w:numPr>
                <w:ilvl w:val="0"/>
                <w:numId w:val="1"/>
              </w:numPr>
              <w:jc w:val="both"/>
              <w:rPr>
                <w:rFonts w:ascii="Times New Roman" w:hAnsi="Times New Roman"/>
                <w:sz w:val="20"/>
                <w:szCs w:val="20"/>
              </w:rPr>
            </w:pPr>
            <w:r w:rsidRPr="002F366C">
              <w:rPr>
                <w:rFonts w:ascii="Times New Roman" w:hAnsi="Times New Roman"/>
                <w:sz w:val="20"/>
                <w:szCs w:val="20"/>
              </w:rPr>
              <w:t>realizacja zadań przypisanych organom Państwowej Inspekcji Sanitarnej na mocy ustawy z dnia 14 marca 1985 r. o Państwowej Inspekcji Sanitarnej i innych ustaw szczególnych oraz aktów wykonawczych do nich (art. 6 ust. 1 lit. e) RODO) oraz wykonywania statutowych badań i pomiarów - art. 6 ust. 1 lit. e) RODO.</w:t>
            </w:r>
          </w:p>
          <w:p w14:paraId="6F1D6644" w14:textId="77777777" w:rsidR="00065794" w:rsidRPr="002F366C" w:rsidRDefault="00065794" w:rsidP="00F37583">
            <w:pPr>
              <w:pStyle w:val="TableContents"/>
              <w:numPr>
                <w:ilvl w:val="0"/>
                <w:numId w:val="1"/>
              </w:numPr>
              <w:jc w:val="both"/>
              <w:rPr>
                <w:rFonts w:ascii="Times New Roman" w:hAnsi="Times New Roman"/>
                <w:sz w:val="20"/>
                <w:szCs w:val="20"/>
              </w:rPr>
            </w:pPr>
            <w:r w:rsidRPr="002F366C">
              <w:rPr>
                <w:rFonts w:ascii="Times New Roman" w:hAnsi="Times New Roman"/>
                <w:sz w:val="20"/>
                <w:szCs w:val="20"/>
              </w:rPr>
              <w:t>zawieranie i realizacja umów i porozumień o charakterze cywilnoprawnym, których PSSE jest stroną i dochodzenia ewentualnych roszczeń z tym związanych - art. 6 ust. 1 lit. b) RODO,</w:t>
            </w:r>
          </w:p>
          <w:p w14:paraId="55E9390F" w14:textId="77777777" w:rsidR="00065794" w:rsidRPr="002F366C" w:rsidRDefault="00065794" w:rsidP="00F37583">
            <w:pPr>
              <w:pStyle w:val="TableContents"/>
              <w:numPr>
                <w:ilvl w:val="0"/>
                <w:numId w:val="1"/>
              </w:numPr>
              <w:jc w:val="both"/>
              <w:rPr>
                <w:rFonts w:ascii="Times New Roman" w:hAnsi="Times New Roman"/>
                <w:sz w:val="20"/>
                <w:szCs w:val="20"/>
              </w:rPr>
            </w:pPr>
            <w:r w:rsidRPr="002F366C">
              <w:rPr>
                <w:rFonts w:ascii="Times New Roman" w:hAnsi="Times New Roman"/>
                <w:sz w:val="20"/>
                <w:szCs w:val="20"/>
              </w:rPr>
              <w:t>ustalanie i dochodzenie należności będących niepodatkowymi należnościami budżetowymi, ustalanymi na podstawie art. 36 ustawy o Państwowej Inspekcji Sanitarnej i art. 75 ustawy z dnia 25 sierpnia 2006 r. o bezpieczeństwie żywności i żywienia, zgodnie z ustawą z dnia z dnia 29 sierpnia 1997 r. Ordynacja podatkowa, ustawą z dnia 27 sierpnia 2009 r. o finansach publicznych, ustawą z dnia 17 czerwca 1966 r. o postępowaniu egzekucyjnym w administracji,</w:t>
            </w:r>
          </w:p>
          <w:p w14:paraId="6F3EE61D" w14:textId="77777777" w:rsidR="00065794" w:rsidRPr="002F366C" w:rsidRDefault="00065794" w:rsidP="00F37583">
            <w:pPr>
              <w:pStyle w:val="TableContents"/>
              <w:numPr>
                <w:ilvl w:val="0"/>
                <w:numId w:val="1"/>
              </w:numPr>
              <w:jc w:val="both"/>
              <w:rPr>
                <w:rFonts w:ascii="Times New Roman" w:hAnsi="Times New Roman"/>
                <w:sz w:val="20"/>
                <w:szCs w:val="20"/>
              </w:rPr>
            </w:pPr>
            <w:r w:rsidRPr="002F366C">
              <w:rPr>
                <w:rFonts w:ascii="Times New Roman" w:hAnsi="Times New Roman"/>
                <w:sz w:val="20"/>
                <w:szCs w:val="20"/>
              </w:rPr>
              <w:t>prowadzenia postępowań w sprawach o ukaranie (w tym nakładania grzywien w drodze mandatu) na podstawie przepisów Kodeksu postępowania w sprawach o wykroczenia oraz prowadzenia dochodzeń na podstawie przepisów Kodeksu postępowania karnego w sprawach, gdzie takie kompetencje przyznano organom Państwowej Inspekcji Sanitarnej - art. 6 ust. 1 lit. e) RODO,</w:t>
            </w:r>
          </w:p>
          <w:p w14:paraId="5B0ED56D" w14:textId="77777777" w:rsidR="00065794" w:rsidRPr="002F366C" w:rsidRDefault="00065794" w:rsidP="00F37583">
            <w:pPr>
              <w:pStyle w:val="TableContents"/>
              <w:numPr>
                <w:ilvl w:val="0"/>
                <w:numId w:val="1"/>
              </w:numPr>
              <w:jc w:val="both"/>
              <w:rPr>
                <w:rFonts w:ascii="Times New Roman" w:hAnsi="Times New Roman"/>
                <w:sz w:val="20"/>
                <w:szCs w:val="20"/>
              </w:rPr>
            </w:pPr>
            <w:r w:rsidRPr="002F366C">
              <w:rPr>
                <w:rFonts w:ascii="Times New Roman" w:hAnsi="Times New Roman"/>
                <w:sz w:val="20"/>
                <w:szCs w:val="20"/>
              </w:rPr>
              <w:t>kontaktowanie się z klientami/interesantami w sprawach wnoszonych/zlecanych PSSE</w:t>
            </w:r>
          </w:p>
          <w:p w14:paraId="631EB034" w14:textId="77777777" w:rsidR="00065794" w:rsidRPr="002F366C" w:rsidRDefault="00065794" w:rsidP="00F37583">
            <w:pPr>
              <w:pStyle w:val="TableContents"/>
              <w:numPr>
                <w:ilvl w:val="0"/>
                <w:numId w:val="1"/>
              </w:numPr>
              <w:jc w:val="both"/>
              <w:rPr>
                <w:rFonts w:ascii="Times New Roman" w:hAnsi="Times New Roman"/>
                <w:sz w:val="20"/>
                <w:szCs w:val="20"/>
              </w:rPr>
            </w:pPr>
            <w:r w:rsidRPr="002F366C">
              <w:rPr>
                <w:rFonts w:ascii="Times New Roman" w:hAnsi="Times New Roman"/>
                <w:sz w:val="20"/>
                <w:szCs w:val="20"/>
              </w:rPr>
              <w:t>prowadzenie postępowań w zakresie rekrutacji pracowników oraz realizacji obowiązków ciążących na Administratorze jako pracodawcy i uprawnień pracowników - art. 221 Kodeksu pracy i art. 6 ust. 1 lit. a) RODO.</w:t>
            </w:r>
          </w:p>
          <w:p w14:paraId="2B5AB387" w14:textId="77777777" w:rsidR="00065794" w:rsidRPr="002F366C" w:rsidRDefault="00065794" w:rsidP="007F5049">
            <w:pPr>
              <w:pStyle w:val="TableContents"/>
              <w:rPr>
                <w:rFonts w:ascii="Times New Roman" w:hAnsi="Times New Roman"/>
                <w:b/>
                <w:bCs/>
                <w:sz w:val="20"/>
                <w:szCs w:val="20"/>
              </w:rPr>
            </w:pPr>
            <w:r w:rsidRPr="002F366C">
              <w:rPr>
                <w:rFonts w:ascii="Times New Roman" w:hAnsi="Times New Roman"/>
                <w:b/>
                <w:bCs/>
                <w:sz w:val="20"/>
                <w:szCs w:val="20"/>
              </w:rPr>
              <w:t>PODSTAWA PRAWNA PRZETWARZANIA DANYCH WYNIKA W SZCZEGÓLNOŚCI Z:</w:t>
            </w:r>
          </w:p>
          <w:p w14:paraId="51A60674" w14:textId="77777777" w:rsidR="00065794" w:rsidRPr="002F366C" w:rsidRDefault="00065794" w:rsidP="00F37583">
            <w:pPr>
              <w:pStyle w:val="TableContents"/>
              <w:numPr>
                <w:ilvl w:val="0"/>
                <w:numId w:val="2"/>
              </w:numPr>
              <w:jc w:val="both"/>
              <w:rPr>
                <w:rFonts w:ascii="Times New Roman" w:hAnsi="Times New Roman"/>
                <w:sz w:val="20"/>
                <w:szCs w:val="20"/>
              </w:rPr>
            </w:pPr>
            <w:r w:rsidRPr="002F366C">
              <w:rPr>
                <w:rFonts w:ascii="Times New Roman" w:hAnsi="Times New Roman"/>
                <w:sz w:val="20"/>
                <w:szCs w:val="20"/>
              </w:rPr>
              <w:t>Ustawy z dnia 14 marca 1985 r. o Państwowej Inspekcji Sanitarnej;</w:t>
            </w:r>
          </w:p>
          <w:p w14:paraId="695263C2" w14:textId="33826557" w:rsidR="00065794" w:rsidRPr="002F366C" w:rsidRDefault="00065794" w:rsidP="00F37583">
            <w:pPr>
              <w:pStyle w:val="TableContents"/>
              <w:numPr>
                <w:ilvl w:val="0"/>
                <w:numId w:val="2"/>
              </w:numPr>
              <w:jc w:val="both"/>
              <w:rPr>
                <w:rFonts w:ascii="Times New Roman" w:hAnsi="Times New Roman"/>
                <w:sz w:val="20"/>
                <w:szCs w:val="20"/>
              </w:rPr>
            </w:pPr>
            <w:r w:rsidRPr="002F366C">
              <w:rPr>
                <w:rFonts w:ascii="Times New Roman" w:hAnsi="Times New Roman"/>
                <w:sz w:val="20"/>
                <w:szCs w:val="20"/>
              </w:rPr>
              <w:t xml:space="preserve">Ustawy z dnia 5 grudnia 2008 r. o zapobieganiu oraz zwalczaniu zakażeń i chorób zakaźnych </w:t>
            </w:r>
            <w:r w:rsidR="00F37583">
              <w:rPr>
                <w:rFonts w:ascii="Times New Roman" w:hAnsi="Times New Roman"/>
                <w:sz w:val="20"/>
                <w:szCs w:val="20"/>
              </w:rPr>
              <w:t xml:space="preserve">              </w:t>
            </w:r>
            <w:r w:rsidRPr="002F366C">
              <w:rPr>
                <w:rFonts w:ascii="Times New Roman" w:hAnsi="Times New Roman"/>
                <w:sz w:val="20"/>
                <w:szCs w:val="20"/>
              </w:rPr>
              <w:t>u ludzi;</w:t>
            </w:r>
          </w:p>
          <w:p w14:paraId="18C9FE98" w14:textId="77777777" w:rsidR="00065794" w:rsidRPr="002F366C" w:rsidRDefault="00065794" w:rsidP="00F37583">
            <w:pPr>
              <w:pStyle w:val="TableContents"/>
              <w:numPr>
                <w:ilvl w:val="0"/>
                <w:numId w:val="2"/>
              </w:numPr>
              <w:jc w:val="both"/>
              <w:rPr>
                <w:rFonts w:ascii="Times New Roman" w:hAnsi="Times New Roman"/>
                <w:sz w:val="20"/>
                <w:szCs w:val="20"/>
              </w:rPr>
            </w:pPr>
            <w:r w:rsidRPr="002F366C">
              <w:rPr>
                <w:rFonts w:ascii="Times New Roman" w:hAnsi="Times New Roman"/>
                <w:sz w:val="20"/>
                <w:szCs w:val="20"/>
              </w:rPr>
              <w:t>Ustawy z dnia 26 czerwca 1974 r. Kodeks Pracy;</w:t>
            </w:r>
          </w:p>
          <w:p w14:paraId="1838BD07" w14:textId="77777777" w:rsidR="00065794" w:rsidRPr="002F366C" w:rsidRDefault="00065794" w:rsidP="00F37583">
            <w:pPr>
              <w:pStyle w:val="TableContents"/>
              <w:numPr>
                <w:ilvl w:val="0"/>
                <w:numId w:val="2"/>
              </w:numPr>
              <w:jc w:val="both"/>
              <w:rPr>
                <w:rFonts w:ascii="Times New Roman" w:hAnsi="Times New Roman"/>
                <w:sz w:val="20"/>
                <w:szCs w:val="20"/>
              </w:rPr>
            </w:pPr>
            <w:r w:rsidRPr="002F366C">
              <w:rPr>
                <w:rFonts w:ascii="Times New Roman" w:hAnsi="Times New Roman"/>
                <w:sz w:val="20"/>
                <w:szCs w:val="20"/>
              </w:rPr>
              <w:t>Ustawy z dnia 25 lutego 2011 r. o substancjach chemicznych i ich mieszaninach;</w:t>
            </w:r>
          </w:p>
          <w:p w14:paraId="53B864AC" w14:textId="77777777" w:rsidR="00065794" w:rsidRPr="002F366C" w:rsidRDefault="00065794" w:rsidP="00F37583">
            <w:pPr>
              <w:pStyle w:val="TableContents"/>
              <w:numPr>
                <w:ilvl w:val="0"/>
                <w:numId w:val="2"/>
              </w:numPr>
              <w:jc w:val="both"/>
              <w:rPr>
                <w:rFonts w:ascii="Times New Roman" w:hAnsi="Times New Roman"/>
                <w:sz w:val="20"/>
                <w:szCs w:val="20"/>
              </w:rPr>
            </w:pPr>
            <w:r w:rsidRPr="002F366C">
              <w:rPr>
                <w:rFonts w:ascii="Times New Roman" w:hAnsi="Times New Roman"/>
                <w:sz w:val="20"/>
                <w:szCs w:val="20"/>
              </w:rPr>
              <w:t>Ustawy z dnia 9 października 2015 r. o produktach biobójczych;</w:t>
            </w:r>
          </w:p>
          <w:p w14:paraId="63FAFDFD" w14:textId="77777777" w:rsidR="00065794" w:rsidRPr="002F366C" w:rsidRDefault="00065794" w:rsidP="00F37583">
            <w:pPr>
              <w:pStyle w:val="TableContents"/>
              <w:numPr>
                <w:ilvl w:val="0"/>
                <w:numId w:val="2"/>
              </w:numPr>
              <w:jc w:val="both"/>
              <w:rPr>
                <w:rFonts w:ascii="Times New Roman" w:hAnsi="Times New Roman"/>
                <w:sz w:val="20"/>
                <w:szCs w:val="20"/>
              </w:rPr>
            </w:pPr>
            <w:r w:rsidRPr="002F366C">
              <w:rPr>
                <w:rFonts w:ascii="Times New Roman" w:hAnsi="Times New Roman"/>
                <w:sz w:val="20"/>
                <w:szCs w:val="20"/>
              </w:rPr>
              <w:t>Ustawy z dnia 29 lipca 2005 r. o przeciwdziałaniu narkomanii;</w:t>
            </w:r>
          </w:p>
          <w:p w14:paraId="2EEEB524" w14:textId="77777777" w:rsidR="00065794" w:rsidRPr="002F366C" w:rsidRDefault="00065794" w:rsidP="00F37583">
            <w:pPr>
              <w:pStyle w:val="TableContents"/>
              <w:numPr>
                <w:ilvl w:val="0"/>
                <w:numId w:val="2"/>
              </w:numPr>
              <w:jc w:val="both"/>
              <w:rPr>
                <w:rFonts w:ascii="Times New Roman" w:hAnsi="Times New Roman"/>
                <w:sz w:val="20"/>
                <w:szCs w:val="20"/>
              </w:rPr>
            </w:pPr>
            <w:r w:rsidRPr="002F366C">
              <w:rPr>
                <w:rFonts w:ascii="Times New Roman" w:hAnsi="Times New Roman"/>
                <w:sz w:val="20"/>
                <w:szCs w:val="20"/>
              </w:rPr>
              <w:t>Ustawy z dnia 22 czerwca 2001 r. o mikroorganizmach i organizmach genetycznie zmodyfikowanych;</w:t>
            </w:r>
          </w:p>
          <w:p w14:paraId="16A804F1" w14:textId="77777777" w:rsidR="00065794" w:rsidRPr="002F366C" w:rsidRDefault="00065794" w:rsidP="00F37583">
            <w:pPr>
              <w:pStyle w:val="TableContents"/>
              <w:numPr>
                <w:ilvl w:val="0"/>
                <w:numId w:val="2"/>
              </w:numPr>
              <w:jc w:val="both"/>
              <w:rPr>
                <w:rFonts w:ascii="Times New Roman" w:hAnsi="Times New Roman"/>
                <w:sz w:val="20"/>
                <w:szCs w:val="20"/>
              </w:rPr>
            </w:pPr>
            <w:r w:rsidRPr="002F366C">
              <w:rPr>
                <w:rFonts w:ascii="Times New Roman" w:hAnsi="Times New Roman"/>
                <w:sz w:val="20"/>
                <w:szCs w:val="20"/>
              </w:rPr>
              <w:t>Ustawy z dnia 7 lipca 1994 r. Prawo budowlane;</w:t>
            </w:r>
          </w:p>
          <w:p w14:paraId="46D24361" w14:textId="77777777" w:rsidR="00065794" w:rsidRPr="002F366C" w:rsidRDefault="00065794" w:rsidP="00F37583">
            <w:pPr>
              <w:pStyle w:val="TableContents"/>
              <w:numPr>
                <w:ilvl w:val="0"/>
                <w:numId w:val="2"/>
              </w:numPr>
              <w:jc w:val="both"/>
              <w:rPr>
                <w:rFonts w:ascii="Times New Roman" w:hAnsi="Times New Roman"/>
                <w:sz w:val="20"/>
                <w:szCs w:val="20"/>
              </w:rPr>
            </w:pPr>
            <w:r w:rsidRPr="002F366C">
              <w:rPr>
                <w:rFonts w:ascii="Times New Roman" w:hAnsi="Times New Roman"/>
                <w:sz w:val="20"/>
                <w:szCs w:val="20"/>
              </w:rPr>
              <w:t>Ustawy z dnia 25 sierpnia 2006 r. o bezpieczeństwie żywności i żywienia;</w:t>
            </w:r>
          </w:p>
          <w:p w14:paraId="0B6FB210" w14:textId="77777777" w:rsidR="00065794" w:rsidRPr="002F366C" w:rsidRDefault="00065794" w:rsidP="00F37583">
            <w:pPr>
              <w:pStyle w:val="TableContents"/>
              <w:numPr>
                <w:ilvl w:val="0"/>
                <w:numId w:val="2"/>
              </w:numPr>
              <w:jc w:val="both"/>
              <w:rPr>
                <w:rFonts w:ascii="Times New Roman" w:hAnsi="Times New Roman"/>
                <w:sz w:val="20"/>
                <w:szCs w:val="20"/>
              </w:rPr>
            </w:pPr>
            <w:r w:rsidRPr="002F366C">
              <w:rPr>
                <w:rFonts w:ascii="Times New Roman" w:hAnsi="Times New Roman"/>
                <w:sz w:val="20"/>
                <w:szCs w:val="20"/>
              </w:rPr>
              <w:t>Ustawy z dnia 17 czerwca 1966 r. o postępowaniu egzekucyjnym w administracji;</w:t>
            </w:r>
          </w:p>
          <w:p w14:paraId="570ED0C6" w14:textId="77777777" w:rsidR="00065794" w:rsidRPr="002F366C" w:rsidRDefault="00065794" w:rsidP="00F37583">
            <w:pPr>
              <w:pStyle w:val="TableContents"/>
              <w:numPr>
                <w:ilvl w:val="0"/>
                <w:numId w:val="2"/>
              </w:numPr>
              <w:jc w:val="both"/>
              <w:rPr>
                <w:rFonts w:ascii="Times New Roman" w:hAnsi="Times New Roman"/>
                <w:sz w:val="20"/>
                <w:szCs w:val="20"/>
              </w:rPr>
            </w:pPr>
            <w:r w:rsidRPr="002F366C">
              <w:rPr>
                <w:rFonts w:ascii="Times New Roman" w:hAnsi="Times New Roman"/>
                <w:sz w:val="20"/>
                <w:szCs w:val="20"/>
              </w:rPr>
              <w:t>Ustawy z dnia 14 czerwca 1960 r. Kodeks postępowania administracyjnego;</w:t>
            </w:r>
          </w:p>
          <w:p w14:paraId="6E6C2846" w14:textId="77777777" w:rsidR="00065794" w:rsidRPr="002F366C" w:rsidRDefault="00065794" w:rsidP="00F37583">
            <w:pPr>
              <w:pStyle w:val="TableContents"/>
              <w:numPr>
                <w:ilvl w:val="0"/>
                <w:numId w:val="2"/>
              </w:numPr>
              <w:jc w:val="both"/>
              <w:rPr>
                <w:rFonts w:ascii="Times New Roman" w:hAnsi="Times New Roman"/>
                <w:sz w:val="20"/>
                <w:szCs w:val="20"/>
              </w:rPr>
            </w:pPr>
            <w:r w:rsidRPr="002F366C">
              <w:rPr>
                <w:rFonts w:ascii="Times New Roman" w:hAnsi="Times New Roman"/>
                <w:sz w:val="20"/>
                <w:szCs w:val="20"/>
              </w:rPr>
              <w:t>Ustawy z dnia 24 sierpnia 2001 r. Kodeks postępowania w sprawach o wykroczenia;</w:t>
            </w:r>
          </w:p>
          <w:p w14:paraId="4651F84B" w14:textId="77777777" w:rsidR="00065794" w:rsidRPr="002F366C" w:rsidRDefault="00065794" w:rsidP="00F37583">
            <w:pPr>
              <w:pStyle w:val="TableContents"/>
              <w:numPr>
                <w:ilvl w:val="0"/>
                <w:numId w:val="2"/>
              </w:numPr>
              <w:jc w:val="both"/>
              <w:rPr>
                <w:rFonts w:ascii="Times New Roman" w:hAnsi="Times New Roman"/>
                <w:sz w:val="20"/>
                <w:szCs w:val="20"/>
              </w:rPr>
            </w:pPr>
            <w:r w:rsidRPr="002F366C">
              <w:rPr>
                <w:rFonts w:ascii="Times New Roman" w:hAnsi="Times New Roman"/>
                <w:sz w:val="20"/>
                <w:szCs w:val="20"/>
              </w:rPr>
              <w:t>Ustawy z dnia 5 sierpnia 2010 r. o ochronie informacji niejawnych;</w:t>
            </w:r>
          </w:p>
          <w:p w14:paraId="51AF409E" w14:textId="77777777" w:rsidR="00065794" w:rsidRPr="002F366C" w:rsidRDefault="00065794" w:rsidP="00F37583">
            <w:pPr>
              <w:pStyle w:val="TableContents"/>
              <w:numPr>
                <w:ilvl w:val="0"/>
                <w:numId w:val="2"/>
              </w:numPr>
              <w:jc w:val="both"/>
              <w:rPr>
                <w:rFonts w:ascii="Times New Roman" w:hAnsi="Times New Roman"/>
                <w:sz w:val="20"/>
                <w:szCs w:val="20"/>
              </w:rPr>
            </w:pPr>
            <w:r w:rsidRPr="002F366C">
              <w:rPr>
                <w:rFonts w:ascii="Times New Roman" w:hAnsi="Times New Roman"/>
                <w:sz w:val="20"/>
                <w:szCs w:val="20"/>
              </w:rPr>
              <w:t>Ustawy z dnia 27 sierpnia 2009 r. o finansach publicznych;</w:t>
            </w:r>
          </w:p>
          <w:p w14:paraId="4B4ED267" w14:textId="77777777" w:rsidR="00065794" w:rsidRPr="002F366C" w:rsidRDefault="00065794" w:rsidP="00F37583">
            <w:pPr>
              <w:pStyle w:val="TableContents"/>
              <w:numPr>
                <w:ilvl w:val="0"/>
                <w:numId w:val="2"/>
              </w:numPr>
              <w:jc w:val="both"/>
              <w:rPr>
                <w:rFonts w:ascii="Times New Roman" w:hAnsi="Times New Roman"/>
                <w:sz w:val="20"/>
                <w:szCs w:val="20"/>
              </w:rPr>
            </w:pPr>
            <w:r w:rsidRPr="002F366C">
              <w:rPr>
                <w:rFonts w:ascii="Times New Roman" w:hAnsi="Times New Roman"/>
                <w:sz w:val="20"/>
                <w:szCs w:val="20"/>
              </w:rPr>
              <w:t>Ustawy z dnia 6 września 2001 r. o dostępie do informacji publicznej;</w:t>
            </w:r>
          </w:p>
          <w:p w14:paraId="29EA8D90" w14:textId="77777777" w:rsidR="00065794" w:rsidRPr="002F366C" w:rsidRDefault="00065794" w:rsidP="00F37583">
            <w:pPr>
              <w:pStyle w:val="TableContents"/>
              <w:numPr>
                <w:ilvl w:val="0"/>
                <w:numId w:val="2"/>
              </w:numPr>
              <w:jc w:val="both"/>
              <w:rPr>
                <w:rFonts w:ascii="Times New Roman" w:hAnsi="Times New Roman"/>
                <w:sz w:val="20"/>
                <w:szCs w:val="20"/>
              </w:rPr>
            </w:pPr>
            <w:r w:rsidRPr="002F366C">
              <w:rPr>
                <w:rFonts w:ascii="Times New Roman" w:hAnsi="Times New Roman"/>
                <w:sz w:val="20"/>
                <w:szCs w:val="20"/>
              </w:rPr>
              <w:t>Ustawy z dnia 29 stycznia 2004r. prawo zamówień publicznych</w:t>
            </w:r>
          </w:p>
        </w:tc>
      </w:tr>
      <w:tr w:rsidR="00065794" w14:paraId="45C5582D" w14:textId="77777777" w:rsidTr="000E5886">
        <w:trPr>
          <w:trHeight w:val="6148"/>
        </w:trPr>
        <w:tc>
          <w:tcPr>
            <w:tcW w:w="1862" w:type="dxa"/>
            <w:tcBorders>
              <w:left w:val="single" w:sz="2" w:space="0" w:color="000000"/>
              <w:bottom w:val="single" w:sz="2" w:space="0" w:color="000000"/>
            </w:tcBorders>
            <w:shd w:val="clear" w:color="auto" w:fill="DDDDDD"/>
            <w:tcMar>
              <w:top w:w="55" w:type="dxa"/>
              <w:left w:w="55" w:type="dxa"/>
              <w:bottom w:w="55" w:type="dxa"/>
              <w:right w:w="55" w:type="dxa"/>
            </w:tcMar>
          </w:tcPr>
          <w:p w14:paraId="59107601" w14:textId="77777777" w:rsidR="00065794" w:rsidRDefault="00065794" w:rsidP="002666EC">
            <w:pPr>
              <w:ind w:left="105"/>
              <w:rPr>
                <w:rFonts w:ascii="Times New Roman" w:hAnsi="Times New Roman" w:cs="Calibri"/>
                <w:b/>
                <w:sz w:val="16"/>
                <w:szCs w:val="16"/>
              </w:rPr>
            </w:pPr>
            <w:r>
              <w:rPr>
                <w:rFonts w:ascii="Times New Roman" w:hAnsi="Times New Roman" w:cs="Calibri"/>
                <w:b/>
                <w:sz w:val="16"/>
                <w:szCs w:val="16"/>
              </w:rPr>
              <w:lastRenderedPageBreak/>
              <w:t>ODBIORCY DANYCH</w:t>
            </w:r>
          </w:p>
        </w:tc>
        <w:tc>
          <w:tcPr>
            <w:tcW w:w="8505" w:type="dxa"/>
            <w:tcBorders>
              <w:left w:val="single" w:sz="2" w:space="0" w:color="000000"/>
              <w:bottom w:val="single" w:sz="2" w:space="0" w:color="000000"/>
              <w:right w:val="single" w:sz="2" w:space="0" w:color="000000"/>
            </w:tcBorders>
            <w:tcMar>
              <w:top w:w="55" w:type="dxa"/>
              <w:left w:w="55" w:type="dxa"/>
              <w:bottom w:w="55" w:type="dxa"/>
              <w:right w:w="55" w:type="dxa"/>
            </w:tcMar>
          </w:tcPr>
          <w:p w14:paraId="678BDC7A" w14:textId="77777777" w:rsidR="00065794" w:rsidRPr="002F366C" w:rsidRDefault="00065794" w:rsidP="00F37583">
            <w:pPr>
              <w:pStyle w:val="TableContents"/>
              <w:numPr>
                <w:ilvl w:val="0"/>
                <w:numId w:val="3"/>
              </w:numPr>
              <w:jc w:val="both"/>
              <w:rPr>
                <w:rFonts w:ascii="Times New Roman" w:hAnsi="Times New Roman"/>
                <w:sz w:val="20"/>
                <w:szCs w:val="20"/>
              </w:rPr>
            </w:pPr>
            <w:r w:rsidRPr="002F366C">
              <w:rPr>
                <w:rFonts w:ascii="Times New Roman" w:hAnsi="Times New Roman"/>
                <w:sz w:val="20"/>
                <w:szCs w:val="20"/>
              </w:rPr>
              <w:t>Pani/Pana dane osobowe mogą być przekazywane podmiotom przetwarzającym dane osobowe na zlecenie administratora tj. dostawcom usług IT, a także innym podmiotom na podstawie obowiązujących przepisów (przykład: na wniosek sądu, Policji). Jako jednostka podlegamy Głównemu Inspektorowi Sanitarnemu i wykonujemy działania których głównym celem jest sprawowanie zapobiegawczego i bieżącego nadzoru sanitarnego oraz prowadzenie działalności zapobiegawczej i przeciwepidemicznej w zakresie chorób zakaźnych i innych chorób powodowanych warunkami środowiska, a także prowadzenie działalności w zakresie profilaktyki chorób i promocji zdrowia, w związku z powyższym współpraca z w/w podmiotami jest nierozłączna.</w:t>
            </w:r>
          </w:p>
          <w:p w14:paraId="7B962589" w14:textId="77777777" w:rsidR="00065794" w:rsidRPr="002F366C" w:rsidRDefault="00065794" w:rsidP="00F37583">
            <w:pPr>
              <w:pStyle w:val="TableContents"/>
              <w:jc w:val="both"/>
              <w:rPr>
                <w:rFonts w:ascii="Times New Roman" w:hAnsi="Times New Roman"/>
                <w:sz w:val="20"/>
                <w:szCs w:val="20"/>
              </w:rPr>
            </w:pPr>
            <w:r w:rsidRPr="002F366C">
              <w:rPr>
                <w:rFonts w:ascii="Times New Roman" w:hAnsi="Times New Roman"/>
                <w:sz w:val="20"/>
                <w:szCs w:val="20"/>
              </w:rPr>
              <w:t>Ponadto jeżeli Powiatowa Stacja Sanitarno-Epidemiologiczna w Chorzowie okaże się podmiotem niewłaściwym do rozpatrzenia Pani/Pana wniosku/petycji Pani / Pana dane zostaną udostępnione do podmiotu właściwego do jej rozpatrzenia.</w:t>
            </w:r>
          </w:p>
          <w:p w14:paraId="4A2AE437" w14:textId="77777777" w:rsidR="00065794" w:rsidRPr="002F366C" w:rsidRDefault="00065794" w:rsidP="00F37583">
            <w:pPr>
              <w:pStyle w:val="TableContents"/>
              <w:jc w:val="both"/>
              <w:rPr>
                <w:rFonts w:ascii="Times New Roman" w:hAnsi="Times New Roman"/>
                <w:sz w:val="20"/>
                <w:szCs w:val="20"/>
              </w:rPr>
            </w:pPr>
            <w:r w:rsidRPr="002F366C">
              <w:rPr>
                <w:rFonts w:ascii="Times New Roman" w:hAnsi="Times New Roman"/>
                <w:sz w:val="20"/>
                <w:szCs w:val="20"/>
              </w:rPr>
              <w:t>PSSE nie udostępnia i nie ujawnia danych osobowych inaczej niż na podstawie przepisów prawa lub gdy jest to konieczne do realizacji zadań/usług. Dlatego mogą one mogą być przekazane/ujawnione wyłącznie następującym kategoriom podmiotów:</w:t>
            </w:r>
          </w:p>
          <w:p w14:paraId="6A81FE1A" w14:textId="77777777" w:rsidR="00065794" w:rsidRPr="002F366C" w:rsidRDefault="00065794" w:rsidP="00F37583">
            <w:pPr>
              <w:pStyle w:val="TableContents"/>
              <w:numPr>
                <w:ilvl w:val="0"/>
                <w:numId w:val="3"/>
              </w:numPr>
              <w:jc w:val="both"/>
              <w:rPr>
                <w:rFonts w:ascii="Times New Roman" w:hAnsi="Times New Roman"/>
                <w:sz w:val="20"/>
                <w:szCs w:val="20"/>
              </w:rPr>
            </w:pPr>
            <w:r w:rsidRPr="002F366C">
              <w:rPr>
                <w:rFonts w:ascii="Times New Roman" w:hAnsi="Times New Roman"/>
                <w:sz w:val="20"/>
                <w:szCs w:val="20"/>
              </w:rPr>
              <w:t>dostawcy usług, z których korzysta PSSE w celem zapewnienia możliwości wykonywania przez niego zadań (np. dostawcy specjalistycznego oprogramowania, usług teleinformatycznych, operatorzy pocztowi) lub podwykonawcy w przypadku Państwa zgody na podzlecenie badania.</w:t>
            </w:r>
          </w:p>
          <w:p w14:paraId="17FE0968" w14:textId="77777777" w:rsidR="00065794" w:rsidRPr="002F366C" w:rsidRDefault="00065794" w:rsidP="00F37583">
            <w:pPr>
              <w:pStyle w:val="TableContents"/>
              <w:numPr>
                <w:ilvl w:val="0"/>
                <w:numId w:val="3"/>
              </w:numPr>
              <w:jc w:val="both"/>
              <w:rPr>
                <w:rFonts w:ascii="Times New Roman" w:hAnsi="Times New Roman"/>
                <w:sz w:val="20"/>
                <w:szCs w:val="20"/>
              </w:rPr>
            </w:pPr>
            <w:r w:rsidRPr="002F366C">
              <w:rPr>
                <w:rFonts w:ascii="Times New Roman" w:hAnsi="Times New Roman"/>
                <w:sz w:val="20"/>
                <w:szCs w:val="20"/>
              </w:rPr>
              <w:t>inne strony bądź uczestnicy postępowań, którym na mocy przepisów Kodeksu postępowania administracyjnego przysługuje wgląd w akta prowadzonego postępowania;</w:t>
            </w:r>
          </w:p>
          <w:p w14:paraId="07BBAC15" w14:textId="38FC366E" w:rsidR="00065794" w:rsidRPr="002F366C" w:rsidRDefault="00065794" w:rsidP="00F37583">
            <w:pPr>
              <w:pStyle w:val="TableContents"/>
              <w:numPr>
                <w:ilvl w:val="0"/>
                <w:numId w:val="3"/>
              </w:numPr>
              <w:jc w:val="both"/>
              <w:rPr>
                <w:rFonts w:ascii="Times New Roman" w:hAnsi="Times New Roman"/>
                <w:sz w:val="20"/>
                <w:szCs w:val="20"/>
              </w:rPr>
            </w:pPr>
            <w:r w:rsidRPr="002F366C">
              <w:rPr>
                <w:rFonts w:ascii="Times New Roman" w:hAnsi="Times New Roman"/>
                <w:sz w:val="20"/>
                <w:szCs w:val="20"/>
              </w:rPr>
              <w:t>inne, właściwe organy Państwowej Inspekcji Sanitarnej, inne organy administracyjne, sądy</w:t>
            </w:r>
            <w:r w:rsidR="00F37583">
              <w:rPr>
                <w:rFonts w:ascii="Times New Roman" w:hAnsi="Times New Roman"/>
                <w:sz w:val="20"/>
                <w:szCs w:val="20"/>
              </w:rPr>
              <w:t xml:space="preserve">                   </w:t>
            </w:r>
            <w:r w:rsidRPr="002F366C">
              <w:rPr>
                <w:rFonts w:ascii="Times New Roman" w:hAnsi="Times New Roman"/>
                <w:sz w:val="20"/>
                <w:szCs w:val="20"/>
              </w:rPr>
              <w:t xml:space="preserve"> i organy ochrony prawa - jeżeli na mocy przepisów szczególnych Administrator zobowiązany jest do przekazania im danych osobowych bądź podmioty te uprawnione są do żądania udostępnienia takich danych;</w:t>
            </w:r>
          </w:p>
        </w:tc>
      </w:tr>
      <w:tr w:rsidR="00065794" w14:paraId="4DFED571" w14:textId="77777777" w:rsidTr="000E5886">
        <w:tc>
          <w:tcPr>
            <w:tcW w:w="1862" w:type="dxa"/>
            <w:tcBorders>
              <w:left w:val="single" w:sz="2" w:space="0" w:color="000000"/>
              <w:bottom w:val="single" w:sz="2" w:space="0" w:color="000000"/>
            </w:tcBorders>
            <w:shd w:val="clear" w:color="auto" w:fill="DDDDDD"/>
            <w:tcMar>
              <w:top w:w="55" w:type="dxa"/>
              <w:left w:w="55" w:type="dxa"/>
              <w:bottom w:w="55" w:type="dxa"/>
              <w:right w:w="55" w:type="dxa"/>
            </w:tcMar>
          </w:tcPr>
          <w:p w14:paraId="3ED4992E" w14:textId="77777777" w:rsidR="00065794" w:rsidRDefault="00065794" w:rsidP="007F5049">
            <w:pPr>
              <w:rPr>
                <w:rFonts w:ascii="Times New Roman" w:hAnsi="Times New Roman" w:cs="Calibri"/>
                <w:b/>
                <w:sz w:val="16"/>
                <w:szCs w:val="16"/>
              </w:rPr>
            </w:pPr>
            <w:r>
              <w:rPr>
                <w:rFonts w:ascii="Times New Roman" w:hAnsi="Times New Roman" w:cs="Calibri"/>
                <w:b/>
                <w:sz w:val="16"/>
                <w:szCs w:val="16"/>
              </w:rPr>
              <w:t>PRZEKAZANIE DANYCH OSOBOWYCH DO PAŃSTWA TRZECIEGO ORAZ PROFILOWANIE</w:t>
            </w:r>
          </w:p>
        </w:tc>
        <w:tc>
          <w:tcPr>
            <w:tcW w:w="8505" w:type="dxa"/>
            <w:tcBorders>
              <w:left w:val="single" w:sz="2" w:space="0" w:color="000000"/>
              <w:bottom w:val="single" w:sz="2" w:space="0" w:color="000000"/>
              <w:right w:val="single" w:sz="2" w:space="0" w:color="000000"/>
            </w:tcBorders>
            <w:tcMar>
              <w:top w:w="55" w:type="dxa"/>
              <w:left w:w="55" w:type="dxa"/>
              <w:bottom w:w="55" w:type="dxa"/>
              <w:right w:w="55" w:type="dxa"/>
            </w:tcMar>
          </w:tcPr>
          <w:p w14:paraId="7D054396" w14:textId="77777777" w:rsidR="00065794" w:rsidRPr="002F366C" w:rsidRDefault="00065794" w:rsidP="007F5049">
            <w:pPr>
              <w:pStyle w:val="TableContents"/>
              <w:rPr>
                <w:rFonts w:ascii="Times New Roman" w:hAnsi="Times New Roman"/>
                <w:sz w:val="20"/>
                <w:szCs w:val="20"/>
              </w:rPr>
            </w:pPr>
            <w:r w:rsidRPr="002F366C">
              <w:rPr>
                <w:rFonts w:ascii="Times New Roman" w:hAnsi="Times New Roman"/>
                <w:sz w:val="20"/>
                <w:szCs w:val="20"/>
              </w:rPr>
              <w:t>Nie dotyczy;</w:t>
            </w:r>
          </w:p>
        </w:tc>
      </w:tr>
      <w:tr w:rsidR="00065794" w14:paraId="30DE781B" w14:textId="77777777" w:rsidTr="000E5886">
        <w:tc>
          <w:tcPr>
            <w:tcW w:w="1862" w:type="dxa"/>
            <w:tcBorders>
              <w:left w:val="single" w:sz="2" w:space="0" w:color="000000"/>
              <w:bottom w:val="single" w:sz="2" w:space="0" w:color="000000"/>
            </w:tcBorders>
            <w:shd w:val="clear" w:color="auto" w:fill="DDDDDD"/>
            <w:tcMar>
              <w:top w:w="55" w:type="dxa"/>
              <w:left w:w="55" w:type="dxa"/>
              <w:bottom w:w="55" w:type="dxa"/>
              <w:right w:w="55" w:type="dxa"/>
            </w:tcMar>
          </w:tcPr>
          <w:p w14:paraId="444F24F2" w14:textId="77777777" w:rsidR="00065794" w:rsidRDefault="00065794" w:rsidP="007F5049">
            <w:pPr>
              <w:rPr>
                <w:rFonts w:ascii="Times New Roman" w:hAnsi="Times New Roman" w:cs="Calibri"/>
                <w:b/>
                <w:sz w:val="16"/>
                <w:szCs w:val="16"/>
              </w:rPr>
            </w:pPr>
            <w:r>
              <w:rPr>
                <w:rFonts w:ascii="Times New Roman" w:hAnsi="Times New Roman" w:cs="Calibri"/>
                <w:b/>
                <w:sz w:val="16"/>
                <w:szCs w:val="16"/>
              </w:rPr>
              <w:t>OKRES PRZECHOWYWANIA DANYCH</w:t>
            </w:r>
          </w:p>
        </w:tc>
        <w:tc>
          <w:tcPr>
            <w:tcW w:w="8505" w:type="dxa"/>
            <w:tcBorders>
              <w:left w:val="single" w:sz="2" w:space="0" w:color="000000"/>
              <w:bottom w:val="single" w:sz="2" w:space="0" w:color="000000"/>
              <w:right w:val="single" w:sz="2" w:space="0" w:color="000000"/>
            </w:tcBorders>
            <w:tcMar>
              <w:top w:w="55" w:type="dxa"/>
              <w:left w:w="55" w:type="dxa"/>
              <w:bottom w:w="55" w:type="dxa"/>
              <w:right w:w="55" w:type="dxa"/>
            </w:tcMar>
          </w:tcPr>
          <w:p w14:paraId="2B492A09" w14:textId="77777777" w:rsidR="00065794" w:rsidRPr="002F366C" w:rsidRDefault="00065794" w:rsidP="00F37583">
            <w:pPr>
              <w:pStyle w:val="TableContents"/>
              <w:jc w:val="both"/>
              <w:rPr>
                <w:rFonts w:ascii="Times New Roman" w:hAnsi="Times New Roman"/>
                <w:sz w:val="20"/>
                <w:szCs w:val="20"/>
              </w:rPr>
            </w:pPr>
            <w:r w:rsidRPr="002F366C">
              <w:rPr>
                <w:rFonts w:ascii="Times New Roman" w:hAnsi="Times New Roman"/>
                <w:sz w:val="20"/>
                <w:szCs w:val="20"/>
              </w:rPr>
              <w:t>Dane przechowywane są zgodnie z kategorię archiwalną określoną w jednolitym rzeczowym wykazie akt, obowiązującym na podstawie zarządzenia Dyrektora PSSE lub zgodnie ze szczegółowymi przepisami prawa;</w:t>
            </w:r>
          </w:p>
        </w:tc>
      </w:tr>
      <w:tr w:rsidR="00065794" w14:paraId="7E516441" w14:textId="77777777" w:rsidTr="000E5886">
        <w:tc>
          <w:tcPr>
            <w:tcW w:w="1862" w:type="dxa"/>
            <w:tcBorders>
              <w:left w:val="single" w:sz="2" w:space="0" w:color="000000"/>
              <w:bottom w:val="single" w:sz="2" w:space="0" w:color="000000"/>
            </w:tcBorders>
            <w:shd w:val="clear" w:color="auto" w:fill="DDDDDD"/>
            <w:tcMar>
              <w:top w:w="55" w:type="dxa"/>
              <w:left w:w="55" w:type="dxa"/>
              <w:bottom w:w="55" w:type="dxa"/>
              <w:right w:w="55" w:type="dxa"/>
            </w:tcMar>
          </w:tcPr>
          <w:p w14:paraId="61B27FAB" w14:textId="77777777" w:rsidR="00065794" w:rsidRDefault="00065794" w:rsidP="007F5049">
            <w:pPr>
              <w:rPr>
                <w:rFonts w:ascii="Times New Roman" w:hAnsi="Times New Roman" w:cs="Calibri"/>
                <w:b/>
                <w:sz w:val="16"/>
                <w:szCs w:val="16"/>
              </w:rPr>
            </w:pPr>
            <w:r>
              <w:rPr>
                <w:rFonts w:ascii="Times New Roman" w:hAnsi="Times New Roman" w:cs="Calibri"/>
                <w:b/>
                <w:sz w:val="16"/>
                <w:szCs w:val="16"/>
              </w:rPr>
              <w:t>PRAWA PODMIOTÓW DANYCH</w:t>
            </w:r>
          </w:p>
        </w:tc>
        <w:tc>
          <w:tcPr>
            <w:tcW w:w="8505" w:type="dxa"/>
            <w:tcBorders>
              <w:left w:val="single" w:sz="2" w:space="0" w:color="000000"/>
              <w:bottom w:val="single" w:sz="2" w:space="0" w:color="000000"/>
              <w:right w:val="single" w:sz="2" w:space="0" w:color="000000"/>
            </w:tcBorders>
            <w:tcMar>
              <w:top w:w="55" w:type="dxa"/>
              <w:left w:w="55" w:type="dxa"/>
              <w:bottom w:w="55" w:type="dxa"/>
              <w:right w:w="55" w:type="dxa"/>
            </w:tcMar>
          </w:tcPr>
          <w:p w14:paraId="17D8B77D" w14:textId="77777777" w:rsidR="00065794" w:rsidRPr="002F366C" w:rsidRDefault="00065794" w:rsidP="00F37583">
            <w:pPr>
              <w:pStyle w:val="TableContents"/>
              <w:numPr>
                <w:ilvl w:val="0"/>
                <w:numId w:val="4"/>
              </w:numPr>
              <w:jc w:val="both"/>
              <w:rPr>
                <w:rFonts w:ascii="Times New Roman" w:hAnsi="Times New Roman"/>
                <w:sz w:val="20"/>
                <w:szCs w:val="20"/>
              </w:rPr>
            </w:pPr>
            <w:r w:rsidRPr="002F366C">
              <w:rPr>
                <w:rFonts w:ascii="Times New Roman" w:hAnsi="Times New Roman"/>
                <w:sz w:val="20"/>
                <w:szCs w:val="20"/>
              </w:rPr>
              <w:t>Przysługuje Pani/Panu prawo do:</w:t>
            </w:r>
          </w:p>
          <w:p w14:paraId="7003ED41" w14:textId="77777777" w:rsidR="00065794" w:rsidRPr="002F366C" w:rsidRDefault="00065794" w:rsidP="00F37583">
            <w:pPr>
              <w:pStyle w:val="TableContents"/>
              <w:numPr>
                <w:ilvl w:val="0"/>
                <w:numId w:val="4"/>
              </w:numPr>
              <w:jc w:val="both"/>
              <w:rPr>
                <w:rFonts w:ascii="Times New Roman" w:hAnsi="Times New Roman"/>
                <w:sz w:val="20"/>
                <w:szCs w:val="20"/>
              </w:rPr>
            </w:pPr>
            <w:r w:rsidRPr="002F366C">
              <w:rPr>
                <w:rFonts w:ascii="Times New Roman" w:hAnsi="Times New Roman"/>
                <w:sz w:val="20"/>
                <w:szCs w:val="20"/>
              </w:rPr>
              <w:t>uzyskania informacji o swoich danych osobowych, dostępu do ich treści.</w:t>
            </w:r>
          </w:p>
          <w:p w14:paraId="61B1D551" w14:textId="77777777" w:rsidR="00065794" w:rsidRPr="002F366C" w:rsidRDefault="00065794" w:rsidP="00F37583">
            <w:pPr>
              <w:pStyle w:val="TableContents"/>
              <w:numPr>
                <w:ilvl w:val="0"/>
                <w:numId w:val="4"/>
              </w:numPr>
              <w:jc w:val="both"/>
              <w:rPr>
                <w:rFonts w:ascii="Times New Roman" w:hAnsi="Times New Roman"/>
                <w:sz w:val="20"/>
                <w:szCs w:val="20"/>
              </w:rPr>
            </w:pPr>
            <w:r w:rsidRPr="002F366C">
              <w:rPr>
                <w:rFonts w:ascii="Times New Roman" w:hAnsi="Times New Roman"/>
                <w:sz w:val="20"/>
                <w:szCs w:val="20"/>
              </w:rPr>
              <w:t>wnioskowania o sprostowanie danych (w zakresie wg art. 16 RODO), pisemnego uzasadnionego żądania ich usunięcia (w zakresie wg art. 17 RODO), ograniczenia ich przetwarzania (w zakresie wg art. 18 RODO), złożenia sprzeciwu wobec przetwarzania danych (w zakresie wg art. 21 RODO);</w:t>
            </w:r>
          </w:p>
        </w:tc>
      </w:tr>
      <w:tr w:rsidR="00065794" w14:paraId="36FFC184" w14:textId="77777777" w:rsidTr="000E5886">
        <w:tc>
          <w:tcPr>
            <w:tcW w:w="1862" w:type="dxa"/>
            <w:tcBorders>
              <w:left w:val="single" w:sz="2" w:space="0" w:color="000000"/>
              <w:bottom w:val="single" w:sz="2" w:space="0" w:color="000000"/>
            </w:tcBorders>
            <w:shd w:val="clear" w:color="auto" w:fill="DDDDDD"/>
            <w:tcMar>
              <w:top w:w="55" w:type="dxa"/>
              <w:left w:w="55" w:type="dxa"/>
              <w:bottom w:w="55" w:type="dxa"/>
              <w:right w:w="55" w:type="dxa"/>
            </w:tcMar>
          </w:tcPr>
          <w:p w14:paraId="13801E08" w14:textId="77777777" w:rsidR="00065794" w:rsidRDefault="00065794" w:rsidP="007F5049">
            <w:pPr>
              <w:rPr>
                <w:rFonts w:ascii="Times New Roman" w:hAnsi="Times New Roman" w:cs="Calibri"/>
                <w:b/>
                <w:sz w:val="16"/>
                <w:szCs w:val="16"/>
              </w:rPr>
            </w:pPr>
            <w:r>
              <w:rPr>
                <w:rFonts w:ascii="Times New Roman" w:hAnsi="Times New Roman" w:cs="Calibri"/>
                <w:b/>
                <w:sz w:val="16"/>
                <w:szCs w:val="16"/>
              </w:rPr>
              <w:t>PRAWO WNIESIENIA SKARGI DO ORGANU NADZORCZEGO</w:t>
            </w:r>
          </w:p>
        </w:tc>
        <w:tc>
          <w:tcPr>
            <w:tcW w:w="8505" w:type="dxa"/>
            <w:tcBorders>
              <w:left w:val="single" w:sz="2" w:space="0" w:color="000000"/>
              <w:bottom w:val="single" w:sz="2" w:space="0" w:color="000000"/>
              <w:right w:val="single" w:sz="2" w:space="0" w:color="000000"/>
            </w:tcBorders>
            <w:tcMar>
              <w:top w:w="55" w:type="dxa"/>
              <w:left w:w="55" w:type="dxa"/>
              <w:bottom w:w="55" w:type="dxa"/>
              <w:right w:w="55" w:type="dxa"/>
            </w:tcMar>
          </w:tcPr>
          <w:p w14:paraId="495402E4" w14:textId="07567F30" w:rsidR="00065794" w:rsidRPr="002F366C" w:rsidRDefault="00065794" w:rsidP="00F37583">
            <w:pPr>
              <w:pStyle w:val="TableContents"/>
              <w:jc w:val="both"/>
              <w:rPr>
                <w:rFonts w:ascii="Times New Roman" w:hAnsi="Times New Roman"/>
                <w:sz w:val="20"/>
                <w:szCs w:val="20"/>
              </w:rPr>
            </w:pPr>
            <w:r w:rsidRPr="002F366C">
              <w:rPr>
                <w:rFonts w:ascii="Times New Roman" w:hAnsi="Times New Roman"/>
                <w:sz w:val="20"/>
                <w:szCs w:val="20"/>
              </w:rPr>
              <w:t>Przysługuje Pani/Panu prawo do wniesienia skargi do organu nadzorującego przestrzeganie</w:t>
            </w:r>
            <w:r w:rsidR="00F37583">
              <w:rPr>
                <w:rFonts w:ascii="Times New Roman" w:hAnsi="Times New Roman"/>
                <w:sz w:val="20"/>
                <w:szCs w:val="20"/>
              </w:rPr>
              <w:t xml:space="preserve"> </w:t>
            </w:r>
            <w:r w:rsidRPr="002F366C">
              <w:rPr>
                <w:rFonts w:ascii="Times New Roman" w:hAnsi="Times New Roman"/>
                <w:sz w:val="20"/>
                <w:szCs w:val="20"/>
              </w:rPr>
              <w:t xml:space="preserve">przepisów ochrony danych osobowych to jest do Prezesa Urzędu Ochrony Danych Osobowych </w:t>
            </w:r>
            <w:r w:rsidRPr="002F366C">
              <w:rPr>
                <w:rFonts w:ascii="Times New Roman" w:hAnsi="Times New Roman"/>
                <w:sz w:val="20"/>
                <w:szCs w:val="20"/>
              </w:rPr>
              <w:br/>
              <w:t>(PUODO) Adres: Stawki 2, 00-193 Warszawa Telefon: 22 531 03 00;</w:t>
            </w:r>
          </w:p>
        </w:tc>
      </w:tr>
      <w:tr w:rsidR="00065794" w14:paraId="5E6674A5" w14:textId="77777777" w:rsidTr="000E5886">
        <w:tc>
          <w:tcPr>
            <w:tcW w:w="1862" w:type="dxa"/>
            <w:tcBorders>
              <w:left w:val="single" w:sz="2" w:space="0" w:color="000000"/>
              <w:bottom w:val="single" w:sz="2" w:space="0" w:color="000000"/>
            </w:tcBorders>
            <w:shd w:val="clear" w:color="auto" w:fill="DDDDDD"/>
            <w:tcMar>
              <w:top w:w="55" w:type="dxa"/>
              <w:left w:w="55" w:type="dxa"/>
              <w:bottom w:w="55" w:type="dxa"/>
              <w:right w:w="55" w:type="dxa"/>
            </w:tcMar>
          </w:tcPr>
          <w:p w14:paraId="0CAFB2E2" w14:textId="77777777" w:rsidR="00065794" w:rsidRDefault="00065794" w:rsidP="007F5049">
            <w:pPr>
              <w:rPr>
                <w:rFonts w:ascii="Times New Roman" w:hAnsi="Times New Roman" w:cs="Calibri"/>
                <w:b/>
                <w:sz w:val="16"/>
                <w:szCs w:val="16"/>
              </w:rPr>
            </w:pPr>
            <w:r>
              <w:rPr>
                <w:rFonts w:ascii="Times New Roman" w:hAnsi="Times New Roman" w:cs="Calibri"/>
                <w:b/>
                <w:sz w:val="16"/>
                <w:szCs w:val="16"/>
              </w:rPr>
              <w:t>ŹRÓDŁO POCHODZENIA DANYCH OSOBOWYCH</w:t>
            </w:r>
          </w:p>
        </w:tc>
        <w:tc>
          <w:tcPr>
            <w:tcW w:w="8505" w:type="dxa"/>
            <w:tcBorders>
              <w:left w:val="single" w:sz="2" w:space="0" w:color="000000"/>
              <w:bottom w:val="single" w:sz="2" w:space="0" w:color="000000"/>
              <w:right w:val="single" w:sz="2" w:space="0" w:color="000000"/>
            </w:tcBorders>
            <w:tcMar>
              <w:top w:w="55" w:type="dxa"/>
              <w:left w:w="55" w:type="dxa"/>
              <w:bottom w:w="55" w:type="dxa"/>
              <w:right w:w="55" w:type="dxa"/>
            </w:tcMar>
          </w:tcPr>
          <w:p w14:paraId="4B6E37FB" w14:textId="745CDFBB" w:rsidR="00065794" w:rsidRPr="002F366C" w:rsidRDefault="00065794" w:rsidP="00F37583">
            <w:pPr>
              <w:pStyle w:val="TableContents"/>
              <w:jc w:val="both"/>
              <w:rPr>
                <w:rFonts w:ascii="Times New Roman" w:hAnsi="Times New Roman"/>
                <w:sz w:val="20"/>
                <w:szCs w:val="20"/>
              </w:rPr>
            </w:pPr>
            <w:r w:rsidRPr="002F366C">
              <w:rPr>
                <w:rFonts w:ascii="Times New Roman" w:hAnsi="Times New Roman"/>
                <w:sz w:val="20"/>
                <w:szCs w:val="20"/>
              </w:rPr>
              <w:t xml:space="preserve">Dane osobowe pozyskiwane są od stron i uczestników postępowania, wnioskodawców, petentów, </w:t>
            </w:r>
            <w:r w:rsidR="00F37583">
              <w:rPr>
                <w:rFonts w:ascii="Times New Roman" w:hAnsi="Times New Roman"/>
                <w:sz w:val="20"/>
                <w:szCs w:val="20"/>
              </w:rPr>
              <w:t xml:space="preserve">                          </w:t>
            </w:r>
            <w:r w:rsidRPr="002F366C">
              <w:rPr>
                <w:rFonts w:ascii="Times New Roman" w:hAnsi="Times New Roman"/>
                <w:sz w:val="20"/>
                <w:szCs w:val="20"/>
              </w:rPr>
              <w:t>z publicznie dostępnych rejestrów, od innych organów i podmiotów, które na mocy odrębnych przepisów zobowiązane są przekazywać dane organom Państwowej Inspekcji Sanitarnej. W sytuacji, gdy dane pozyskiwane są od osoby, której dotyczą, ich podanie warunkuje wszczęcie postępowania w przedmiocie określonym w podaniu, wniosku, piśmie, wniesionych przez daną osobę, a przekazanie danych kontaktowych umożliwia udzielenie odpowiedzi, sprawne załatwienie sprawy. W przypadku realizacji niektórych zadań, np. badań laboratoryjnych, podanie danych jest warunkiem wykonania umowy/zlecenia.</w:t>
            </w:r>
          </w:p>
        </w:tc>
      </w:tr>
      <w:tr w:rsidR="00065794" w14:paraId="6DA31CD0" w14:textId="77777777" w:rsidTr="000E5886">
        <w:tc>
          <w:tcPr>
            <w:tcW w:w="1862" w:type="dxa"/>
            <w:tcBorders>
              <w:left w:val="single" w:sz="2" w:space="0" w:color="000000"/>
              <w:bottom w:val="single" w:sz="2" w:space="0" w:color="000000"/>
            </w:tcBorders>
            <w:shd w:val="clear" w:color="auto" w:fill="DDDDDD"/>
            <w:tcMar>
              <w:top w:w="55" w:type="dxa"/>
              <w:left w:w="55" w:type="dxa"/>
              <w:bottom w:w="55" w:type="dxa"/>
              <w:right w:w="55" w:type="dxa"/>
            </w:tcMar>
          </w:tcPr>
          <w:p w14:paraId="1B95BD54" w14:textId="77777777" w:rsidR="00065794" w:rsidRDefault="00065794" w:rsidP="007F5049">
            <w:pPr>
              <w:rPr>
                <w:rFonts w:ascii="Times New Roman" w:hAnsi="Times New Roman" w:cs="Calibri"/>
                <w:b/>
                <w:sz w:val="16"/>
                <w:szCs w:val="16"/>
              </w:rPr>
            </w:pPr>
            <w:r>
              <w:rPr>
                <w:rFonts w:ascii="Times New Roman" w:hAnsi="Times New Roman" w:cs="Calibri"/>
                <w:b/>
                <w:sz w:val="16"/>
                <w:szCs w:val="16"/>
              </w:rPr>
              <w:t>INFORMACJA O DOWOLNOŚCI LUB OBOWIĄZKU PODANIA DANYCH</w:t>
            </w:r>
          </w:p>
        </w:tc>
        <w:tc>
          <w:tcPr>
            <w:tcW w:w="8505" w:type="dxa"/>
            <w:tcBorders>
              <w:left w:val="single" w:sz="2" w:space="0" w:color="000000"/>
              <w:bottom w:val="single" w:sz="2" w:space="0" w:color="000000"/>
              <w:right w:val="single" w:sz="2" w:space="0" w:color="000000"/>
            </w:tcBorders>
            <w:tcMar>
              <w:top w:w="55" w:type="dxa"/>
              <w:left w:w="55" w:type="dxa"/>
              <w:bottom w:w="55" w:type="dxa"/>
              <w:right w:w="55" w:type="dxa"/>
            </w:tcMar>
          </w:tcPr>
          <w:p w14:paraId="5A8CFBC2" w14:textId="77777777" w:rsidR="00065794" w:rsidRPr="002F366C" w:rsidRDefault="00065794" w:rsidP="00F37583">
            <w:pPr>
              <w:pStyle w:val="TableContents"/>
              <w:jc w:val="both"/>
              <w:rPr>
                <w:rFonts w:ascii="Times New Roman" w:hAnsi="Times New Roman"/>
                <w:sz w:val="20"/>
                <w:szCs w:val="20"/>
              </w:rPr>
            </w:pPr>
            <w:r w:rsidRPr="002F366C">
              <w:rPr>
                <w:rFonts w:ascii="Times New Roman" w:hAnsi="Times New Roman"/>
                <w:sz w:val="20"/>
                <w:szCs w:val="20"/>
              </w:rPr>
              <w:t>W niektórych przypadkach podanie danych osobowych jest dobrowolne jednakże ich przetwarzanie jest warunkiem załatwienia spraw wnoszonych do/zlecanych PSSE.</w:t>
            </w:r>
          </w:p>
        </w:tc>
      </w:tr>
    </w:tbl>
    <w:p w14:paraId="25954183" w14:textId="77777777" w:rsidR="000A7EE9" w:rsidRDefault="000A7EE9" w:rsidP="002F366C">
      <w:pPr>
        <w:rPr>
          <w:rFonts w:hint="eastAsia"/>
        </w:rPr>
      </w:pPr>
    </w:p>
    <w:sectPr w:rsidR="000A7EE9" w:rsidSect="00F5017C">
      <w:pgSz w:w="11906" w:h="16838"/>
      <w:pgMar w:top="426" w:right="39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2"/>
    <w:family w:val="auto"/>
    <w:pitch w:val="default"/>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D71A4"/>
    <w:multiLevelType w:val="multilevel"/>
    <w:tmpl w:val="7652C994"/>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4122031A"/>
    <w:multiLevelType w:val="multilevel"/>
    <w:tmpl w:val="69267392"/>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436715C0"/>
    <w:multiLevelType w:val="multilevel"/>
    <w:tmpl w:val="92EE1AFE"/>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73DD2711"/>
    <w:multiLevelType w:val="multilevel"/>
    <w:tmpl w:val="34F619C4"/>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1725984486">
    <w:abstractNumId w:val="2"/>
  </w:num>
  <w:num w:numId="2" w16cid:durableId="370999487">
    <w:abstractNumId w:val="0"/>
  </w:num>
  <w:num w:numId="3" w16cid:durableId="1561016429">
    <w:abstractNumId w:val="3"/>
  </w:num>
  <w:num w:numId="4" w16cid:durableId="1120490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794"/>
    <w:rsid w:val="00065794"/>
    <w:rsid w:val="000A7EE9"/>
    <w:rsid w:val="000E5886"/>
    <w:rsid w:val="000F4598"/>
    <w:rsid w:val="00174747"/>
    <w:rsid w:val="001B439D"/>
    <w:rsid w:val="002666EC"/>
    <w:rsid w:val="002F366C"/>
    <w:rsid w:val="00400877"/>
    <w:rsid w:val="00AA5BC5"/>
    <w:rsid w:val="00F37583"/>
    <w:rsid w:val="00F5017C"/>
    <w:rsid w:val="00F503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30FFA"/>
  <w15:chartTrackingRefBased/>
  <w15:docId w15:val="{1F1B543A-C135-4180-A77C-CCC199C6C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065794"/>
    <w:pPr>
      <w:suppressAutoHyphens/>
      <w:autoSpaceDN w:val="0"/>
      <w:spacing w:after="0" w:line="240" w:lineRule="auto"/>
      <w:textAlignment w:val="baseline"/>
    </w:pPr>
    <w:rPr>
      <w:rFonts w:ascii="Liberation Serif" w:eastAsia="SimSun" w:hAnsi="Liberation Serif" w:cs="Arial"/>
      <w:kern w:val="3"/>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065794"/>
    <w:pPr>
      <w:suppressAutoHyphens/>
      <w:autoSpaceDN w:val="0"/>
      <w:spacing w:after="0" w:line="240" w:lineRule="auto"/>
      <w:textAlignment w:val="baseline"/>
    </w:pPr>
    <w:rPr>
      <w:rFonts w:ascii="Liberation Serif" w:eastAsia="SimSun" w:hAnsi="Liberation Serif" w:cs="Arial"/>
      <w:kern w:val="3"/>
      <w:lang w:eastAsia="zh-CN" w:bidi="hi-IN"/>
    </w:rPr>
  </w:style>
  <w:style w:type="paragraph" w:customStyle="1" w:styleId="Textbody">
    <w:name w:val="Text body"/>
    <w:basedOn w:val="Standard"/>
    <w:rsid w:val="00065794"/>
    <w:pPr>
      <w:spacing w:after="140" w:line="288" w:lineRule="auto"/>
    </w:pPr>
  </w:style>
  <w:style w:type="paragraph" w:customStyle="1" w:styleId="TableContents">
    <w:name w:val="Table Contents"/>
    <w:basedOn w:val="Standard"/>
    <w:rsid w:val="00065794"/>
    <w:pPr>
      <w:suppressLineNumbers/>
    </w:pPr>
  </w:style>
  <w:style w:type="character" w:styleId="Hipercze">
    <w:name w:val="Hyperlink"/>
    <w:basedOn w:val="Domylnaczcionkaakapitu"/>
    <w:rsid w:val="00065794"/>
    <w:rPr>
      <w:color w:val="0563C1"/>
      <w:u w:val="single"/>
    </w:rPr>
  </w:style>
  <w:style w:type="paragraph" w:styleId="Tekstdymka">
    <w:name w:val="Balloon Text"/>
    <w:basedOn w:val="Normalny"/>
    <w:link w:val="TekstdymkaZnak"/>
    <w:uiPriority w:val="99"/>
    <w:semiHidden/>
    <w:unhideWhenUsed/>
    <w:rsid w:val="00F50304"/>
    <w:rPr>
      <w:rFonts w:ascii="Segoe UI" w:hAnsi="Segoe UI" w:cs="Mangal"/>
      <w:sz w:val="18"/>
      <w:szCs w:val="16"/>
    </w:rPr>
  </w:style>
  <w:style w:type="character" w:customStyle="1" w:styleId="TekstdymkaZnak">
    <w:name w:val="Tekst dymka Znak"/>
    <w:basedOn w:val="Domylnaczcionkaakapitu"/>
    <w:link w:val="Tekstdymka"/>
    <w:uiPriority w:val="99"/>
    <w:semiHidden/>
    <w:rsid w:val="00F50304"/>
    <w:rPr>
      <w:rFonts w:ascii="Segoe UI" w:eastAsia="SimSun" w:hAnsi="Segoe UI" w:cs="Mangal"/>
      <w:kern w:val="3"/>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1244</Words>
  <Characters>7465</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Jadwiga Supińska</dc:creator>
  <cp:keywords/>
  <dc:description/>
  <cp:lastModifiedBy>PSSE Chorzów - Aneta Adamus</cp:lastModifiedBy>
  <cp:revision>14</cp:revision>
  <cp:lastPrinted>2019-11-14T09:00:00Z</cp:lastPrinted>
  <dcterms:created xsi:type="dcterms:W3CDTF">2019-11-14T08:04:00Z</dcterms:created>
  <dcterms:modified xsi:type="dcterms:W3CDTF">2022-11-18T10:44:00Z</dcterms:modified>
</cp:coreProperties>
</file>