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2FBFA62B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291308">
        <w:rPr>
          <w:b/>
          <w:color w:val="000000"/>
        </w:rPr>
        <w:t>23</w:t>
      </w:r>
      <w:r w:rsidR="008D3591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sierpnia </w:t>
      </w:r>
      <w:r w:rsidR="008D3591">
        <w:rPr>
          <w:b/>
          <w:color w:val="000000"/>
        </w:rPr>
        <w:t xml:space="preserve">2021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 xml:space="preserve">Dz. U., poz. </w:t>
      </w:r>
      <w:r w:rsidR="00291308">
        <w:rPr>
          <w:b/>
        </w:rPr>
        <w:t>1572</w:t>
      </w:r>
      <w:r w:rsidR="00FA13AD">
        <w:rPr>
          <w:b/>
        </w:rPr>
        <w:t>,</w:t>
      </w:r>
      <w:r w:rsidR="00094FA8">
        <w:rPr>
          <w:b/>
        </w:rPr>
        <w:t xml:space="preserve"> z </w:t>
      </w:r>
      <w:proofErr w:type="spellStart"/>
      <w:r w:rsidR="00094FA8">
        <w:rPr>
          <w:b/>
        </w:rPr>
        <w:t>późn</w:t>
      </w:r>
      <w:proofErr w:type="spellEnd"/>
      <w:r w:rsidR="00094FA8">
        <w:rPr>
          <w:b/>
        </w:rPr>
        <w:t>. zm.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77777777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21</w:t>
      </w:r>
      <w:r w:rsidR="00360B7C" w:rsidRPr="003313F2">
        <w:rPr>
          <w:sz w:val="22"/>
          <w:szCs w:val="22"/>
        </w:rPr>
        <w:t>/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22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gruszka </w:t>
            </w:r>
            <w:proofErr w:type="gramStart"/>
            <w:r w:rsidRPr="00987B2F">
              <w:rPr>
                <w:sz w:val="18"/>
                <w:szCs w:val="18"/>
              </w:rPr>
              <w:t>( szt.</w:t>
            </w:r>
            <w:proofErr w:type="gramEnd"/>
            <w:r w:rsidRPr="00987B2F">
              <w:rPr>
                <w:sz w:val="18"/>
                <w:szCs w:val="18"/>
              </w:rPr>
              <w:t xml:space="preserve">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7777777"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77777777"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77777777"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 xml:space="preserve"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</w:t>
      </w:r>
      <w:proofErr w:type="spellStart"/>
      <w:r w:rsidRPr="008574F8">
        <w:rPr>
          <w:color w:val="000000"/>
          <w:sz w:val="22"/>
          <w:szCs w:val="22"/>
        </w:rPr>
        <w:t>późn</w:t>
      </w:r>
      <w:proofErr w:type="spellEnd"/>
      <w:r w:rsidRPr="008574F8">
        <w:rPr>
          <w:color w:val="000000"/>
          <w:sz w:val="22"/>
          <w:szCs w:val="22"/>
        </w:rPr>
        <w:t>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77777777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mleka białego (o pojemności co </w:t>
            </w:r>
            <w:proofErr w:type="gramStart"/>
            <w:r w:rsidRPr="00DD31EE">
              <w:rPr>
                <w:sz w:val="18"/>
                <w:szCs w:val="18"/>
              </w:rPr>
              <w:t>najmniej  0</w:t>
            </w:r>
            <w:proofErr w:type="gramEnd"/>
            <w:r w:rsidRPr="00DD31EE">
              <w:rPr>
                <w:sz w:val="18"/>
                <w:szCs w:val="18"/>
              </w:rPr>
              <w:t>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1A08F5E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64CE1BC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7777777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520C3CA4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2016r.)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10"/>
      <w:footerReference w:type="default" r:id="rId11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77777777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A13AD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A13AD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77777777" w:rsidR="003650F4" w:rsidRPr="00213D8A" w:rsidRDefault="003650F4" w:rsidP="008D3591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2021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7521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04B09B8-92D0-4C65-B1D7-0D8200FEC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DB7EC-7B32-4DF1-8D0C-91F22003D0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229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61</cp:revision>
  <cp:lastPrinted>2020-06-22T06:20:00Z</cp:lastPrinted>
  <dcterms:created xsi:type="dcterms:W3CDTF">2019-06-04T10:22:00Z</dcterms:created>
  <dcterms:modified xsi:type="dcterms:W3CDTF">2022-03-02T10:02:00Z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