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FFBB" w14:textId="50227265" w:rsidR="00B43FC3" w:rsidRPr="00FF410C" w:rsidRDefault="00B43FC3" w:rsidP="006B412B">
      <w:pPr>
        <w:ind w:firstLine="709"/>
        <w:jc w:val="both"/>
        <w:rPr>
          <w:b/>
          <w:bCs/>
          <w:szCs w:val="24"/>
        </w:rPr>
      </w:pPr>
      <w:r>
        <w:rPr>
          <w:b/>
          <w:bCs/>
        </w:rPr>
        <w:t>Appendix 18 Pre-trial proceedings concerning hate crimes</w:t>
      </w:r>
    </w:p>
    <w:p w14:paraId="22D8D2F3" w14:textId="77777777" w:rsidR="00B63007" w:rsidRDefault="00B63007" w:rsidP="006B412B">
      <w:pPr>
        <w:ind w:firstLine="708"/>
        <w:jc w:val="both"/>
        <w:rPr>
          <w:szCs w:val="24"/>
        </w:rPr>
      </w:pPr>
    </w:p>
    <w:p w14:paraId="7D656745" w14:textId="7044FC54" w:rsidR="00B43FC3" w:rsidRPr="00FF410C" w:rsidRDefault="00B43FC3" w:rsidP="006B412B">
      <w:pPr>
        <w:ind w:firstLine="708"/>
        <w:jc w:val="both"/>
        <w:rPr>
          <w:szCs w:val="24"/>
        </w:rPr>
      </w:pPr>
      <w:r>
        <w:t>Statistical figures concerning the number of hate crimes</w:t>
      </w:r>
      <w:r w:rsidR="001B5F71">
        <w:t>.</w:t>
      </w:r>
      <w:r>
        <w:t xml:space="preserve"> </w:t>
      </w:r>
    </w:p>
    <w:p w14:paraId="3637C711" w14:textId="77777777" w:rsidR="00B43FC3" w:rsidRPr="00FF410C" w:rsidRDefault="00B43FC3" w:rsidP="006B412B">
      <w:pPr>
        <w:jc w:val="both"/>
        <w:rPr>
          <w:szCs w:val="24"/>
        </w:rPr>
      </w:pPr>
      <w:r>
        <w:t xml:space="preserve">In </w:t>
      </w:r>
      <w:r>
        <w:rPr>
          <w:b/>
          <w:bCs/>
        </w:rPr>
        <w:t>2019</w:t>
      </w:r>
      <w:r>
        <w:t xml:space="preserve">, public prosecutors conducted or supervised 1,606 pre-trial proceedings concerning the </w:t>
      </w:r>
      <w:proofErr w:type="gramStart"/>
      <w:r>
        <w:t>aforementioned offences</w:t>
      </w:r>
      <w:proofErr w:type="gramEnd"/>
      <w:r>
        <w:t>.</w:t>
      </w:r>
    </w:p>
    <w:p w14:paraId="14DC9A8A" w14:textId="41A7BD89" w:rsidR="00B43FC3" w:rsidRPr="00FF410C" w:rsidRDefault="00B43FC3" w:rsidP="006B412B">
      <w:pPr>
        <w:pStyle w:val="Teksttreci0"/>
        <w:shd w:val="clear" w:color="auto" w:fill="auto"/>
        <w:spacing w:before="0" w:line="240" w:lineRule="auto"/>
        <w:ind w:firstLine="0"/>
        <w:rPr>
          <w:rFonts w:ascii="Times New Roman" w:hAnsi="Times New Roman" w:cs="Times New Roman"/>
          <w:sz w:val="24"/>
          <w:szCs w:val="24"/>
        </w:rPr>
      </w:pPr>
      <w:r>
        <w:rPr>
          <w:rFonts w:ascii="Times New Roman" w:hAnsi="Times New Roman"/>
          <w:sz w:val="24"/>
          <w:szCs w:val="24"/>
        </w:rPr>
        <w:t xml:space="preserve">In </w:t>
      </w:r>
      <w:r>
        <w:rPr>
          <w:rFonts w:ascii="Times New Roman" w:hAnsi="Times New Roman"/>
          <w:b/>
          <w:bCs/>
          <w:sz w:val="24"/>
          <w:szCs w:val="24"/>
        </w:rPr>
        <w:t>2020</w:t>
      </w:r>
      <w:r>
        <w:rPr>
          <w:rFonts w:ascii="Times New Roman" w:hAnsi="Times New Roman"/>
          <w:sz w:val="24"/>
          <w:szCs w:val="24"/>
        </w:rPr>
        <w:t xml:space="preserve">, 1,566 pre-trial proceedings </w:t>
      </w:r>
      <w:r w:rsidR="001B5F71">
        <w:rPr>
          <w:rFonts w:ascii="Times New Roman" w:hAnsi="Times New Roman"/>
          <w:sz w:val="24"/>
          <w:szCs w:val="24"/>
        </w:rPr>
        <w:t>in</w:t>
      </w:r>
      <w:r>
        <w:rPr>
          <w:rFonts w:ascii="Times New Roman" w:hAnsi="Times New Roman"/>
          <w:sz w:val="24"/>
          <w:szCs w:val="24"/>
        </w:rPr>
        <w:t xml:space="preserve"> hate crimes were being conducted or supervised. </w:t>
      </w:r>
    </w:p>
    <w:p w14:paraId="6E215EEC" w14:textId="3B0FB751" w:rsidR="00B43FC3" w:rsidRPr="00FF410C" w:rsidRDefault="00B43FC3" w:rsidP="006B412B">
      <w:pPr>
        <w:pStyle w:val="Teksttreci0"/>
        <w:shd w:val="clear" w:color="auto" w:fill="auto"/>
        <w:spacing w:before="0" w:line="240" w:lineRule="auto"/>
        <w:ind w:firstLine="0"/>
        <w:rPr>
          <w:rFonts w:ascii="Times New Roman" w:hAnsi="Times New Roman" w:cs="Times New Roman"/>
          <w:sz w:val="24"/>
          <w:szCs w:val="24"/>
        </w:rPr>
      </w:pPr>
      <w:r>
        <w:rPr>
          <w:rFonts w:ascii="Times New Roman" w:hAnsi="Times New Roman"/>
          <w:sz w:val="24"/>
          <w:szCs w:val="24"/>
        </w:rPr>
        <w:t xml:space="preserve">In </w:t>
      </w:r>
      <w:r>
        <w:rPr>
          <w:rFonts w:ascii="Times New Roman" w:hAnsi="Times New Roman"/>
          <w:b/>
          <w:bCs/>
          <w:sz w:val="24"/>
          <w:szCs w:val="24"/>
        </w:rPr>
        <w:t>2021</w:t>
      </w:r>
      <w:r>
        <w:rPr>
          <w:rFonts w:ascii="Times New Roman" w:hAnsi="Times New Roman"/>
          <w:sz w:val="24"/>
          <w:szCs w:val="24"/>
        </w:rPr>
        <w:t xml:space="preserve">, 1,603 pre-trial proceedings </w:t>
      </w:r>
      <w:r w:rsidR="001B5F71">
        <w:rPr>
          <w:rFonts w:ascii="Times New Roman" w:hAnsi="Times New Roman"/>
          <w:sz w:val="24"/>
          <w:szCs w:val="24"/>
        </w:rPr>
        <w:t>in</w:t>
      </w:r>
      <w:r>
        <w:rPr>
          <w:rFonts w:ascii="Times New Roman" w:hAnsi="Times New Roman"/>
          <w:sz w:val="24"/>
          <w:szCs w:val="24"/>
        </w:rPr>
        <w:t xml:space="preserve"> hate crimes were being conducted or supervised.</w:t>
      </w:r>
    </w:p>
    <w:p w14:paraId="114365D2" w14:textId="77777777" w:rsidR="00B43FC3" w:rsidRPr="00FF410C" w:rsidRDefault="00B43FC3" w:rsidP="006B412B">
      <w:pPr>
        <w:pStyle w:val="Teksttreci0"/>
        <w:shd w:val="clear" w:color="auto" w:fill="auto"/>
        <w:spacing w:before="0" w:line="240" w:lineRule="auto"/>
        <w:ind w:firstLine="0"/>
        <w:rPr>
          <w:rFonts w:ascii="Times New Roman" w:hAnsi="Times New Roman" w:cs="Times New Roman"/>
          <w:sz w:val="24"/>
          <w:szCs w:val="24"/>
        </w:rPr>
      </w:pPr>
      <w:r>
        <w:rPr>
          <w:rFonts w:ascii="Times New Roman" w:hAnsi="Times New Roman"/>
          <w:sz w:val="24"/>
          <w:szCs w:val="24"/>
        </w:rPr>
        <w:t xml:space="preserve">In </w:t>
      </w:r>
      <w:r>
        <w:rPr>
          <w:rFonts w:ascii="Times New Roman" w:hAnsi="Times New Roman"/>
          <w:b/>
          <w:bCs/>
          <w:sz w:val="24"/>
          <w:szCs w:val="24"/>
        </w:rPr>
        <w:t>2022</w:t>
      </w:r>
      <w:r>
        <w:rPr>
          <w:rFonts w:ascii="Times New Roman" w:hAnsi="Times New Roman"/>
          <w:sz w:val="24"/>
          <w:szCs w:val="24"/>
        </w:rPr>
        <w:t xml:space="preserve">, 1,767 pre-trial proceedings were being conducted or supervised. </w:t>
      </w:r>
    </w:p>
    <w:p w14:paraId="61A5D3EC" w14:textId="0F37371D" w:rsidR="00B43FC3" w:rsidRPr="00FF410C" w:rsidRDefault="00B43FC3" w:rsidP="006B412B">
      <w:pPr>
        <w:jc w:val="both"/>
        <w:rPr>
          <w:szCs w:val="24"/>
        </w:rPr>
      </w:pPr>
      <w:r>
        <w:t xml:space="preserve">In the last four years, proceedings concerning hate crimes constituted ca. 0.14%-0.17% of the total cases registered in public prosecutors’ offices, and this value </w:t>
      </w:r>
      <w:r w:rsidR="001B5F71">
        <w:t>has been</w:t>
      </w:r>
      <w:r>
        <w:t xml:space="preserve"> stable in the respective years (2019-2022). A similar share of hate crime cases in total criminal cases registered in public prosecutors’ offices was noted between 2015 and 2018.</w:t>
      </w:r>
    </w:p>
    <w:p w14:paraId="31BFEC23" w14:textId="2D815115" w:rsidR="00B43FC3" w:rsidRPr="00FF410C" w:rsidRDefault="00B43FC3" w:rsidP="006B412B">
      <w:pPr>
        <w:ind w:firstLine="708"/>
        <w:jc w:val="both"/>
        <w:rPr>
          <w:szCs w:val="24"/>
        </w:rPr>
      </w:pPr>
      <w:r>
        <w:t xml:space="preserve">Furthermore, recent years have seen an increase in the number of cases referred to courts which shows that the prosecution of hate crimes is more effective. </w:t>
      </w:r>
    </w:p>
    <w:p w14:paraId="2AD2C7AB" w14:textId="5449FDCB" w:rsidR="00B43FC3" w:rsidRPr="00FF410C" w:rsidRDefault="00B43FC3" w:rsidP="006B412B">
      <w:pPr>
        <w:ind w:firstLine="708"/>
        <w:jc w:val="both"/>
        <w:rPr>
          <w:szCs w:val="24"/>
        </w:rPr>
      </w:pPr>
      <w:r>
        <w:t xml:space="preserve">In 2019, as regards this category of cases, 363 bills of indictment were filed with the courts, 29 requests to convict without trial (under Article 335 § 1 of the Code of Criminal Procedure), 33 requests to conditionally discontinue the proceedings and 7 requests under Article 324 of the Code of Criminal Procedure. In total, 432 decisions to refer the case to a court constitute 24.65% of cases completed within this period. </w:t>
      </w:r>
    </w:p>
    <w:p w14:paraId="26E82DB8" w14:textId="77777777" w:rsidR="001B5F71" w:rsidRDefault="00B43FC3" w:rsidP="006B412B">
      <w:pPr>
        <w:ind w:firstLine="708"/>
        <w:jc w:val="both"/>
      </w:pPr>
      <w:r>
        <w:t>In 2019, courts sentenced 597 people, conditionally discontinued criminal proceedings for 71 people, and found 25 people not guilty.</w:t>
      </w:r>
    </w:p>
    <w:p w14:paraId="60ED212C" w14:textId="058D2F04" w:rsidR="00B43FC3" w:rsidRPr="00FF410C" w:rsidRDefault="00B43FC3" w:rsidP="006B412B">
      <w:pPr>
        <w:ind w:firstLine="708"/>
        <w:jc w:val="both"/>
        <w:rPr>
          <w:szCs w:val="24"/>
        </w:rPr>
      </w:pPr>
      <w:r>
        <w:t xml:space="preserve">In 2020, as regards this category of cases, 304 bills of indictment were filed with the courts, 19 requests to convict without trial (under Article 335 § 1 of the Code of Criminal Procedure), 44 requests to conditionally discontinue the proceedings and 7 requests under Article 324 of the Code of Criminal Procedure. In total, 374 decisions to refer the case to a court constitute 24.16 % of cases completed within this period. </w:t>
      </w:r>
    </w:p>
    <w:p w14:paraId="041E6F94" w14:textId="31236C74" w:rsidR="00B43FC3" w:rsidRPr="00FF410C" w:rsidRDefault="00B43FC3" w:rsidP="006B412B">
      <w:pPr>
        <w:ind w:firstLine="708"/>
        <w:jc w:val="both"/>
        <w:rPr>
          <w:szCs w:val="24"/>
        </w:rPr>
      </w:pPr>
      <w:r>
        <w:t xml:space="preserve">In 2020, courts sentenced 421 people, conditionally discontinued criminal proceedings for 66 people, and found 11 people not guilty. </w:t>
      </w:r>
    </w:p>
    <w:p w14:paraId="1EAB2509" w14:textId="145159CA" w:rsidR="00B43FC3" w:rsidRPr="00FF410C" w:rsidRDefault="00B43FC3" w:rsidP="006B412B">
      <w:pPr>
        <w:ind w:firstLine="708"/>
        <w:jc w:val="both"/>
        <w:rPr>
          <w:szCs w:val="24"/>
        </w:rPr>
      </w:pPr>
      <w:r>
        <w:t xml:space="preserve">In 2021, as regards this category of cases, 368 bills of indictment were filed with the courts, 22 requests to convict without trial (under Article 335 § 1 of the Code of Criminal Procedure), 65 requests to conditionally discontinue the proceedings and 11 requests under Article 324 of the Code of Criminal Procedure. In total, 466 decisions to refer the case to a court constitute 28.60 % of cases completed within this period. </w:t>
      </w:r>
    </w:p>
    <w:p w14:paraId="26B87A73" w14:textId="77777777" w:rsidR="00B43FC3" w:rsidRPr="00FF410C" w:rsidRDefault="00B43FC3" w:rsidP="006B412B">
      <w:pPr>
        <w:ind w:firstLine="708"/>
        <w:jc w:val="both"/>
        <w:rPr>
          <w:szCs w:val="24"/>
        </w:rPr>
      </w:pPr>
      <w:r>
        <w:t xml:space="preserve">In 2021, courts sentenced 397 people, conditionally discontinued criminal proceedings for 90 people, and found 21 people not guilty. </w:t>
      </w:r>
    </w:p>
    <w:p w14:paraId="0E3E5FC1" w14:textId="0FEE49BE" w:rsidR="00B43FC3" w:rsidRPr="00FF410C" w:rsidRDefault="00B43FC3" w:rsidP="006B412B">
      <w:pPr>
        <w:ind w:firstLine="708"/>
        <w:jc w:val="both"/>
        <w:rPr>
          <w:szCs w:val="24"/>
        </w:rPr>
      </w:pPr>
      <w:r>
        <w:t xml:space="preserve"> In 2022, as regards this category of cases, 371 bills of indictment were filed with the courts, 25 requests to convict without trial (under Article 335 § 1 of the Code of Criminal Procedure), 34 requests to conditionally discontinue the proceedings and 10 requests under Article 324 of the Code of Criminal Procedure. In total, 440 decisions to refer the case to a court constitute 23.55 % of cases completed within this period. </w:t>
      </w:r>
    </w:p>
    <w:p w14:paraId="09EC17A7" w14:textId="77777777" w:rsidR="00B43FC3" w:rsidRPr="00FF410C" w:rsidRDefault="00B43FC3" w:rsidP="006B412B">
      <w:pPr>
        <w:ind w:firstLine="708"/>
        <w:jc w:val="both"/>
        <w:rPr>
          <w:szCs w:val="24"/>
        </w:rPr>
      </w:pPr>
      <w:r>
        <w:t xml:space="preserve">In 2022, courts sentenced 456 people, conditionally discontinued criminal proceedings for 64 people, and found 15 people not guilty. </w:t>
      </w:r>
    </w:p>
    <w:p w14:paraId="41541F69" w14:textId="77777777" w:rsidR="00B43FC3" w:rsidRPr="00FF410C" w:rsidRDefault="00B43FC3" w:rsidP="006B412B">
      <w:pPr>
        <w:ind w:firstLine="708"/>
        <w:jc w:val="both"/>
        <w:rPr>
          <w:szCs w:val="24"/>
        </w:rPr>
      </w:pPr>
    </w:p>
    <w:p w14:paraId="5345CC65" w14:textId="438FA9B5" w:rsidR="00B43FC3" w:rsidRPr="00FF410C" w:rsidRDefault="00B43FC3" w:rsidP="006B412B">
      <w:pPr>
        <w:ind w:firstLine="708"/>
        <w:jc w:val="both"/>
        <w:rPr>
          <w:szCs w:val="24"/>
        </w:rPr>
      </w:pPr>
      <w:r>
        <w:t>Quantitative data concerning criminal proceedings which were discontinue</w:t>
      </w:r>
      <w:r w:rsidR="001B5F71">
        <w:t>d</w:t>
      </w:r>
      <w:r>
        <w:t xml:space="preserve"> due to the failure to identify the perpetrators are as follows: </w:t>
      </w:r>
    </w:p>
    <w:p w14:paraId="37BF22F2" w14:textId="64F8DF67" w:rsidR="00B43FC3" w:rsidRPr="00FF410C" w:rsidRDefault="006B412B" w:rsidP="006B412B">
      <w:pPr>
        <w:ind w:firstLine="708"/>
        <w:jc w:val="both"/>
        <w:rPr>
          <w:szCs w:val="24"/>
        </w:rPr>
      </w:pPr>
      <w:r>
        <w:t>In 2019, due to the failure to identify the perpetrators, 341 proceedings were discontinued, constituting 19.46% of all completed cases.</w:t>
      </w:r>
    </w:p>
    <w:p w14:paraId="3AAC791A" w14:textId="79281A84" w:rsidR="00B43FC3" w:rsidRPr="00FF410C" w:rsidRDefault="00B43FC3" w:rsidP="006B412B">
      <w:pPr>
        <w:ind w:firstLine="708"/>
        <w:jc w:val="both"/>
        <w:rPr>
          <w:szCs w:val="24"/>
        </w:rPr>
      </w:pPr>
      <w:r>
        <w:t>In 2020, public prosecutors discontinued 262 cases in the light of the failure to identify the perpetrators, i.e., 16.92% of all completed cases.</w:t>
      </w:r>
    </w:p>
    <w:p w14:paraId="05AEB676" w14:textId="77777777" w:rsidR="00B43FC3" w:rsidRPr="00FF410C" w:rsidRDefault="00B43FC3" w:rsidP="006B412B">
      <w:pPr>
        <w:ind w:firstLine="708"/>
        <w:jc w:val="both"/>
        <w:rPr>
          <w:szCs w:val="24"/>
        </w:rPr>
      </w:pPr>
      <w:r>
        <w:lastRenderedPageBreak/>
        <w:t xml:space="preserve">In 2021, public prosecutors discontinued 265 cases in the light of the failure to identify the perpetrators, i.e., 16.26 % of all completed cases. </w:t>
      </w:r>
    </w:p>
    <w:p w14:paraId="1A9A8272" w14:textId="77777777" w:rsidR="00B43FC3" w:rsidRPr="00FF410C" w:rsidRDefault="00B43FC3" w:rsidP="006B412B">
      <w:pPr>
        <w:ind w:firstLine="708"/>
        <w:jc w:val="both"/>
        <w:rPr>
          <w:szCs w:val="24"/>
        </w:rPr>
      </w:pPr>
      <w:r>
        <w:t>Finally, in 2022, public prosecutors discontinued 369 cases in the light of the failure to identify the perpetrators, i.e., 19.75 % of all completed cases.</w:t>
      </w:r>
    </w:p>
    <w:p w14:paraId="545742FF" w14:textId="0E87B745" w:rsidR="00B43FC3" w:rsidRPr="00FF410C" w:rsidRDefault="00B43FC3" w:rsidP="006B412B">
      <w:pPr>
        <w:ind w:firstLine="708"/>
        <w:jc w:val="both"/>
        <w:rPr>
          <w:szCs w:val="24"/>
        </w:rPr>
      </w:pPr>
      <w:r>
        <w:t xml:space="preserve"> </w:t>
      </w:r>
      <w:proofErr w:type="gramStart"/>
      <w:r>
        <w:t>The decisive majority of</w:t>
      </w:r>
      <w:proofErr w:type="gramEnd"/>
      <w:r>
        <w:t xml:space="preserve"> the cases falling under this category from 2019 to 2022 were cases concerning the offences under Article 257 of the Criminal Code. </w:t>
      </w:r>
    </w:p>
    <w:p w14:paraId="32B20CE0" w14:textId="5B001B68" w:rsidR="00B43FC3" w:rsidRPr="00FF410C" w:rsidRDefault="006B412B" w:rsidP="006B412B">
      <w:pPr>
        <w:ind w:firstLine="708"/>
        <w:jc w:val="both"/>
        <w:rPr>
          <w:szCs w:val="24"/>
        </w:rPr>
      </w:pPr>
      <w:r>
        <w:t>The following are quantitative data concerning the proceedings in the</w:t>
      </w:r>
      <w:r w:rsidR="001B5F71">
        <w:t>se ca</w:t>
      </w:r>
      <w:r>
        <w:t>ses:</w:t>
      </w:r>
    </w:p>
    <w:p w14:paraId="73A4B7DA" w14:textId="7C73177E" w:rsidR="00B43FC3" w:rsidRPr="00FF410C" w:rsidRDefault="00B43FC3" w:rsidP="006B412B">
      <w:pPr>
        <w:ind w:firstLine="708"/>
        <w:jc w:val="both"/>
        <w:rPr>
          <w:szCs w:val="24"/>
          <w:u w:val="single"/>
        </w:rPr>
      </w:pPr>
      <w:r>
        <w:rPr>
          <w:szCs w:val="24"/>
          <w:u w:val="single"/>
        </w:rPr>
        <w:t xml:space="preserve">Article 257 of the Criminal Code  </w:t>
      </w:r>
    </w:p>
    <w:p w14:paraId="112E152B" w14:textId="07B14594" w:rsidR="00B43FC3" w:rsidRPr="00FF410C" w:rsidRDefault="00B43FC3" w:rsidP="001B5F71">
      <w:pPr>
        <w:ind w:firstLine="708"/>
        <w:jc w:val="both"/>
        <w:rPr>
          <w:szCs w:val="24"/>
        </w:rPr>
      </w:pPr>
      <w:r>
        <w:t xml:space="preserve">In 2019, 569 pre-trial proceedings were </w:t>
      </w:r>
      <w:r w:rsidR="00840186">
        <w:t xml:space="preserve">being </w:t>
      </w:r>
      <w:r>
        <w:t>conducted, out of which 144 ended with filing a bill of indictment, 8 ended with filing a request under Article 335 § 1 of the Criminal Code, 3 ended with filing a request under Article 324 of the Criminal Code, 25 ended with filing a request to conditionally discontinue the proceedings, and 229 were discontinued, including 87 due to the failure to identify the perpetrators. In this period, court</w:t>
      </w:r>
      <w:r w:rsidR="00840186">
        <w:t>s</w:t>
      </w:r>
      <w:r>
        <w:t xml:space="preserve"> sentenced 157 people, conditionally discontinued criminal proceedings for 37 people, and found 2 people not guilty. </w:t>
      </w:r>
    </w:p>
    <w:p w14:paraId="2FEEC68C" w14:textId="241FD35C" w:rsidR="00B43FC3" w:rsidRPr="00FF410C" w:rsidRDefault="00B43FC3" w:rsidP="001B5F71">
      <w:pPr>
        <w:ind w:firstLine="708"/>
        <w:jc w:val="both"/>
        <w:rPr>
          <w:szCs w:val="24"/>
        </w:rPr>
      </w:pPr>
      <w:r>
        <w:t xml:space="preserve">In 2020, 580 pre-trial proceedings were </w:t>
      </w:r>
      <w:r w:rsidR="00840186">
        <w:t xml:space="preserve">being </w:t>
      </w:r>
      <w:r>
        <w:t>conducted, out of which 106 ended with filing a bill of indictment, 8 ended with filing a request under Article 335 § 1 of the Criminal Code, 1 ended with filing a request under Article 324 of the Criminal Code, 24 ended with filing a request to conditionally discontinue the proceedings, and 236 were discontinued, including 87 due to the failure to identify the perpetrators. In this period, court</w:t>
      </w:r>
      <w:r w:rsidR="00753631">
        <w:t>s</w:t>
      </w:r>
      <w:r>
        <w:t xml:space="preserve"> sentenced 96 people, conditionally discontinued criminal proceedings for 33 people, and found 1 pe</w:t>
      </w:r>
      <w:r w:rsidR="00753631">
        <w:t xml:space="preserve">rson </w:t>
      </w:r>
      <w:r>
        <w:t xml:space="preserve">not guilty. </w:t>
      </w:r>
    </w:p>
    <w:p w14:paraId="7643BDFA" w14:textId="62BE3782" w:rsidR="00B43FC3" w:rsidRPr="00FF410C" w:rsidRDefault="00B43FC3" w:rsidP="001B5F71">
      <w:pPr>
        <w:ind w:firstLine="708"/>
        <w:jc w:val="both"/>
        <w:rPr>
          <w:szCs w:val="24"/>
        </w:rPr>
      </w:pPr>
      <w:r>
        <w:t xml:space="preserve">In 2021, 683 pre-trial proceedings were </w:t>
      </w:r>
      <w:r w:rsidR="00840186">
        <w:t xml:space="preserve">being </w:t>
      </w:r>
      <w:r>
        <w:t>conducted, out of which 173 ended with filing a bill of indictment, 10 ended with filing a request under Article 335 § 1 of the Criminal Code, 3 ended with filing a request under Article 324 of the Criminal Code, 43 ended with filing a request to conditionally discontinue the proceedings, and 248 were discontinued, including 94 due to the failure to identify the perpetrators. In this period, court</w:t>
      </w:r>
      <w:r w:rsidR="00753631">
        <w:t>s</w:t>
      </w:r>
      <w:r>
        <w:t xml:space="preserve"> sentenced 137 people, conditionally discontinued criminal proceedings for 44 people, and found 6 people not guilty.</w:t>
      </w:r>
    </w:p>
    <w:p w14:paraId="1FDC06D9" w14:textId="3CB8332C" w:rsidR="00B43FC3" w:rsidRPr="00FF410C" w:rsidRDefault="00B43FC3" w:rsidP="001B5F71">
      <w:pPr>
        <w:ind w:firstLine="708"/>
        <w:jc w:val="both"/>
        <w:rPr>
          <w:szCs w:val="24"/>
        </w:rPr>
      </w:pPr>
      <w:r>
        <w:t xml:space="preserve">In 2022, 784 pre-trial proceedings were </w:t>
      </w:r>
      <w:r w:rsidR="00840186">
        <w:t xml:space="preserve">being </w:t>
      </w:r>
      <w:r>
        <w:t>conducted, out of which 183 ended with filing a bill of indictment, 10 ended with filing a request under Article 335 § 1 of the Criminal Code, 2 ended with filing a request under Article 324 of the Criminal Code, 22 ended with filing a request to conditionally discontinue the proceedings, and 341 were discontinued, including 174 due to the failure to identify the perpetrators. In this period, court</w:t>
      </w:r>
      <w:r w:rsidR="00753631">
        <w:t>s</w:t>
      </w:r>
      <w:r>
        <w:t xml:space="preserve"> sentenced 175 people, conditionally discontinued criminal proceedings for 35 people, and found 4 people not guilty.</w:t>
      </w:r>
    </w:p>
    <w:p w14:paraId="498C0F14" w14:textId="77777777" w:rsidR="00E93BBC" w:rsidRPr="00FF410C" w:rsidRDefault="00E93BBC" w:rsidP="006B412B">
      <w:pPr>
        <w:jc w:val="both"/>
      </w:pPr>
    </w:p>
    <w:sectPr w:rsidR="00E93BBC" w:rsidRPr="00FF41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6530" w14:textId="77777777" w:rsidR="004D5508" w:rsidRDefault="004D5508" w:rsidP="00C822FA">
      <w:r>
        <w:separator/>
      </w:r>
    </w:p>
  </w:endnote>
  <w:endnote w:type="continuationSeparator" w:id="0">
    <w:p w14:paraId="04CC0F2D" w14:textId="77777777" w:rsidR="004D5508" w:rsidRDefault="004D5508" w:rsidP="00C8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C307" w14:textId="77777777" w:rsidR="004D5508" w:rsidRDefault="004D5508" w:rsidP="00C822FA">
      <w:r>
        <w:separator/>
      </w:r>
    </w:p>
  </w:footnote>
  <w:footnote w:type="continuationSeparator" w:id="0">
    <w:p w14:paraId="227C1172" w14:textId="77777777" w:rsidR="004D5508" w:rsidRDefault="004D5508" w:rsidP="00C8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43FC3"/>
    <w:rsid w:val="00011B56"/>
    <w:rsid w:val="000152A4"/>
    <w:rsid w:val="00017C35"/>
    <w:rsid w:val="00023BF9"/>
    <w:rsid w:val="00024008"/>
    <w:rsid w:val="0002611C"/>
    <w:rsid w:val="00032B75"/>
    <w:rsid w:val="00037A2E"/>
    <w:rsid w:val="0004071B"/>
    <w:rsid w:val="00041D29"/>
    <w:rsid w:val="000446D3"/>
    <w:rsid w:val="00045D18"/>
    <w:rsid w:val="00051528"/>
    <w:rsid w:val="00054162"/>
    <w:rsid w:val="00057096"/>
    <w:rsid w:val="0006514F"/>
    <w:rsid w:val="00070843"/>
    <w:rsid w:val="000709C0"/>
    <w:rsid w:val="000732F2"/>
    <w:rsid w:val="0007341A"/>
    <w:rsid w:val="000744AC"/>
    <w:rsid w:val="0008631D"/>
    <w:rsid w:val="00094EDC"/>
    <w:rsid w:val="00097FDE"/>
    <w:rsid w:val="000A3551"/>
    <w:rsid w:val="000A6811"/>
    <w:rsid w:val="000B3848"/>
    <w:rsid w:val="000B59D0"/>
    <w:rsid w:val="000D2E9F"/>
    <w:rsid w:val="000E14E5"/>
    <w:rsid w:val="000E2170"/>
    <w:rsid w:val="000E254D"/>
    <w:rsid w:val="00100A56"/>
    <w:rsid w:val="00101CB1"/>
    <w:rsid w:val="001026FE"/>
    <w:rsid w:val="00103A22"/>
    <w:rsid w:val="00103E64"/>
    <w:rsid w:val="001053F3"/>
    <w:rsid w:val="00115C49"/>
    <w:rsid w:val="00125C11"/>
    <w:rsid w:val="001312A2"/>
    <w:rsid w:val="00134FA5"/>
    <w:rsid w:val="00137FDA"/>
    <w:rsid w:val="00143F82"/>
    <w:rsid w:val="00150046"/>
    <w:rsid w:val="0015354B"/>
    <w:rsid w:val="00155C5C"/>
    <w:rsid w:val="001709BF"/>
    <w:rsid w:val="00173181"/>
    <w:rsid w:val="0017695D"/>
    <w:rsid w:val="0018402D"/>
    <w:rsid w:val="001A26F4"/>
    <w:rsid w:val="001A792C"/>
    <w:rsid w:val="001B5F71"/>
    <w:rsid w:val="001B6C56"/>
    <w:rsid w:val="001C2F7F"/>
    <w:rsid w:val="001C646B"/>
    <w:rsid w:val="001C7BA4"/>
    <w:rsid w:val="001D220A"/>
    <w:rsid w:val="001D6C46"/>
    <w:rsid w:val="001E655B"/>
    <w:rsid w:val="001F3DFF"/>
    <w:rsid w:val="001F6719"/>
    <w:rsid w:val="001F7028"/>
    <w:rsid w:val="00201698"/>
    <w:rsid w:val="00203451"/>
    <w:rsid w:val="00210BD9"/>
    <w:rsid w:val="00217563"/>
    <w:rsid w:val="0022214A"/>
    <w:rsid w:val="00222BC2"/>
    <w:rsid w:val="002319B3"/>
    <w:rsid w:val="00231F00"/>
    <w:rsid w:val="002339C2"/>
    <w:rsid w:val="00233C43"/>
    <w:rsid w:val="002362F6"/>
    <w:rsid w:val="002372DD"/>
    <w:rsid w:val="00244480"/>
    <w:rsid w:val="00247707"/>
    <w:rsid w:val="00255CC2"/>
    <w:rsid w:val="002611A7"/>
    <w:rsid w:val="00262B50"/>
    <w:rsid w:val="00262DDB"/>
    <w:rsid w:val="00276A85"/>
    <w:rsid w:val="00291CE1"/>
    <w:rsid w:val="00296404"/>
    <w:rsid w:val="002A54C1"/>
    <w:rsid w:val="002A6425"/>
    <w:rsid w:val="002A65C5"/>
    <w:rsid w:val="002C1292"/>
    <w:rsid w:val="002C19D3"/>
    <w:rsid w:val="002F2330"/>
    <w:rsid w:val="002F27DE"/>
    <w:rsid w:val="002F6819"/>
    <w:rsid w:val="00300D8B"/>
    <w:rsid w:val="00302AD2"/>
    <w:rsid w:val="003067F8"/>
    <w:rsid w:val="00306947"/>
    <w:rsid w:val="003071C9"/>
    <w:rsid w:val="0031572B"/>
    <w:rsid w:val="0032778B"/>
    <w:rsid w:val="003304BF"/>
    <w:rsid w:val="00332643"/>
    <w:rsid w:val="0033277C"/>
    <w:rsid w:val="00336C83"/>
    <w:rsid w:val="00341D38"/>
    <w:rsid w:val="00344B01"/>
    <w:rsid w:val="003476C4"/>
    <w:rsid w:val="00361434"/>
    <w:rsid w:val="00362F84"/>
    <w:rsid w:val="00363FDE"/>
    <w:rsid w:val="00365C6D"/>
    <w:rsid w:val="0037428F"/>
    <w:rsid w:val="00374FDD"/>
    <w:rsid w:val="0038599A"/>
    <w:rsid w:val="00394C87"/>
    <w:rsid w:val="003C1A97"/>
    <w:rsid w:val="003C749E"/>
    <w:rsid w:val="003E2869"/>
    <w:rsid w:val="003E5DDC"/>
    <w:rsid w:val="003F2654"/>
    <w:rsid w:val="00404C41"/>
    <w:rsid w:val="004051AF"/>
    <w:rsid w:val="00415725"/>
    <w:rsid w:val="00421D49"/>
    <w:rsid w:val="004251B6"/>
    <w:rsid w:val="004252EB"/>
    <w:rsid w:val="00425D1E"/>
    <w:rsid w:val="004316DF"/>
    <w:rsid w:val="004424E4"/>
    <w:rsid w:val="00450B2A"/>
    <w:rsid w:val="00461B63"/>
    <w:rsid w:val="00462CFE"/>
    <w:rsid w:val="00465B65"/>
    <w:rsid w:val="004706DD"/>
    <w:rsid w:val="00473362"/>
    <w:rsid w:val="00477DE9"/>
    <w:rsid w:val="00480233"/>
    <w:rsid w:val="0048454C"/>
    <w:rsid w:val="004845B8"/>
    <w:rsid w:val="00491271"/>
    <w:rsid w:val="00495CC8"/>
    <w:rsid w:val="004A281D"/>
    <w:rsid w:val="004B3728"/>
    <w:rsid w:val="004C424C"/>
    <w:rsid w:val="004C6A38"/>
    <w:rsid w:val="004D1D2D"/>
    <w:rsid w:val="004D5508"/>
    <w:rsid w:val="004E4F07"/>
    <w:rsid w:val="004E7E18"/>
    <w:rsid w:val="00503A33"/>
    <w:rsid w:val="005044F3"/>
    <w:rsid w:val="00504C59"/>
    <w:rsid w:val="00512817"/>
    <w:rsid w:val="00522F07"/>
    <w:rsid w:val="00527723"/>
    <w:rsid w:val="00532FD5"/>
    <w:rsid w:val="00540497"/>
    <w:rsid w:val="00556C5F"/>
    <w:rsid w:val="0056083E"/>
    <w:rsid w:val="00563B70"/>
    <w:rsid w:val="0056782A"/>
    <w:rsid w:val="0057253B"/>
    <w:rsid w:val="005737FB"/>
    <w:rsid w:val="00573970"/>
    <w:rsid w:val="00581573"/>
    <w:rsid w:val="00582FE9"/>
    <w:rsid w:val="00594FD0"/>
    <w:rsid w:val="005952F5"/>
    <w:rsid w:val="005B28FC"/>
    <w:rsid w:val="005C047B"/>
    <w:rsid w:val="005C08A0"/>
    <w:rsid w:val="005C64D5"/>
    <w:rsid w:val="005D5299"/>
    <w:rsid w:val="005D6049"/>
    <w:rsid w:val="005D7462"/>
    <w:rsid w:val="005E414E"/>
    <w:rsid w:val="0060101C"/>
    <w:rsid w:val="0060492E"/>
    <w:rsid w:val="00623BC2"/>
    <w:rsid w:val="00624B72"/>
    <w:rsid w:val="006257EE"/>
    <w:rsid w:val="00636F03"/>
    <w:rsid w:val="0064126B"/>
    <w:rsid w:val="00642A5B"/>
    <w:rsid w:val="006445B4"/>
    <w:rsid w:val="00644BDE"/>
    <w:rsid w:val="0064690D"/>
    <w:rsid w:val="00652BB7"/>
    <w:rsid w:val="0065339B"/>
    <w:rsid w:val="00656F0D"/>
    <w:rsid w:val="00657BE7"/>
    <w:rsid w:val="0066418A"/>
    <w:rsid w:val="00671758"/>
    <w:rsid w:val="006719DC"/>
    <w:rsid w:val="006806C1"/>
    <w:rsid w:val="0068246F"/>
    <w:rsid w:val="00687906"/>
    <w:rsid w:val="00687C13"/>
    <w:rsid w:val="006902A5"/>
    <w:rsid w:val="006A1AF6"/>
    <w:rsid w:val="006A5198"/>
    <w:rsid w:val="006B1A57"/>
    <w:rsid w:val="006B3065"/>
    <w:rsid w:val="006B3131"/>
    <w:rsid w:val="006B412B"/>
    <w:rsid w:val="006D4D8D"/>
    <w:rsid w:val="006E017D"/>
    <w:rsid w:val="006E79E6"/>
    <w:rsid w:val="006F219A"/>
    <w:rsid w:val="006F28AC"/>
    <w:rsid w:val="006F35EE"/>
    <w:rsid w:val="0070374C"/>
    <w:rsid w:val="00704432"/>
    <w:rsid w:val="0070538F"/>
    <w:rsid w:val="0071167F"/>
    <w:rsid w:val="00711C37"/>
    <w:rsid w:val="007224B9"/>
    <w:rsid w:val="00724B4D"/>
    <w:rsid w:val="00732271"/>
    <w:rsid w:val="007338B5"/>
    <w:rsid w:val="00733923"/>
    <w:rsid w:val="0074230E"/>
    <w:rsid w:val="00744F56"/>
    <w:rsid w:val="00753631"/>
    <w:rsid w:val="007573A6"/>
    <w:rsid w:val="00760563"/>
    <w:rsid w:val="007712B5"/>
    <w:rsid w:val="0077225E"/>
    <w:rsid w:val="0078013E"/>
    <w:rsid w:val="00783585"/>
    <w:rsid w:val="0078398C"/>
    <w:rsid w:val="007976F9"/>
    <w:rsid w:val="00797AB5"/>
    <w:rsid w:val="007A0D6E"/>
    <w:rsid w:val="007A1925"/>
    <w:rsid w:val="007B051E"/>
    <w:rsid w:val="007B0AB6"/>
    <w:rsid w:val="007B0BF7"/>
    <w:rsid w:val="007B26A9"/>
    <w:rsid w:val="007B4C77"/>
    <w:rsid w:val="007B604F"/>
    <w:rsid w:val="007B7D3F"/>
    <w:rsid w:val="007C1BCE"/>
    <w:rsid w:val="007C3478"/>
    <w:rsid w:val="007C41A5"/>
    <w:rsid w:val="007D487F"/>
    <w:rsid w:val="007D597C"/>
    <w:rsid w:val="007E4E5E"/>
    <w:rsid w:val="007E5D64"/>
    <w:rsid w:val="007E6A59"/>
    <w:rsid w:val="007F2240"/>
    <w:rsid w:val="007F499D"/>
    <w:rsid w:val="007F6F4A"/>
    <w:rsid w:val="00813B40"/>
    <w:rsid w:val="00814CB3"/>
    <w:rsid w:val="008258FB"/>
    <w:rsid w:val="008365E9"/>
    <w:rsid w:val="00840186"/>
    <w:rsid w:val="0084389C"/>
    <w:rsid w:val="00866B84"/>
    <w:rsid w:val="0087127A"/>
    <w:rsid w:val="00882FC8"/>
    <w:rsid w:val="008936CF"/>
    <w:rsid w:val="00896079"/>
    <w:rsid w:val="008B2D93"/>
    <w:rsid w:val="008B3FE8"/>
    <w:rsid w:val="008C0AF9"/>
    <w:rsid w:val="008C4B24"/>
    <w:rsid w:val="008D55F5"/>
    <w:rsid w:val="008E267A"/>
    <w:rsid w:val="008F2800"/>
    <w:rsid w:val="008F2CAD"/>
    <w:rsid w:val="008F7EE3"/>
    <w:rsid w:val="009029F9"/>
    <w:rsid w:val="009038D0"/>
    <w:rsid w:val="00903C4D"/>
    <w:rsid w:val="009051D6"/>
    <w:rsid w:val="009101EC"/>
    <w:rsid w:val="009143FC"/>
    <w:rsid w:val="00920621"/>
    <w:rsid w:val="00933220"/>
    <w:rsid w:val="00937CC4"/>
    <w:rsid w:val="00937D7A"/>
    <w:rsid w:val="00947684"/>
    <w:rsid w:val="00947DFD"/>
    <w:rsid w:val="009506AB"/>
    <w:rsid w:val="00954128"/>
    <w:rsid w:val="00955E9C"/>
    <w:rsid w:val="00961EAA"/>
    <w:rsid w:val="0097007A"/>
    <w:rsid w:val="00977243"/>
    <w:rsid w:val="009928D6"/>
    <w:rsid w:val="0099696E"/>
    <w:rsid w:val="009A5DDF"/>
    <w:rsid w:val="009B0374"/>
    <w:rsid w:val="009C0E82"/>
    <w:rsid w:val="009C2F82"/>
    <w:rsid w:val="009E3B71"/>
    <w:rsid w:val="009F06DA"/>
    <w:rsid w:val="00A020A7"/>
    <w:rsid w:val="00A206C5"/>
    <w:rsid w:val="00A250F8"/>
    <w:rsid w:val="00A31334"/>
    <w:rsid w:val="00A3565C"/>
    <w:rsid w:val="00A4045B"/>
    <w:rsid w:val="00A446CC"/>
    <w:rsid w:val="00A84178"/>
    <w:rsid w:val="00A84C48"/>
    <w:rsid w:val="00A85F4A"/>
    <w:rsid w:val="00A871D0"/>
    <w:rsid w:val="00AA229E"/>
    <w:rsid w:val="00AA2812"/>
    <w:rsid w:val="00AA637C"/>
    <w:rsid w:val="00AB5164"/>
    <w:rsid w:val="00AB58CB"/>
    <w:rsid w:val="00AC7E1F"/>
    <w:rsid w:val="00AD2675"/>
    <w:rsid w:val="00AD66FA"/>
    <w:rsid w:val="00AD70F9"/>
    <w:rsid w:val="00AE2F18"/>
    <w:rsid w:val="00AF4828"/>
    <w:rsid w:val="00AF7E0A"/>
    <w:rsid w:val="00B01630"/>
    <w:rsid w:val="00B13973"/>
    <w:rsid w:val="00B15FB3"/>
    <w:rsid w:val="00B165B6"/>
    <w:rsid w:val="00B243DE"/>
    <w:rsid w:val="00B43FC3"/>
    <w:rsid w:val="00B44353"/>
    <w:rsid w:val="00B45984"/>
    <w:rsid w:val="00B4645A"/>
    <w:rsid w:val="00B50995"/>
    <w:rsid w:val="00B54BB0"/>
    <w:rsid w:val="00B61896"/>
    <w:rsid w:val="00B63007"/>
    <w:rsid w:val="00B64B1C"/>
    <w:rsid w:val="00B6652B"/>
    <w:rsid w:val="00B723EF"/>
    <w:rsid w:val="00B80345"/>
    <w:rsid w:val="00B95DB5"/>
    <w:rsid w:val="00BA0BD6"/>
    <w:rsid w:val="00BB7708"/>
    <w:rsid w:val="00BC47A4"/>
    <w:rsid w:val="00BD16BA"/>
    <w:rsid w:val="00BD176B"/>
    <w:rsid w:val="00BD4CAA"/>
    <w:rsid w:val="00BD783E"/>
    <w:rsid w:val="00BE1851"/>
    <w:rsid w:val="00BF0101"/>
    <w:rsid w:val="00BF7F30"/>
    <w:rsid w:val="00C05025"/>
    <w:rsid w:val="00C101F1"/>
    <w:rsid w:val="00C31129"/>
    <w:rsid w:val="00C3248B"/>
    <w:rsid w:val="00C40651"/>
    <w:rsid w:val="00C42A86"/>
    <w:rsid w:val="00C44B36"/>
    <w:rsid w:val="00C45276"/>
    <w:rsid w:val="00C47F1A"/>
    <w:rsid w:val="00C54BD4"/>
    <w:rsid w:val="00C640F7"/>
    <w:rsid w:val="00C657CF"/>
    <w:rsid w:val="00C66326"/>
    <w:rsid w:val="00C674A5"/>
    <w:rsid w:val="00C7137F"/>
    <w:rsid w:val="00C71EEF"/>
    <w:rsid w:val="00C7638C"/>
    <w:rsid w:val="00C7676F"/>
    <w:rsid w:val="00C822FA"/>
    <w:rsid w:val="00C8561C"/>
    <w:rsid w:val="00C8760D"/>
    <w:rsid w:val="00C9078B"/>
    <w:rsid w:val="00C93933"/>
    <w:rsid w:val="00C946A8"/>
    <w:rsid w:val="00CA38CF"/>
    <w:rsid w:val="00CA4C80"/>
    <w:rsid w:val="00CB15C4"/>
    <w:rsid w:val="00CC3516"/>
    <w:rsid w:val="00CC3EAE"/>
    <w:rsid w:val="00CC67A2"/>
    <w:rsid w:val="00CD03F5"/>
    <w:rsid w:val="00CE0F6C"/>
    <w:rsid w:val="00CE711C"/>
    <w:rsid w:val="00CF0EE4"/>
    <w:rsid w:val="00CF1695"/>
    <w:rsid w:val="00CF381F"/>
    <w:rsid w:val="00CF5AF7"/>
    <w:rsid w:val="00D00292"/>
    <w:rsid w:val="00D0179C"/>
    <w:rsid w:val="00D01BB6"/>
    <w:rsid w:val="00D0712D"/>
    <w:rsid w:val="00D15BD7"/>
    <w:rsid w:val="00D2723A"/>
    <w:rsid w:val="00D311D3"/>
    <w:rsid w:val="00D32155"/>
    <w:rsid w:val="00D4053A"/>
    <w:rsid w:val="00D44AE2"/>
    <w:rsid w:val="00D45663"/>
    <w:rsid w:val="00D52B49"/>
    <w:rsid w:val="00D7198C"/>
    <w:rsid w:val="00DA26A9"/>
    <w:rsid w:val="00DB3E0A"/>
    <w:rsid w:val="00DB64F1"/>
    <w:rsid w:val="00DB6BD0"/>
    <w:rsid w:val="00DC3261"/>
    <w:rsid w:val="00DC4649"/>
    <w:rsid w:val="00DC5213"/>
    <w:rsid w:val="00DC5CA1"/>
    <w:rsid w:val="00DD4E83"/>
    <w:rsid w:val="00DE034A"/>
    <w:rsid w:val="00DE3BD8"/>
    <w:rsid w:val="00DE6848"/>
    <w:rsid w:val="00DF12D0"/>
    <w:rsid w:val="00DF18F4"/>
    <w:rsid w:val="00DF1BAA"/>
    <w:rsid w:val="00DF2328"/>
    <w:rsid w:val="00E03DC9"/>
    <w:rsid w:val="00E04026"/>
    <w:rsid w:val="00E331A3"/>
    <w:rsid w:val="00E40121"/>
    <w:rsid w:val="00E43021"/>
    <w:rsid w:val="00E467A8"/>
    <w:rsid w:val="00E534EB"/>
    <w:rsid w:val="00E5591D"/>
    <w:rsid w:val="00E56ED3"/>
    <w:rsid w:val="00E60968"/>
    <w:rsid w:val="00E715BB"/>
    <w:rsid w:val="00E72BCC"/>
    <w:rsid w:val="00E8271C"/>
    <w:rsid w:val="00E9374A"/>
    <w:rsid w:val="00E93BBC"/>
    <w:rsid w:val="00EA067A"/>
    <w:rsid w:val="00EA21EE"/>
    <w:rsid w:val="00EA7F33"/>
    <w:rsid w:val="00EB6E4D"/>
    <w:rsid w:val="00EB78AC"/>
    <w:rsid w:val="00EC737B"/>
    <w:rsid w:val="00ED3C77"/>
    <w:rsid w:val="00ED616E"/>
    <w:rsid w:val="00EE105C"/>
    <w:rsid w:val="00EF53D6"/>
    <w:rsid w:val="00F01A5A"/>
    <w:rsid w:val="00F25FEE"/>
    <w:rsid w:val="00F26B0F"/>
    <w:rsid w:val="00F3510E"/>
    <w:rsid w:val="00F4121D"/>
    <w:rsid w:val="00F541FC"/>
    <w:rsid w:val="00F63414"/>
    <w:rsid w:val="00F728AA"/>
    <w:rsid w:val="00F76621"/>
    <w:rsid w:val="00F83548"/>
    <w:rsid w:val="00F96F17"/>
    <w:rsid w:val="00FB24BE"/>
    <w:rsid w:val="00FC1282"/>
    <w:rsid w:val="00FC55A4"/>
    <w:rsid w:val="00FC690D"/>
    <w:rsid w:val="00FC75DD"/>
    <w:rsid w:val="00FE0480"/>
    <w:rsid w:val="00FF3DD1"/>
    <w:rsid w:val="00FF4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5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C3"/>
    <w:pPr>
      <w:spacing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uiPriority w:val="99"/>
    <w:locked/>
    <w:rsid w:val="00B43FC3"/>
    <w:rPr>
      <w:sz w:val="21"/>
      <w:szCs w:val="21"/>
      <w:shd w:val="clear" w:color="auto" w:fill="FFFFFF"/>
    </w:rPr>
  </w:style>
  <w:style w:type="paragraph" w:customStyle="1" w:styleId="Teksttreci0">
    <w:name w:val="Tekst treści"/>
    <w:basedOn w:val="Normalny"/>
    <w:link w:val="Teksttreci"/>
    <w:uiPriority w:val="99"/>
    <w:rsid w:val="00B43FC3"/>
    <w:pPr>
      <w:shd w:val="clear" w:color="auto" w:fill="FFFFFF"/>
      <w:spacing w:before="600" w:line="413" w:lineRule="exact"/>
      <w:ind w:hanging="340"/>
      <w:jc w:val="both"/>
    </w:pPr>
    <w:rPr>
      <w:rFonts w:asciiTheme="minorHAnsi" w:eastAsiaTheme="minorHAnsi" w:hAnsiTheme="minorHAnsi" w:cstheme="minorBidi"/>
      <w:sz w:val="21"/>
      <w:szCs w:val="21"/>
      <w:lang w:eastAsia="en-US"/>
    </w:rPr>
  </w:style>
  <w:style w:type="paragraph" w:styleId="Nagwek">
    <w:name w:val="header"/>
    <w:basedOn w:val="Normalny"/>
    <w:link w:val="NagwekZnak"/>
    <w:uiPriority w:val="99"/>
    <w:unhideWhenUsed/>
    <w:rsid w:val="00C822FA"/>
    <w:pPr>
      <w:tabs>
        <w:tab w:val="center" w:pos="4536"/>
        <w:tab w:val="right" w:pos="9072"/>
      </w:tabs>
    </w:pPr>
  </w:style>
  <w:style w:type="character" w:customStyle="1" w:styleId="NagwekZnak">
    <w:name w:val="Nagłówek Znak"/>
    <w:basedOn w:val="Domylnaczcionkaakapitu"/>
    <w:link w:val="Nagwek"/>
    <w:uiPriority w:val="99"/>
    <w:rsid w:val="00C822FA"/>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C822FA"/>
    <w:pPr>
      <w:tabs>
        <w:tab w:val="center" w:pos="4536"/>
        <w:tab w:val="right" w:pos="9072"/>
      </w:tabs>
    </w:pPr>
  </w:style>
  <w:style w:type="character" w:customStyle="1" w:styleId="StopkaZnak">
    <w:name w:val="Stopka Znak"/>
    <w:basedOn w:val="Domylnaczcionkaakapitu"/>
    <w:link w:val="Stopka"/>
    <w:uiPriority w:val="99"/>
    <w:rsid w:val="00C822FA"/>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5578</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2023-07-11T09:04:00Z</dcterms:created>
  <dcterms:modified xsi:type="dcterms:W3CDTF">2023-08-07T09:43:00Z</dcterms:modified>
</cp:coreProperties>
</file>