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6A1" w:rsidRDefault="007236A1" w:rsidP="007236A1">
      <w:pPr>
        <w:jc w:val="center"/>
        <w:rPr>
          <w:sz w:val="56"/>
          <w:szCs w:val="56"/>
        </w:rPr>
      </w:pPr>
      <w:bookmarkStart w:id="0" w:name="_GoBack"/>
      <w:bookmarkEnd w:id="0"/>
    </w:p>
    <w:p w:rsidR="007236A1" w:rsidRDefault="007236A1" w:rsidP="007236A1">
      <w:pPr>
        <w:jc w:val="center"/>
        <w:rPr>
          <w:sz w:val="56"/>
          <w:szCs w:val="56"/>
        </w:rPr>
      </w:pPr>
    </w:p>
    <w:p w:rsidR="007236A1" w:rsidRDefault="007236A1" w:rsidP="007236A1">
      <w:pPr>
        <w:jc w:val="center"/>
        <w:rPr>
          <w:sz w:val="56"/>
          <w:szCs w:val="56"/>
        </w:rPr>
      </w:pPr>
    </w:p>
    <w:p w:rsidR="007236A1" w:rsidRDefault="007236A1" w:rsidP="007236A1">
      <w:pPr>
        <w:jc w:val="center"/>
        <w:rPr>
          <w:sz w:val="56"/>
          <w:szCs w:val="56"/>
        </w:rPr>
      </w:pPr>
    </w:p>
    <w:p w:rsidR="007236A1" w:rsidRDefault="007236A1" w:rsidP="007236A1">
      <w:pPr>
        <w:jc w:val="center"/>
        <w:rPr>
          <w:sz w:val="56"/>
          <w:szCs w:val="56"/>
        </w:rPr>
      </w:pPr>
    </w:p>
    <w:p w:rsidR="007236A1" w:rsidRPr="007236A1" w:rsidRDefault="007236A1" w:rsidP="007236A1">
      <w:pPr>
        <w:jc w:val="center"/>
        <w:rPr>
          <w:b/>
          <w:bCs/>
          <w:color w:val="000000"/>
          <w:sz w:val="56"/>
          <w:szCs w:val="56"/>
          <w:shd w:val="clear" w:color="auto" w:fill="FFFFFF"/>
        </w:rPr>
      </w:pPr>
      <w:r w:rsidRPr="007236A1">
        <w:rPr>
          <w:sz w:val="56"/>
          <w:szCs w:val="56"/>
        </w:rPr>
        <w:t>Propozycja</w:t>
      </w:r>
      <w:r w:rsidR="00D37F2D" w:rsidRPr="007236A1">
        <w:rPr>
          <w:sz w:val="56"/>
          <w:szCs w:val="56"/>
        </w:rPr>
        <w:t xml:space="preserve"> realizacji</w:t>
      </w:r>
      <w:r w:rsidR="00A9100F">
        <w:rPr>
          <w:sz w:val="56"/>
          <w:szCs w:val="56"/>
        </w:rPr>
        <w:t xml:space="preserve"> przez Polskę </w:t>
      </w:r>
      <w:r w:rsidR="00D37F2D" w:rsidRPr="007236A1">
        <w:rPr>
          <w:sz w:val="56"/>
          <w:szCs w:val="56"/>
        </w:rPr>
        <w:t xml:space="preserve">zaleceń </w:t>
      </w:r>
      <w:r w:rsidR="00D37F2D" w:rsidRPr="007236A1">
        <w:rPr>
          <w:b/>
          <w:bCs/>
          <w:color w:val="000000"/>
          <w:sz w:val="56"/>
          <w:szCs w:val="56"/>
          <w:shd w:val="clear" w:color="auto" w:fill="FFFFFF"/>
        </w:rPr>
        <w:t xml:space="preserve">Komisji </w:t>
      </w:r>
      <w:r w:rsidR="00BF4F7E">
        <w:rPr>
          <w:b/>
          <w:bCs/>
          <w:color w:val="000000"/>
          <w:sz w:val="56"/>
          <w:szCs w:val="56"/>
          <w:shd w:val="clear" w:color="auto" w:fill="FFFFFF"/>
        </w:rPr>
        <w:t xml:space="preserve">Europejskiej </w:t>
      </w:r>
      <w:r w:rsidR="00D37F2D" w:rsidRPr="007236A1">
        <w:rPr>
          <w:b/>
          <w:bCs/>
          <w:color w:val="000000"/>
          <w:sz w:val="56"/>
          <w:szCs w:val="56"/>
          <w:shd w:val="clear" w:color="auto" w:fill="FFFFFF"/>
        </w:rPr>
        <w:t>w sprawie planu strategicznego WPR</w:t>
      </w:r>
    </w:p>
    <w:p w:rsidR="007236A1" w:rsidRDefault="007236A1" w:rsidP="007236A1">
      <w:pPr>
        <w:jc w:val="center"/>
        <w:rPr>
          <w:b/>
          <w:bCs/>
          <w:color w:val="000000"/>
          <w:sz w:val="36"/>
          <w:szCs w:val="36"/>
          <w:shd w:val="clear" w:color="auto" w:fill="FFFFFF"/>
        </w:rPr>
      </w:pPr>
    </w:p>
    <w:p w:rsidR="007236A1" w:rsidRDefault="007236A1" w:rsidP="007236A1">
      <w:pPr>
        <w:jc w:val="center"/>
        <w:rPr>
          <w:b/>
          <w:bCs/>
          <w:color w:val="000000"/>
          <w:sz w:val="36"/>
          <w:szCs w:val="36"/>
          <w:shd w:val="clear" w:color="auto" w:fill="FFFFFF"/>
        </w:rPr>
      </w:pPr>
    </w:p>
    <w:p w:rsidR="007236A1" w:rsidRDefault="007236A1" w:rsidP="007236A1">
      <w:pPr>
        <w:jc w:val="center"/>
        <w:rPr>
          <w:b/>
          <w:bCs/>
          <w:color w:val="000000"/>
          <w:sz w:val="36"/>
          <w:szCs w:val="36"/>
          <w:shd w:val="clear" w:color="auto" w:fill="FFFFFF"/>
        </w:rPr>
      </w:pPr>
    </w:p>
    <w:p w:rsidR="00591E66" w:rsidRDefault="00591E66" w:rsidP="007236A1">
      <w:pPr>
        <w:jc w:val="center"/>
        <w:rPr>
          <w:b/>
          <w:bCs/>
          <w:color w:val="000000"/>
          <w:sz w:val="32"/>
          <w:szCs w:val="32"/>
          <w:shd w:val="clear" w:color="auto" w:fill="FFFFFF"/>
        </w:rPr>
      </w:pPr>
    </w:p>
    <w:p w:rsidR="00355E39" w:rsidRDefault="00355E39" w:rsidP="007236A1">
      <w:pPr>
        <w:jc w:val="center"/>
        <w:rPr>
          <w:b/>
          <w:bCs/>
          <w:color w:val="000000"/>
          <w:sz w:val="32"/>
          <w:szCs w:val="32"/>
          <w:shd w:val="clear" w:color="auto" w:fill="FFFFFF"/>
        </w:rPr>
      </w:pPr>
    </w:p>
    <w:p w:rsidR="00355E39" w:rsidRDefault="00355E39" w:rsidP="007236A1">
      <w:pPr>
        <w:jc w:val="center"/>
        <w:rPr>
          <w:b/>
          <w:bCs/>
          <w:color w:val="000000"/>
          <w:sz w:val="32"/>
          <w:szCs w:val="32"/>
          <w:shd w:val="clear" w:color="auto" w:fill="FFFFFF"/>
        </w:rPr>
      </w:pPr>
    </w:p>
    <w:p w:rsidR="00355E39" w:rsidRDefault="00355E39" w:rsidP="007236A1">
      <w:pPr>
        <w:jc w:val="center"/>
        <w:rPr>
          <w:b/>
          <w:bCs/>
          <w:color w:val="000000"/>
          <w:sz w:val="32"/>
          <w:szCs w:val="32"/>
          <w:shd w:val="clear" w:color="auto" w:fill="FFFFFF"/>
        </w:rPr>
      </w:pPr>
    </w:p>
    <w:p w:rsidR="007236A1" w:rsidRPr="00591E66" w:rsidRDefault="00591E66" w:rsidP="00591E66">
      <w:pPr>
        <w:jc w:val="center"/>
        <w:rPr>
          <w:bCs/>
          <w:color w:val="000000"/>
          <w:sz w:val="24"/>
          <w:szCs w:val="24"/>
          <w:shd w:val="clear" w:color="auto" w:fill="FFFFFF"/>
        </w:rPr>
      </w:pPr>
      <w:r w:rsidRPr="00591E66">
        <w:rPr>
          <w:bCs/>
          <w:color w:val="000000"/>
          <w:sz w:val="24"/>
          <w:szCs w:val="24"/>
          <w:shd w:val="clear" w:color="auto" w:fill="FFFFFF"/>
        </w:rPr>
        <w:t>Warszawa , lipiec 2021</w:t>
      </w:r>
      <w:r w:rsidR="007236A1" w:rsidRPr="00591E66">
        <w:rPr>
          <w:bCs/>
          <w:color w:val="000000"/>
          <w:sz w:val="24"/>
          <w:szCs w:val="24"/>
          <w:shd w:val="clear" w:color="auto" w:fill="FFFFFF"/>
        </w:rPr>
        <w:br w:type="page"/>
      </w:r>
    </w:p>
    <w:p w:rsidR="009E538A" w:rsidRPr="00C31915" w:rsidRDefault="00C31915" w:rsidP="00C31915">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
          <w:bCs/>
          <w:i/>
          <w:noProof/>
        </w:rPr>
      </w:pPr>
      <w:r>
        <w:rPr>
          <w:rFonts w:ascii="Arial Narrow" w:hAnsi="Arial Narrow" w:cs="Times New Roman"/>
          <w:b/>
          <w:bCs/>
          <w:i/>
          <w:noProof/>
        </w:rPr>
        <w:lastRenderedPageBreak/>
        <w:t xml:space="preserve">Rekomendacja </w:t>
      </w:r>
      <w:r w:rsidR="00E37DDB">
        <w:rPr>
          <w:rFonts w:ascii="Arial Narrow" w:hAnsi="Arial Narrow" w:cs="Times New Roman"/>
          <w:b/>
          <w:bCs/>
          <w:i/>
          <w:noProof/>
        </w:rPr>
        <w:t>nr 1</w:t>
      </w:r>
      <w:r>
        <w:rPr>
          <w:rFonts w:ascii="Arial Narrow" w:hAnsi="Arial Narrow" w:cs="Times New Roman"/>
          <w:b/>
          <w:bCs/>
          <w:i/>
          <w:noProof/>
        </w:rPr>
        <w:t xml:space="preserve">: </w:t>
      </w:r>
      <w:r w:rsidR="009E538A" w:rsidRPr="00C31915">
        <w:rPr>
          <w:rFonts w:ascii="Arial Narrow" w:hAnsi="Arial Narrow" w:cs="Times New Roman"/>
          <w:bCs/>
          <w:i/>
          <w:noProof/>
        </w:rPr>
        <w:t>Osiągnięcie większej konkurencyjności i wydajności sektora rolno-spożywczego poprzez wsparcie inwestycji i instrumenty finansowe, z uwzględnieniem rzeczywistych potrzeb, potencjału rozwojowego i wyzwań związanych z większą zrównoważonością.</w:t>
      </w:r>
    </w:p>
    <w:p w:rsidR="00963BF5" w:rsidRPr="00753F91" w:rsidRDefault="00C31915" w:rsidP="00753F91">
      <w:pPr>
        <w:spacing w:after="120" w:line="288" w:lineRule="auto"/>
        <w:jc w:val="both"/>
        <w:rPr>
          <w:rFonts w:ascii="Arial Narrow" w:hAnsi="Arial Narrow"/>
          <w:b/>
          <w:color w:val="000000" w:themeColor="text1"/>
          <w:lang w:eastAsia="pl-PL"/>
        </w:rPr>
      </w:pPr>
      <w:r w:rsidRPr="00302BC1">
        <w:rPr>
          <w:rFonts w:ascii="Arial Narrow" w:hAnsi="Arial Narrow"/>
        </w:rPr>
        <w:t xml:space="preserve">Jednym z kluczowych wyzwań w obszarze konkurencyjności gospodarstw jest niższa, niż w Europie, produktywność i innowacyjność sektora rolno-spożywczego w Polsce. </w:t>
      </w:r>
      <w:r w:rsidR="00924D9E" w:rsidRPr="00753F91">
        <w:rPr>
          <w:rFonts w:ascii="Arial Narrow" w:hAnsi="Arial Narrow"/>
        </w:rPr>
        <w:t xml:space="preserve">Choć wartość wskaźnika produktywności polskich gospodarstw poprawia się, jednak nadal jest on jednym z niższych w UE. Wynika to </w:t>
      </w:r>
      <w:hyperlink r:id="rId8" w:history="1">
        <w:r w:rsidR="00924D9E" w:rsidRPr="00302BC1">
          <w:rPr>
            <w:rFonts w:ascii="Arial Narrow" w:hAnsi="Arial Narrow"/>
          </w:rPr>
          <w:t>m.in</w:t>
        </w:r>
      </w:hyperlink>
      <w:r w:rsidR="00924D9E" w:rsidRPr="00302BC1">
        <w:rPr>
          <w:rFonts w:ascii="Arial Narrow" w:hAnsi="Arial Narrow"/>
        </w:rPr>
        <w:t xml:space="preserve">. z rozdrobnionej struktury gospodarstw rolnych, niskiej produktywności (szczególnie mniejszych gospodarstw), niskiej wydajności pracy oraz </w:t>
      </w:r>
      <w:r w:rsidR="00924D9E" w:rsidRPr="00753F91">
        <w:rPr>
          <w:rFonts w:ascii="Arial Narrow" w:hAnsi="Arial Narrow"/>
        </w:rPr>
        <w:t>małego poziomu współdziałania, co wskazuje na konieczność kontynuacji procesów restrukturyzacji i</w:t>
      </w:r>
      <w:r w:rsidR="00D763F7">
        <w:rPr>
          <w:rFonts w:ascii="Arial Narrow" w:hAnsi="Arial Narrow"/>
        </w:rPr>
        <w:t> </w:t>
      </w:r>
      <w:r w:rsidR="00924D9E" w:rsidRPr="00753F91">
        <w:rPr>
          <w:rFonts w:ascii="Arial Narrow" w:hAnsi="Arial Narrow"/>
        </w:rPr>
        <w:t xml:space="preserve">modernizacji w polskim sektorze rolno-żywnościowym. </w:t>
      </w:r>
      <w:r w:rsidR="00185B9D" w:rsidRPr="00753F91">
        <w:rPr>
          <w:rFonts w:ascii="Arial Narrow" w:hAnsi="Arial Narrow"/>
        </w:rPr>
        <w:t>Warunkiem efektywniejszego wykorzystania zasobów jest poprawa dochodowości pracy w rolnictwie, także w grupie gospodarstw mniejszych, o słabszej orientacji rynkowej. Duże zasoby ziemi, pracy i kapitału stwarzają możliwości rozwoju konkurencyjnej produkcji roślinnej i zwierzęcej, a regionalne zróżnicowanie zasobów umożliwia specjalizację produkcyjną poszczególnych województw. Rozwój produkcji zwierzęcej stworzy możliwość efektywniejszego wykorzystania zasobów pracy a w konsekwencji zwiększenie dochodów gospodarstw rolnych.</w:t>
      </w:r>
      <w:r w:rsidRPr="00753F91">
        <w:rPr>
          <w:rFonts w:ascii="Arial Narrow" w:hAnsi="Arial Narrow"/>
        </w:rPr>
        <w:t xml:space="preserve"> </w:t>
      </w:r>
      <w:r w:rsidR="00185B9D" w:rsidRPr="00753F91">
        <w:rPr>
          <w:rFonts w:ascii="Arial Narrow" w:hAnsi="Arial Narrow"/>
        </w:rPr>
        <w:t xml:space="preserve">Procesy modernizacji polskiego rolnictwa obejmują dwa aspekty: przemiany strukturalne skutkujące wzrostem koncentracji produkcji oraz substytucję pracy kapitałem trwałym. Redukcji zatrudnienia towarzyszą nakłady inwestycyjne w gospodarstwach rolnych. Zwiększają się zasoby kapitału trwałego i następuje wzrost wydajności pracy, która nadal jest znacznie niższa niż w średnio w UE, co wskazuje na konieczność kontynuacji procesów restrukturyzacji i modernizacji w polskim sektorze rolno-żywnościowym. </w:t>
      </w:r>
      <w:r w:rsidRPr="00753F91">
        <w:rPr>
          <w:rFonts w:ascii="Arial Narrow" w:hAnsi="Arial Narrow"/>
        </w:rPr>
        <w:t>Z</w:t>
      </w:r>
      <w:r w:rsidR="00D763F7">
        <w:rPr>
          <w:rFonts w:ascii="Arial Narrow" w:hAnsi="Arial Narrow"/>
        </w:rPr>
        <w:t> </w:t>
      </w:r>
      <w:r w:rsidRPr="00753F91">
        <w:rPr>
          <w:rFonts w:ascii="Arial Narrow" w:hAnsi="Arial Narrow"/>
        </w:rPr>
        <w:t>tego powodu w Planie zamierzamy dostosować instrumenty do poszczególnych grup gospodarstw.</w:t>
      </w:r>
      <w:r w:rsidR="00BE4173" w:rsidRPr="00753F91">
        <w:rPr>
          <w:rFonts w:ascii="Arial Narrow" w:hAnsi="Arial Narrow"/>
        </w:rPr>
        <w:t xml:space="preserve"> </w:t>
      </w:r>
      <w:r w:rsidR="00F10F80" w:rsidRPr="00753F91">
        <w:rPr>
          <w:rFonts w:ascii="Arial Narrow" w:hAnsi="Arial Narrow"/>
        </w:rPr>
        <w:t xml:space="preserve">Gospodarstwa do 25 tys. euro standardowej produkcji będą objęte wsparciem </w:t>
      </w:r>
      <w:r w:rsidR="003D350F" w:rsidRPr="00753F91">
        <w:rPr>
          <w:rFonts w:ascii="Arial Narrow" w:hAnsi="Arial Narrow"/>
        </w:rPr>
        <w:t xml:space="preserve">w formie ryczałtu </w:t>
      </w:r>
      <w:r w:rsidR="00115359" w:rsidRPr="00753F91">
        <w:rPr>
          <w:rFonts w:ascii="Arial Narrow" w:hAnsi="Arial Narrow"/>
        </w:rPr>
        <w:t>[</w:t>
      </w:r>
      <w:r w:rsidR="00115359" w:rsidRPr="00753F91">
        <w:rPr>
          <w:rFonts w:ascii="Arial Narrow" w:hAnsi="Arial Narrow"/>
          <w:i/>
        </w:rPr>
        <w:t>Rozwój małych gospodarstw</w:t>
      </w:r>
      <w:r w:rsidR="00115359" w:rsidRPr="00753F91">
        <w:rPr>
          <w:rFonts w:ascii="Arial Narrow" w:hAnsi="Arial Narrow"/>
        </w:rPr>
        <w:t xml:space="preserve">], </w:t>
      </w:r>
      <w:r w:rsidR="003D350F" w:rsidRPr="00753F91">
        <w:rPr>
          <w:rFonts w:ascii="Arial Narrow" w:hAnsi="Arial Narrow"/>
        </w:rPr>
        <w:t>a</w:t>
      </w:r>
      <w:r w:rsidR="00D763F7">
        <w:rPr>
          <w:rFonts w:ascii="Arial Narrow" w:hAnsi="Arial Narrow"/>
        </w:rPr>
        <w:t> </w:t>
      </w:r>
      <w:r w:rsidR="003D350F" w:rsidRPr="00302BC1">
        <w:rPr>
          <w:rFonts w:ascii="Arial Narrow" w:hAnsi="Arial Narrow"/>
        </w:rPr>
        <w:t>także i</w:t>
      </w:r>
      <w:r w:rsidR="003D350F" w:rsidRPr="00753F91">
        <w:rPr>
          <w:rFonts w:ascii="Arial Narrow" w:hAnsi="Arial Narrow"/>
        </w:rPr>
        <w:t xml:space="preserve">nstrumentu finansowego – gwarancje wraz </w:t>
      </w:r>
      <w:r w:rsidR="00924D9E" w:rsidRPr="00753F91">
        <w:rPr>
          <w:rFonts w:ascii="Arial Narrow" w:hAnsi="Arial Narrow"/>
        </w:rPr>
        <w:t xml:space="preserve">z </w:t>
      </w:r>
      <w:r w:rsidR="003D350F" w:rsidRPr="00753F91">
        <w:rPr>
          <w:rFonts w:ascii="Arial Narrow" w:hAnsi="Arial Narrow"/>
        </w:rPr>
        <w:t>dotacjami na spłatę odsetek</w:t>
      </w:r>
      <w:r w:rsidR="00115359" w:rsidRPr="00753F91">
        <w:rPr>
          <w:rFonts w:ascii="Arial Narrow" w:hAnsi="Arial Narrow"/>
        </w:rPr>
        <w:t xml:space="preserve"> [</w:t>
      </w:r>
      <w:bookmarkStart w:id="1" w:name="_Toc77474310"/>
      <w:r w:rsidR="00115359" w:rsidRPr="00753F91">
        <w:rPr>
          <w:rFonts w:ascii="Arial Narrow" w:hAnsi="Arial Narrow"/>
          <w:i/>
        </w:rPr>
        <w:t>Inwestycje w</w:t>
      </w:r>
      <w:r w:rsidR="00D763F7">
        <w:rPr>
          <w:rFonts w:ascii="Arial Narrow" w:hAnsi="Arial Narrow"/>
          <w:i/>
        </w:rPr>
        <w:t> </w:t>
      </w:r>
      <w:r w:rsidR="00115359" w:rsidRPr="00753F91">
        <w:rPr>
          <w:rFonts w:ascii="Arial Narrow" w:hAnsi="Arial Narrow"/>
          <w:i/>
        </w:rPr>
        <w:t>gospodarstwach rolnych zwiększające konkurencyjność - Instrumenty finansowe</w:t>
      </w:r>
      <w:bookmarkEnd w:id="1"/>
      <w:r w:rsidR="00115359" w:rsidRPr="00753F91">
        <w:rPr>
          <w:rFonts w:ascii="Arial Narrow" w:hAnsi="Arial Narrow"/>
          <w:color w:val="000000" w:themeColor="text1"/>
          <w:lang w:eastAsia="pl-PL"/>
        </w:rPr>
        <w:t>]</w:t>
      </w:r>
      <w:r w:rsidR="003D350F" w:rsidRPr="00302BC1">
        <w:rPr>
          <w:rFonts w:ascii="Arial Narrow" w:hAnsi="Arial Narrow"/>
        </w:rPr>
        <w:t xml:space="preserve">. </w:t>
      </w:r>
      <w:r w:rsidR="003B1B97" w:rsidRPr="00302BC1">
        <w:rPr>
          <w:rFonts w:ascii="Arial Narrow" w:hAnsi="Arial Narrow"/>
        </w:rPr>
        <w:t>Pozwoli to na większe zorientowani</w:t>
      </w:r>
      <w:r w:rsidR="00871C59" w:rsidRPr="00753F91">
        <w:rPr>
          <w:rFonts w:ascii="Arial Narrow" w:hAnsi="Arial Narrow"/>
        </w:rPr>
        <w:t>e</w:t>
      </w:r>
      <w:r w:rsidR="003B1B97" w:rsidRPr="00753F91">
        <w:rPr>
          <w:rFonts w:ascii="Arial Narrow" w:hAnsi="Arial Narrow"/>
        </w:rPr>
        <w:t xml:space="preserve"> na rynek i wzmocnienie ich konkurencyjności. </w:t>
      </w:r>
      <w:r w:rsidR="005D17D2" w:rsidRPr="00753F91">
        <w:rPr>
          <w:rFonts w:ascii="Arial Narrow" w:hAnsi="Arial Narrow"/>
        </w:rPr>
        <w:t>I</w:t>
      </w:r>
      <w:r w:rsidR="00676386" w:rsidRPr="00753F91">
        <w:rPr>
          <w:rFonts w:ascii="Arial Narrow" w:hAnsi="Arial Narrow"/>
        </w:rPr>
        <w:t>stotnym czynnikiem rozwoj</w:t>
      </w:r>
      <w:r w:rsidR="005970D9" w:rsidRPr="00753F91">
        <w:rPr>
          <w:rFonts w:ascii="Arial Narrow" w:hAnsi="Arial Narrow"/>
        </w:rPr>
        <w:t>ow</w:t>
      </w:r>
      <w:r w:rsidR="005D17D2" w:rsidRPr="00753F91">
        <w:rPr>
          <w:rFonts w:ascii="Arial Narrow" w:hAnsi="Arial Narrow"/>
        </w:rPr>
        <w:t>ym</w:t>
      </w:r>
      <w:r w:rsidR="00676386" w:rsidRPr="00753F91">
        <w:rPr>
          <w:rFonts w:ascii="Arial Narrow" w:hAnsi="Arial Narrow"/>
        </w:rPr>
        <w:t xml:space="preserve"> mniejszych ekonomicznie jednostek jest </w:t>
      </w:r>
      <w:r w:rsidR="0029403E" w:rsidRPr="00753F91">
        <w:rPr>
          <w:rFonts w:ascii="Arial Narrow" w:hAnsi="Arial Narrow"/>
        </w:rPr>
        <w:t>wprowadzanie produktów na rynek w ramach tzw. krótkiego łańcucha dostaw (RHD, sprzedaż bezpośrednia, dostawy bezpośrednie)</w:t>
      </w:r>
      <w:r w:rsidR="005D17D2" w:rsidRPr="00753F91">
        <w:rPr>
          <w:rFonts w:ascii="Arial Narrow" w:hAnsi="Arial Narrow"/>
        </w:rPr>
        <w:t xml:space="preserve"> z tego powodu </w:t>
      </w:r>
      <w:r w:rsidR="0029403E" w:rsidRPr="00753F91">
        <w:rPr>
          <w:rFonts w:ascii="Arial Narrow" w:hAnsi="Arial Narrow"/>
        </w:rPr>
        <w:t xml:space="preserve">interwencja </w:t>
      </w:r>
      <w:r w:rsidR="005970D9" w:rsidRPr="00753F91">
        <w:rPr>
          <w:rFonts w:ascii="Arial Narrow" w:hAnsi="Arial Narrow"/>
          <w:i/>
        </w:rPr>
        <w:t>R</w:t>
      </w:r>
      <w:r w:rsidR="0029403E" w:rsidRPr="00753F91">
        <w:rPr>
          <w:rFonts w:ascii="Arial Narrow" w:hAnsi="Arial Narrow"/>
          <w:i/>
        </w:rPr>
        <w:t>ozwój mał</w:t>
      </w:r>
      <w:r w:rsidR="005970D9" w:rsidRPr="00753F91">
        <w:rPr>
          <w:rFonts w:ascii="Arial Narrow" w:hAnsi="Arial Narrow"/>
          <w:i/>
        </w:rPr>
        <w:t>ych gospodarstw</w:t>
      </w:r>
      <w:r w:rsidR="005970D9" w:rsidRPr="00753F91">
        <w:rPr>
          <w:rFonts w:ascii="Arial Narrow" w:hAnsi="Arial Narrow"/>
        </w:rPr>
        <w:t xml:space="preserve"> </w:t>
      </w:r>
      <w:r w:rsidR="005D17D2" w:rsidRPr="00753F91">
        <w:rPr>
          <w:rFonts w:ascii="Arial Narrow" w:hAnsi="Arial Narrow"/>
        </w:rPr>
        <w:t>głównie została ukierunkowana na to zagadnienie</w:t>
      </w:r>
      <w:r w:rsidR="005970D9" w:rsidRPr="00753F91">
        <w:rPr>
          <w:rFonts w:ascii="Arial Narrow" w:hAnsi="Arial Narrow"/>
        </w:rPr>
        <w:t xml:space="preserve">. </w:t>
      </w:r>
      <w:r w:rsidR="005D17D2" w:rsidRPr="00753F91">
        <w:rPr>
          <w:rFonts w:ascii="Arial Narrow" w:hAnsi="Arial Narrow"/>
        </w:rPr>
        <w:t xml:space="preserve">Jednocześnie przewiduje się </w:t>
      </w:r>
      <w:r w:rsidR="00B86A48" w:rsidRPr="00753F91">
        <w:rPr>
          <w:rFonts w:ascii="Arial Narrow" w:hAnsi="Arial Narrow"/>
        </w:rPr>
        <w:t>pre</w:t>
      </w:r>
      <w:r w:rsidR="00B86A48" w:rsidRPr="00753F91">
        <w:rPr>
          <w:rFonts w:ascii="Arial Narrow" w:hAnsi="Arial Narrow"/>
        </w:rPr>
        <w:lastRenderedPageBreak/>
        <w:t>fer</w:t>
      </w:r>
      <w:r w:rsidR="005D17D2" w:rsidRPr="00753F91">
        <w:rPr>
          <w:rFonts w:ascii="Arial Narrow" w:hAnsi="Arial Narrow"/>
        </w:rPr>
        <w:t xml:space="preserve">encje dla </w:t>
      </w:r>
      <w:r w:rsidR="00B86A48" w:rsidRPr="00753F91">
        <w:rPr>
          <w:rFonts w:ascii="Arial Narrow" w:hAnsi="Arial Narrow"/>
        </w:rPr>
        <w:t>projekt</w:t>
      </w:r>
      <w:r w:rsidR="005D17D2" w:rsidRPr="00753F91">
        <w:rPr>
          <w:rFonts w:ascii="Arial Narrow" w:hAnsi="Arial Narrow"/>
        </w:rPr>
        <w:t xml:space="preserve">ów dotyczących </w:t>
      </w:r>
      <w:r w:rsidR="00E511AD" w:rsidRPr="00753F91">
        <w:rPr>
          <w:rFonts w:ascii="Arial Narrow" w:hAnsi="Arial Narrow"/>
        </w:rPr>
        <w:t>rozwoju</w:t>
      </w:r>
      <w:r w:rsidR="00B86A48" w:rsidRPr="00753F91">
        <w:rPr>
          <w:rFonts w:ascii="Arial Narrow" w:hAnsi="Arial Narrow"/>
        </w:rPr>
        <w:t xml:space="preserve"> produkcji żywności w systemach jakości.</w:t>
      </w:r>
      <w:r w:rsidR="009E49DD" w:rsidRPr="00753F91">
        <w:rPr>
          <w:rFonts w:ascii="Arial Narrow" w:hAnsi="Arial Narrow"/>
        </w:rPr>
        <w:t xml:space="preserve"> Dla gospodarstw powyżej 25 tys. euro standardowej produkcji przewidziano wsparcie w</w:t>
      </w:r>
      <w:r w:rsidR="00D763F7">
        <w:rPr>
          <w:rFonts w:ascii="Arial Narrow" w:hAnsi="Arial Narrow"/>
        </w:rPr>
        <w:t> </w:t>
      </w:r>
      <w:r w:rsidR="009E49DD" w:rsidRPr="00753F91">
        <w:rPr>
          <w:rFonts w:ascii="Arial Narrow" w:hAnsi="Arial Narrow"/>
        </w:rPr>
        <w:t xml:space="preserve">formie dotacji </w:t>
      </w:r>
      <w:r w:rsidR="00E511AD" w:rsidRPr="00753F91">
        <w:rPr>
          <w:rFonts w:ascii="Arial Narrow" w:hAnsi="Arial Narrow"/>
        </w:rPr>
        <w:t xml:space="preserve">(jednostki do 250 tys. euro) </w:t>
      </w:r>
      <w:r w:rsidR="009E49DD" w:rsidRPr="00753F91">
        <w:rPr>
          <w:rFonts w:ascii="Arial Narrow" w:hAnsi="Arial Narrow"/>
        </w:rPr>
        <w:t xml:space="preserve">oraz instrumentów finansowych </w:t>
      </w:r>
      <w:r w:rsidR="00E511AD" w:rsidRPr="00753F91">
        <w:rPr>
          <w:rFonts w:ascii="Arial Narrow" w:hAnsi="Arial Narrow"/>
        </w:rPr>
        <w:t xml:space="preserve">bez limitu wielkości ekonomicznej. Przy czym większe zrównoważenie zostanie osiągnięte poprzez odpowiednie ukierunkowanie interwencji </w:t>
      </w:r>
      <w:r w:rsidR="00E511AD" w:rsidRPr="00753F91">
        <w:rPr>
          <w:rFonts w:ascii="Arial Narrow" w:hAnsi="Arial Narrow"/>
          <w:i/>
        </w:rPr>
        <w:t xml:space="preserve">Inwestycje w gospodarstwach rolnych zwiększające konkurencyjność (dotacje) </w:t>
      </w:r>
      <w:r w:rsidR="00E511AD" w:rsidRPr="00753F91">
        <w:rPr>
          <w:rFonts w:ascii="Arial Narrow" w:hAnsi="Arial Narrow"/>
        </w:rPr>
        <w:t>na cele związane z produkcją ekologiczną (</w:t>
      </w:r>
      <w:r w:rsidR="00E511AD" w:rsidRPr="00753F91">
        <w:rPr>
          <w:rFonts w:ascii="Arial Narrow" w:hAnsi="Arial Narrow"/>
          <w:i/>
        </w:rPr>
        <w:t>jedne</w:t>
      </w:r>
      <w:r w:rsidR="00924D9E" w:rsidRPr="00753F91">
        <w:rPr>
          <w:rFonts w:ascii="Arial Narrow" w:hAnsi="Arial Narrow"/>
          <w:i/>
        </w:rPr>
        <w:t>go</w:t>
      </w:r>
      <w:r w:rsidR="00E511AD" w:rsidRPr="00753F91">
        <w:rPr>
          <w:rFonts w:ascii="Arial Narrow" w:hAnsi="Arial Narrow"/>
          <w:i/>
        </w:rPr>
        <w:t xml:space="preserve"> z możliwych kierunków wsparcia</w:t>
      </w:r>
      <w:r w:rsidR="00E511AD" w:rsidRPr="00302BC1">
        <w:rPr>
          <w:rFonts w:ascii="Arial Narrow" w:hAnsi="Arial Narrow"/>
        </w:rPr>
        <w:t>) oraz produkcję zwierzęc</w:t>
      </w:r>
      <w:r w:rsidR="006763F3" w:rsidRPr="00302BC1">
        <w:rPr>
          <w:rFonts w:ascii="Arial Narrow" w:hAnsi="Arial Narrow"/>
        </w:rPr>
        <w:t xml:space="preserve">ą gdzie konieczne jest wprowadzanie zmian organizacyjnych (np. </w:t>
      </w:r>
      <w:r w:rsidR="004275F5" w:rsidRPr="00753F91">
        <w:rPr>
          <w:rFonts w:ascii="Arial Narrow" w:hAnsi="Arial Narrow"/>
        </w:rPr>
        <w:t xml:space="preserve">zmniejszenie nakładów pracy wynikające ze zmian na rynku pracy) </w:t>
      </w:r>
      <w:r w:rsidR="006763F3" w:rsidRPr="00753F91">
        <w:rPr>
          <w:rFonts w:ascii="Arial Narrow" w:hAnsi="Arial Narrow"/>
        </w:rPr>
        <w:t xml:space="preserve">czy </w:t>
      </w:r>
      <w:r w:rsidR="00E511AD" w:rsidRPr="00753F91">
        <w:rPr>
          <w:rFonts w:ascii="Arial Narrow" w:hAnsi="Arial Narrow"/>
          <w:color w:val="000000" w:themeColor="text1"/>
        </w:rPr>
        <w:t xml:space="preserve">stosowania </w:t>
      </w:r>
      <w:r w:rsidR="004275F5" w:rsidRPr="00753F91">
        <w:rPr>
          <w:rFonts w:ascii="Arial Narrow" w:hAnsi="Arial Narrow"/>
          <w:color w:val="000000" w:themeColor="text1"/>
        </w:rPr>
        <w:t>niskoemisyjnych technologii.</w:t>
      </w:r>
      <w:r w:rsidR="00F078C9" w:rsidRPr="00753F91">
        <w:rPr>
          <w:rFonts w:ascii="Arial Narrow" w:hAnsi="Arial Narrow"/>
          <w:color w:val="000000" w:themeColor="text1"/>
        </w:rPr>
        <w:t xml:space="preserve"> </w:t>
      </w:r>
      <w:r w:rsidR="00963BF5" w:rsidRPr="00753F91">
        <w:rPr>
          <w:rFonts w:ascii="Arial Narrow" w:hAnsi="Arial Narrow"/>
        </w:rPr>
        <w:t xml:space="preserve">Z kolei w ramach </w:t>
      </w:r>
      <w:r w:rsidR="00963BF5" w:rsidRPr="00753F91">
        <w:rPr>
          <w:rFonts w:ascii="Arial Narrow" w:hAnsi="Arial Narrow"/>
          <w:i/>
        </w:rPr>
        <w:t>Inwestycji w gospodarstwach rolnych zwiększających konkurencyjność - instrumenty finansowe</w:t>
      </w:r>
      <w:r w:rsidR="00963BF5" w:rsidRPr="00753F91">
        <w:rPr>
          <w:rFonts w:ascii="Arial Narrow" w:hAnsi="Arial Narrow"/>
        </w:rPr>
        <w:t xml:space="preserve"> kiedy zakres projektu będzie przyczyniał się do ochrony środowiska i</w:t>
      </w:r>
      <w:r w:rsidR="00D763F7">
        <w:rPr>
          <w:rFonts w:ascii="Arial Narrow" w:hAnsi="Arial Narrow"/>
        </w:rPr>
        <w:t> </w:t>
      </w:r>
      <w:r w:rsidR="00963BF5" w:rsidRPr="00753F91">
        <w:rPr>
          <w:rFonts w:ascii="Arial Narrow" w:hAnsi="Arial Narrow"/>
        </w:rPr>
        <w:t>klimatu przewidziano większą intensywność pomocy.</w:t>
      </w:r>
      <w:r w:rsidR="003D542D" w:rsidRPr="00753F91">
        <w:rPr>
          <w:rFonts w:ascii="Arial Narrow" w:hAnsi="Arial Narrow"/>
        </w:rPr>
        <w:t xml:space="preserve"> Jednocześnie gospodarstwa powyżej 25 tys</w:t>
      </w:r>
      <w:r w:rsidR="008D1766" w:rsidRPr="00753F91">
        <w:rPr>
          <w:rFonts w:ascii="Arial Narrow" w:hAnsi="Arial Narrow"/>
        </w:rPr>
        <w:t>.</w:t>
      </w:r>
      <w:r w:rsidR="003D542D" w:rsidRPr="00753F91">
        <w:rPr>
          <w:rFonts w:ascii="Arial Narrow" w:hAnsi="Arial Narrow"/>
        </w:rPr>
        <w:t xml:space="preserve"> euro standardowej produkcji mogą otrzymać wsparcie na </w:t>
      </w:r>
      <w:bookmarkStart w:id="2" w:name="_Toc77548840"/>
      <w:r w:rsidR="003D542D" w:rsidRPr="00753F91">
        <w:rPr>
          <w:rFonts w:ascii="Arial Narrow" w:hAnsi="Arial Narrow"/>
          <w:i/>
          <w:color w:val="000000" w:themeColor="text1"/>
          <w:lang w:eastAsia="pl-PL"/>
        </w:rPr>
        <w:t xml:space="preserve">Rozwój współpracy w ramach łańcucha wartości (dotacja) </w:t>
      </w:r>
      <w:r w:rsidR="00D763F7">
        <w:rPr>
          <w:rFonts w:ascii="Arial Narrow" w:hAnsi="Arial Narrow"/>
          <w:i/>
          <w:color w:val="000000" w:themeColor="text1"/>
          <w:lang w:eastAsia="pl-PL"/>
        </w:rPr>
        <w:t>–</w:t>
      </w:r>
      <w:r w:rsidR="003D542D" w:rsidRPr="00753F91">
        <w:rPr>
          <w:rFonts w:ascii="Arial Narrow" w:hAnsi="Arial Narrow"/>
          <w:i/>
          <w:color w:val="000000" w:themeColor="text1"/>
          <w:lang w:eastAsia="pl-PL"/>
        </w:rPr>
        <w:t xml:space="preserve"> w</w:t>
      </w:r>
      <w:r w:rsidR="00D763F7">
        <w:rPr>
          <w:rFonts w:ascii="Arial Narrow" w:hAnsi="Arial Narrow"/>
          <w:i/>
          <w:color w:val="000000" w:themeColor="text1"/>
          <w:lang w:eastAsia="pl-PL"/>
        </w:rPr>
        <w:t> </w:t>
      </w:r>
      <w:r w:rsidR="003D542D" w:rsidRPr="00753F91">
        <w:rPr>
          <w:rFonts w:ascii="Arial Narrow" w:hAnsi="Arial Narrow"/>
          <w:i/>
          <w:color w:val="000000" w:themeColor="text1"/>
          <w:lang w:eastAsia="pl-PL"/>
        </w:rPr>
        <w:t>gospodarstwie</w:t>
      </w:r>
      <w:bookmarkEnd w:id="2"/>
      <w:r w:rsidR="003D542D" w:rsidRPr="00753F91">
        <w:rPr>
          <w:rFonts w:ascii="Arial Narrow" w:hAnsi="Arial Narrow"/>
        </w:rPr>
        <w:t xml:space="preserve">, kiedy operacja jest realizowana w ramach rolniczego handlu detalicznego. </w:t>
      </w:r>
      <w:r w:rsidR="00924D9E" w:rsidRPr="00753F91">
        <w:rPr>
          <w:rFonts w:ascii="Arial Narrow" w:hAnsi="Arial Narrow"/>
        </w:rPr>
        <w:t xml:space="preserve">Zakłada się że </w:t>
      </w:r>
      <w:r w:rsidR="00924D9E" w:rsidRPr="00753F91">
        <w:rPr>
          <w:rFonts w:ascii="Arial Narrow" w:eastAsia="Arial Narrow" w:hAnsi="Arial Narrow" w:cs="Arial Narrow"/>
        </w:rPr>
        <w:t>wsparcie tego procesu wpłynie na jeszcze większe urynkowienie tych jednostek oraz na dywersyfikację i skracanie etapów łańcucha żywnościowego.</w:t>
      </w:r>
    </w:p>
    <w:p w:rsidR="00957170" w:rsidRPr="00753F91" w:rsidRDefault="00957170" w:rsidP="00753F91">
      <w:pPr>
        <w:spacing w:after="120" w:line="288" w:lineRule="auto"/>
        <w:jc w:val="both"/>
        <w:rPr>
          <w:rFonts w:ascii="Arial Narrow" w:hAnsi="Arial Narrow"/>
        </w:rPr>
      </w:pPr>
      <w:r w:rsidRPr="00753F91">
        <w:rPr>
          <w:rFonts w:ascii="Arial Narrow" w:hAnsi="Arial Narrow"/>
        </w:rPr>
        <w:t>Należy podkreślić duże potrzeby modernizacyjne i wysokie koszty ich realizacji, co ma także związek z rosnącą presją społeczną na redukcję emisji gazów cieplarnianych, zanieczyszcze</w:t>
      </w:r>
      <w:r w:rsidR="00871C59" w:rsidRPr="00753F91">
        <w:rPr>
          <w:rFonts w:ascii="Arial Narrow" w:hAnsi="Arial Narrow"/>
        </w:rPr>
        <w:t>nia</w:t>
      </w:r>
      <w:r w:rsidRPr="00753F91">
        <w:rPr>
          <w:rFonts w:ascii="Arial Narrow" w:hAnsi="Arial Narrow"/>
        </w:rPr>
        <w:t xml:space="preserve"> powietrza czy odorów z sektora rolno-spożywczego (szczególnie produkcji zwierzęcej). Dodatkowo w sektorze produkcji zwierzęcej, konieczne jest wprowadzanie innowacyjnych rozwiązań w zakresie technologii linii produkcyjnych, cyfryzacji procesów produkcyjnych oraz automatyzacji. Jest to konieczne w obliczu luki podażowej na rynku pracy w rolnictwie i</w:t>
      </w:r>
      <w:r w:rsidR="00D763F7">
        <w:rPr>
          <w:rFonts w:ascii="Arial Narrow" w:hAnsi="Arial Narrow"/>
        </w:rPr>
        <w:t> </w:t>
      </w:r>
      <w:r w:rsidR="00963BF5" w:rsidRPr="00753F91">
        <w:rPr>
          <w:rFonts w:ascii="Arial Narrow" w:hAnsi="Arial Narrow"/>
        </w:rPr>
        <w:t>potrzeby</w:t>
      </w:r>
      <w:r w:rsidRPr="00753F91">
        <w:rPr>
          <w:rFonts w:ascii="Arial Narrow" w:hAnsi="Arial Narrow"/>
        </w:rPr>
        <w:t xml:space="preserve"> zahamowania odpływu młodych pracowników z obszarów wiejskich</w:t>
      </w:r>
      <w:r w:rsidR="00871F3B" w:rsidRPr="00753F91">
        <w:rPr>
          <w:rFonts w:ascii="Arial Narrow" w:hAnsi="Arial Narrow"/>
        </w:rPr>
        <w:t>.</w:t>
      </w:r>
    </w:p>
    <w:p w:rsidR="0086050B" w:rsidRPr="00753F91" w:rsidRDefault="00C31915" w:rsidP="00753F91">
      <w:pPr>
        <w:spacing w:after="120" w:line="288" w:lineRule="auto"/>
        <w:jc w:val="both"/>
        <w:rPr>
          <w:rFonts w:ascii="Arial Narrow" w:hAnsi="Arial Narrow" w:cs="Times New Roman"/>
          <w:color w:val="000000" w:themeColor="text1"/>
        </w:rPr>
      </w:pPr>
      <w:r w:rsidRPr="00753F91">
        <w:rPr>
          <w:rFonts w:ascii="Arial Narrow" w:hAnsi="Arial Narrow"/>
        </w:rPr>
        <w:t xml:space="preserve">Na poprawę konkurencyjności </w:t>
      </w:r>
      <w:r w:rsidR="00FE7889" w:rsidRPr="00753F91">
        <w:rPr>
          <w:rFonts w:ascii="Arial Narrow" w:hAnsi="Arial Narrow"/>
        </w:rPr>
        <w:t xml:space="preserve">szczególnie poprzez poprawę efektywności wykorzystania czynników produkcji </w:t>
      </w:r>
      <w:r w:rsidRPr="00753F91">
        <w:rPr>
          <w:rFonts w:ascii="Arial Narrow" w:hAnsi="Arial Narrow"/>
        </w:rPr>
        <w:t xml:space="preserve">będą miały wpływ </w:t>
      </w:r>
      <w:r w:rsidR="00963BF5" w:rsidRPr="00753F91">
        <w:rPr>
          <w:rFonts w:ascii="Arial Narrow" w:hAnsi="Arial Narrow"/>
        </w:rPr>
        <w:t xml:space="preserve">również </w:t>
      </w:r>
      <w:r w:rsidR="00963BF5" w:rsidRPr="00753F91">
        <w:rPr>
          <w:rFonts w:ascii="Arial Narrow" w:hAnsi="Arial Narrow"/>
          <w:i/>
        </w:rPr>
        <w:t xml:space="preserve">inwestycje w zakresie Scalania </w:t>
      </w:r>
      <w:r w:rsidRPr="00753F91">
        <w:rPr>
          <w:rFonts w:ascii="Arial Narrow" w:hAnsi="Arial Narrow"/>
          <w:i/>
        </w:rPr>
        <w:t>gruntów wraz z zagospodarowaniem poscaleniowym, Interwencje w sektorze pszczelarskim w zakresie inwestycji, zarządzania i rozwoju kapitału ludzkiego</w:t>
      </w:r>
      <w:r w:rsidRPr="00753F91">
        <w:rPr>
          <w:rFonts w:ascii="Arial Narrow" w:hAnsi="Arial Narrow"/>
        </w:rPr>
        <w:t xml:space="preserve"> </w:t>
      </w:r>
      <w:r w:rsidR="00BD7C4E" w:rsidRPr="00753F91">
        <w:rPr>
          <w:rFonts w:ascii="Arial Narrow" w:hAnsi="Arial Narrow"/>
        </w:rPr>
        <w:t xml:space="preserve">oraz </w:t>
      </w:r>
      <w:r w:rsidRPr="00753F91">
        <w:rPr>
          <w:rFonts w:ascii="Arial Narrow" w:hAnsi="Arial Narrow"/>
        </w:rPr>
        <w:t xml:space="preserve"> zachęc</w:t>
      </w:r>
      <w:r w:rsidR="00BD7C4E" w:rsidRPr="00753F91">
        <w:rPr>
          <w:rFonts w:ascii="Arial Narrow" w:hAnsi="Arial Narrow"/>
        </w:rPr>
        <w:t xml:space="preserve">anie rolników </w:t>
      </w:r>
      <w:r w:rsidRPr="00753F91">
        <w:rPr>
          <w:rFonts w:ascii="Arial Narrow" w:hAnsi="Arial Narrow"/>
        </w:rPr>
        <w:t xml:space="preserve">do realizacji wspólnych działań </w:t>
      </w:r>
      <w:r w:rsidR="00BD7C4E" w:rsidRPr="00753F91">
        <w:rPr>
          <w:rFonts w:ascii="Arial Narrow" w:hAnsi="Arial Narrow"/>
        </w:rPr>
        <w:t xml:space="preserve">[m.in. </w:t>
      </w:r>
      <w:r w:rsidRPr="00753F91">
        <w:rPr>
          <w:rFonts w:ascii="Arial Narrow" w:hAnsi="Arial Narrow"/>
          <w:i/>
        </w:rPr>
        <w:t>Tworzenie i rozwój organizacji producentów i grup producentów rolnych</w:t>
      </w:r>
      <w:r w:rsidR="00BD7C4E" w:rsidRPr="00753F91">
        <w:rPr>
          <w:rFonts w:ascii="Arial Narrow" w:hAnsi="Arial Narrow"/>
          <w:i/>
        </w:rPr>
        <w:t>]</w:t>
      </w:r>
      <w:r w:rsidRPr="00753F91">
        <w:rPr>
          <w:rFonts w:ascii="Arial Narrow" w:hAnsi="Arial Narrow"/>
        </w:rPr>
        <w:t xml:space="preserve">. </w:t>
      </w:r>
      <w:r w:rsidR="00BD7C4E" w:rsidRPr="00753F91">
        <w:rPr>
          <w:rFonts w:ascii="Arial Narrow" w:hAnsi="Arial Narrow"/>
        </w:rPr>
        <w:t>Również te interwencje będę miały wpływ na zwiększenie zrównoważenia</w:t>
      </w:r>
      <w:r w:rsidR="00871F3B" w:rsidRPr="00753F91">
        <w:rPr>
          <w:rFonts w:ascii="Arial Narrow" w:hAnsi="Arial Narrow"/>
        </w:rPr>
        <w:t>,</w:t>
      </w:r>
      <w:r w:rsidR="00BD7C4E" w:rsidRPr="00753F91">
        <w:rPr>
          <w:rFonts w:ascii="Arial Narrow" w:hAnsi="Arial Narrow"/>
        </w:rPr>
        <w:t xml:space="preserve"> przykładowo Scalanie gruntów </w:t>
      </w:r>
      <w:r w:rsidR="006A5CDB" w:rsidRPr="00753F91">
        <w:rPr>
          <w:rFonts w:ascii="Arial Narrow" w:hAnsi="Arial Narrow"/>
        </w:rPr>
        <w:t>poprawiając rozłóg gospodarstwa przełoży się na poprawę konkurencyjności polskiego rolnictwa. Jednocześnie</w:t>
      </w:r>
      <w:r w:rsidR="00871F3B" w:rsidRPr="00753F91">
        <w:rPr>
          <w:rFonts w:ascii="Arial Narrow" w:hAnsi="Arial Narrow"/>
        </w:rPr>
        <w:t>,</w:t>
      </w:r>
      <w:r w:rsidR="006A5CDB" w:rsidRPr="00753F91">
        <w:rPr>
          <w:rFonts w:ascii="Arial Narrow" w:hAnsi="Arial Narrow"/>
        </w:rPr>
        <w:t xml:space="preserve"> przewiduje się preferencje dla interwencji przyczyniających się do zwiększenia retencji wodnej na gruntach rolnych (mała retencja wodna w tym tworzenie lub </w:t>
      </w:r>
      <w:r w:rsidR="006A5CDB" w:rsidRPr="00753F91">
        <w:rPr>
          <w:rFonts w:ascii="Arial Narrow" w:hAnsi="Arial Narrow"/>
        </w:rPr>
        <w:lastRenderedPageBreak/>
        <w:t>odtworzenie śródpolnych oczek wodnych i mokradeł czy małych zbiorników wodnych) oraz zawierających rozwiązania ukierunkowane na ochronę przyrody i ochronę środowiska (zachowanie zadarnionych skarp oraz zachowanie lub wyznaczanie pasów ochronnych o charakterze zakrzewień lub zadrzewień śródpolnych, wyznaczenie granicy polno-leśnej czy strefy buforowej).</w:t>
      </w:r>
      <w:r w:rsidR="006614F5" w:rsidRPr="00753F91">
        <w:rPr>
          <w:rFonts w:ascii="Arial Narrow" w:hAnsi="Arial Narrow"/>
        </w:rPr>
        <w:t xml:space="preserve"> Natomiast w</w:t>
      </w:r>
      <w:r w:rsidR="00D763F7">
        <w:rPr>
          <w:rFonts w:ascii="Arial Narrow" w:hAnsi="Arial Narrow"/>
        </w:rPr>
        <w:t> </w:t>
      </w:r>
      <w:r w:rsidR="006614F5" w:rsidRPr="00753F91">
        <w:rPr>
          <w:rFonts w:ascii="Arial Narrow" w:hAnsi="Arial Narrow"/>
        </w:rPr>
        <w:t xml:space="preserve">ramach </w:t>
      </w:r>
      <w:r w:rsidR="006614F5" w:rsidRPr="00753F91">
        <w:rPr>
          <w:rFonts w:ascii="Arial Narrow" w:hAnsi="Arial Narrow"/>
          <w:i/>
        </w:rPr>
        <w:t>Tworzenia i rozwoju organizacji producentów i grup producentów rolnych</w:t>
      </w:r>
      <w:r w:rsidR="006614F5" w:rsidRPr="00753F91">
        <w:rPr>
          <w:rFonts w:ascii="Arial Narrow" w:hAnsi="Arial Narrow"/>
        </w:rPr>
        <w:t xml:space="preserve"> wsparcie jest nacelowane na realizację działań inwestycyjnych, które mają wspomóc budowę wspólnych struktur rolników i jednocześnie zachować ich trwałość, w kierunku wzmacniania ich pozycji rynkowej, zarówno na poziomie lokalnym jak i dalszym, a także móc wpływać na dalsze etapy łańcucha.</w:t>
      </w:r>
      <w:r w:rsidR="009E538A" w:rsidRPr="00753F91">
        <w:rPr>
          <w:rStyle w:val="markedcontent"/>
          <w:rFonts w:ascii="Arial Narrow" w:hAnsi="Arial Narrow" w:cs="Times New Roman"/>
          <w:color w:val="A6A6A6" w:themeColor="background1" w:themeShade="A6"/>
        </w:rPr>
        <w:tab/>
      </w:r>
    </w:p>
    <w:p w:rsidR="00F46BC8" w:rsidRDefault="00F46BC8">
      <w:pPr>
        <w:rPr>
          <w:rFonts w:ascii="Arial Narrow" w:hAnsi="Arial Narrow" w:cs="Times New Roman"/>
          <w:b/>
          <w:bCs/>
          <w:i/>
          <w:noProof/>
        </w:rPr>
      </w:pPr>
      <w:r>
        <w:rPr>
          <w:rFonts w:ascii="Arial Narrow" w:hAnsi="Arial Narrow" w:cs="Times New Roman"/>
          <w:b/>
          <w:bCs/>
          <w:i/>
          <w:noProof/>
        </w:rPr>
        <w:br w:type="page"/>
      </w:r>
    </w:p>
    <w:p w:rsidR="00617C02" w:rsidRPr="009E538A" w:rsidRDefault="009E538A" w:rsidP="009E538A">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sidRPr="009E538A">
        <w:rPr>
          <w:rFonts w:ascii="Arial Narrow" w:hAnsi="Arial Narrow" w:cs="Times New Roman"/>
          <w:b/>
          <w:bCs/>
          <w:i/>
          <w:noProof/>
        </w:rPr>
        <w:lastRenderedPageBreak/>
        <w:t xml:space="preserve">Rekomendacja </w:t>
      </w:r>
      <w:r w:rsidR="00E37DDB">
        <w:rPr>
          <w:rFonts w:ascii="Arial Narrow" w:hAnsi="Arial Narrow" w:cs="Times New Roman"/>
          <w:b/>
          <w:bCs/>
          <w:i/>
          <w:noProof/>
        </w:rPr>
        <w:t>nr 2</w:t>
      </w:r>
      <w:r w:rsidRPr="009E538A">
        <w:rPr>
          <w:rFonts w:ascii="Arial Narrow" w:hAnsi="Arial Narrow" w:cs="Times New Roman"/>
          <w:b/>
          <w:bCs/>
          <w:i/>
          <w:noProof/>
        </w:rPr>
        <w:t xml:space="preserve">: </w:t>
      </w:r>
      <w:r w:rsidR="00617C02" w:rsidRPr="009E538A">
        <w:rPr>
          <w:rFonts w:ascii="Arial Narrow" w:hAnsi="Arial Narrow" w:cs="Times New Roman"/>
          <w:bCs/>
          <w:i/>
          <w:noProof/>
        </w:rPr>
        <w:t>Poprawa rentowności gospodarstw rolnych dzięki zapewnieniu bardziej sprawiedliwego i lepiej ukierunkowanego wsparcia dochodów poprzez zmniejszanie różnic w dochodach między gospodarstwami o różnej wielkości (w szczególności na korzyść mniejszych gospodarstw) i regionami państwa w wyniku zastosowania na przykład uzupełniającego redystrybucyjnego wsparcia dochodu do celów stabilności oraz w wyniku zmniejszenia płatności.</w:t>
      </w:r>
    </w:p>
    <w:p w:rsidR="00C31915" w:rsidRPr="00C31915" w:rsidRDefault="00C31915" w:rsidP="00753F91">
      <w:pPr>
        <w:spacing w:after="120" w:line="288" w:lineRule="auto"/>
        <w:jc w:val="both"/>
        <w:rPr>
          <w:rFonts w:ascii="Arial Narrow" w:hAnsi="Arial Narrow"/>
        </w:rPr>
      </w:pPr>
      <w:r w:rsidRPr="00C31915">
        <w:rPr>
          <w:rFonts w:ascii="Arial Narrow" w:hAnsi="Arial Narrow"/>
        </w:rPr>
        <w:t>Rozwiązania w ramach systemu płatności bezpośrednich na lata 2023-2027 w Polsce projektowane są w taki sposób, aby w szczególności wspierać aktywne, małe i średnie gospodarstwa rolne, które mają realne szanse na rozwój w warunkach globalizacji rynków i zmian oczekiwań konsumentów.</w:t>
      </w:r>
    </w:p>
    <w:p w:rsidR="00871C59" w:rsidRPr="00C31915" w:rsidRDefault="00C31915" w:rsidP="00753F91">
      <w:pPr>
        <w:spacing w:after="120" w:line="288" w:lineRule="auto"/>
        <w:jc w:val="both"/>
        <w:rPr>
          <w:rFonts w:ascii="Arial Narrow" w:hAnsi="Arial Narrow"/>
        </w:rPr>
      </w:pPr>
      <w:r w:rsidRPr="00C31915">
        <w:rPr>
          <w:rFonts w:ascii="Arial Narrow" w:hAnsi="Arial Narrow"/>
        </w:rPr>
        <w:t xml:space="preserve">Nowa WPR przewiduje szereg instrumentów służących pośrednio lub bezpośrednio redystrybucji środków </w:t>
      </w:r>
      <w:r w:rsidR="000B4325" w:rsidRPr="00C31915">
        <w:rPr>
          <w:rFonts w:ascii="Arial Narrow" w:hAnsi="Arial Narrow"/>
        </w:rPr>
        <w:t>z</w:t>
      </w:r>
      <w:r w:rsidR="000B4325">
        <w:rPr>
          <w:rFonts w:ascii="Arial Narrow" w:hAnsi="Arial Narrow"/>
        </w:rPr>
        <w:t> </w:t>
      </w:r>
      <w:r w:rsidRPr="00C31915">
        <w:rPr>
          <w:rFonts w:ascii="Arial Narrow" w:hAnsi="Arial Narrow"/>
        </w:rPr>
        <w:t xml:space="preserve">gospodarstw dużych do gospodarstw małych (średnich). Związane jest to z jednym z podstawowych celów WPR, jakim jest zapewnienie godziwych dochodów rolników, co wymaga bardziej zrównoważonego rozdysponowania wsparcia. Do podstawowych instrumentów realizacji tego celu należą płatność redystrybucyjna </w:t>
      </w:r>
      <w:r w:rsidR="00B1799A">
        <w:rPr>
          <w:rFonts w:ascii="Arial Narrow" w:hAnsi="Arial Narrow"/>
        </w:rPr>
        <w:t>[</w:t>
      </w:r>
      <w:bookmarkStart w:id="3" w:name="_Toc77474257"/>
      <w:r w:rsidR="00B1799A" w:rsidRPr="00B1799A">
        <w:rPr>
          <w:rFonts w:ascii="Arial Narrow" w:hAnsi="Arial Narrow"/>
          <w:i/>
        </w:rPr>
        <w:t>Uzupełniające redystrybucyjne wsparcie dochodu do celów zrównoważoności</w:t>
      </w:r>
      <w:bookmarkEnd w:id="3"/>
      <w:r w:rsidR="00B1799A" w:rsidRPr="00B1799A">
        <w:rPr>
          <w:rFonts w:ascii="Arial Narrow" w:hAnsi="Arial Narrow"/>
        </w:rPr>
        <w:t>]</w:t>
      </w:r>
      <w:r w:rsidR="00B1799A">
        <w:rPr>
          <w:rFonts w:ascii="Arial Narrow" w:hAnsi="Arial Narrow"/>
        </w:rPr>
        <w:t xml:space="preserve"> </w:t>
      </w:r>
      <w:r w:rsidRPr="00C31915">
        <w:rPr>
          <w:rFonts w:ascii="Arial Narrow" w:hAnsi="Arial Narrow"/>
        </w:rPr>
        <w:t>oraz redukcja płatności w największych gospodarstwach (</w:t>
      </w:r>
      <w:r w:rsidRPr="00B1799A">
        <w:rPr>
          <w:rFonts w:ascii="Arial Narrow" w:hAnsi="Arial Narrow"/>
          <w:i/>
        </w:rPr>
        <w:t>capping</w:t>
      </w:r>
      <w:r w:rsidRPr="00C31915">
        <w:rPr>
          <w:rFonts w:ascii="Arial Narrow" w:hAnsi="Arial Narrow"/>
        </w:rPr>
        <w:t xml:space="preserve">). </w:t>
      </w:r>
      <w:r w:rsidR="00871C59" w:rsidRPr="00C31915">
        <w:rPr>
          <w:rFonts w:ascii="Arial Narrow" w:hAnsi="Arial Narrow"/>
        </w:rPr>
        <w:t>Dodatkowo wpływ na sytuację małych gospodarstw mają także inne instrumenty, takie jak np. limity wsparcia w ramach płatności związanych z produkcją</w:t>
      </w:r>
      <w:r w:rsidR="00871C59">
        <w:rPr>
          <w:rFonts w:ascii="Arial Narrow" w:hAnsi="Arial Narrow"/>
        </w:rPr>
        <w:t xml:space="preserve">, stosowanie </w:t>
      </w:r>
      <w:r w:rsidR="00871C59" w:rsidRPr="000B4325">
        <w:rPr>
          <w:rFonts w:ascii="Arial Narrow" w:hAnsi="Arial Narrow"/>
        </w:rPr>
        <w:t>degresywności płatności na poziomie gospodarstwa</w:t>
      </w:r>
      <w:r w:rsidR="00871C59">
        <w:rPr>
          <w:rFonts w:cs="Arial"/>
        </w:rPr>
        <w:t xml:space="preserve"> [</w:t>
      </w:r>
      <w:r w:rsidR="00871C59" w:rsidRPr="000B4325">
        <w:rPr>
          <w:rFonts w:ascii="Arial Narrow" w:hAnsi="Arial Narrow"/>
          <w:i/>
        </w:rPr>
        <w:t>Płatności dla obszarów z ograniczeniami naturalnymi lub innymi szczególnymi ograniczeniami</w:t>
      </w:r>
      <w:r w:rsidR="00871C59">
        <w:rPr>
          <w:rFonts w:ascii="Arial Narrow" w:hAnsi="Arial Narrow"/>
          <w:i/>
        </w:rPr>
        <w:t xml:space="preserve">, </w:t>
      </w:r>
      <w:r w:rsidR="00871C59" w:rsidRPr="000B4325">
        <w:rPr>
          <w:rFonts w:ascii="Arial Narrow" w:hAnsi="Arial Narrow"/>
          <w:i/>
        </w:rPr>
        <w:t>płatności dotyczące dobrostanu</w:t>
      </w:r>
      <w:r w:rsidR="00871C59">
        <w:rPr>
          <w:rFonts w:eastAsia="Times New Roman" w:cs="Times New Roman"/>
          <w:lang w:eastAsia="pl-PL"/>
        </w:rPr>
        <w:t xml:space="preserve"> </w:t>
      </w:r>
      <w:r w:rsidR="00871C59" w:rsidRPr="000B4325">
        <w:rPr>
          <w:rFonts w:ascii="Arial Narrow" w:hAnsi="Arial Narrow"/>
        </w:rPr>
        <w:t>-</w:t>
      </w:r>
      <w:r w:rsidR="00871C59">
        <w:rPr>
          <w:rFonts w:ascii="Arial Narrow" w:hAnsi="Arial Narrow"/>
        </w:rPr>
        <w:t xml:space="preserve"> </w:t>
      </w:r>
      <w:r w:rsidR="00871C59" w:rsidRPr="00C97613">
        <w:t xml:space="preserve"> </w:t>
      </w:r>
      <w:r w:rsidR="00871C59" w:rsidRPr="00C97613">
        <w:rPr>
          <w:rFonts w:ascii="Arial Narrow" w:hAnsi="Arial Narrow"/>
        </w:rPr>
        <w:t>w odniesieniu do</w:t>
      </w:r>
      <w:r w:rsidR="00871C59" w:rsidRPr="000B4325">
        <w:rPr>
          <w:rFonts w:ascii="Arial Narrow" w:hAnsi="Arial Narrow"/>
        </w:rPr>
        <w:t xml:space="preserve"> krów mlecznych oraz opasów</w:t>
      </w:r>
      <w:r w:rsidR="00871C59">
        <w:rPr>
          <w:rFonts w:ascii="Arial Narrow" w:hAnsi="Arial Narrow"/>
        </w:rPr>
        <w:t>].</w:t>
      </w:r>
    </w:p>
    <w:p w:rsidR="00C31915" w:rsidRPr="00C31915" w:rsidRDefault="00C31915" w:rsidP="00753F91">
      <w:pPr>
        <w:spacing w:after="120" w:line="288" w:lineRule="auto"/>
        <w:jc w:val="both"/>
        <w:rPr>
          <w:rFonts w:ascii="Arial Narrow" w:hAnsi="Arial Narrow"/>
        </w:rPr>
      </w:pPr>
      <w:r w:rsidRPr="00C31915">
        <w:rPr>
          <w:rFonts w:ascii="Arial Narrow" w:hAnsi="Arial Narrow"/>
        </w:rPr>
        <w:t>Sytuacja dochodowa gospodarstw jest w Polsce znacznie zróżnicowana w zależności od ich wielkości. W grupie gospodarstw o powierzchni UR między 2,5 a 25 ha dochody kształtują się na poziomie znacznie niższym niż dochód parytetowy nawet po uwzględnieniu płatności bezpośrednich i płatności ONW. Gospodarstwa o</w:t>
      </w:r>
      <w:r w:rsidR="00D763F7">
        <w:rPr>
          <w:rFonts w:ascii="Arial Narrow" w:hAnsi="Arial Narrow"/>
        </w:rPr>
        <w:t> </w:t>
      </w:r>
      <w:r w:rsidRPr="00C31915">
        <w:rPr>
          <w:rFonts w:ascii="Arial Narrow" w:hAnsi="Arial Narrow"/>
        </w:rPr>
        <w:t>powierzchni UR między 25 a 50 ha nieznacznie przekraczają ten poziom dopiero po uwzględnieniu wsparcia bezpośredniego</w:t>
      </w:r>
      <w:r w:rsidR="00871C59">
        <w:rPr>
          <w:rFonts w:ascii="Arial Narrow" w:hAnsi="Arial Narrow"/>
        </w:rPr>
        <w:t xml:space="preserve"> i ONW</w:t>
      </w:r>
      <w:r w:rsidRPr="00C31915">
        <w:rPr>
          <w:rFonts w:ascii="Arial Narrow" w:hAnsi="Arial Narrow"/>
        </w:rPr>
        <w:t>. Gospodarstwa największe, a więc te powyżej 50 ha UR, charakteryzują się dochodem z działalności rolniczej (bez płatności) przewyższającym dochód parytetowy. Odrębną grupę gospodarstw stanowią te najmniejsze – poniżej 2,5 ha UR. W grupie tej znajdują się gospodarstwa wyspecjalizowane w kierunkach produkcji niewymagających wysokich nakładów ziemi (drób, trzoda chlewna) oraz niewielkie gospodarstwa, dla których działalność rolnicza nie stanowi głównego źródła utrzymania</w:t>
      </w:r>
      <w:r w:rsidR="00871F3B">
        <w:rPr>
          <w:rFonts w:ascii="Arial Narrow" w:hAnsi="Arial Narrow"/>
        </w:rPr>
        <w:t>.</w:t>
      </w:r>
    </w:p>
    <w:p w:rsidR="00C31915" w:rsidRPr="00C31915" w:rsidRDefault="00D37F2D" w:rsidP="00753F91">
      <w:pPr>
        <w:spacing w:after="120" w:line="288" w:lineRule="auto"/>
        <w:jc w:val="both"/>
        <w:rPr>
          <w:rFonts w:ascii="Arial Narrow" w:hAnsi="Arial Narrow"/>
        </w:rPr>
      </w:pPr>
      <w:r>
        <w:rPr>
          <w:rFonts w:ascii="Arial Narrow" w:hAnsi="Arial Narrow"/>
        </w:rPr>
        <w:lastRenderedPageBreak/>
        <w:t>W</w:t>
      </w:r>
      <w:r w:rsidR="00C31915" w:rsidRPr="00C31915">
        <w:rPr>
          <w:rFonts w:ascii="Arial Narrow" w:hAnsi="Arial Narrow"/>
        </w:rPr>
        <w:t xml:space="preserve"> latach 2023-2027 planuje się realizację płatności redystrybucyjnej, której podstawowym celem jest silniejsze ukierunkowanie pomocy na wspieranie małych i średnich gospodarstw rolnych, które nie osiągają ze swojej działalności takich korzyści jak gospodarstwa największe, niemniej jednak mają szanse na trwały rozwój poprzez przeniesienie części płatności z większych gospodarstw (korzystających z efektu skali, mających przewagę konkurencyjną) do gospodarstw mniejszych, gdzie efektu takiego nie ma (występują wyższe koszty produkcji jednostkowej). Proponuje się ukierunkowanie płatności redystrybucyjnej do gospodarstw posiadających od 3 ha do 50 ha, przy czym płatność będzie przysługiwała do pierwszych 30 hektarów.</w:t>
      </w:r>
    </w:p>
    <w:p w:rsidR="00C31915" w:rsidRPr="00C31915" w:rsidRDefault="00C31915" w:rsidP="00753F91">
      <w:pPr>
        <w:spacing w:after="120" w:line="288" w:lineRule="auto"/>
        <w:jc w:val="both"/>
        <w:rPr>
          <w:rFonts w:ascii="Arial Narrow" w:hAnsi="Arial Narrow"/>
        </w:rPr>
      </w:pPr>
      <w:r w:rsidRPr="00C31915">
        <w:rPr>
          <w:rFonts w:ascii="Arial Narrow" w:hAnsi="Arial Narrow"/>
        </w:rPr>
        <w:t>Dodatkowo proponuje się podwyższenie, ponad wymagany poziom przepisami UE</w:t>
      </w:r>
      <w:r w:rsidR="00871C59">
        <w:rPr>
          <w:rFonts w:ascii="Arial Narrow" w:hAnsi="Arial Narrow"/>
        </w:rPr>
        <w:t xml:space="preserve"> (10%)</w:t>
      </w:r>
      <w:r w:rsidRPr="00C31915">
        <w:rPr>
          <w:rFonts w:ascii="Arial Narrow" w:hAnsi="Arial Narrow"/>
        </w:rPr>
        <w:t>, poziom finansowania płatności redystrybucyjnej do 10,7% koperty płatności bezpośrednich.</w:t>
      </w:r>
    </w:p>
    <w:p w:rsidR="00C31915" w:rsidRPr="00C31915" w:rsidRDefault="00C31915" w:rsidP="00753F91">
      <w:pPr>
        <w:spacing w:after="120" w:line="288" w:lineRule="auto"/>
        <w:jc w:val="both"/>
        <w:rPr>
          <w:rFonts w:ascii="Arial Narrow" w:hAnsi="Arial Narrow"/>
        </w:rPr>
      </w:pPr>
      <w:r w:rsidRPr="00C31915">
        <w:rPr>
          <w:rFonts w:ascii="Arial Narrow" w:hAnsi="Arial Narrow"/>
        </w:rPr>
        <w:t>Planuje się również wdrożenie mechanizmu redukcji płatności podstawowej, czyli tzw. cappingu, który będzie polegał na zmniejszeniu kwoty płatności przyznawanej danemu rolnikowi o 100% nadwyżki jednolitej płatności obszarowej ponad 100 000 EUR</w:t>
      </w:r>
      <w:r w:rsidR="00871F3B">
        <w:rPr>
          <w:rFonts w:ascii="Arial Narrow" w:hAnsi="Arial Narrow"/>
        </w:rPr>
        <w:t>,</w:t>
      </w:r>
      <w:r w:rsidRPr="00C31915">
        <w:rPr>
          <w:rFonts w:ascii="Arial Narrow" w:hAnsi="Arial Narrow"/>
        </w:rPr>
        <w:t xml:space="preserve"> z możliwością uwzględnienia kosztów pracy w podstawie kwoty redukowanej. Celem tego mechanizmu jest zapobieganie przyznawaniu nieproporcjonalnie wysokich kwot płatności stosunkowo małej liczbie największych gospodarstw, które osiągają dodatkowe korzyści ze skali prowadzonej działalności. </w:t>
      </w:r>
    </w:p>
    <w:p w:rsidR="00C31915" w:rsidRDefault="00C31915" w:rsidP="00753F91">
      <w:pPr>
        <w:spacing w:after="120" w:line="288" w:lineRule="auto"/>
        <w:jc w:val="both"/>
        <w:rPr>
          <w:rFonts w:ascii="Arial Narrow" w:hAnsi="Arial Narrow"/>
        </w:rPr>
      </w:pPr>
      <w:r w:rsidRPr="00C31915">
        <w:rPr>
          <w:rFonts w:ascii="Arial Narrow" w:hAnsi="Arial Narrow"/>
        </w:rPr>
        <w:t xml:space="preserve">Ponadto część instrumentów wsparcia związanego z produkcją zaprojektowano w taki sposób, że pewne wielkości mają charakter limitów. Np. płatność do bydła, podobnie jak płatność do krów, może zostać przyznana maksymalnie do 20 sztuk zwierząt w gospodarstwie i tylko w gospodarstwach posiadających nie więcej niż 50 sztuk młodego bydła/krów. Ponadto, w celu uwzględnienia regionalnego zróżnicowania struktury gospodarstw proponuje się, aby w województwach, w których średnia wielkość gruntów rolnych jest niższa od średniej krajowej (tj. lubelskiego, łódzkiego, małopolskiego, mazowieckiego, podkarpackiego, śląskiego i świętokrzyskiego) rolnicy mogli ubiegać się o płatność do młodego bydła lub krów posiadając tylko 1 szt. kwalifikujących się zwierząt (w przypadku pozostałych województw – co najmniej 3 szt.). </w:t>
      </w:r>
      <w:r w:rsidR="00871C59">
        <w:rPr>
          <w:rFonts w:ascii="Arial Narrow" w:hAnsi="Arial Narrow"/>
        </w:rPr>
        <w:t xml:space="preserve">Natomiast </w:t>
      </w:r>
      <w:r w:rsidR="00871C59" w:rsidRPr="00E622F6">
        <w:rPr>
          <w:rFonts w:ascii="Arial Narrow" w:hAnsi="Arial Narrow"/>
        </w:rPr>
        <w:t>płatnością</w:t>
      </w:r>
      <w:r w:rsidR="00871C59">
        <w:rPr>
          <w:rFonts w:ascii="Arial Narrow" w:hAnsi="Arial Narrow"/>
        </w:rPr>
        <w:t xml:space="preserve"> do roślin pastewnych</w:t>
      </w:r>
      <w:r w:rsidR="00871C59" w:rsidRPr="00E622F6">
        <w:rPr>
          <w:rFonts w:ascii="Arial Narrow" w:hAnsi="Arial Narrow"/>
        </w:rPr>
        <w:t xml:space="preserve"> może być objęte nie więcej niż 75 ha upraw roślin pastewnych w gospodarstwie</w:t>
      </w:r>
      <w:r w:rsidR="00871C59">
        <w:rPr>
          <w:rFonts w:ascii="Arial Narrow" w:hAnsi="Arial Narrow"/>
        </w:rPr>
        <w:t>.</w:t>
      </w:r>
    </w:p>
    <w:p w:rsidR="004F3BD5" w:rsidRDefault="004F3BD5">
      <w:pPr>
        <w:rPr>
          <w:rFonts w:ascii="Arial Narrow" w:hAnsi="Arial Narrow" w:cs="Times New Roman"/>
          <w:b/>
          <w:bCs/>
          <w:i/>
          <w:noProof/>
        </w:rPr>
      </w:pPr>
      <w:r>
        <w:rPr>
          <w:rFonts w:ascii="Arial Narrow" w:hAnsi="Arial Narrow" w:cs="Times New Roman"/>
          <w:b/>
          <w:bCs/>
          <w:i/>
          <w:noProof/>
        </w:rPr>
        <w:br w:type="page"/>
      </w:r>
    </w:p>
    <w:p w:rsidR="004F3BD5" w:rsidRPr="004F3BD5" w:rsidRDefault="004F3BD5" w:rsidP="004F3BD5">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sidRPr="004F3BD5">
        <w:rPr>
          <w:rFonts w:ascii="Arial Narrow" w:hAnsi="Arial Narrow" w:cs="Times New Roman"/>
          <w:b/>
          <w:bCs/>
          <w:i/>
          <w:noProof/>
        </w:rPr>
        <w:lastRenderedPageBreak/>
        <w:t>Rekomendacja</w:t>
      </w:r>
      <w:r w:rsidR="00E37DDB">
        <w:rPr>
          <w:rFonts w:ascii="Arial Narrow" w:hAnsi="Arial Narrow" w:cs="Times New Roman"/>
          <w:b/>
          <w:bCs/>
          <w:i/>
          <w:noProof/>
        </w:rPr>
        <w:t xml:space="preserve"> nr 3</w:t>
      </w:r>
      <w:r w:rsidRPr="004F3BD5">
        <w:rPr>
          <w:rFonts w:ascii="Arial Narrow" w:hAnsi="Arial Narrow" w:cs="Times New Roman"/>
          <w:b/>
          <w:bCs/>
          <w:i/>
          <w:noProof/>
        </w:rPr>
        <w:t>:</w:t>
      </w:r>
      <w:r>
        <w:rPr>
          <w:rFonts w:ascii="Arial Narrow" w:hAnsi="Arial Narrow" w:cs="Times New Roman"/>
          <w:bCs/>
          <w:i/>
          <w:noProof/>
        </w:rPr>
        <w:t xml:space="preserve"> </w:t>
      </w:r>
      <w:r w:rsidRPr="004F3BD5">
        <w:rPr>
          <w:rFonts w:ascii="Arial Narrow" w:hAnsi="Arial Narrow" w:cs="Times New Roman"/>
          <w:bCs/>
          <w:i/>
          <w:noProof/>
        </w:rPr>
        <w:t>Przywrócenie równowagi sił w łańcuchu dostaw żywności poprzez ukierunkowanie systemów wsparcia mających na celu zwiększenie poziomu zorganizowania rolników oraz stymulowanie konsolidacji i uznawania różnych rodzajów organizacji i spółdzielni producentów, zwłaszcza w sektorach owoców i warzyw oraz wieprzowiny. Również lokalni mali i średni przetwórcy są ważnymi podmiotami, jeżeli chodzi o wzmacnianie pozycji rolników i równowagę siły przetargowej w łańcuchu dostaw. Systemy wsparcia powinny być również wykorzystywane, by zachęcać rolników do rozwijania krótkich łańcuchów dostaw i uczestniczenia w nich oraz do wytwarzania produktów o wysokiej wartości dodanej, a także by przyciągać konsumentów i edukować ich w tym zakresie.</w:t>
      </w:r>
    </w:p>
    <w:p w:rsidR="00617C02" w:rsidRPr="00617C02" w:rsidRDefault="00617C02" w:rsidP="00753F91">
      <w:pPr>
        <w:spacing w:after="120" w:line="288" w:lineRule="auto"/>
        <w:jc w:val="both"/>
        <w:rPr>
          <w:rFonts w:ascii="Arial Narrow" w:hAnsi="Arial Narrow"/>
        </w:rPr>
      </w:pPr>
      <w:r w:rsidRPr="00617C02">
        <w:rPr>
          <w:rFonts w:ascii="Arial Narrow" w:hAnsi="Arial Narrow"/>
        </w:rPr>
        <w:t xml:space="preserve">Projekt Planu Strategicznego WPR przewiduje istotne zwiększenie stopnia zorganizowania rolników, zarówno poprzez działania dedykowane temu celowi, jak i poprzez spójne i kompleksowe kierunkowanie wybranych innych interwencji, m.in w formie preferencji w dostępie do wsparcia finansowego dla zorganizowanych form współpracy rolników oraz ich członków. Zidentyfikowano i zaplanowano zwiększenie roli działań edukacyjno-doradczych. </w:t>
      </w:r>
    </w:p>
    <w:p w:rsidR="00617C02" w:rsidRPr="00617C02" w:rsidRDefault="00617C02" w:rsidP="00753F91">
      <w:pPr>
        <w:spacing w:after="120" w:line="288" w:lineRule="auto"/>
        <w:jc w:val="both"/>
        <w:rPr>
          <w:rFonts w:ascii="Arial Narrow" w:hAnsi="Arial Narrow"/>
        </w:rPr>
      </w:pPr>
      <w:r w:rsidRPr="00617C02">
        <w:rPr>
          <w:rFonts w:ascii="Arial Narrow" w:hAnsi="Arial Narrow"/>
        </w:rPr>
        <w:t xml:space="preserve">Przewidziano realizację </w:t>
      </w:r>
      <w:r w:rsidRPr="0034410C">
        <w:rPr>
          <w:rFonts w:ascii="Arial Narrow" w:hAnsi="Arial Narrow"/>
          <w:i/>
        </w:rPr>
        <w:t>interwencji sektorowych</w:t>
      </w:r>
      <w:r w:rsidRPr="00617C02">
        <w:rPr>
          <w:rFonts w:ascii="Arial Narrow" w:hAnsi="Arial Narrow"/>
        </w:rPr>
        <w:t xml:space="preserve"> jedynie w zakresie obligatoryjnym dla państwa członkowskiego, tj. w </w:t>
      </w:r>
      <w:r w:rsidRPr="0034410C">
        <w:rPr>
          <w:rFonts w:ascii="Arial Narrow" w:hAnsi="Arial Narrow"/>
          <w:i/>
        </w:rPr>
        <w:t>sektorach owoców i warzyw oraz w pszczelarskim</w:t>
      </w:r>
      <w:r w:rsidR="00871F3B">
        <w:rPr>
          <w:rFonts w:ascii="Arial Narrow" w:hAnsi="Arial Narrow"/>
          <w:i/>
        </w:rPr>
        <w:t>,</w:t>
      </w:r>
      <w:r w:rsidRPr="00617C02">
        <w:rPr>
          <w:rFonts w:ascii="Arial Narrow" w:hAnsi="Arial Narrow"/>
        </w:rPr>
        <w:t xml:space="preserve"> w których zaplanowano kontynuację dotychczasowych kierunków wsparcia. Oceniono, że obecnie nie ma wystarczającego potencjału pozwalającego na skuteczne wdrożenie interwencji sektorowych w „innych sektorach”, przede wszystkim ze względu na brak uznanych organizacji producentów.</w:t>
      </w:r>
    </w:p>
    <w:p w:rsidR="0034410C" w:rsidRPr="0034410C" w:rsidRDefault="00045CB1" w:rsidP="00753F91">
      <w:pPr>
        <w:spacing w:after="120" w:line="288" w:lineRule="auto"/>
        <w:jc w:val="both"/>
        <w:rPr>
          <w:rFonts w:ascii="Arial Narrow" w:hAnsi="Arial Narrow"/>
        </w:rPr>
      </w:pPr>
      <w:r w:rsidRPr="00617C02">
        <w:rPr>
          <w:rFonts w:ascii="Arial Narrow" w:hAnsi="Arial Narrow"/>
        </w:rPr>
        <w:t xml:space="preserve">W pozostałych sektorach, w tym </w:t>
      </w:r>
      <w:r>
        <w:rPr>
          <w:rFonts w:ascii="Arial Narrow" w:hAnsi="Arial Narrow"/>
        </w:rPr>
        <w:t xml:space="preserve">w </w:t>
      </w:r>
      <w:r w:rsidRPr="00617C02">
        <w:rPr>
          <w:rFonts w:ascii="Arial Narrow" w:hAnsi="Arial Narrow"/>
        </w:rPr>
        <w:t>sektorze wieprzowiny, podstawowym instrumentem dedykowanym promowaniu współpracy rolników będzie ryczałtowe, przejściowe,</w:t>
      </w:r>
      <w:r w:rsidRPr="0034410C">
        <w:rPr>
          <w:rFonts w:ascii="Arial Narrow" w:hAnsi="Arial Narrow"/>
          <w:i/>
        </w:rPr>
        <w:t xml:space="preserve"> wsparcie dla grup producentów rolnych oraz organizacji producentów,</w:t>
      </w:r>
      <w:r w:rsidRPr="00617C02">
        <w:rPr>
          <w:rFonts w:ascii="Arial Narrow" w:hAnsi="Arial Narrow"/>
        </w:rPr>
        <w:t xml:space="preserve"> z wyraźną preferencją dla formy uznanych organizacji producentów (w oparciu o przepisy rozporządzenia 1308/2013). Już w okresie 2014–2020 współpraca rolników w sektorze wieprzowiny jest skutecznie wspierana w ramach działania 9 PROW 2014–2020 i ten właśnie sektor ma najwyższy udział w liczbie beneficjentów (ponad 50%) tego instrumentu. Wprowadzono m.in. wymóg przeznaczenia min. 50 % wsparcia na zakup środków trwałych przez grupę/organizację oraz możliwość objęcia wsparciem grup/organizacji, które korzystały w przeszłości z podobnego wsparcia </w:t>
      </w:r>
      <w:r>
        <w:rPr>
          <w:rFonts w:ascii="Arial Narrow" w:hAnsi="Arial Narrow"/>
        </w:rPr>
        <w:t xml:space="preserve">- </w:t>
      </w:r>
      <w:r w:rsidRPr="00617C02">
        <w:rPr>
          <w:rFonts w:ascii="Arial Narrow" w:hAnsi="Arial Narrow"/>
        </w:rPr>
        <w:t>w zakresie odpowiadającym liczbie nowych członków.</w:t>
      </w:r>
      <w:r>
        <w:rPr>
          <w:rFonts w:ascii="Arial Narrow" w:hAnsi="Arial Narrow"/>
        </w:rPr>
        <w:t xml:space="preserve"> Ponadto przewiduje się wsparcie projektów w zakresie produkcji zwierzęcej w tym dotyczących trzody chlewnej,</w:t>
      </w:r>
      <w:r w:rsidRPr="00680E97">
        <w:rPr>
          <w:rFonts w:ascii="Arial Narrow" w:hAnsi="Arial Narrow"/>
        </w:rPr>
        <w:t xml:space="preserve"> </w:t>
      </w:r>
      <w:r>
        <w:rPr>
          <w:rFonts w:ascii="Arial Narrow" w:hAnsi="Arial Narrow"/>
        </w:rPr>
        <w:t xml:space="preserve">wraz z preferencjami dla członków grup i organizacji producentów rolnych, w </w:t>
      </w:r>
      <w:r>
        <w:rPr>
          <w:rFonts w:ascii="Arial Narrow" w:hAnsi="Arial Narrow"/>
        </w:rPr>
        <w:lastRenderedPageBreak/>
        <w:t xml:space="preserve">ramach interwencji </w:t>
      </w:r>
      <w:r w:rsidRPr="00736954">
        <w:rPr>
          <w:rFonts w:ascii="Arial Narrow" w:hAnsi="Arial Narrow"/>
          <w:i/>
        </w:rPr>
        <w:t>Inwestycje w gospodarstwach rolnych zwiększające konkurencyjność</w:t>
      </w:r>
      <w:r>
        <w:rPr>
          <w:rFonts w:ascii="Arial Narrow" w:hAnsi="Arial Narrow"/>
          <w:i/>
        </w:rPr>
        <w:t xml:space="preserve"> (dotacje). </w:t>
      </w:r>
      <w:r w:rsidRPr="008D1766">
        <w:rPr>
          <w:rFonts w:ascii="Arial Narrow" w:hAnsi="Arial Narrow"/>
        </w:rPr>
        <w:t>Tam także wprowadzone zostaną</w:t>
      </w:r>
      <w:r w:rsidRPr="00701170">
        <w:rPr>
          <w:rFonts w:ascii="Arial Narrow" w:hAnsi="Arial Narrow"/>
        </w:rPr>
        <w:t xml:space="preserve"> prefere</w:t>
      </w:r>
      <w:r>
        <w:rPr>
          <w:rFonts w:ascii="Arial Narrow" w:hAnsi="Arial Narrow"/>
        </w:rPr>
        <w:t xml:space="preserve">ncje dla projektów w zakresie produkcji prosiąt. Stosowana będzie </w:t>
      </w:r>
      <w:r w:rsidRPr="0034410C">
        <w:rPr>
          <w:rFonts w:ascii="Arial Narrow" w:hAnsi="Arial Narrow"/>
        </w:rPr>
        <w:t>pomoc na inwestycje ograniczające możliwość rozprzestrzeniania się afrykańskiego pomoru świń</w:t>
      </w:r>
      <w:r>
        <w:rPr>
          <w:rFonts w:ascii="Arial Narrow" w:hAnsi="Arial Narrow"/>
        </w:rPr>
        <w:t xml:space="preserve"> w ramach interwencji </w:t>
      </w:r>
      <w:r w:rsidRPr="0034410C">
        <w:rPr>
          <w:rFonts w:ascii="Arial Narrow" w:hAnsi="Arial Narrow"/>
          <w:i/>
        </w:rPr>
        <w:t>Inwestycje zapobiegające rozprzestrzenianiu się ASF</w:t>
      </w:r>
      <w:r w:rsidRPr="0034410C">
        <w:rPr>
          <w:rFonts w:ascii="Arial Narrow" w:hAnsi="Arial Narrow"/>
        </w:rPr>
        <w:t>.</w:t>
      </w:r>
    </w:p>
    <w:p w:rsidR="00617C02" w:rsidRPr="00617C02" w:rsidRDefault="00617C02" w:rsidP="00753F91">
      <w:pPr>
        <w:spacing w:after="120" w:line="288" w:lineRule="auto"/>
        <w:jc w:val="both"/>
        <w:rPr>
          <w:rFonts w:ascii="Arial Narrow" w:hAnsi="Arial Narrow"/>
        </w:rPr>
      </w:pPr>
      <w:r w:rsidRPr="00617C02">
        <w:rPr>
          <w:rFonts w:ascii="Arial Narrow" w:hAnsi="Arial Narrow"/>
        </w:rPr>
        <w:t>Wsparcie i promowanie rozwoju zorganizowanych form współpracy rolników</w:t>
      </w:r>
      <w:r w:rsidRPr="00617C02" w:rsidDel="004A1576">
        <w:rPr>
          <w:rFonts w:ascii="Arial Narrow" w:hAnsi="Arial Narrow"/>
        </w:rPr>
        <w:t xml:space="preserve"> </w:t>
      </w:r>
      <w:r w:rsidRPr="00617C02">
        <w:rPr>
          <w:rFonts w:ascii="Arial Narrow" w:hAnsi="Arial Narrow"/>
        </w:rPr>
        <w:t xml:space="preserve">będzie realizowane także poprzez inne działania, zarówno w ramach Planu Strategicznego WPR (preferencje </w:t>
      </w:r>
      <w:r w:rsidR="00F65626">
        <w:rPr>
          <w:rFonts w:ascii="Arial Narrow" w:hAnsi="Arial Narrow"/>
        </w:rPr>
        <w:t xml:space="preserve">– </w:t>
      </w:r>
      <w:r w:rsidR="00F65626" w:rsidRPr="00B22595">
        <w:rPr>
          <w:rFonts w:ascii="Arial Narrow" w:hAnsi="Arial Narrow"/>
          <w:i/>
        </w:rPr>
        <w:t>Rozwój małych gospodarstw,</w:t>
      </w:r>
      <w:r w:rsidR="00B22595" w:rsidRPr="00B22595">
        <w:rPr>
          <w:rFonts w:ascii="Arial Narrow" w:hAnsi="Arial Narrow"/>
          <w:i/>
        </w:rPr>
        <w:t xml:space="preserve"> Inwestycje w gospodarstwach rolnych zwiększające konkurencyjność (dotacje)</w:t>
      </w:r>
      <w:r w:rsidRPr="00617C02">
        <w:rPr>
          <w:rFonts w:ascii="Arial Narrow" w:hAnsi="Arial Narrow"/>
        </w:rPr>
        <w:t>), jak i Krajowego Planu Odbudowy i Zwiększania Odporności, w którym jako jedną z grup docelowych wskazano m.in. spółdzielnie w sektorze rolno-spożywczym, grupy producentów rolnych i ich związki, organizacje producentów i ich zrzeszenia oraz organizacje międzybranżowe.</w:t>
      </w:r>
      <w:r w:rsidR="00335885">
        <w:rPr>
          <w:rFonts w:ascii="Arial Narrow" w:hAnsi="Arial Narrow"/>
        </w:rPr>
        <w:t xml:space="preserve"> </w:t>
      </w:r>
    </w:p>
    <w:p w:rsidR="00617C02" w:rsidRPr="00617C02" w:rsidRDefault="00617C02" w:rsidP="00753F91">
      <w:pPr>
        <w:spacing w:after="120" w:line="288" w:lineRule="auto"/>
        <w:jc w:val="both"/>
        <w:rPr>
          <w:rFonts w:ascii="Arial Narrow" w:hAnsi="Arial Narrow"/>
        </w:rPr>
      </w:pPr>
      <w:r w:rsidRPr="00617C02">
        <w:rPr>
          <w:rFonts w:ascii="Arial Narrow" w:hAnsi="Arial Narrow"/>
        </w:rPr>
        <w:t xml:space="preserve">Przeprowadzone diagnozy na rzecz promowania rozwoju łańcucha żywnościowego wskazały na potrzebę kontynuowania wsparcia dla MŚP w sektorze przetwórstwa rolno-spożywczego i wprowadzania do obrotu produktów rolnych – ze względu na konieczność zagospodarowania lokalnych surowców rolnych i zapewnienia rolnikom możliwości wyboru odbiorców ich produktów (równowaga sił w łańcuchu wartości). </w:t>
      </w:r>
      <w:r w:rsidR="00335885">
        <w:rPr>
          <w:rFonts w:ascii="Arial Narrow" w:hAnsi="Arial Narrow"/>
        </w:rPr>
        <w:t xml:space="preserve">Zakłada się obowiązek trzyletnich kontraktów zawieranych z rolnikami tak aby zapewnić trwałość i stabilność powiązań w ramach łańcucha. </w:t>
      </w:r>
      <w:r w:rsidRPr="00617C02">
        <w:rPr>
          <w:rFonts w:ascii="Arial Narrow" w:hAnsi="Arial Narrow"/>
        </w:rPr>
        <w:t>Jest to działanie poprawiające również konkurencyjność sektora jako całości, a także, pośrednio i</w:t>
      </w:r>
      <w:r w:rsidR="00D763F7">
        <w:rPr>
          <w:rFonts w:ascii="Arial Narrow" w:hAnsi="Arial Narrow"/>
        </w:rPr>
        <w:t> </w:t>
      </w:r>
      <w:r w:rsidRPr="00617C02">
        <w:rPr>
          <w:rFonts w:ascii="Arial Narrow" w:hAnsi="Arial Narrow"/>
        </w:rPr>
        <w:t xml:space="preserve">gospodarstw rolnych. </w:t>
      </w:r>
    </w:p>
    <w:p w:rsidR="00045CB1" w:rsidRPr="002E735A" w:rsidRDefault="00045CB1" w:rsidP="00753F91">
      <w:pPr>
        <w:spacing w:after="120" w:line="288" w:lineRule="auto"/>
        <w:jc w:val="both"/>
        <w:rPr>
          <w:rFonts w:ascii="Arial Narrow" w:hAnsi="Arial Narrow"/>
        </w:rPr>
      </w:pPr>
      <w:r w:rsidRPr="00617C02">
        <w:rPr>
          <w:rFonts w:ascii="Arial Narrow" w:hAnsi="Arial Narrow"/>
        </w:rPr>
        <w:t>Zaplanowano wsparcie - poprawę pozycji rolników w łańcuchu wartości</w:t>
      </w:r>
      <w:r>
        <w:rPr>
          <w:rFonts w:ascii="Arial Narrow" w:hAnsi="Arial Narrow"/>
        </w:rPr>
        <w:t xml:space="preserve"> -</w:t>
      </w:r>
      <w:r w:rsidRPr="00617C02">
        <w:rPr>
          <w:rFonts w:ascii="Arial Narrow" w:hAnsi="Arial Narrow"/>
        </w:rPr>
        <w:t xml:space="preserve"> nakierowane na realizację działań inwestycyjnych, które mają wzmocnić pozycj</w:t>
      </w:r>
      <w:r>
        <w:rPr>
          <w:rFonts w:ascii="Arial Narrow" w:hAnsi="Arial Narrow"/>
        </w:rPr>
        <w:t>ę</w:t>
      </w:r>
      <w:r w:rsidRPr="00617C02">
        <w:rPr>
          <w:rFonts w:ascii="Arial Narrow" w:hAnsi="Arial Narrow"/>
        </w:rPr>
        <w:t xml:space="preserve"> rynkową rolników/przedsiębiorców, a także wpłynąć na dywersyfikację i skracanie etapów łańcucha żywności. Planowane do wdrożenia jest wsparcie </w:t>
      </w:r>
      <w:r w:rsidRPr="00D02F47">
        <w:rPr>
          <w:rFonts w:ascii="Arial Narrow" w:hAnsi="Arial Narrow"/>
          <w:i/>
        </w:rPr>
        <w:t>inwestycji w zakresie RHD</w:t>
      </w:r>
      <w:r>
        <w:rPr>
          <w:rFonts w:ascii="Arial Narrow" w:hAnsi="Arial Narrow"/>
          <w:i/>
        </w:rPr>
        <w:t xml:space="preserve"> (rolniczy handel detaliczny)</w:t>
      </w:r>
      <w:r w:rsidRPr="00D02F47">
        <w:rPr>
          <w:rFonts w:ascii="Arial Narrow" w:hAnsi="Arial Narrow"/>
          <w:i/>
        </w:rPr>
        <w:t>, wchodzenie rolników w sektor działalności gospodarczej w zakresie przetwórstwa</w:t>
      </w:r>
      <w:r w:rsidRPr="00617C02">
        <w:rPr>
          <w:rFonts w:ascii="Arial Narrow" w:hAnsi="Arial Narrow"/>
        </w:rPr>
        <w:t xml:space="preserve"> (w tym MOL</w:t>
      </w:r>
      <w:r>
        <w:rPr>
          <w:rFonts w:ascii="Arial Narrow" w:hAnsi="Arial Narrow"/>
        </w:rPr>
        <w:t xml:space="preserve"> – działalność marginalna, lokalna i ograniczona</w:t>
      </w:r>
      <w:r w:rsidRPr="00617C02">
        <w:rPr>
          <w:rFonts w:ascii="Arial Narrow" w:hAnsi="Arial Narrow"/>
        </w:rPr>
        <w:t xml:space="preserve">), rzeźnie rolnicze. </w:t>
      </w:r>
      <w:r>
        <w:rPr>
          <w:rFonts w:ascii="Arial Narrow" w:hAnsi="Arial Narrow"/>
        </w:rPr>
        <w:t xml:space="preserve">Również w ramach interwencji </w:t>
      </w:r>
      <w:r w:rsidRPr="00D02F47">
        <w:rPr>
          <w:rFonts w:ascii="Arial Narrow" w:hAnsi="Arial Narrow"/>
          <w:i/>
        </w:rPr>
        <w:t>Rozwój małych gospodarstw</w:t>
      </w:r>
      <w:r>
        <w:rPr>
          <w:rFonts w:ascii="Arial Narrow" w:hAnsi="Arial Narrow"/>
        </w:rPr>
        <w:t xml:space="preserve"> planuje się zachęcanie poprzez podwyższoną wysokość </w:t>
      </w:r>
      <w:r w:rsidRPr="00D02F47">
        <w:rPr>
          <w:rFonts w:ascii="Arial Narrow" w:hAnsi="Arial Narrow"/>
        </w:rPr>
        <w:t>wsparcia do sprzedaży bezpośredniej i podejmowanie działalności w ramach RHD. W zakresie podejścia LEADER planuje się kontynuację uruchomionej pilota</w:t>
      </w:r>
      <w:r w:rsidRPr="00A5065F">
        <w:rPr>
          <w:rFonts w:ascii="Arial Narrow" w:hAnsi="Arial Narrow"/>
        </w:rPr>
        <w:t>żowo w ramach PROW 2014-2020 współpracy rolników w ramach tzw. e</w:t>
      </w:r>
      <w:r>
        <w:rPr>
          <w:rFonts w:ascii="Arial Narrow" w:hAnsi="Arial Narrow"/>
        </w:rPr>
        <w:t>-</w:t>
      </w:r>
      <w:r w:rsidRPr="00A5065F">
        <w:rPr>
          <w:rFonts w:ascii="Arial Narrow" w:hAnsi="Arial Narrow"/>
        </w:rPr>
        <w:t>skrzynek,</w:t>
      </w:r>
      <w:r w:rsidRPr="002E735A">
        <w:rPr>
          <w:rFonts w:ascii="Arial Narrow" w:hAnsi="Arial Narrow"/>
        </w:rPr>
        <w:t xml:space="preserve"> których celem jest zorganizowanie wspólnej sprzedaży i marketingu.</w:t>
      </w:r>
    </w:p>
    <w:p w:rsidR="00335885" w:rsidRDefault="00701170" w:rsidP="00753F91">
      <w:pPr>
        <w:spacing w:after="120" w:line="288" w:lineRule="auto"/>
        <w:jc w:val="both"/>
        <w:rPr>
          <w:rFonts w:cs="Times New Roman"/>
        </w:rPr>
      </w:pPr>
      <w:r>
        <w:rPr>
          <w:rFonts w:ascii="Arial Narrow" w:hAnsi="Arial Narrow" w:cs="Times New Roman"/>
        </w:rPr>
        <w:lastRenderedPageBreak/>
        <w:t xml:space="preserve">Kontynuowane będzie również </w:t>
      </w:r>
      <w:r w:rsidR="00335885" w:rsidRPr="00D02F47">
        <w:rPr>
          <w:rFonts w:ascii="Arial Narrow" w:hAnsi="Arial Narrow" w:cs="Times New Roman"/>
          <w:i/>
        </w:rPr>
        <w:t>Wsparcie uczestników unijnych i krajowych systemów jakości żywności</w:t>
      </w:r>
      <w:r w:rsidR="00335885" w:rsidRPr="00D02F47">
        <w:rPr>
          <w:rFonts w:ascii="Arial Narrow" w:hAnsi="Arial Narrow" w:cs="Times New Roman"/>
        </w:rPr>
        <w:t xml:space="preserve"> </w:t>
      </w:r>
      <w:r w:rsidR="00335885" w:rsidRPr="00D02F47">
        <w:rPr>
          <w:rFonts w:ascii="Arial Narrow" w:hAnsi="Arial Narrow"/>
        </w:rPr>
        <w:t>przy</w:t>
      </w:r>
      <w:r w:rsidR="00335885" w:rsidRPr="00D02F47">
        <w:rPr>
          <w:rFonts w:ascii="Arial Narrow" w:hAnsi="Arial Narrow" w:cs="Times New Roman"/>
        </w:rPr>
        <w:t xml:space="preserve"> jednoczesnym wprowadzeniu preferencji dla rolników będących ich członkami w szeregu interwencji: </w:t>
      </w:r>
      <w:r w:rsidR="00335885" w:rsidRPr="00D02F47">
        <w:rPr>
          <w:rFonts w:ascii="Arial Narrow" w:hAnsi="Arial Narrow" w:cs="Times New Roman"/>
          <w:i/>
        </w:rPr>
        <w:t>Inwestycje w</w:t>
      </w:r>
      <w:r w:rsidR="00D763F7">
        <w:rPr>
          <w:rFonts w:ascii="Arial Narrow" w:hAnsi="Arial Narrow" w:cs="Times New Roman"/>
          <w:i/>
        </w:rPr>
        <w:t> </w:t>
      </w:r>
      <w:r w:rsidR="00335885" w:rsidRPr="00D02F47">
        <w:rPr>
          <w:rFonts w:ascii="Arial Narrow" w:hAnsi="Arial Narrow" w:cs="Times New Roman"/>
          <w:i/>
        </w:rPr>
        <w:t>gospodarstwach rolnych, Premia dla młodych rolników, Rozwój małych gospodarstw, Współpraca w ramach EPI.</w:t>
      </w:r>
    </w:p>
    <w:p w:rsidR="004F3BD5" w:rsidRDefault="004F3BD5">
      <w:pPr>
        <w:rPr>
          <w:rFonts w:ascii="Arial Narrow" w:hAnsi="Arial Narrow" w:cs="Times New Roman"/>
          <w:b/>
          <w:bCs/>
          <w:i/>
          <w:noProof/>
        </w:rPr>
      </w:pPr>
      <w:r>
        <w:rPr>
          <w:rFonts w:ascii="Arial Narrow" w:hAnsi="Arial Narrow" w:cs="Times New Roman"/>
          <w:b/>
          <w:bCs/>
          <w:i/>
          <w:noProof/>
        </w:rPr>
        <w:br w:type="page"/>
      </w:r>
    </w:p>
    <w:p w:rsidR="004F3BD5" w:rsidRPr="004F3BD5" w:rsidRDefault="004F3BD5" w:rsidP="004F3BD5">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sidRPr="004F3BD5">
        <w:rPr>
          <w:rFonts w:ascii="Arial Narrow" w:hAnsi="Arial Narrow" w:cs="Times New Roman"/>
          <w:b/>
          <w:bCs/>
          <w:i/>
          <w:noProof/>
        </w:rPr>
        <w:lastRenderedPageBreak/>
        <w:t xml:space="preserve">Rekomendacja </w:t>
      </w:r>
      <w:r w:rsidR="00572CF4" w:rsidRPr="000438B6">
        <w:rPr>
          <w:rFonts w:ascii="Arial Narrow" w:hAnsi="Arial Narrow" w:cs="Times New Roman"/>
          <w:b/>
          <w:bCs/>
          <w:i/>
          <w:noProof/>
        </w:rPr>
        <w:t>nr 4</w:t>
      </w:r>
      <w:r w:rsidRPr="000438B6">
        <w:rPr>
          <w:rFonts w:ascii="Arial Narrow" w:hAnsi="Arial Narrow" w:cs="Times New Roman"/>
          <w:b/>
          <w:bCs/>
          <w:i/>
          <w:noProof/>
        </w:rPr>
        <w:t xml:space="preserve">: </w:t>
      </w:r>
      <w:r w:rsidRPr="000438B6">
        <w:rPr>
          <w:rFonts w:ascii="Arial Narrow" w:hAnsi="Arial Narrow" w:cs="Times New Roman"/>
          <w:bCs/>
          <w:i/>
          <w:noProof/>
        </w:rPr>
        <w:t>Dalsze starania na rzecz ograniczenia emisji netto z rolnictwa polegające głównie na zmniejszaniu emisji związanych ze stosowaniem nawozów na glebach i na unikaniu uwalniania dwutlenku węgla z gleb organicznych, w tym z torfowisk, a także na lepszym zarządzaniu zwierzętami gospodarskimi (przeżuwaczami), w szczególności dzięki dostosowaniu strategii dotyczących karmienia zwierząt, tak aby ograniczyć emisje z fermentacji jelitowej zgodnie z unijną strategią dotyczącą metanu. Należy również zwiększyć rolę lasów w usuwaniu dwutlenku węgla poprzez zrównoważoną gospodarkę leśną (np. zmiany w intensywności gospodarowania, mieszanie gatunków liściastych i iglastych), większą wielofunkcyjność, poleganie w większym stopniu na agroleśnictwie, zalesianie i zwiększenie odporności lasów na zmianę klimatu. Tego ostatniego nie da się osiągnąć bez zapewnienia różnorodności biologicznej lasów dzięki ochronie i odtwarzaniu ich cennych siedlisk. W stosownych przypadkach należy stosować podejście oparte na uprawie sprzyjającej pochłanianiu dwutlenku węgla przez glebę.</w:t>
      </w:r>
    </w:p>
    <w:p w:rsidR="004F3BD5" w:rsidRPr="004F3BD5" w:rsidRDefault="004F3BD5" w:rsidP="00753F91">
      <w:pPr>
        <w:spacing w:after="120" w:line="288" w:lineRule="auto"/>
        <w:jc w:val="both"/>
        <w:rPr>
          <w:rFonts w:ascii="Arial Narrow" w:hAnsi="Arial Narrow"/>
        </w:rPr>
      </w:pPr>
      <w:r w:rsidRPr="004F3BD5">
        <w:rPr>
          <w:rFonts w:ascii="Arial Narrow" w:hAnsi="Arial Narrow"/>
        </w:rPr>
        <w:t xml:space="preserve">Polska planuje realizować działania łagodzące zmiany klimatu i przystosowanie do nich sektora rolnego. Szczególnie dotyczy to ograniczenia emisji GHG w rolnictwie poprzez </w:t>
      </w:r>
      <w:r w:rsidR="002B667E">
        <w:rPr>
          <w:rFonts w:ascii="Arial Narrow" w:hAnsi="Arial Narrow"/>
        </w:rPr>
        <w:t xml:space="preserve">realizację odpowiednich </w:t>
      </w:r>
      <w:r w:rsidR="002B667E" w:rsidRPr="002E735A">
        <w:rPr>
          <w:rFonts w:ascii="Arial Narrow" w:hAnsi="Arial Narrow"/>
          <w:u w:val="single"/>
        </w:rPr>
        <w:t>norm GAEC</w:t>
      </w:r>
      <w:r w:rsidR="002B667E" w:rsidRPr="002E735A">
        <w:rPr>
          <w:rFonts w:ascii="Arial Narrow" w:hAnsi="Arial Narrow"/>
        </w:rPr>
        <w:t>. Wymagan</w:t>
      </w:r>
      <w:r w:rsidR="00701170">
        <w:rPr>
          <w:rFonts w:ascii="Arial Narrow" w:hAnsi="Arial Narrow"/>
        </w:rPr>
        <w:t>e</w:t>
      </w:r>
      <w:r w:rsidR="002B667E" w:rsidRPr="002E735A">
        <w:rPr>
          <w:rFonts w:ascii="Arial Narrow" w:hAnsi="Arial Narrow"/>
        </w:rPr>
        <w:t xml:space="preserve"> będzie m.in. </w:t>
      </w:r>
      <w:r w:rsidR="002E735A" w:rsidRPr="002E735A">
        <w:rPr>
          <w:rFonts w:ascii="Arial Narrow" w:hAnsi="Arial Narrow"/>
        </w:rPr>
        <w:t>u</w:t>
      </w:r>
      <w:r w:rsidR="00D70552" w:rsidRPr="002E735A">
        <w:rPr>
          <w:rFonts w:ascii="Arial Narrow" w:hAnsi="Arial Narrow"/>
        </w:rPr>
        <w:t xml:space="preserve">trzymywanie trwałych użytków zielonych, </w:t>
      </w:r>
      <w:r w:rsidR="002E735A" w:rsidRPr="002E735A">
        <w:rPr>
          <w:rFonts w:ascii="Arial Narrow" w:hAnsi="Arial Narrow"/>
        </w:rPr>
        <w:t>o</w:t>
      </w:r>
      <w:r w:rsidR="00D70552" w:rsidRPr="002E735A">
        <w:rPr>
          <w:rFonts w:ascii="Arial Narrow" w:hAnsi="Arial Narrow"/>
        </w:rPr>
        <w:t xml:space="preserve">chrona terenów podmokłych i torfowisk, oraz zakaz wypalania </w:t>
      </w:r>
      <w:r w:rsidR="002E735A" w:rsidRPr="002E735A">
        <w:rPr>
          <w:rFonts w:ascii="Arial Narrow" w:hAnsi="Arial Narrow"/>
        </w:rPr>
        <w:t>gruntów rolnych. Praktyki te umożliwią utrzymanie węgla w glebie i zapobieganie emisji dwutlenku węgla do atmosfery.</w:t>
      </w:r>
      <w:r w:rsidR="002E735A">
        <w:rPr>
          <w:rFonts w:ascii="Arial Narrow" w:hAnsi="Arial Narrow"/>
        </w:rPr>
        <w:t xml:space="preserve"> </w:t>
      </w:r>
      <w:r w:rsidR="007D0B61">
        <w:rPr>
          <w:rFonts w:ascii="Arial Narrow" w:hAnsi="Arial Narrow"/>
        </w:rPr>
        <w:t xml:space="preserve">Wdrażane będą również </w:t>
      </w:r>
      <w:r w:rsidR="007D0B61" w:rsidRPr="00CF2BBC">
        <w:rPr>
          <w:rFonts w:ascii="Arial Narrow" w:hAnsi="Arial Narrow"/>
        </w:rPr>
        <w:t>systemy na rzecz klimatu, środowiska i dobrostanu zwierząt</w:t>
      </w:r>
      <w:r w:rsidR="007D0B61">
        <w:rPr>
          <w:rFonts w:ascii="Arial Narrow" w:hAnsi="Arial Narrow"/>
        </w:rPr>
        <w:t xml:space="preserve">, w tym </w:t>
      </w:r>
      <w:bookmarkStart w:id="4" w:name="_Toc77474264"/>
      <w:r w:rsidR="007D0B61" w:rsidRPr="00CF2BBC">
        <w:rPr>
          <w:rFonts w:ascii="Arial Narrow" w:hAnsi="Arial Narrow"/>
          <w:i/>
        </w:rPr>
        <w:t>Ekoschemat - Wymieszanie obornika na gruntach ornych w ciągu 12 godzin od aplikacji</w:t>
      </w:r>
      <w:bookmarkEnd w:id="4"/>
      <w:r w:rsidR="007D0B61" w:rsidRPr="00CF2BBC">
        <w:rPr>
          <w:rFonts w:ascii="Arial Narrow" w:hAnsi="Arial Narrow"/>
          <w:i/>
        </w:rPr>
        <w:t xml:space="preserve">, </w:t>
      </w:r>
      <w:bookmarkStart w:id="5" w:name="_Toc77474265"/>
      <w:r w:rsidR="007D0B61" w:rsidRPr="00CF2BBC">
        <w:rPr>
          <w:rFonts w:ascii="Arial Narrow" w:hAnsi="Arial Narrow"/>
          <w:i/>
        </w:rPr>
        <w:t>Ekoschemat - Stosowanie płynnych nawozów naturalnych innymi metodami niż rozbryzgowo, tj. w formie aplikacji doglebowej</w:t>
      </w:r>
      <w:bookmarkEnd w:id="5"/>
      <w:r w:rsidR="007D0B61" w:rsidRPr="00CF2BBC">
        <w:rPr>
          <w:rFonts w:ascii="Arial Narrow" w:hAnsi="Arial Narrow"/>
          <w:i/>
        </w:rPr>
        <w:t>,</w:t>
      </w:r>
      <w:r w:rsidR="00B63021">
        <w:rPr>
          <w:rFonts w:ascii="Arial Narrow" w:hAnsi="Arial Narrow"/>
          <w:i/>
        </w:rPr>
        <w:t xml:space="preserve"> </w:t>
      </w:r>
      <w:r w:rsidR="00B63021" w:rsidRPr="00E13628">
        <w:rPr>
          <w:rFonts w:ascii="Arial Narrow" w:hAnsi="Arial Narrow"/>
          <w:i/>
        </w:rPr>
        <w:t>Ekoschemat - Retencjonowanie wody na trwałych użytkach zielonych</w:t>
      </w:r>
      <w:r w:rsidR="00B63021">
        <w:rPr>
          <w:rFonts w:ascii="Arial Narrow" w:hAnsi="Arial Narrow"/>
          <w:i/>
        </w:rPr>
        <w:t>,</w:t>
      </w:r>
      <w:r w:rsidR="007D0B61" w:rsidRPr="00CF2BBC">
        <w:rPr>
          <w:rFonts w:ascii="Arial Narrow" w:hAnsi="Arial Narrow"/>
          <w:i/>
        </w:rPr>
        <w:t xml:space="preserve"> </w:t>
      </w:r>
      <w:bookmarkStart w:id="6" w:name="_Toc77474266"/>
      <w:r w:rsidR="007D0B61" w:rsidRPr="00CF2BBC">
        <w:rPr>
          <w:rFonts w:ascii="Arial Narrow" w:hAnsi="Arial Narrow"/>
          <w:i/>
        </w:rPr>
        <w:t>Ekoschemat - Uproszczone systemy uprawy</w:t>
      </w:r>
      <w:bookmarkEnd w:id="6"/>
      <w:r w:rsidR="004846A3" w:rsidRPr="00CF2BBC">
        <w:rPr>
          <w:rFonts w:ascii="Arial Narrow" w:hAnsi="Arial Narrow"/>
          <w:i/>
        </w:rPr>
        <w:t xml:space="preserve">, </w:t>
      </w:r>
      <w:bookmarkStart w:id="7" w:name="_Toc77474268"/>
      <w:r w:rsidR="004846A3" w:rsidRPr="00CF2BBC">
        <w:rPr>
          <w:rFonts w:ascii="Arial Narrow" w:hAnsi="Arial Narrow"/>
          <w:i/>
        </w:rPr>
        <w:t>Ekoschemat - Utrzymanie zadrzewień śródpolnych</w:t>
      </w:r>
      <w:bookmarkEnd w:id="7"/>
      <w:r w:rsidR="004846A3" w:rsidRPr="00CF2BBC">
        <w:rPr>
          <w:rFonts w:ascii="Arial Narrow" w:hAnsi="Arial Narrow"/>
          <w:i/>
        </w:rPr>
        <w:t xml:space="preserve">, </w:t>
      </w:r>
      <w:bookmarkStart w:id="8" w:name="_Toc77474269"/>
      <w:r w:rsidR="004846A3" w:rsidRPr="00CF2BBC">
        <w:rPr>
          <w:rFonts w:ascii="Arial Narrow" w:hAnsi="Arial Narrow"/>
          <w:i/>
        </w:rPr>
        <w:t>Ekoschemat - Utrzymanie systemów rolno-leśnych</w:t>
      </w:r>
      <w:bookmarkEnd w:id="8"/>
      <w:r w:rsidR="004846A3" w:rsidRPr="00CF2BBC">
        <w:rPr>
          <w:rFonts w:ascii="Arial Narrow" w:hAnsi="Arial Narrow"/>
          <w:i/>
        </w:rPr>
        <w:t xml:space="preserve">, </w:t>
      </w:r>
      <w:bookmarkStart w:id="9" w:name="_Toc77474271"/>
      <w:r w:rsidR="004846A3" w:rsidRPr="00CF2BBC">
        <w:rPr>
          <w:rFonts w:ascii="Arial Narrow" w:hAnsi="Arial Narrow"/>
          <w:i/>
        </w:rPr>
        <w:t>Ekoschemat – Rolnictwo ekologiczne</w:t>
      </w:r>
      <w:bookmarkEnd w:id="9"/>
      <w:r w:rsidR="00CF2BBC" w:rsidRPr="00CF2BBC">
        <w:rPr>
          <w:rFonts w:ascii="Arial Narrow" w:hAnsi="Arial Narrow"/>
        </w:rPr>
        <w:t>, dzięki czemu możliwe będzie ograniczenie emisji GHG z rolnictwa</w:t>
      </w:r>
      <w:r w:rsidR="00DC1B79">
        <w:rPr>
          <w:rFonts w:ascii="Arial Narrow" w:hAnsi="Arial Narrow"/>
        </w:rPr>
        <w:t xml:space="preserve">. </w:t>
      </w:r>
      <w:r w:rsidR="00701170">
        <w:rPr>
          <w:rFonts w:ascii="Arial Narrow" w:hAnsi="Arial Narrow"/>
        </w:rPr>
        <w:t>W</w:t>
      </w:r>
      <w:r w:rsidR="00840EF1">
        <w:rPr>
          <w:rFonts w:ascii="Arial Narrow" w:hAnsi="Arial Narrow"/>
        </w:rPr>
        <w:t xml:space="preserve"> Planie przewidziano również odpowiednie inwestycje </w:t>
      </w:r>
      <w:r w:rsidRPr="004F3BD5">
        <w:rPr>
          <w:rFonts w:ascii="Arial Narrow" w:hAnsi="Arial Narrow"/>
        </w:rPr>
        <w:t>w budynki inwentarskie i ich infrastrukturę oraz sprzęt do produkcji rolnej (</w:t>
      </w:r>
      <w:r w:rsidRPr="00E13628">
        <w:rPr>
          <w:rFonts w:ascii="Arial Narrow" w:hAnsi="Arial Narrow"/>
          <w:i/>
        </w:rPr>
        <w:t>np. maszyny do doglebowej aplikacji nawozów, precyzyjnego nawożenia, uprawy bezorkowej</w:t>
      </w:r>
      <w:r w:rsidRPr="004F3BD5">
        <w:rPr>
          <w:rFonts w:ascii="Arial Narrow" w:hAnsi="Arial Narrow"/>
        </w:rPr>
        <w:t xml:space="preserve">) </w:t>
      </w:r>
      <w:r w:rsidR="00F86203">
        <w:rPr>
          <w:rFonts w:ascii="Arial Narrow" w:hAnsi="Arial Narrow"/>
        </w:rPr>
        <w:t xml:space="preserve">w ramach interwencji </w:t>
      </w:r>
      <w:r w:rsidR="00F86203" w:rsidRPr="00572CF4">
        <w:rPr>
          <w:rFonts w:ascii="Arial Narrow" w:hAnsi="Arial Narrow"/>
          <w:i/>
        </w:rPr>
        <w:t>Inwestycje przyczyniające się do ochrony środowiska i klimatu</w:t>
      </w:r>
      <w:r w:rsidR="00F86203">
        <w:rPr>
          <w:rFonts w:ascii="Arial Narrow" w:hAnsi="Arial Narrow"/>
          <w:i/>
        </w:rPr>
        <w:t xml:space="preserve">. </w:t>
      </w:r>
      <w:r w:rsidR="00F86203">
        <w:rPr>
          <w:rFonts w:ascii="Arial Narrow" w:hAnsi="Arial Narrow"/>
        </w:rPr>
        <w:t xml:space="preserve">Ponadto biorąc pod uwagę, że tego typu inwestycje potrzebują efektu skali oferowane będzie również wsparcie w formie dotacji dla przedsiębiorstw świadczących ww. usługi w ramach interwencji </w:t>
      </w:r>
      <w:r w:rsidR="00F86203" w:rsidRPr="00F86203">
        <w:rPr>
          <w:rFonts w:ascii="Arial Narrow" w:hAnsi="Arial Narrow"/>
        </w:rPr>
        <w:t>Rozwój usług środowiskowych z wykorzystaniem rozwiązań Rolnictwa 4.0</w:t>
      </w:r>
      <w:r w:rsidR="00F86203">
        <w:rPr>
          <w:rFonts w:ascii="Arial Narrow" w:hAnsi="Arial Narrow"/>
        </w:rPr>
        <w:t>.</w:t>
      </w:r>
      <w:r w:rsidR="00D63730">
        <w:rPr>
          <w:rFonts w:ascii="Arial Narrow" w:hAnsi="Arial Narrow"/>
        </w:rPr>
        <w:t xml:space="preserve"> </w:t>
      </w:r>
      <w:r w:rsidR="00E50762">
        <w:rPr>
          <w:rFonts w:ascii="Arial Narrow" w:hAnsi="Arial Narrow"/>
        </w:rPr>
        <w:t xml:space="preserve">Interwencja pn. </w:t>
      </w:r>
      <w:r w:rsidR="00E50762">
        <w:rPr>
          <w:rFonts w:ascii="Arial Narrow" w:hAnsi="Arial Narrow"/>
          <w:i/>
        </w:rPr>
        <w:t xml:space="preserve">Inwestycje w </w:t>
      </w:r>
      <w:r w:rsidR="00E50762" w:rsidRPr="00A7363E">
        <w:rPr>
          <w:rFonts w:ascii="Arial Narrow" w:hAnsi="Arial Narrow"/>
          <w:i/>
        </w:rPr>
        <w:t>gospodarstw</w:t>
      </w:r>
      <w:r w:rsidR="00E50762">
        <w:rPr>
          <w:rFonts w:ascii="Arial Narrow" w:hAnsi="Arial Narrow"/>
          <w:i/>
        </w:rPr>
        <w:t xml:space="preserve">ach </w:t>
      </w:r>
      <w:r w:rsidR="00E50762" w:rsidRPr="00A7363E">
        <w:rPr>
          <w:rFonts w:ascii="Arial Narrow" w:hAnsi="Arial Narrow"/>
          <w:i/>
        </w:rPr>
        <w:t>rolnych</w:t>
      </w:r>
      <w:r w:rsidR="00E50762">
        <w:rPr>
          <w:rFonts w:ascii="Arial Narrow" w:hAnsi="Arial Narrow"/>
          <w:i/>
        </w:rPr>
        <w:t xml:space="preserve"> zwiększające konkurencyjność (dotacje)</w:t>
      </w:r>
      <w:r w:rsidR="00E50762">
        <w:rPr>
          <w:rFonts w:ascii="Arial Narrow" w:hAnsi="Arial Narrow"/>
        </w:rPr>
        <w:t xml:space="preserve"> umożliwi realizacje in</w:t>
      </w:r>
      <w:r w:rsidR="00E50762">
        <w:rPr>
          <w:rFonts w:ascii="Arial Narrow" w:hAnsi="Arial Narrow"/>
        </w:rPr>
        <w:lastRenderedPageBreak/>
        <w:t>westycji m.in. dotyczących modernizacji budynków inwentarskich i urządzeń do produkcji zwierzęcej</w:t>
      </w:r>
      <w:r w:rsidR="001B679C">
        <w:rPr>
          <w:rFonts w:ascii="Arial Narrow" w:hAnsi="Arial Narrow"/>
        </w:rPr>
        <w:t xml:space="preserve"> </w:t>
      </w:r>
      <w:r w:rsidR="00E50762">
        <w:rPr>
          <w:rFonts w:ascii="Arial Narrow" w:hAnsi="Arial Narrow"/>
        </w:rPr>
        <w:t xml:space="preserve">przechowywania </w:t>
      </w:r>
      <w:r w:rsidR="00927627">
        <w:rPr>
          <w:rFonts w:ascii="Arial Narrow" w:hAnsi="Arial Narrow"/>
        </w:rPr>
        <w:t>w tym przechowywania n</w:t>
      </w:r>
      <w:r w:rsidR="00E50762">
        <w:rPr>
          <w:rFonts w:ascii="Arial Narrow" w:hAnsi="Arial Narrow"/>
        </w:rPr>
        <w:t>awozów naturalnych</w:t>
      </w:r>
      <w:r w:rsidR="00045CB1">
        <w:rPr>
          <w:rFonts w:ascii="Arial Narrow" w:hAnsi="Arial Narrow"/>
        </w:rPr>
        <w:t>,</w:t>
      </w:r>
      <w:r w:rsidR="00E50762">
        <w:rPr>
          <w:rFonts w:ascii="Arial Narrow" w:hAnsi="Arial Narrow"/>
        </w:rPr>
        <w:t xml:space="preserve"> które (obok celów ekonomicznych) </w:t>
      </w:r>
      <w:r w:rsidR="001B679C">
        <w:rPr>
          <w:rFonts w:ascii="Arial Narrow" w:hAnsi="Arial Narrow"/>
        </w:rPr>
        <w:t>realizować</w:t>
      </w:r>
      <w:r w:rsidR="00E50762">
        <w:rPr>
          <w:rFonts w:ascii="Arial Narrow" w:hAnsi="Arial Narrow"/>
        </w:rPr>
        <w:t xml:space="preserve"> będą cele środowiskowo-klimatyczne.</w:t>
      </w:r>
      <w:r w:rsidR="00E50762" w:rsidDel="00E50762">
        <w:rPr>
          <w:rFonts w:ascii="Arial Narrow" w:hAnsi="Arial Narrow"/>
        </w:rPr>
        <w:t xml:space="preserve"> </w:t>
      </w:r>
      <w:r w:rsidRPr="004F3BD5">
        <w:rPr>
          <w:rFonts w:ascii="Arial Narrow" w:hAnsi="Arial Narrow"/>
        </w:rPr>
        <w:t xml:space="preserve">Niezbędne jest także podnoszenie wiedzy rolników poprzez </w:t>
      </w:r>
      <w:r w:rsidR="001B679C" w:rsidRPr="004F3BD5">
        <w:rPr>
          <w:rFonts w:ascii="Arial Narrow" w:hAnsi="Arial Narrow"/>
        </w:rPr>
        <w:t>szkolenia w zakresie praktyk rolniczych łagodzących zmiany klimatu i poprawiających adaptację do nich</w:t>
      </w:r>
      <w:r w:rsidR="001B679C" w:rsidRPr="004E245B">
        <w:rPr>
          <w:rFonts w:ascii="Arial Narrow" w:hAnsi="Arial Narrow"/>
        </w:rPr>
        <w:t xml:space="preserve"> </w:t>
      </w:r>
      <w:r w:rsidR="001B679C">
        <w:rPr>
          <w:rFonts w:ascii="Arial Narrow" w:hAnsi="Arial Narrow"/>
        </w:rPr>
        <w:t>oraz zapewnienie odpowiednich usług</w:t>
      </w:r>
      <w:r w:rsidR="001B679C" w:rsidRPr="004F3BD5">
        <w:rPr>
          <w:rFonts w:ascii="Arial Narrow" w:hAnsi="Arial Narrow"/>
        </w:rPr>
        <w:t xml:space="preserve"> doradcz</w:t>
      </w:r>
      <w:r w:rsidR="001B679C">
        <w:rPr>
          <w:rFonts w:ascii="Arial Narrow" w:hAnsi="Arial Narrow"/>
        </w:rPr>
        <w:t>ych</w:t>
      </w:r>
      <w:r w:rsidRPr="004F3BD5">
        <w:rPr>
          <w:rFonts w:ascii="Arial Narrow" w:hAnsi="Arial Narrow"/>
        </w:rPr>
        <w:t xml:space="preserve">. </w:t>
      </w:r>
    </w:p>
    <w:p w:rsidR="00B63021" w:rsidRDefault="004F3BD5" w:rsidP="00753F91">
      <w:pPr>
        <w:spacing w:after="120" w:line="288" w:lineRule="auto"/>
        <w:jc w:val="both"/>
        <w:rPr>
          <w:rFonts w:ascii="Arial Narrow" w:hAnsi="Arial Narrow"/>
        </w:rPr>
      </w:pPr>
      <w:r w:rsidRPr="004F3BD5">
        <w:rPr>
          <w:rFonts w:ascii="Arial Narrow" w:hAnsi="Arial Narrow"/>
        </w:rPr>
        <w:t>Polska uznaje znaczenie lasów dla poprawy bilansu emisji gazów cieplarnianych, a także gospodarki wodnej i łagodzeni</w:t>
      </w:r>
      <w:r w:rsidR="00E42EA4">
        <w:rPr>
          <w:rFonts w:ascii="Arial Narrow" w:hAnsi="Arial Narrow"/>
        </w:rPr>
        <w:t>a</w:t>
      </w:r>
      <w:r w:rsidRPr="004F3BD5">
        <w:rPr>
          <w:rFonts w:ascii="Arial Narrow" w:hAnsi="Arial Narrow"/>
        </w:rPr>
        <w:t xml:space="preserve"> zmian klimatu. </w:t>
      </w:r>
      <w:r w:rsidR="00E42EA4">
        <w:rPr>
          <w:rFonts w:ascii="Arial Narrow" w:hAnsi="Arial Narrow"/>
        </w:rPr>
        <w:t>W celu zwiększenia sekwestracji CO</w:t>
      </w:r>
      <w:r w:rsidR="00E42EA4" w:rsidRPr="00753F91">
        <w:rPr>
          <w:rFonts w:ascii="Arial Narrow" w:hAnsi="Arial Narrow"/>
          <w:vertAlign w:val="subscript"/>
        </w:rPr>
        <w:t>2</w:t>
      </w:r>
      <w:r w:rsidR="00E42EA4">
        <w:rPr>
          <w:rFonts w:ascii="Arial Narrow" w:hAnsi="Arial Narrow"/>
        </w:rPr>
        <w:t xml:space="preserve"> będą</w:t>
      </w:r>
      <w:r w:rsidRPr="004F3BD5">
        <w:rPr>
          <w:rFonts w:ascii="Arial Narrow" w:hAnsi="Arial Narrow"/>
        </w:rPr>
        <w:t xml:space="preserve"> kontynuowa</w:t>
      </w:r>
      <w:r w:rsidR="00E42EA4">
        <w:rPr>
          <w:rFonts w:ascii="Arial Narrow" w:hAnsi="Arial Narrow"/>
        </w:rPr>
        <w:t>ne</w:t>
      </w:r>
      <w:r w:rsidRPr="004F3BD5">
        <w:rPr>
          <w:rFonts w:ascii="Arial Narrow" w:hAnsi="Arial Narrow"/>
        </w:rPr>
        <w:t xml:space="preserve"> w poszerzonym zakresie działania na rzecz zwiększenia lesistości (z zachowaniem parametrów jakościowych nasadzeń), poprawy bioróżnorodności i kondycji lasów </w:t>
      </w:r>
      <w:r w:rsidR="00E13628">
        <w:rPr>
          <w:rFonts w:ascii="Arial Narrow" w:hAnsi="Arial Narrow"/>
        </w:rPr>
        <w:t xml:space="preserve">[interwencja pn. </w:t>
      </w:r>
      <w:r w:rsidR="00E13628" w:rsidRPr="00E13628">
        <w:rPr>
          <w:rFonts w:ascii="Arial Narrow" w:hAnsi="Arial Narrow"/>
          <w:i/>
        </w:rPr>
        <w:t>Zakładanie systemów rolno-leśnych, Tworzenie zadrzewień śródpolnych, Zalesianie gruntów rolnych oraz Zwiększanie bioróżnorodności lasów prywatnych</w:t>
      </w:r>
      <w:r w:rsidR="00E13628">
        <w:rPr>
          <w:rFonts w:ascii="Arial Narrow" w:hAnsi="Arial Narrow"/>
        </w:rPr>
        <w:t>]</w:t>
      </w:r>
      <w:r w:rsidR="00F86203">
        <w:rPr>
          <w:rFonts w:ascii="Arial Narrow" w:hAnsi="Arial Narrow"/>
        </w:rPr>
        <w:t>. Z</w:t>
      </w:r>
      <w:r w:rsidR="00F86203" w:rsidRPr="004F3BD5">
        <w:rPr>
          <w:rFonts w:ascii="Arial Narrow" w:hAnsi="Arial Narrow"/>
        </w:rPr>
        <w:t>większenia obecności zadrzewień na terenach rolnych</w:t>
      </w:r>
      <w:r w:rsidR="00F86203">
        <w:rPr>
          <w:rFonts w:ascii="Arial Narrow" w:hAnsi="Arial Narrow"/>
        </w:rPr>
        <w:t xml:space="preserve"> będzie realizowane poprzez </w:t>
      </w:r>
      <w:r w:rsidRPr="004F3BD5">
        <w:rPr>
          <w:rFonts w:ascii="Arial Narrow" w:hAnsi="Arial Narrow"/>
        </w:rPr>
        <w:t>zachęty do utrzymania obszarów nieprodukcyjnych oraz wsparcie inwestycyjne</w:t>
      </w:r>
      <w:r w:rsidR="00E13628">
        <w:rPr>
          <w:rFonts w:ascii="Arial Narrow" w:hAnsi="Arial Narrow"/>
        </w:rPr>
        <w:t>.</w:t>
      </w:r>
    </w:p>
    <w:p w:rsidR="00E42EA4" w:rsidRDefault="00E42EA4" w:rsidP="00753F91">
      <w:pPr>
        <w:spacing w:after="120" w:line="288" w:lineRule="auto"/>
        <w:jc w:val="both"/>
        <w:rPr>
          <w:rFonts w:ascii="Arial Narrow" w:hAnsi="Arial Narrow"/>
        </w:rPr>
      </w:pPr>
      <w:r>
        <w:rPr>
          <w:rFonts w:ascii="Arial Narrow" w:hAnsi="Arial Narrow"/>
        </w:rPr>
        <w:t xml:space="preserve">Wszystkie interwencje leśne i zadrzewieniowe będą koncentrować się przede wszystkim na wprowadzeniu nasadzeń w istniejących lasach, zalesieniu gruntów rolnych oraz tworzeniu zadrzewień i systemów rolno-leśnych </w:t>
      </w:r>
      <w:r w:rsidRPr="00F61B1F">
        <w:rPr>
          <w:rFonts w:ascii="Arial Narrow" w:hAnsi="Arial Narrow" w:cs="Arial"/>
        </w:rPr>
        <w:t>przy uwzględnieniu lokalnych warunków siedliskowych, środowiskowych i klimatycznych danego obszaru</w:t>
      </w:r>
      <w:r>
        <w:rPr>
          <w:rFonts w:ascii="Arial Narrow" w:hAnsi="Arial Narrow"/>
        </w:rPr>
        <w:t xml:space="preserve">. Młode drzewostany w fazie silnego wzrostu mają wysoką zdolność do pochłaniania dwutlenku węgla. Ponadto wszystkie interwencje będą przyczyniać się do poprawy bioróżnorodności, w szczególności w przypadku interwencji w lasach prywatnych, polegających na wzmocnieniu monokultur iglastych poprzez wprowadzania drugiego pietra, podszytu i dolesiania luk. Składy gatunkowe będą projektowane w oparciu o listy rodzimych gatunków </w:t>
      </w:r>
      <w:r w:rsidRPr="00F61B1F">
        <w:rPr>
          <w:rFonts w:ascii="Arial Narrow" w:hAnsi="Arial Narrow"/>
        </w:rPr>
        <w:t>drzew lub krze</w:t>
      </w:r>
      <w:r>
        <w:rPr>
          <w:rFonts w:ascii="Arial Narrow" w:hAnsi="Arial Narrow"/>
        </w:rPr>
        <w:t>wów, w tym m.in. biocenotycznych i miododajnych optymalnie dostosowanych do rodzajów interwencji. W</w:t>
      </w:r>
      <w:r w:rsidRPr="00F61B1F">
        <w:rPr>
          <w:rFonts w:ascii="Arial Narrow" w:hAnsi="Arial Narrow"/>
        </w:rPr>
        <w:t xml:space="preserve"> składzie gatunkowym nasadzeń przeważać będą gatunki liściaste, o ile pozwolą na to warunki siedliskowe</w:t>
      </w:r>
      <w:r>
        <w:rPr>
          <w:rFonts w:ascii="Arial Narrow" w:hAnsi="Arial Narrow"/>
        </w:rPr>
        <w:t>.</w:t>
      </w:r>
    </w:p>
    <w:p w:rsidR="00BD7C25" w:rsidRPr="003B4516" w:rsidRDefault="00FF0A87" w:rsidP="00753F91">
      <w:pPr>
        <w:spacing w:after="120" w:line="288" w:lineRule="auto"/>
        <w:contextualSpacing/>
        <w:jc w:val="both"/>
        <w:rPr>
          <w:rFonts w:ascii="Arial Narrow" w:hAnsi="Arial Narrow"/>
          <w:highlight w:val="green"/>
        </w:rPr>
      </w:pPr>
      <w:r>
        <w:rPr>
          <w:rFonts w:ascii="Arial Narrow" w:hAnsi="Arial Narrow"/>
        </w:rPr>
        <w:t>W kontekście</w:t>
      </w:r>
      <w:r w:rsidRPr="00FF0A87">
        <w:rPr>
          <w:rFonts w:ascii="Arial Narrow" w:hAnsi="Arial Narrow"/>
        </w:rPr>
        <w:t xml:space="preserve"> </w:t>
      </w:r>
      <w:r>
        <w:rPr>
          <w:rFonts w:ascii="Arial Narrow" w:hAnsi="Arial Narrow"/>
        </w:rPr>
        <w:t>działań</w:t>
      </w:r>
      <w:r w:rsidRPr="004F3BD5">
        <w:rPr>
          <w:rFonts w:ascii="Arial Narrow" w:hAnsi="Arial Narrow"/>
        </w:rPr>
        <w:t xml:space="preserve"> łagodząc</w:t>
      </w:r>
      <w:r>
        <w:rPr>
          <w:rFonts w:ascii="Arial Narrow" w:hAnsi="Arial Narrow"/>
        </w:rPr>
        <w:t>ych</w:t>
      </w:r>
      <w:r w:rsidRPr="004F3BD5">
        <w:rPr>
          <w:rFonts w:ascii="Arial Narrow" w:hAnsi="Arial Narrow"/>
        </w:rPr>
        <w:t xml:space="preserve"> zmiany klimatu i przystosowanie do nich sektora rolnego</w:t>
      </w:r>
      <w:r>
        <w:rPr>
          <w:rFonts w:ascii="Arial Narrow" w:hAnsi="Arial Narrow"/>
        </w:rPr>
        <w:t xml:space="preserve"> nie bez znaczenia są planowane do wdrożenia interwencje rolno-środowiskowo-klimatyczne, tj. interwencje pn. </w:t>
      </w:r>
      <w:r w:rsidRPr="00FF0A87">
        <w:rPr>
          <w:rFonts w:ascii="Arial Narrow" w:hAnsi="Arial Narrow"/>
          <w:i/>
        </w:rPr>
        <w:t>Ochrona cennych siedlisk i zagrożonych gatunków na obszarach Natura 2000</w:t>
      </w:r>
      <w:r>
        <w:rPr>
          <w:rFonts w:ascii="Arial Narrow" w:hAnsi="Arial Narrow"/>
          <w:i/>
        </w:rPr>
        <w:t xml:space="preserve">, </w:t>
      </w:r>
      <w:r w:rsidRPr="00FF0A87">
        <w:rPr>
          <w:rFonts w:ascii="Arial Narrow" w:hAnsi="Arial Narrow"/>
          <w:i/>
        </w:rPr>
        <w:t>Ochrona cennych siedlisk i zagrożonych gatunków poza obszarami Natura 2000</w:t>
      </w:r>
      <w:r>
        <w:rPr>
          <w:rFonts w:ascii="Arial Narrow" w:hAnsi="Arial Narrow"/>
          <w:i/>
        </w:rPr>
        <w:t xml:space="preserve"> </w:t>
      </w:r>
      <w:r w:rsidRPr="00FF0A87">
        <w:rPr>
          <w:rFonts w:ascii="Arial Narrow" w:hAnsi="Arial Narrow"/>
        </w:rPr>
        <w:t>oraz</w:t>
      </w:r>
      <w:r>
        <w:rPr>
          <w:rFonts w:ascii="Arial Narrow" w:hAnsi="Arial Narrow"/>
        </w:rPr>
        <w:t xml:space="preserve"> </w:t>
      </w:r>
      <w:r w:rsidRPr="00163941">
        <w:rPr>
          <w:rFonts w:ascii="Arial Narrow" w:hAnsi="Arial Narrow"/>
          <w:i/>
        </w:rPr>
        <w:t xml:space="preserve">Ekstensywne użytkowanie </w:t>
      </w:r>
      <w:r w:rsidRPr="00FF0A87">
        <w:rPr>
          <w:rFonts w:ascii="Arial Narrow" w:hAnsi="Arial Narrow"/>
          <w:i/>
        </w:rPr>
        <w:t>łąk</w:t>
      </w:r>
      <w:r w:rsidRPr="00163941">
        <w:rPr>
          <w:rFonts w:ascii="Arial Narrow" w:hAnsi="Arial Narrow"/>
          <w:i/>
        </w:rPr>
        <w:t xml:space="preserve"> i pastwisk na obszarach Natura 2000</w:t>
      </w:r>
      <w:r w:rsidR="00163941">
        <w:rPr>
          <w:rFonts w:ascii="Arial Narrow" w:hAnsi="Arial Narrow"/>
          <w:i/>
        </w:rPr>
        <w:t>.</w:t>
      </w:r>
      <w:r>
        <w:rPr>
          <w:rFonts w:ascii="Arial Narrow" w:hAnsi="Arial Narrow"/>
          <w:i/>
        </w:rPr>
        <w:t xml:space="preserve"> </w:t>
      </w:r>
      <w:r w:rsidR="00163941">
        <w:rPr>
          <w:rFonts w:ascii="Arial Narrow" w:hAnsi="Arial Narrow"/>
        </w:rPr>
        <w:t>C</w:t>
      </w:r>
      <w:r w:rsidRPr="00163941">
        <w:rPr>
          <w:rFonts w:ascii="Arial Narrow" w:hAnsi="Arial Narrow"/>
        </w:rPr>
        <w:t xml:space="preserve">elem </w:t>
      </w:r>
      <w:r w:rsidR="00163941">
        <w:rPr>
          <w:rFonts w:ascii="Arial Narrow" w:hAnsi="Arial Narrow"/>
        </w:rPr>
        <w:t xml:space="preserve">tych interwencji </w:t>
      </w:r>
      <w:r w:rsidRPr="00163941">
        <w:rPr>
          <w:rFonts w:ascii="Arial Narrow" w:hAnsi="Arial Narrow"/>
        </w:rPr>
        <w:t>jest</w:t>
      </w:r>
      <w:r w:rsidR="00163941">
        <w:rPr>
          <w:rFonts w:ascii="Arial Narrow" w:hAnsi="Arial Narrow"/>
        </w:rPr>
        <w:t xml:space="preserve"> </w:t>
      </w:r>
      <w:r w:rsidR="00163941" w:rsidRPr="00163941">
        <w:rPr>
          <w:rFonts w:ascii="Arial Narrow" w:hAnsi="Arial Narrow"/>
        </w:rPr>
        <w:t>zapobieganie zanikaniu</w:t>
      </w:r>
      <w:r w:rsidR="000438B6">
        <w:rPr>
          <w:rFonts w:ascii="Arial Narrow" w:hAnsi="Arial Narrow"/>
        </w:rPr>
        <w:t xml:space="preserve"> łąk i pastwisk</w:t>
      </w:r>
      <w:r w:rsidR="00886AA5">
        <w:rPr>
          <w:rFonts w:ascii="Arial Narrow" w:hAnsi="Arial Narrow"/>
        </w:rPr>
        <w:t xml:space="preserve"> </w:t>
      </w:r>
      <w:r w:rsidR="009A40A7">
        <w:rPr>
          <w:rFonts w:ascii="Arial Narrow" w:hAnsi="Arial Narrow"/>
        </w:rPr>
        <w:t>sekwestrujących</w:t>
      </w:r>
      <w:r w:rsidR="00886AA5">
        <w:rPr>
          <w:rFonts w:ascii="Arial Narrow" w:hAnsi="Arial Narrow"/>
        </w:rPr>
        <w:t xml:space="preserve"> dwutlenek węgla</w:t>
      </w:r>
      <w:r w:rsidR="000438B6">
        <w:rPr>
          <w:rFonts w:ascii="Arial Narrow" w:hAnsi="Arial Narrow"/>
        </w:rPr>
        <w:t>,</w:t>
      </w:r>
      <w:r w:rsidR="00163941" w:rsidRPr="00163941">
        <w:rPr>
          <w:rFonts w:ascii="Arial Narrow" w:hAnsi="Arial Narrow"/>
        </w:rPr>
        <w:t xml:space="preserve"> przeciwdziałanie intensyfikacji rolnictwa,</w:t>
      </w:r>
      <w:r w:rsidRPr="00163941">
        <w:rPr>
          <w:rFonts w:ascii="Arial Narrow" w:hAnsi="Arial Narrow"/>
        </w:rPr>
        <w:t xml:space="preserve"> utrzymanie, zapobieganie pogarszaniu się lub </w:t>
      </w:r>
      <w:r w:rsidRPr="00163941">
        <w:rPr>
          <w:rFonts w:ascii="Arial Narrow" w:hAnsi="Arial Narrow"/>
        </w:rPr>
        <w:lastRenderedPageBreak/>
        <w:t>przywrócenie właściwego stanu ochrony cennych siedlisk przyrodniczych (</w:t>
      </w:r>
      <w:r>
        <w:rPr>
          <w:rFonts w:ascii="Arial Narrow" w:hAnsi="Arial Narrow"/>
        </w:rPr>
        <w:t xml:space="preserve">m.in. </w:t>
      </w:r>
      <w:r w:rsidR="00163941">
        <w:rPr>
          <w:rFonts w:ascii="Arial Narrow" w:hAnsi="Arial Narrow"/>
        </w:rPr>
        <w:t>torfowisk</w:t>
      </w:r>
      <w:r w:rsidRPr="00163941">
        <w:rPr>
          <w:rFonts w:ascii="Arial Narrow" w:hAnsi="Arial Narrow"/>
        </w:rPr>
        <w:t xml:space="preserve">), których występowanie jest uzależnione od prowadzenia </w:t>
      </w:r>
      <w:r w:rsidR="00163941">
        <w:rPr>
          <w:rFonts w:ascii="Arial Narrow" w:hAnsi="Arial Narrow"/>
        </w:rPr>
        <w:t xml:space="preserve">ekstensywnej </w:t>
      </w:r>
      <w:r w:rsidR="00163941" w:rsidRPr="00163941">
        <w:rPr>
          <w:rFonts w:ascii="Arial Narrow" w:hAnsi="Arial Narrow"/>
        </w:rPr>
        <w:t>działalności rolniczej</w:t>
      </w:r>
      <w:r w:rsidRPr="00163941">
        <w:rPr>
          <w:rFonts w:ascii="Arial Narrow" w:hAnsi="Arial Narrow"/>
        </w:rPr>
        <w:t xml:space="preserve"> </w:t>
      </w:r>
      <w:r w:rsidR="00163941">
        <w:rPr>
          <w:rFonts w:ascii="Arial Narrow" w:hAnsi="Arial Narrow"/>
        </w:rPr>
        <w:t>polegającej w</w:t>
      </w:r>
      <w:r w:rsidR="00163941" w:rsidRPr="00163941">
        <w:rPr>
          <w:rFonts w:ascii="Arial Narrow" w:hAnsi="Arial Narrow"/>
        </w:rPr>
        <w:t xml:space="preserve"> szczególności na</w:t>
      </w:r>
      <w:r w:rsidRPr="00163941">
        <w:rPr>
          <w:rFonts w:ascii="Arial Narrow" w:hAnsi="Arial Narrow"/>
        </w:rPr>
        <w:t xml:space="preserve"> </w:t>
      </w:r>
      <w:r w:rsidR="00163941" w:rsidRPr="00163941">
        <w:rPr>
          <w:rFonts w:ascii="Arial Narrow" w:hAnsi="Arial Narrow"/>
        </w:rPr>
        <w:t>stosowaniu</w:t>
      </w:r>
      <w:r w:rsidRPr="00163941">
        <w:rPr>
          <w:rFonts w:ascii="Arial Narrow" w:hAnsi="Arial Narrow"/>
        </w:rPr>
        <w:t xml:space="preserve"> odpowiedniej liczby pokosów, ekstensywny</w:t>
      </w:r>
      <w:r w:rsidR="00163941">
        <w:rPr>
          <w:rFonts w:ascii="Arial Narrow" w:hAnsi="Arial Narrow"/>
        </w:rPr>
        <w:t>m</w:t>
      </w:r>
      <w:r w:rsidRPr="00163941">
        <w:rPr>
          <w:rFonts w:ascii="Arial Narrow" w:hAnsi="Arial Narrow"/>
        </w:rPr>
        <w:t xml:space="preserve"> wypas</w:t>
      </w:r>
      <w:r w:rsidR="00163941">
        <w:rPr>
          <w:rFonts w:ascii="Arial Narrow" w:hAnsi="Arial Narrow"/>
        </w:rPr>
        <w:t>ie</w:t>
      </w:r>
      <w:r w:rsidRPr="00163941">
        <w:rPr>
          <w:rFonts w:ascii="Arial Narrow" w:hAnsi="Arial Narrow"/>
        </w:rPr>
        <w:t xml:space="preserve"> zwierząt,</w:t>
      </w:r>
      <w:r w:rsidR="00163941">
        <w:rPr>
          <w:rFonts w:ascii="Arial Narrow" w:hAnsi="Arial Narrow"/>
        </w:rPr>
        <w:t xml:space="preserve"> </w:t>
      </w:r>
      <w:r w:rsidR="00163941" w:rsidRPr="00163941">
        <w:rPr>
          <w:rFonts w:ascii="Arial Narrow" w:hAnsi="Arial Narrow"/>
        </w:rPr>
        <w:t>dostosowaniu</w:t>
      </w:r>
      <w:r w:rsidRPr="00163941">
        <w:rPr>
          <w:rFonts w:ascii="Arial Narrow" w:hAnsi="Arial Narrow"/>
        </w:rPr>
        <w:t xml:space="preserve"> terminów koszenia/wypasu do potrzeb ochrony przyrody</w:t>
      </w:r>
      <w:r w:rsidR="00163941" w:rsidRPr="00163941">
        <w:rPr>
          <w:rFonts w:ascii="Arial Narrow" w:hAnsi="Arial Narrow"/>
        </w:rPr>
        <w:t>,</w:t>
      </w:r>
      <w:r w:rsidR="00163941">
        <w:rPr>
          <w:rFonts w:ascii="Arial Narrow" w:hAnsi="Arial Narrow"/>
        </w:rPr>
        <w:t xml:space="preserve"> znacznemu lub całkowitemu</w:t>
      </w:r>
      <w:r w:rsidR="00163941" w:rsidRPr="00163941">
        <w:rPr>
          <w:rFonts w:ascii="Arial Narrow" w:hAnsi="Arial Narrow"/>
        </w:rPr>
        <w:t xml:space="preserve"> ograniczeniu nawo</w:t>
      </w:r>
      <w:r w:rsidR="00163941">
        <w:rPr>
          <w:rFonts w:ascii="Arial Narrow" w:hAnsi="Arial Narrow"/>
        </w:rPr>
        <w:t>żenia.</w:t>
      </w:r>
    </w:p>
    <w:p w:rsidR="004F3BD5" w:rsidRDefault="004F3BD5" w:rsidP="007236A1">
      <w:pPr>
        <w:jc w:val="both"/>
        <w:rPr>
          <w:rFonts w:ascii="Arial Narrow" w:hAnsi="Arial Narrow" w:cs="Times New Roman"/>
          <w:b/>
          <w:bCs/>
          <w:i/>
          <w:noProof/>
        </w:rPr>
      </w:pPr>
      <w:r>
        <w:rPr>
          <w:rFonts w:ascii="Arial Narrow" w:hAnsi="Arial Narrow" w:cs="Times New Roman"/>
          <w:b/>
          <w:bCs/>
          <w:i/>
          <w:noProof/>
        </w:rPr>
        <w:br w:type="page"/>
      </w:r>
    </w:p>
    <w:p w:rsidR="004F3BD5" w:rsidRPr="004F3BD5" w:rsidRDefault="00BD7C25" w:rsidP="004F3BD5">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sidRPr="004F3BD5">
        <w:rPr>
          <w:rFonts w:ascii="Arial Narrow" w:hAnsi="Arial Narrow" w:cs="Times New Roman"/>
          <w:b/>
          <w:bCs/>
          <w:i/>
          <w:noProof/>
        </w:rPr>
        <w:lastRenderedPageBreak/>
        <w:t xml:space="preserve">Rekomendacja </w:t>
      </w:r>
      <w:r>
        <w:rPr>
          <w:rFonts w:ascii="Arial Narrow" w:hAnsi="Arial Narrow" w:cs="Times New Roman"/>
          <w:b/>
          <w:bCs/>
          <w:i/>
          <w:noProof/>
        </w:rPr>
        <w:t>nr 5</w:t>
      </w:r>
      <w:r w:rsidR="004F3BD5" w:rsidRPr="004F3BD5">
        <w:rPr>
          <w:rFonts w:ascii="Arial Narrow" w:hAnsi="Arial Narrow" w:cs="Times New Roman"/>
          <w:b/>
          <w:bCs/>
          <w:i/>
          <w:noProof/>
        </w:rPr>
        <w:t>:</w:t>
      </w:r>
      <w:r w:rsidR="004F3BD5">
        <w:rPr>
          <w:rFonts w:ascii="Arial Narrow" w:hAnsi="Arial Narrow" w:cs="Times New Roman"/>
          <w:bCs/>
          <w:i/>
          <w:noProof/>
        </w:rPr>
        <w:t xml:space="preserve"> </w:t>
      </w:r>
      <w:r w:rsidR="004F3BD5" w:rsidRPr="004F3BD5">
        <w:rPr>
          <w:rFonts w:ascii="Arial Narrow" w:hAnsi="Arial Narrow" w:cs="Times New Roman"/>
          <w:bCs/>
          <w:i/>
          <w:noProof/>
        </w:rPr>
        <w:t>Poprawa efektywności energetycznej poprzez zmniejszenie zużycia energii w rolnictwie i leśnictwie. Jednocześnie Polska powinna nasilić starania na rzecz zwiększenia produkcji energii w gospodarstwach rolnych w drodze fermentacji beztlenowej, aby w ten sposób bardziej efektywnie wykorzystywać produkty uboczne rolnictwa takie jak obornik.</w:t>
      </w:r>
    </w:p>
    <w:p w:rsidR="00C860B7" w:rsidRPr="00B87EF3" w:rsidRDefault="00C860B7" w:rsidP="00753F91">
      <w:pPr>
        <w:spacing w:after="120" w:line="288" w:lineRule="auto"/>
        <w:jc w:val="both"/>
        <w:rPr>
          <w:rFonts w:ascii="Arial Narrow" w:hAnsi="Arial Narrow"/>
        </w:rPr>
      </w:pPr>
      <w:r w:rsidRPr="00302BC1">
        <w:rPr>
          <w:rFonts w:ascii="Arial Narrow" w:hAnsi="Arial Narrow"/>
        </w:rPr>
        <w:t xml:space="preserve">Polska zauważa znaczenie wykorzystania produktów ubocznych z rolnictwa do produkcji energii. Wytwarzanie energii w gospodarstwach rolnych w drodze fermentacji beztlenowej jest i będzie wspierane poprzez </w:t>
      </w:r>
      <w:r w:rsidRPr="00B87EF3">
        <w:rPr>
          <w:rFonts w:ascii="Arial Narrow" w:hAnsi="Arial Narrow"/>
        </w:rPr>
        <w:t>dofinansowanie inwestycji oraz rozwiązania legislacyjne (odpowiedni poziom cen referencyjnych, dostęp do taryf gwarantowanych, uproszczone procedury na etapie budowy oraz funkcjonowania instalacji). Ponadto zarówno na poziomie gospodarstwa rolnego, jak i przedsiębiorstw rolno-spożywczych, wspierane są pozostałe technologie OZE wdrażane zgodnie z uwarunkowaniami lokalnymi.</w:t>
      </w:r>
    </w:p>
    <w:p w:rsidR="00D63730" w:rsidRPr="00753F91" w:rsidRDefault="00B87EF3" w:rsidP="00753F91">
      <w:pPr>
        <w:spacing w:after="120" w:line="288" w:lineRule="auto"/>
        <w:jc w:val="both"/>
        <w:rPr>
          <w:rFonts w:ascii="Arial Narrow" w:hAnsi="Arial Narrow"/>
        </w:rPr>
      </w:pPr>
      <w:r w:rsidRPr="00B87EF3">
        <w:rPr>
          <w:rFonts w:ascii="Arial Narrow" w:hAnsi="Arial Narrow"/>
        </w:rPr>
        <w:t xml:space="preserve">W ramach Planu strategicznego WPR podmioty podejmujące działania na rzecz poprawy efektywności energetycznej w rolnictwie i leśnictwie otrzymają wsparcie inwestycyjne, w ramach interwencji </w:t>
      </w:r>
      <w:r w:rsidRPr="00B87EF3">
        <w:rPr>
          <w:rFonts w:ascii="Arial Narrow" w:hAnsi="Arial Narrow"/>
          <w:i/>
        </w:rPr>
        <w:t>Inwestycje w gospodarstwach rolnych w zakresie OZE i poprawy efektywności energetycznej</w:t>
      </w:r>
      <w:r w:rsidRPr="00B87EF3">
        <w:rPr>
          <w:rFonts w:ascii="Arial Narrow" w:hAnsi="Arial Narrow"/>
        </w:rPr>
        <w:t>. Wsparcie przewidziano w dwóch obszarach. W pierwszym z nich przyjęto, że w tworzonych mikrobiogazownaich (do 50 kW) będą wykorzystywane nawozy naturalne. Jest to szczególnie uzasadnione w regionach, gdzie występuje duża produkcja tego surowca. Ponieważ stwarza to duże ryzyko zanieczyszczenia wód związkami</w:t>
      </w:r>
      <w:r w:rsidRPr="00753F91">
        <w:rPr>
          <w:rFonts w:ascii="Arial Narrow" w:hAnsi="Arial Narrow"/>
        </w:rPr>
        <w:t xml:space="preserve"> azotu i fosforu. W ww. interwencji zastosowana zostanie preferencja wskazująca na stopień wykorzystania nawozów naturalnych pochodzących z gospodarstwa. Celem interwencji jest także poprawa efektywności energetycznej poprzez realizację założenia, że wytworzona energia (elektryczna lub cieplna) zostanie wykorzystana na potrzeby własne gospodarstwa rolnego.</w:t>
      </w:r>
      <w:r>
        <w:rPr>
          <w:rFonts w:ascii="Arial Narrow" w:hAnsi="Arial Narrow"/>
        </w:rPr>
        <w:t xml:space="preserve"> Ponadto planowane jest wsparcie zakupu i montażu pieców na biomasę.</w:t>
      </w:r>
      <w:r w:rsidRPr="00753F91">
        <w:rPr>
          <w:rFonts w:ascii="Arial Narrow" w:hAnsi="Arial Narrow"/>
        </w:rPr>
        <w:t xml:space="preserve"> </w:t>
      </w:r>
      <w:r>
        <w:rPr>
          <w:rFonts w:ascii="Arial Narrow" w:hAnsi="Arial Narrow"/>
        </w:rPr>
        <w:t xml:space="preserve">Kolejnym obszarem wsparcia jest realizacja </w:t>
      </w:r>
      <w:r w:rsidRPr="00753F91">
        <w:rPr>
          <w:rFonts w:ascii="Arial Narrow" w:hAnsi="Arial Narrow"/>
        </w:rPr>
        <w:t>inwestycji</w:t>
      </w:r>
      <w:r>
        <w:rPr>
          <w:rFonts w:ascii="Arial Narrow" w:hAnsi="Arial Narrow"/>
        </w:rPr>
        <w:t xml:space="preserve"> z zakresu</w:t>
      </w:r>
      <w:r w:rsidRPr="00753F91">
        <w:rPr>
          <w:rFonts w:ascii="Arial Narrow" w:hAnsi="Arial Narrow"/>
        </w:rPr>
        <w:t xml:space="preserve"> m.in. system</w:t>
      </w:r>
      <w:r>
        <w:rPr>
          <w:rFonts w:ascii="Arial Narrow" w:hAnsi="Arial Narrow"/>
        </w:rPr>
        <w:t>ów</w:t>
      </w:r>
      <w:r w:rsidRPr="00753F91">
        <w:rPr>
          <w:rFonts w:ascii="Arial Narrow" w:hAnsi="Arial Narrow"/>
        </w:rPr>
        <w:t xml:space="preserve"> odzyskiwania ciepła (z mleka, z budynków inwentarskich, ściółki, gnojowicy), przeszkle</w:t>
      </w:r>
      <w:r>
        <w:rPr>
          <w:rFonts w:ascii="Arial Narrow" w:hAnsi="Arial Narrow"/>
        </w:rPr>
        <w:t>ń</w:t>
      </w:r>
      <w:r w:rsidRPr="00753F91">
        <w:rPr>
          <w:rFonts w:ascii="Arial Narrow" w:hAnsi="Arial Narrow"/>
        </w:rPr>
        <w:t xml:space="preserve"> dachow</w:t>
      </w:r>
      <w:r>
        <w:rPr>
          <w:rFonts w:ascii="Arial Narrow" w:hAnsi="Arial Narrow"/>
        </w:rPr>
        <w:t>ych</w:t>
      </w:r>
      <w:r w:rsidRPr="00753F91">
        <w:rPr>
          <w:rFonts w:ascii="Arial Narrow" w:hAnsi="Arial Narrow"/>
        </w:rPr>
        <w:t>, oświetlenia LED, termomodernizacj</w:t>
      </w:r>
      <w:r>
        <w:rPr>
          <w:rFonts w:ascii="Arial Narrow" w:hAnsi="Arial Narrow"/>
        </w:rPr>
        <w:t>i</w:t>
      </w:r>
      <w:r w:rsidRPr="00753F91">
        <w:rPr>
          <w:rFonts w:ascii="Arial Narrow" w:hAnsi="Arial Narrow"/>
        </w:rPr>
        <w:t xml:space="preserve"> budynków gospodarskich służących do produkcji rolnej</w:t>
      </w:r>
      <w:r>
        <w:rPr>
          <w:rFonts w:ascii="Arial Narrow" w:hAnsi="Arial Narrow"/>
        </w:rPr>
        <w:t>, które</w:t>
      </w:r>
      <w:r w:rsidRPr="00753F91">
        <w:rPr>
          <w:rFonts w:ascii="Arial Narrow" w:hAnsi="Arial Narrow"/>
        </w:rPr>
        <w:t xml:space="preserve"> będzie urzeczywistniać ideę zmniejszeni</w:t>
      </w:r>
      <w:r>
        <w:rPr>
          <w:rFonts w:ascii="Arial Narrow" w:hAnsi="Arial Narrow"/>
        </w:rPr>
        <w:t>a zużycia energii w rolnictwie.</w:t>
      </w:r>
      <w:r w:rsidR="00C860B7" w:rsidRPr="00753F91">
        <w:rPr>
          <w:rFonts w:ascii="Arial Narrow" w:hAnsi="Arial Narrow"/>
        </w:rPr>
        <w:t xml:space="preserve"> </w:t>
      </w:r>
    </w:p>
    <w:p w:rsidR="004D5F77" w:rsidRPr="00753F91" w:rsidRDefault="00F20EFF" w:rsidP="00753F91">
      <w:pPr>
        <w:spacing w:after="120" w:line="288" w:lineRule="auto"/>
        <w:jc w:val="both"/>
        <w:rPr>
          <w:rFonts w:ascii="Arial Narrow" w:hAnsi="Arial Narrow"/>
        </w:rPr>
      </w:pPr>
      <w:r w:rsidRPr="00753F91">
        <w:rPr>
          <w:rFonts w:ascii="Arial Narrow" w:hAnsi="Arial Narrow" w:cs="Times New Roman"/>
          <w:bCs/>
          <w:noProof/>
        </w:rPr>
        <w:t>R</w:t>
      </w:r>
      <w:r w:rsidR="0031790E" w:rsidRPr="00302BC1">
        <w:rPr>
          <w:rFonts w:ascii="Arial Narrow" w:hAnsi="Arial Narrow"/>
        </w:rPr>
        <w:t>równocześnie</w:t>
      </w:r>
      <w:r w:rsidRPr="00302BC1">
        <w:rPr>
          <w:rFonts w:ascii="Arial Narrow" w:hAnsi="Arial Narrow"/>
        </w:rPr>
        <w:t xml:space="preserve"> </w:t>
      </w:r>
      <w:r w:rsidRPr="00753F91">
        <w:rPr>
          <w:rFonts w:ascii="Arial Narrow" w:hAnsi="Arial Narrow"/>
        </w:rPr>
        <w:t>w</w:t>
      </w:r>
      <w:r w:rsidR="004D5F77" w:rsidRPr="00753F91">
        <w:rPr>
          <w:rFonts w:ascii="Arial Narrow" w:hAnsi="Arial Narrow"/>
        </w:rPr>
        <w:t xml:space="preserve"> ramach środków krajowych realizowany jest program Agroenergia, ustanowiony na lata 2019-2027. Celem programu jest zwiększenie produkcji energii ze źródeł odnawialnych w sektorze rolniczym. Wsparciu podlegają instalacje fotowoltaiczne, wiatrowe i pompy ciepła o mocy zainstalowanej powy</w:t>
      </w:r>
      <w:r w:rsidR="004D5F77" w:rsidRPr="00753F91">
        <w:rPr>
          <w:rFonts w:ascii="Arial Narrow" w:hAnsi="Arial Narrow"/>
        </w:rPr>
        <w:lastRenderedPageBreak/>
        <w:t>żej 10 kW i nie większej niż 50 kW, w tym instalacje hybrydowe oraz towarzyszące magazyny energii elektrycznej, a także biogazownie rolnicze wraz z towarzyszącą instalacją wytwarzania biogazu rolniczego oraz elektrownie wodne o mocy nie większej niż 500 kW wraz z towarzyszącymi magazynami energii.</w:t>
      </w:r>
    </w:p>
    <w:p w:rsidR="004D5F77" w:rsidRPr="00753F91" w:rsidRDefault="004D5F77" w:rsidP="00753F91">
      <w:pPr>
        <w:spacing w:after="120" w:line="288" w:lineRule="auto"/>
        <w:jc w:val="both"/>
        <w:rPr>
          <w:rFonts w:ascii="Arial Narrow" w:hAnsi="Arial Narrow"/>
        </w:rPr>
      </w:pPr>
      <w:r w:rsidRPr="00753F91">
        <w:rPr>
          <w:rFonts w:ascii="Arial Narrow" w:hAnsi="Arial Narrow"/>
        </w:rPr>
        <w:t>W KPO wsparcie OZE w rolnictwie będzie realizowane głównie poprzez pomoc przedinwestycyjną i inwestycyjną dla istniejących oraz mających powstać spółdzielni energetycznych, tj. form społeczności energetycznych skierowanych do gmin wiejskich oraz miejsko-wiejskich.</w:t>
      </w:r>
    </w:p>
    <w:p w:rsidR="004D5F77" w:rsidRPr="00753F91" w:rsidRDefault="004D5F77" w:rsidP="00753F91">
      <w:pPr>
        <w:spacing w:after="120" w:line="288" w:lineRule="auto"/>
        <w:jc w:val="both"/>
        <w:rPr>
          <w:rFonts w:ascii="Arial Narrow" w:hAnsi="Arial Narrow"/>
        </w:rPr>
      </w:pPr>
      <w:r w:rsidRPr="00753F91">
        <w:rPr>
          <w:rFonts w:ascii="Arial Narrow" w:hAnsi="Arial Narrow"/>
        </w:rPr>
        <w:t>Natomiast ze środków Polityki Spójności planowane jest także wsparcie inwestycji w OZE oraz system doradztwa w tym zakresie. Szczegółowy zakres Programu Fundusze Europejskie na Infrastrukturę, Klimat, Środowisko 2021-2027 oraz programów regionalnych jest dopiero na etapie opracowywania.</w:t>
      </w:r>
    </w:p>
    <w:p w:rsidR="003B65FE" w:rsidRDefault="003B65FE">
      <w:pPr>
        <w:rPr>
          <w:rFonts w:ascii="Arial Narrow" w:hAnsi="Arial Narrow" w:cs="Times New Roman"/>
          <w:b/>
          <w:bCs/>
          <w:noProof/>
        </w:rPr>
      </w:pPr>
      <w:r>
        <w:rPr>
          <w:rFonts w:ascii="Arial Narrow" w:hAnsi="Arial Narrow" w:cs="Times New Roman"/>
          <w:b/>
          <w:bCs/>
          <w:noProof/>
        </w:rPr>
        <w:br w:type="page"/>
      </w:r>
    </w:p>
    <w:p w:rsidR="003B65FE" w:rsidRPr="003B65FE" w:rsidRDefault="003B65FE" w:rsidP="003B65FE">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sidRPr="00886AA5">
        <w:rPr>
          <w:rFonts w:ascii="Arial Narrow" w:hAnsi="Arial Narrow" w:cs="Times New Roman"/>
          <w:b/>
          <w:bCs/>
          <w:noProof/>
        </w:rPr>
        <w:lastRenderedPageBreak/>
        <w:t xml:space="preserve">Rekomendacja </w:t>
      </w:r>
      <w:r w:rsidR="009419EE" w:rsidRPr="00886AA5">
        <w:rPr>
          <w:rFonts w:ascii="Arial Narrow" w:hAnsi="Arial Narrow" w:cs="Times New Roman"/>
          <w:b/>
          <w:bCs/>
          <w:noProof/>
        </w:rPr>
        <w:t>nr 6</w:t>
      </w:r>
      <w:r w:rsidRPr="00886AA5">
        <w:rPr>
          <w:rFonts w:ascii="Arial Narrow" w:hAnsi="Arial Narrow" w:cs="Times New Roman"/>
          <w:b/>
          <w:bCs/>
          <w:noProof/>
        </w:rPr>
        <w:t xml:space="preserve">: </w:t>
      </w:r>
      <w:r w:rsidRPr="00886AA5">
        <w:rPr>
          <w:rFonts w:ascii="Arial Narrow" w:hAnsi="Arial Narrow" w:cs="Times New Roman"/>
          <w:bCs/>
          <w:i/>
          <w:noProof/>
        </w:rPr>
        <w:t>Przyczynianie się do osiągnięcia celu Europejskiego Zielonego Ładu dotyczącego elementów krajobrazu o wysokiej różnorodności, aby powstrzymać i odwrócić spadek różnorodności biologicznej w siedliskach związanych z rolnictwem, w szczególności w siedliskach murawowych, a także zapobiegać erozji. Wysiłki muszą być ukierunkowane nie tylko na utrzymanie istniejących elementów krajobrazu, lecz także na tworzenie nowych elementów i odpowiednie zarządzanie nimi, a jednocześnie muszą być skupione na obszarach, na których elementy krajobrazu występują w ograniczonym stopniu, aby lepiej łączyć siedliska rolnicze oraz przywracać i utrzymywać ich właściwy stan ochrony zgodnie z priorytetowymi ramami działań. Oczekuje się, że przyniesie to również korzyści w postaci wzrostu zapylania, naturalnego zwalczania agrofagów i przystosowania się do zmiany klimatu.</w:t>
      </w:r>
      <w:r w:rsidRPr="003B65FE">
        <w:rPr>
          <w:rFonts w:ascii="Arial Narrow" w:hAnsi="Arial Narrow" w:cs="Times New Roman"/>
          <w:bCs/>
          <w:i/>
          <w:noProof/>
        </w:rPr>
        <w:t xml:space="preserve"> </w:t>
      </w:r>
    </w:p>
    <w:p w:rsidR="003B65FE" w:rsidRDefault="003B65FE" w:rsidP="00753F91">
      <w:pPr>
        <w:spacing w:after="120" w:line="288" w:lineRule="auto"/>
        <w:jc w:val="both"/>
        <w:rPr>
          <w:rFonts w:ascii="Arial Narrow" w:hAnsi="Arial Narrow"/>
        </w:rPr>
      </w:pPr>
      <w:r w:rsidRPr="003B65FE">
        <w:rPr>
          <w:rFonts w:ascii="Arial Narrow" w:hAnsi="Arial Narrow"/>
        </w:rPr>
        <w:t>Zróżnicowanie krajobrazu rolniczego i utrzymanie w nim bogactwa siedlisk przyrodniczych jest niezbędne. Ekstensywna gospodarka rolna sprzyjająca zachowaniu</w:t>
      </w:r>
      <w:r w:rsidR="004D5F77">
        <w:rPr>
          <w:rFonts w:ascii="Arial Narrow" w:hAnsi="Arial Narrow"/>
        </w:rPr>
        <w:t xml:space="preserve"> i przywracaniu właściwego stanu</w:t>
      </w:r>
      <w:r w:rsidR="00886AA5">
        <w:rPr>
          <w:rFonts w:ascii="Arial Narrow" w:hAnsi="Arial Narrow"/>
        </w:rPr>
        <w:t xml:space="preserve"> i przeciwdziałająca zanikaniu</w:t>
      </w:r>
      <w:r w:rsidRPr="003B65FE">
        <w:rPr>
          <w:rFonts w:ascii="Arial Narrow" w:hAnsi="Arial Narrow"/>
        </w:rPr>
        <w:t xml:space="preserve"> różnorodnych siedlisk łąkowych i wartościowych przyrodniczo siedlisk o niskim potencjale produkcji rolnej (</w:t>
      </w:r>
      <w:r w:rsidRPr="00753F91">
        <w:rPr>
          <w:rFonts w:ascii="Arial Narrow" w:hAnsi="Arial Narrow"/>
          <w:i/>
        </w:rPr>
        <w:t>np. murawy, słonorośla, torfowiska</w:t>
      </w:r>
      <w:r w:rsidRPr="003B65FE">
        <w:rPr>
          <w:rFonts w:ascii="Arial Narrow" w:hAnsi="Arial Narrow"/>
        </w:rPr>
        <w:t>) jest i będzie wspierana. Dotyczy to także promowania dostosowania gospodarki na trwałych użytkach zielonych do potrzeb cennych gatunków ptaków.</w:t>
      </w:r>
      <w:r w:rsidR="000438B6">
        <w:rPr>
          <w:rFonts w:ascii="Arial Narrow" w:hAnsi="Arial Narrow"/>
        </w:rPr>
        <w:t xml:space="preserve"> Powyższe działania będą realizowane przede wszystkim w ramach interwencji rolno-środowiskowo-klimatycznych pn. </w:t>
      </w:r>
      <w:r w:rsidR="000438B6" w:rsidRPr="00FF0A87">
        <w:rPr>
          <w:rFonts w:ascii="Arial Narrow" w:hAnsi="Arial Narrow"/>
          <w:i/>
        </w:rPr>
        <w:t>Ochrona cennych siedlisk i zagrożonych gatunków na obszarach Natura 2000</w:t>
      </w:r>
      <w:r w:rsidR="000438B6">
        <w:rPr>
          <w:rFonts w:ascii="Arial Narrow" w:hAnsi="Arial Narrow"/>
          <w:i/>
        </w:rPr>
        <w:t xml:space="preserve">, </w:t>
      </w:r>
      <w:r w:rsidR="000438B6" w:rsidRPr="00FF0A87">
        <w:rPr>
          <w:rFonts w:ascii="Arial Narrow" w:hAnsi="Arial Narrow"/>
          <w:i/>
        </w:rPr>
        <w:t>Ochrona cennych siedlisk i zagrożonych gatunków poza obszarami Natura 2000</w:t>
      </w:r>
      <w:r w:rsidR="000438B6">
        <w:rPr>
          <w:rFonts w:ascii="Arial Narrow" w:hAnsi="Arial Narrow"/>
          <w:i/>
        </w:rPr>
        <w:t xml:space="preserve">. </w:t>
      </w:r>
      <w:r w:rsidRPr="003B65FE">
        <w:rPr>
          <w:rFonts w:ascii="Arial Narrow" w:hAnsi="Arial Narrow"/>
        </w:rPr>
        <w:t xml:space="preserve"> Wskazane wyżej działania prowadzone będą zgodnie z PAF (priorytetowymi ramami działań) i wpisują się w cel strategii bioróżnorodności dotyczący poprawy kondycji obszarów Natura 2000. Realizowane będą także działania na rzecz wzbogacenia bioróżnorodności na obszarach rolniczych poprzez zachowanie i rozwój obszarów nieprodukcyjnych (ważnych m.in. dla ochrony zapylaczy) i elementów krajobrazu, w tym zadrzewień.</w:t>
      </w:r>
      <w:r w:rsidR="00871C59" w:rsidRPr="00871C59">
        <w:rPr>
          <w:rFonts w:ascii="Arial Narrow" w:hAnsi="Arial Narrow"/>
        </w:rPr>
        <w:t xml:space="preserve"> </w:t>
      </w:r>
    </w:p>
    <w:p w:rsidR="00A828A9" w:rsidRPr="00A828A9" w:rsidRDefault="00A828A9" w:rsidP="00753F91">
      <w:pPr>
        <w:spacing w:after="120" w:line="288" w:lineRule="auto"/>
        <w:jc w:val="both"/>
        <w:rPr>
          <w:rFonts w:ascii="Arial Narrow" w:hAnsi="Arial Narrow"/>
        </w:rPr>
      </w:pPr>
      <w:r>
        <w:rPr>
          <w:rFonts w:ascii="Arial Narrow" w:hAnsi="Arial Narrow"/>
        </w:rPr>
        <w:t xml:space="preserve">Powyższe działania będą realizowane między innymi w ramach interwencji rolno-środowiskowo-klimatycznej pn. </w:t>
      </w:r>
      <w:r w:rsidRPr="004D5F77">
        <w:rPr>
          <w:rFonts w:ascii="Arial Narrow" w:hAnsi="Arial Narrow"/>
          <w:i/>
        </w:rPr>
        <w:t>Wieloletnie pasy kwietne</w:t>
      </w:r>
      <w:r>
        <w:rPr>
          <w:rFonts w:ascii="Arial Narrow" w:hAnsi="Arial Narrow"/>
          <w:i/>
        </w:rPr>
        <w:t xml:space="preserve">, </w:t>
      </w:r>
      <w:r w:rsidRPr="00A828A9">
        <w:rPr>
          <w:rFonts w:ascii="Arial Narrow" w:hAnsi="Arial Narrow"/>
        </w:rPr>
        <w:t>której celem jest  wzbogacenie bioróżnorodności i krajobrazu wiejskiego oraz zapewnienie miejsca bytowania oraz bazy pokarmowej dla  organizmów pożytecznych, w tym owadów zapylających i ptaków krajobrazu rolniczego.</w:t>
      </w:r>
      <w:r w:rsidR="000B7597">
        <w:rPr>
          <w:rFonts w:ascii="Arial Narrow" w:hAnsi="Arial Narrow"/>
        </w:rPr>
        <w:t xml:space="preserve"> </w:t>
      </w:r>
      <w:r w:rsidRPr="00A828A9">
        <w:rPr>
          <w:rFonts w:ascii="Arial Narrow" w:hAnsi="Arial Narrow"/>
        </w:rPr>
        <w:t>Interwencja polegać będzie na zakładaniu na gruntach ornych i  utrzymaniu śródpolnych, wieloletnich pasów kwietnych, stanowiących jednocześnie korytarze ekologiczne i ostoje dla wielu gatunków zwierząt</w:t>
      </w:r>
      <w:r>
        <w:rPr>
          <w:rFonts w:ascii="Arial Narrow" w:hAnsi="Arial Narrow"/>
        </w:rPr>
        <w:t>.</w:t>
      </w:r>
    </w:p>
    <w:p w:rsidR="00E42EA4" w:rsidRPr="003B65FE" w:rsidRDefault="00E42EA4" w:rsidP="00753F91">
      <w:pPr>
        <w:spacing w:after="120" w:line="288" w:lineRule="auto"/>
        <w:jc w:val="both"/>
        <w:rPr>
          <w:rFonts w:ascii="Arial Narrow" w:hAnsi="Arial Narrow"/>
        </w:rPr>
      </w:pPr>
      <w:r>
        <w:rPr>
          <w:rFonts w:ascii="Arial Narrow" w:hAnsi="Arial Narrow"/>
        </w:rPr>
        <w:t xml:space="preserve">Wspierane będzie tworzenie zadrzewień i zakładanie systemów rolno-leśnych, które oprócz </w:t>
      </w:r>
      <w:r w:rsidRPr="00E13591">
        <w:rPr>
          <w:rFonts w:ascii="Arial Narrow" w:hAnsi="Arial Narrow"/>
        </w:rPr>
        <w:t>urozmaicenia krajobrazu rolniczego</w:t>
      </w:r>
      <w:r>
        <w:rPr>
          <w:rFonts w:ascii="Arial Narrow" w:hAnsi="Arial Narrow"/>
        </w:rPr>
        <w:t>, będą przyczyniać się do utrzymania</w:t>
      </w:r>
      <w:r w:rsidRPr="00E13591">
        <w:rPr>
          <w:rFonts w:ascii="Arial Narrow" w:hAnsi="Arial Narrow"/>
        </w:rPr>
        <w:t xml:space="preserve"> równowagi ekol</w:t>
      </w:r>
      <w:r>
        <w:rPr>
          <w:rFonts w:ascii="Arial Narrow" w:hAnsi="Arial Narrow"/>
        </w:rPr>
        <w:t xml:space="preserve">ogicznej na obszarach wiejskich. </w:t>
      </w:r>
      <w:r>
        <w:rPr>
          <w:rFonts w:ascii="Arial Narrow" w:hAnsi="Arial Narrow"/>
        </w:rPr>
        <w:lastRenderedPageBreak/>
        <w:t>Będą również stanowić</w:t>
      </w:r>
      <w:r w:rsidRPr="00E13591">
        <w:rPr>
          <w:rFonts w:ascii="Arial Narrow" w:hAnsi="Arial Narrow"/>
        </w:rPr>
        <w:t xml:space="preserve"> miejsce bytowania wielu organizmów i bazę pokarmową m.in. dla ptaków i owadów zapylających</w:t>
      </w:r>
      <w:r>
        <w:rPr>
          <w:rFonts w:ascii="Arial Narrow" w:hAnsi="Arial Narrow"/>
        </w:rPr>
        <w:t xml:space="preserve">. Preferowane będą inwestycje </w:t>
      </w:r>
      <w:r w:rsidRPr="00E13591">
        <w:rPr>
          <w:rFonts w:ascii="Arial Narrow" w:hAnsi="Arial Narrow"/>
        </w:rPr>
        <w:t xml:space="preserve">w formie </w:t>
      </w:r>
      <w:r w:rsidRPr="00E13591">
        <w:rPr>
          <w:rFonts w:ascii="Arial Narrow" w:hAnsi="Arial Narrow"/>
          <w:bCs/>
        </w:rPr>
        <w:t xml:space="preserve">liniowej lub pasowej, </w:t>
      </w:r>
      <w:r w:rsidRPr="00E13591">
        <w:rPr>
          <w:rFonts w:ascii="Arial Narrow" w:hAnsi="Arial Narrow"/>
        </w:rPr>
        <w:t>tak aby w większym stopniu spełniały funkcje przeciwwietrzne, wodochronne i przeciwerozyjne</w:t>
      </w:r>
      <w:r>
        <w:rPr>
          <w:rFonts w:ascii="Arial Narrow" w:hAnsi="Arial Narrow"/>
        </w:rPr>
        <w:t xml:space="preserve">. </w:t>
      </w:r>
      <w:r>
        <w:rPr>
          <w:rFonts w:ascii="Arial Narrow" w:hAnsi="Arial Narrow"/>
          <w:bCs/>
        </w:rPr>
        <w:t>W</w:t>
      </w:r>
      <w:r w:rsidRPr="00E13591">
        <w:rPr>
          <w:rFonts w:ascii="Arial Narrow" w:hAnsi="Arial Narrow"/>
          <w:bCs/>
        </w:rPr>
        <w:t xml:space="preserve"> składzie gatunkowym </w:t>
      </w:r>
      <w:r>
        <w:rPr>
          <w:rFonts w:ascii="Arial Narrow" w:hAnsi="Arial Narrow"/>
          <w:bCs/>
        </w:rPr>
        <w:t xml:space="preserve">będą </w:t>
      </w:r>
      <w:r w:rsidRPr="00E13591">
        <w:rPr>
          <w:rFonts w:ascii="Arial Narrow" w:hAnsi="Arial Narrow"/>
          <w:bCs/>
        </w:rPr>
        <w:t>przeważa</w:t>
      </w:r>
      <w:r>
        <w:rPr>
          <w:rFonts w:ascii="Arial Narrow" w:hAnsi="Arial Narrow"/>
          <w:bCs/>
        </w:rPr>
        <w:t>ć</w:t>
      </w:r>
      <w:r w:rsidRPr="00E13591">
        <w:rPr>
          <w:rFonts w:ascii="Arial Narrow" w:hAnsi="Arial Narrow"/>
          <w:bCs/>
        </w:rPr>
        <w:t xml:space="preserve"> gatunki liściaste, w</w:t>
      </w:r>
      <w:r w:rsidR="00D763F7">
        <w:rPr>
          <w:rFonts w:ascii="Arial Narrow" w:hAnsi="Arial Narrow"/>
          <w:bCs/>
        </w:rPr>
        <w:t> </w:t>
      </w:r>
      <w:r w:rsidRPr="00E13591">
        <w:rPr>
          <w:rFonts w:ascii="Arial Narrow" w:hAnsi="Arial Narrow"/>
          <w:bCs/>
        </w:rPr>
        <w:t>tym gatunki biocenotyczne lub miododajne</w:t>
      </w:r>
      <w:r>
        <w:rPr>
          <w:rFonts w:ascii="Arial Narrow" w:hAnsi="Arial Narrow"/>
          <w:bCs/>
        </w:rPr>
        <w:t>.</w:t>
      </w:r>
      <w:r w:rsidR="000B7597">
        <w:rPr>
          <w:rFonts w:ascii="Arial Narrow" w:hAnsi="Arial Narrow"/>
          <w:bCs/>
        </w:rPr>
        <w:t xml:space="preserve"> </w:t>
      </w:r>
      <w:r>
        <w:rPr>
          <w:rFonts w:ascii="Arial Narrow" w:hAnsi="Arial Narrow"/>
        </w:rPr>
        <w:t>Istotną rolę we wzmocnieniu bioróżnorodności będą pełnić interwencje na obszarach rolnych polegające na dywersyfikacji struktury krajobrazu rolniczego. Nasadzenia charakteryzujące</w:t>
      </w:r>
      <w:r w:rsidRPr="00E13591">
        <w:rPr>
          <w:rFonts w:ascii="Arial Narrow" w:hAnsi="Arial Narrow"/>
        </w:rPr>
        <w:t xml:space="preserve"> się bogatą różnorodnością biologiczną,</w:t>
      </w:r>
      <w:r>
        <w:rPr>
          <w:rFonts w:ascii="Arial Narrow" w:hAnsi="Arial Narrow"/>
        </w:rPr>
        <w:t xml:space="preserve"> przyczynią się do</w:t>
      </w:r>
      <w:r w:rsidRPr="00E13591">
        <w:rPr>
          <w:rFonts w:ascii="Arial Narrow" w:hAnsi="Arial Narrow"/>
        </w:rPr>
        <w:t xml:space="preserve"> powstrzymania i odwrócenia procesu spadku liczebności owadów zapylających, jak również</w:t>
      </w:r>
      <w:r w:rsidRPr="00E13591">
        <w:rPr>
          <w:rFonts w:ascii="Arial Narrow" w:hAnsi="Arial Narrow"/>
          <w:b/>
        </w:rPr>
        <w:t xml:space="preserve"> </w:t>
      </w:r>
      <w:r w:rsidRPr="00E13591">
        <w:rPr>
          <w:rFonts w:ascii="Arial Narrow" w:hAnsi="Arial Narrow"/>
        </w:rPr>
        <w:t>z</w:t>
      </w:r>
      <w:r>
        <w:rPr>
          <w:rFonts w:ascii="Arial Narrow" w:hAnsi="Arial Narrow"/>
        </w:rPr>
        <w:t xml:space="preserve">asadzenia 3 mld drzew do 2030 r. </w:t>
      </w:r>
    </w:p>
    <w:p w:rsidR="003B65FE" w:rsidRDefault="00871C59" w:rsidP="00753F91">
      <w:pPr>
        <w:spacing w:after="120" w:line="288" w:lineRule="auto"/>
        <w:jc w:val="both"/>
        <w:rPr>
          <w:rFonts w:ascii="Arial Narrow" w:hAnsi="Arial Narrow" w:cs="Times New Roman"/>
          <w:b/>
          <w:bCs/>
          <w:noProof/>
        </w:rPr>
      </w:pPr>
      <w:r w:rsidRPr="00D707B9">
        <w:rPr>
          <w:rFonts w:ascii="Arial Narrow" w:hAnsi="Arial Narrow"/>
        </w:rPr>
        <w:t>Wdrażane będą również w ramach systemów na rzecz klimatu, środowiska i dobrostanu zwierząt ekoschematy: (i) Obszary z roślinami miododajnymi, w celu ochrony różnorodności biologicznej poprzez stworzenie pożytków dla pszczół i innych zapylaczy, (ii) Przeznaczenie 10% powierzchni UR w gospodarstwie na obszary nieprodukcyjne, w celu  zachęcenia rolników do utrzymywania w gospodarstwie obszarów nieprodukcyjnych, które korzystnie oddziałują na środowisko, w szczególności na ochronę i zwiększenie różnorodności biologicznej, jak również (iii) Utrzymanie zadrzewień śródpolnych, w celu utrzymania różnorodności biologicznej. Dodatkowo minimalizowana będzie erozja wodna i wietrzna gleby, co będzie korzystnie wpływać na jej żyzność</w:t>
      </w:r>
      <w:r w:rsidR="000B7597">
        <w:rPr>
          <w:rFonts w:ascii="Arial Narrow" w:hAnsi="Arial Narrow"/>
        </w:rPr>
        <w:t>.</w:t>
      </w:r>
      <w:r w:rsidR="003B65FE">
        <w:rPr>
          <w:rFonts w:ascii="Arial Narrow" w:hAnsi="Arial Narrow" w:cs="Times New Roman"/>
          <w:b/>
          <w:bCs/>
          <w:noProof/>
        </w:rPr>
        <w:br w:type="page"/>
      </w:r>
    </w:p>
    <w:p w:rsidR="008D7AE6" w:rsidRPr="008D7AE6" w:rsidRDefault="008D7AE6" w:rsidP="008D7AE6">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Pr>
          <w:rFonts w:ascii="Arial Narrow" w:hAnsi="Arial Narrow" w:cs="Times New Roman"/>
          <w:b/>
          <w:bCs/>
          <w:noProof/>
        </w:rPr>
        <w:lastRenderedPageBreak/>
        <w:t xml:space="preserve">Rekomendacja </w:t>
      </w:r>
      <w:r w:rsidR="004923E5">
        <w:rPr>
          <w:rFonts w:ascii="Arial Narrow" w:hAnsi="Arial Narrow" w:cs="Times New Roman"/>
          <w:b/>
          <w:bCs/>
          <w:noProof/>
        </w:rPr>
        <w:t>nr 7</w:t>
      </w:r>
      <w:r>
        <w:rPr>
          <w:rFonts w:ascii="Arial Narrow" w:hAnsi="Arial Narrow" w:cs="Times New Roman"/>
          <w:b/>
          <w:bCs/>
          <w:noProof/>
        </w:rPr>
        <w:t xml:space="preserve">: </w:t>
      </w:r>
      <w:r w:rsidRPr="008D7AE6">
        <w:rPr>
          <w:rFonts w:ascii="Arial Narrow" w:hAnsi="Arial Narrow" w:cs="Times New Roman"/>
          <w:bCs/>
          <w:i/>
          <w:noProof/>
        </w:rPr>
        <w:t xml:space="preserve">Redukcja niedoboru wody poprzez znaczne zwiększenie wsparcia na rzecz rozwiązań opartych na zasobach przyrody, odpowiednie praktyki w zakresie gospodarowania gruntami poprawiające retencję wody w glebie takie jak dłuższe i bardziej zróżnicowane zmianowanie upraw oraz dostosowanie upraw poprzez propagowanie odpornych na suszę, wymagających mniejszej ilości wody i ulepszonych odmian roślin uprawnych, co pozwoli lepiej zarządzać zapotrzebowaniem upraw na wodę. Wsparcie powinno również koncentrować się na systemach nawadniania, które najlepiej sprawdzają się pod względem oszczędności wody, oraz na ponownym wykorzystaniu wody zgodnie z wymogami ramowej dyrektywy wodnej. </w:t>
      </w:r>
    </w:p>
    <w:p w:rsidR="0042687B" w:rsidRPr="0042687B" w:rsidRDefault="003B65FE" w:rsidP="00753F91">
      <w:pPr>
        <w:spacing w:after="120" w:line="288" w:lineRule="auto"/>
        <w:jc w:val="both"/>
        <w:rPr>
          <w:rFonts w:ascii="Arial Narrow" w:eastAsia="Times New Roman" w:hAnsi="Arial Narrow" w:cs="Times New Roman"/>
          <w:bCs/>
          <w:lang w:eastAsia="pl-PL"/>
        </w:rPr>
      </w:pPr>
      <w:r w:rsidRPr="003B65FE">
        <w:rPr>
          <w:rFonts w:ascii="Arial Narrow" w:hAnsi="Arial Narrow"/>
        </w:rPr>
        <w:t>Polska ze względu na uwarunkowania hydrologiczne i zmiany klimatu jest szczególnie narażona na niedobór wód i dlatego działania w obszarze gospodarki wodnej mają charakter priorytetowy.</w:t>
      </w:r>
      <w:r w:rsidR="003D68D7">
        <w:rPr>
          <w:rFonts w:ascii="Arial Narrow" w:hAnsi="Arial Narrow"/>
        </w:rPr>
        <w:t xml:space="preserve"> Biorąc jednak pod uwagę wysokie koszty inwestycji wsparcie będzie oferowane głównie w </w:t>
      </w:r>
      <w:r w:rsidR="000434C7">
        <w:rPr>
          <w:rFonts w:ascii="Arial Narrow" w:hAnsi="Arial Narrow"/>
        </w:rPr>
        <w:t>Krajowym Planie Odbudowy, w ramach którego możliwa będzie m.in. modernizacja</w:t>
      </w:r>
      <w:r w:rsidR="000434C7" w:rsidRPr="002C5D03">
        <w:rPr>
          <w:rFonts w:ascii="Arial Narrow" w:hAnsi="Arial Narrow"/>
        </w:rPr>
        <w:t xml:space="preserve"> niewielkich urządzeń wodnych, w szczególności ograniczających odpływ wody, z</w:t>
      </w:r>
      <w:r w:rsidR="008966A1">
        <w:rPr>
          <w:rFonts w:ascii="Arial Narrow" w:hAnsi="Arial Narrow"/>
        </w:rPr>
        <w:t> </w:t>
      </w:r>
      <w:r w:rsidR="000434C7" w:rsidRPr="002C5D03">
        <w:rPr>
          <w:rFonts w:ascii="Arial Narrow" w:hAnsi="Arial Narrow"/>
        </w:rPr>
        <w:t>uwzględnieniem jej retencjonowania oraz możliwości wykorzystania wody dla przeciwdziałania skutkom suszy</w:t>
      </w:r>
      <w:r w:rsidR="000434C7">
        <w:rPr>
          <w:rFonts w:ascii="Arial Narrow" w:hAnsi="Arial Narrow"/>
        </w:rPr>
        <w:t xml:space="preserve">. Dodatkowo </w:t>
      </w:r>
      <w:r w:rsidR="000434C7" w:rsidRPr="005D1956">
        <w:rPr>
          <w:rFonts w:ascii="Arial Narrow" w:hAnsi="Arial Narrow"/>
        </w:rPr>
        <w:t>możliwa będzie modernizacja lub odbudowa byłych i istniejących zbiorników wodnych oraz towarzyszącej im infrastruktury kulturowej w postaci młynów wodnych</w:t>
      </w:r>
      <w:r w:rsidR="003D68D7">
        <w:rPr>
          <w:rFonts w:ascii="Arial Narrow" w:hAnsi="Arial Narrow"/>
        </w:rPr>
        <w:t>. Jednocześnie w związku z okres</w:t>
      </w:r>
      <w:r w:rsidR="00701170">
        <w:rPr>
          <w:rFonts w:ascii="Arial Narrow" w:hAnsi="Arial Narrow"/>
        </w:rPr>
        <w:t>em</w:t>
      </w:r>
      <w:r w:rsidR="003D68D7">
        <w:rPr>
          <w:rFonts w:ascii="Arial Narrow" w:hAnsi="Arial Narrow"/>
        </w:rPr>
        <w:t xml:space="preserve"> przejściowym w ramach PROW 2014-2020 zaproponowano </w:t>
      </w:r>
      <w:r w:rsidR="0080031C">
        <w:rPr>
          <w:rFonts w:ascii="Arial Narrow" w:hAnsi="Arial Narrow"/>
        </w:rPr>
        <w:t>(</w:t>
      </w:r>
      <w:r w:rsidR="0080031C" w:rsidRPr="00753F91">
        <w:rPr>
          <w:rFonts w:ascii="Arial Narrow" w:hAnsi="Arial Narrow"/>
          <w:i/>
        </w:rPr>
        <w:t>część z nich zostanie utrzymana w Planie</w:t>
      </w:r>
      <w:r w:rsidR="0080031C">
        <w:rPr>
          <w:rFonts w:ascii="Arial Narrow" w:hAnsi="Arial Narrow"/>
        </w:rPr>
        <w:t xml:space="preserve">) </w:t>
      </w:r>
      <w:r w:rsidR="003D68D7">
        <w:rPr>
          <w:rFonts w:ascii="Arial Narrow" w:hAnsi="Arial Narrow"/>
        </w:rPr>
        <w:t xml:space="preserve">uruchomienie szeregu działań na rzecz spowolnienia lub zatrzymania </w:t>
      </w:r>
      <w:r w:rsidRPr="003B65FE">
        <w:rPr>
          <w:rFonts w:ascii="Arial Narrow" w:hAnsi="Arial Narrow"/>
        </w:rPr>
        <w:t xml:space="preserve">spływu wód na gruntach użytkowanych rolniczo  poprzez rozwój </w:t>
      </w:r>
      <w:r w:rsidR="0080031C">
        <w:rPr>
          <w:rFonts w:ascii="Arial Narrow" w:hAnsi="Arial Narrow"/>
        </w:rPr>
        <w:t>tzw.</w:t>
      </w:r>
      <w:r w:rsidRPr="003B65FE">
        <w:rPr>
          <w:rFonts w:ascii="Arial Narrow" w:hAnsi="Arial Narrow"/>
        </w:rPr>
        <w:t xml:space="preserve"> małej retencji, w tym modernizację istniejących urządzeń melioracyjnych (głównie przez odbudowę urządzeń piętrzących  i  przywrócenie im funkcji nawadniająco-odwadniających, czyli zdolności zachowania wody w okresie suszy i odprowadzenia w okresie jej nadmiaru) i promowanie retencji krajobrazowej, w tym funkcji retencyjnych trwałych użytków zielonych</w:t>
      </w:r>
      <w:r w:rsidR="0080031C">
        <w:rPr>
          <w:rFonts w:ascii="Arial Narrow" w:hAnsi="Arial Narrow"/>
        </w:rPr>
        <w:t xml:space="preserve"> [</w:t>
      </w:r>
      <w:r w:rsidR="0080031C" w:rsidRPr="00516284">
        <w:rPr>
          <w:rFonts w:ascii="Arial Narrow" w:eastAsia="Times New Roman" w:hAnsi="Arial Narrow" w:cs="Times New Roman"/>
          <w:bCs/>
          <w:i/>
          <w:lang w:eastAsia="pl-PL"/>
        </w:rPr>
        <w:t>Ekoschemat - Retencjonowanie wody na trwałych użytkach zielonych</w:t>
      </w:r>
      <w:r w:rsidR="0080031C">
        <w:rPr>
          <w:rFonts w:ascii="Arial Narrow" w:hAnsi="Arial Narrow"/>
        </w:rPr>
        <w:t>]</w:t>
      </w:r>
      <w:r w:rsidRPr="003B65FE">
        <w:rPr>
          <w:rFonts w:ascii="Arial Narrow" w:hAnsi="Arial Narrow"/>
        </w:rPr>
        <w:t>. W celu adaptacji do zmian klimatu rolnicy zachęcani będą do stosowania agrotechniki sprzyjającej zachowaniu wody w glebie</w:t>
      </w:r>
      <w:r w:rsidR="004F724C">
        <w:rPr>
          <w:rFonts w:ascii="Arial Narrow" w:hAnsi="Arial Narrow"/>
        </w:rPr>
        <w:t xml:space="preserve"> [</w:t>
      </w:r>
      <w:r w:rsidR="004F724C" w:rsidRPr="00516284">
        <w:rPr>
          <w:rFonts w:ascii="Arial Narrow" w:eastAsia="Times New Roman" w:hAnsi="Arial Narrow" w:cs="Times New Roman"/>
          <w:bCs/>
          <w:i/>
          <w:lang w:eastAsia="pl-PL"/>
        </w:rPr>
        <w:t>Ekoschemat - Międzyplony ozime/wsiewki, Ekoschemat - Zróżnicowana struktura upraw, Ekoschemat - Uproszczone systemy uprawy, Ekoschemat - Zagospodarowanie resztek pożniwnych w</w:t>
      </w:r>
      <w:r w:rsidR="00D763F7">
        <w:rPr>
          <w:rFonts w:ascii="Arial Narrow" w:eastAsia="Times New Roman" w:hAnsi="Arial Narrow" w:cs="Times New Roman"/>
          <w:bCs/>
          <w:i/>
          <w:lang w:eastAsia="pl-PL"/>
        </w:rPr>
        <w:t> </w:t>
      </w:r>
      <w:r w:rsidR="004F724C" w:rsidRPr="00516284">
        <w:rPr>
          <w:rFonts w:ascii="Arial Narrow" w:eastAsia="Times New Roman" w:hAnsi="Arial Narrow" w:cs="Times New Roman"/>
          <w:bCs/>
          <w:i/>
          <w:lang w:eastAsia="pl-PL"/>
        </w:rPr>
        <w:t>formie mulczu (matowania), Ekoschemat - Utrzymanie zadrzewień śródpolnych</w:t>
      </w:r>
      <w:r w:rsidR="004F724C">
        <w:rPr>
          <w:rFonts w:ascii="Arial Narrow" w:eastAsia="Times New Roman" w:hAnsi="Arial Narrow" w:cs="Times New Roman"/>
          <w:bCs/>
          <w:i/>
          <w:lang w:eastAsia="pl-PL"/>
        </w:rPr>
        <w:t>]</w:t>
      </w:r>
      <w:r w:rsidR="005F7DFD">
        <w:rPr>
          <w:rFonts w:ascii="Arial Narrow" w:eastAsia="Times New Roman" w:hAnsi="Arial Narrow" w:cs="Times New Roman"/>
          <w:bCs/>
          <w:i/>
          <w:lang w:eastAsia="pl-PL"/>
        </w:rPr>
        <w:t xml:space="preserve">. </w:t>
      </w:r>
      <w:r w:rsidR="005F7DFD" w:rsidRPr="00516284">
        <w:rPr>
          <w:rFonts w:ascii="Arial Narrow" w:eastAsia="Times New Roman" w:hAnsi="Arial Narrow" w:cs="Times New Roman"/>
          <w:bCs/>
          <w:lang w:eastAsia="pl-PL"/>
        </w:rPr>
        <w:t xml:space="preserve">Dodatkowo przewiduje się realizację </w:t>
      </w:r>
      <w:r w:rsidR="005F7DFD" w:rsidRPr="00881207">
        <w:rPr>
          <w:rFonts w:ascii="Arial Narrow" w:eastAsia="Times New Roman" w:hAnsi="Arial Narrow" w:cs="Times New Roman"/>
          <w:bCs/>
          <w:i/>
          <w:lang w:eastAsia="pl-PL"/>
        </w:rPr>
        <w:t xml:space="preserve">inwestycji </w:t>
      </w:r>
      <w:bookmarkStart w:id="10" w:name="_Toc77474313"/>
      <w:r w:rsidR="005F7DFD" w:rsidRPr="00812027">
        <w:rPr>
          <w:rFonts w:ascii="Arial Narrow" w:hAnsi="Arial Narrow"/>
          <w:i/>
          <w:color w:val="000000" w:themeColor="text1"/>
          <w:lang w:eastAsia="pl-PL"/>
        </w:rPr>
        <w:t>przyczyniających się do ochrony środowiska i klimatu</w:t>
      </w:r>
      <w:bookmarkEnd w:id="10"/>
      <w:r w:rsidR="005F7DFD" w:rsidRPr="00812027">
        <w:rPr>
          <w:rFonts w:ascii="Arial Narrow" w:eastAsia="Times New Roman" w:hAnsi="Arial Narrow" w:cs="Times New Roman"/>
          <w:bCs/>
          <w:lang w:eastAsia="pl-PL"/>
        </w:rPr>
        <w:t xml:space="preserve">, w ramach których </w:t>
      </w:r>
      <w:r w:rsidR="00AA2A0D">
        <w:rPr>
          <w:rFonts w:ascii="Arial Narrow" w:eastAsia="Times New Roman" w:hAnsi="Arial Narrow" w:cs="Times New Roman"/>
          <w:bCs/>
          <w:lang w:eastAsia="pl-PL"/>
        </w:rPr>
        <w:t xml:space="preserve">będą preferowane </w:t>
      </w:r>
      <w:r w:rsidR="00AA2A0D" w:rsidRPr="00812027">
        <w:rPr>
          <w:rFonts w:ascii="Arial Narrow" w:eastAsia="Times New Roman" w:hAnsi="Arial Narrow" w:cs="Times New Roman"/>
          <w:bCs/>
          <w:lang w:eastAsia="pl-PL"/>
        </w:rPr>
        <w:t>operacje związane z poprawą efektywności retencjonowania lub wykorzystania wody</w:t>
      </w:r>
      <w:r w:rsidR="00AA2A0D" w:rsidRPr="00AA2A0D">
        <w:rPr>
          <w:rFonts w:ascii="Arial Narrow" w:eastAsia="Times New Roman" w:hAnsi="Arial Narrow" w:cs="Times New Roman"/>
          <w:bCs/>
          <w:lang w:eastAsia="pl-PL"/>
        </w:rPr>
        <w:t xml:space="preserve">. </w:t>
      </w:r>
      <w:r w:rsidR="00AA2A0D">
        <w:rPr>
          <w:rFonts w:ascii="Arial Narrow" w:eastAsia="Times New Roman" w:hAnsi="Arial Narrow" w:cs="Times New Roman"/>
          <w:bCs/>
          <w:lang w:eastAsia="pl-PL"/>
        </w:rPr>
        <w:t xml:space="preserve">Chodzi </w:t>
      </w:r>
      <w:r w:rsidR="00881207">
        <w:rPr>
          <w:rFonts w:ascii="Arial Narrow" w:eastAsia="Times New Roman" w:hAnsi="Arial Narrow" w:cs="Times New Roman"/>
          <w:bCs/>
          <w:lang w:eastAsia="pl-PL"/>
        </w:rPr>
        <w:t xml:space="preserve">m.in. </w:t>
      </w:r>
      <w:r w:rsidR="00AA2A0D">
        <w:rPr>
          <w:rFonts w:ascii="Arial Narrow" w:eastAsia="Times New Roman" w:hAnsi="Arial Narrow" w:cs="Times New Roman"/>
          <w:bCs/>
          <w:lang w:eastAsia="pl-PL"/>
        </w:rPr>
        <w:t xml:space="preserve">o </w:t>
      </w:r>
      <w:r w:rsidR="00881207" w:rsidRPr="00812027">
        <w:rPr>
          <w:rFonts w:ascii="Arial Narrow" w:eastAsia="Times New Roman" w:hAnsi="Arial Narrow" w:cs="Times New Roman"/>
          <w:bCs/>
          <w:lang w:eastAsia="pl-PL"/>
        </w:rPr>
        <w:t xml:space="preserve">instalacje do pozyskiwania i zagospodarowania wody deszczowej, oszczędnych systemów wykorzystywanych w produkcji </w:t>
      </w:r>
      <w:r w:rsidR="00881207" w:rsidRPr="00812027">
        <w:rPr>
          <w:rFonts w:ascii="Arial Narrow" w:eastAsia="Times New Roman" w:hAnsi="Arial Narrow" w:cs="Times New Roman"/>
          <w:bCs/>
          <w:lang w:eastAsia="pl-PL"/>
        </w:rPr>
        <w:lastRenderedPageBreak/>
        <w:t>rolnej, instalacji do powtórnego obiegu wody, zbiorników retencyjnych gromadzących wody opadowe i roztopowe w gospodarstwie</w:t>
      </w:r>
      <w:r w:rsidR="00881207">
        <w:rPr>
          <w:rFonts w:ascii="Arial Narrow" w:eastAsia="Times New Roman" w:hAnsi="Arial Narrow" w:cs="Times New Roman"/>
          <w:bCs/>
          <w:lang w:eastAsia="pl-PL"/>
        </w:rPr>
        <w:t xml:space="preserve">. Równolegle </w:t>
      </w:r>
      <w:r w:rsidR="00516284">
        <w:rPr>
          <w:rFonts w:ascii="Arial Narrow" w:eastAsia="Times New Roman" w:hAnsi="Arial Narrow" w:cs="Times New Roman"/>
          <w:bCs/>
          <w:lang w:eastAsia="pl-PL"/>
        </w:rPr>
        <w:t xml:space="preserve">przewiduje się wsparcie </w:t>
      </w:r>
      <w:r w:rsidR="00881207">
        <w:rPr>
          <w:rFonts w:ascii="Arial Narrow" w:hAnsi="Arial Narrow"/>
        </w:rPr>
        <w:t xml:space="preserve">w formie dotacji dla przedsiębiorstw świadczących </w:t>
      </w:r>
      <w:r w:rsidR="00516284">
        <w:rPr>
          <w:rFonts w:ascii="Arial Narrow" w:hAnsi="Arial Narrow"/>
        </w:rPr>
        <w:t xml:space="preserve">usługi m.in. w zakresie zarzadzania wodą w rolnictwie – interwencja </w:t>
      </w:r>
      <w:r w:rsidR="00881207" w:rsidRPr="00812027">
        <w:rPr>
          <w:rFonts w:ascii="Arial Narrow" w:hAnsi="Arial Narrow"/>
          <w:i/>
        </w:rPr>
        <w:t>Rozwój usług środowiskowych z wykorzystaniem rozwiązań Rolnictwa 4.0</w:t>
      </w:r>
      <w:r w:rsidR="00881207">
        <w:rPr>
          <w:rFonts w:ascii="Arial Narrow" w:hAnsi="Arial Narrow"/>
        </w:rPr>
        <w:t>.</w:t>
      </w:r>
      <w:r w:rsidR="00812027">
        <w:rPr>
          <w:rFonts w:ascii="Arial Narrow" w:hAnsi="Arial Narrow"/>
        </w:rPr>
        <w:t xml:space="preserve"> Ponadto </w:t>
      </w:r>
      <w:r w:rsidR="0042687B">
        <w:rPr>
          <w:rFonts w:ascii="Arial Narrow" w:hAnsi="Arial Narrow"/>
        </w:rPr>
        <w:t xml:space="preserve">aby zrealizować zalecenie przewiduje się realizację interwencji </w:t>
      </w:r>
      <w:bookmarkStart w:id="11" w:name="_Toc77474322"/>
      <w:r w:rsidR="0042687B" w:rsidRPr="0042687B">
        <w:rPr>
          <w:rFonts w:ascii="Arial Narrow" w:hAnsi="Arial Narrow"/>
          <w:i/>
        </w:rPr>
        <w:t>Infrastruktura na obszarach wiejskich</w:t>
      </w:r>
      <w:bookmarkEnd w:id="11"/>
      <w:r w:rsidR="0042687B" w:rsidRPr="0042687B">
        <w:rPr>
          <w:rFonts w:ascii="Arial Narrow" w:hAnsi="Arial Narrow"/>
          <w:color w:val="000000" w:themeColor="text1"/>
          <w:lang w:eastAsia="pl-PL"/>
        </w:rPr>
        <w:t>.</w:t>
      </w:r>
      <w:r w:rsidR="0042687B">
        <w:rPr>
          <w:rFonts w:ascii="Arial Narrow" w:hAnsi="Arial Narrow"/>
          <w:b/>
          <w:i/>
          <w:color w:val="000000" w:themeColor="text1"/>
          <w:lang w:eastAsia="pl-PL"/>
        </w:rPr>
        <w:t xml:space="preserve"> </w:t>
      </w:r>
      <w:r w:rsidR="0042687B" w:rsidRPr="0042687B">
        <w:rPr>
          <w:rFonts w:ascii="Arial Narrow" w:eastAsia="Times New Roman" w:hAnsi="Arial Narrow" w:cs="Times New Roman"/>
          <w:bCs/>
          <w:lang w:eastAsia="pl-PL"/>
        </w:rPr>
        <w:t xml:space="preserve">Co do zasady interwencja wspiera rozwój infrastruktury wiejskiej oraz odnowę wsi, przyczyniając się tym samym do poprawy warunków życia i prowadzenia działalności gospodarczej. Ponadto celem interwencji jest gromadzenie i przechowywanie wód opadowych i roztopowych z </w:t>
      </w:r>
      <w:r w:rsidR="000434C7">
        <w:rPr>
          <w:rFonts w:ascii="Arial Narrow" w:eastAsia="Times New Roman" w:hAnsi="Arial Narrow" w:cs="Times New Roman"/>
          <w:bCs/>
          <w:lang w:eastAsia="pl-PL"/>
        </w:rPr>
        <w:t>u</w:t>
      </w:r>
      <w:r w:rsidR="0042687B" w:rsidRPr="0042687B">
        <w:rPr>
          <w:rFonts w:ascii="Arial Narrow" w:eastAsia="Times New Roman" w:hAnsi="Arial Narrow" w:cs="Times New Roman"/>
          <w:bCs/>
          <w:lang w:eastAsia="pl-PL"/>
        </w:rPr>
        <w:t>wagi na niekorzystne warunki hydrologiczne. Jednocześnie wsparcie infrastruktury ukierunkowanej na poszanowanie środowiska i klimatu ma na celu minimalizowania negatywnych skutków zmian klimatu.</w:t>
      </w:r>
    </w:p>
    <w:p w:rsidR="003B65FE" w:rsidRDefault="003B65FE">
      <w:pPr>
        <w:rPr>
          <w:rFonts w:ascii="Arial Narrow" w:hAnsi="Arial Narrow" w:cs="Times New Roman"/>
          <w:b/>
          <w:bCs/>
          <w:noProof/>
        </w:rPr>
      </w:pPr>
      <w:r>
        <w:rPr>
          <w:rFonts w:ascii="Arial Narrow" w:hAnsi="Arial Narrow" w:cs="Times New Roman"/>
          <w:b/>
          <w:bCs/>
          <w:noProof/>
        </w:rPr>
        <w:br w:type="page"/>
      </w:r>
    </w:p>
    <w:p w:rsidR="00B435AF" w:rsidRPr="001E062A" w:rsidRDefault="00B435AF" w:rsidP="00B435AF">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sidRPr="00886AA5">
        <w:rPr>
          <w:rFonts w:ascii="Arial Narrow" w:hAnsi="Arial Narrow" w:cs="Times New Roman"/>
          <w:b/>
          <w:bCs/>
          <w:noProof/>
        </w:rPr>
        <w:lastRenderedPageBreak/>
        <w:t>Rekomendacja</w:t>
      </w:r>
      <w:r w:rsidR="004679DE" w:rsidRPr="00886AA5">
        <w:rPr>
          <w:rFonts w:ascii="Arial Narrow" w:hAnsi="Arial Narrow" w:cs="Times New Roman"/>
          <w:b/>
          <w:bCs/>
          <w:noProof/>
        </w:rPr>
        <w:t xml:space="preserve"> nr 8</w:t>
      </w:r>
      <w:r w:rsidRPr="00886AA5">
        <w:rPr>
          <w:rFonts w:ascii="Arial Narrow" w:hAnsi="Arial Narrow" w:cs="Times New Roman"/>
          <w:b/>
          <w:bCs/>
          <w:noProof/>
        </w:rPr>
        <w:t>:</w:t>
      </w:r>
      <w:r w:rsidRPr="00886AA5">
        <w:rPr>
          <w:rFonts w:ascii="Arial Narrow" w:hAnsi="Arial Narrow" w:cs="Times New Roman"/>
          <w:bCs/>
          <w:i/>
          <w:noProof/>
        </w:rPr>
        <w:t>Przyczynianie się do realizacji celu Europejskiego Zielonego Ładu, jakim jest ograniczenie strat składników pokarmowych, poprzez wspieranie lepszego gospodarowania składnikami odżywczymi, począwszy od pomieszczeń inwentarskich po techniki nawożenia, powszechniejsze stosowanie rolnictwa precyzyjnego, lepsze gospodarowanie obornikiem, wyznaczanie odpowiednich elementów krajobrazu, takich jak nabrzeżne strefy buforowe lub mokradła, oraz inne technologie, w tym cyfrowe narzędzia do zarządzania składnikami pokarmowymi w gospodarstwach, ukierunkowane na bardziej efektywne wykorzystanie nakładów i zmniejszenie nadwyżek składników pokarmowych.</w:t>
      </w:r>
      <w:r w:rsidRPr="001E062A">
        <w:rPr>
          <w:rFonts w:ascii="Arial Narrow" w:hAnsi="Arial Narrow" w:cs="Times New Roman"/>
          <w:bCs/>
          <w:i/>
          <w:noProof/>
        </w:rPr>
        <w:t xml:space="preserve"> </w:t>
      </w:r>
    </w:p>
    <w:p w:rsidR="004848D3" w:rsidRDefault="001E062A" w:rsidP="00753F91">
      <w:pPr>
        <w:spacing w:after="120" w:line="288" w:lineRule="auto"/>
        <w:jc w:val="both"/>
        <w:rPr>
          <w:rFonts w:ascii="Arial Narrow" w:hAnsi="Arial Narrow"/>
        </w:rPr>
      </w:pPr>
      <w:r w:rsidRPr="001E062A">
        <w:rPr>
          <w:rFonts w:ascii="Arial Narrow" w:hAnsi="Arial Narrow"/>
        </w:rPr>
        <w:t>Właściwa gospodarka nawozowa jest istotna z punktu widzenia ekonomicznego, a także środowiskowego. Ten drugi aspekt każe wspierać praktyki rolnicze przyczyniające się do ograniczenia utraty składników pokarmowych takie jak stosowanie planów nawożenia, stosowanie właściwych technologii przechowywania i aplikacji nawozów, stosowanie roślinnej ochrony gleby, działania na rzecz zapobiegania utracie/zwiększenia zawartości materii organicznej w glebie. Wdrożenie tego rodzaju praktyk wymaga odpowiedniego wyposażenia technicznego, a</w:t>
      </w:r>
      <w:r w:rsidR="00D763F7">
        <w:rPr>
          <w:rFonts w:ascii="Arial Narrow" w:hAnsi="Arial Narrow"/>
        </w:rPr>
        <w:t> </w:t>
      </w:r>
      <w:r w:rsidRPr="001E062A">
        <w:rPr>
          <w:rFonts w:ascii="Arial Narrow" w:hAnsi="Arial Narrow"/>
        </w:rPr>
        <w:t>w</w:t>
      </w:r>
      <w:r w:rsidR="00D763F7">
        <w:rPr>
          <w:rFonts w:ascii="Arial Narrow" w:hAnsi="Arial Narrow"/>
        </w:rPr>
        <w:t> </w:t>
      </w:r>
      <w:r w:rsidRPr="001E062A">
        <w:rPr>
          <w:rFonts w:ascii="Arial Narrow" w:hAnsi="Arial Narrow"/>
        </w:rPr>
        <w:t>konsekwencji – wsparcia inwestycyjnego gospodarstw.</w:t>
      </w:r>
      <w:r>
        <w:rPr>
          <w:rFonts w:ascii="Arial Narrow" w:hAnsi="Arial Narrow"/>
        </w:rPr>
        <w:t xml:space="preserve"> </w:t>
      </w:r>
      <w:r w:rsidRPr="001E062A">
        <w:rPr>
          <w:rFonts w:ascii="Arial Narrow" w:hAnsi="Arial Narrow"/>
        </w:rPr>
        <w:t>Utracie składników pokarmowych roślin zapobiega odpowiednie ukształtowanie krajobrazu, dlatego też promowane będzie tworzenie i utrzymanie stref buforowych i zadrzewień.</w:t>
      </w:r>
      <w:r>
        <w:rPr>
          <w:rFonts w:ascii="Arial Narrow" w:hAnsi="Arial Narrow"/>
        </w:rPr>
        <w:t xml:space="preserve"> W tym celu będą realizowana interwencje: </w:t>
      </w:r>
    </w:p>
    <w:p w:rsidR="000663B2" w:rsidRPr="00632594" w:rsidRDefault="000663B2" w:rsidP="00753F91">
      <w:pPr>
        <w:pStyle w:val="Akapitzlist"/>
        <w:numPr>
          <w:ilvl w:val="0"/>
          <w:numId w:val="11"/>
        </w:numPr>
        <w:spacing w:after="120" w:line="288" w:lineRule="auto"/>
        <w:ind w:left="284" w:hanging="284"/>
        <w:contextualSpacing w:val="0"/>
        <w:jc w:val="both"/>
        <w:rPr>
          <w:rFonts w:ascii="Arial Narrow" w:hAnsi="Arial Narrow"/>
          <w:i/>
        </w:rPr>
      </w:pPr>
      <w:r w:rsidRPr="00922DF4">
        <w:rPr>
          <w:rFonts w:ascii="Arial Narrow" w:hAnsi="Arial Narrow"/>
          <w:i/>
        </w:rPr>
        <w:t>Ekoschemat - Opracowanie i przestrzeganie planu nawożenia / narzędzie FAST, Wymieszanie obornika na gruntach ornych w ciągu 12 godzin od aplikacji, Stosowanie płynnych nawozów naturalnych innymi metodami niż rozbryzgowo, tj. w formie aplikacji doglebowej</w:t>
      </w:r>
      <w:r w:rsidR="00632594" w:rsidRPr="00922DF4">
        <w:rPr>
          <w:rFonts w:ascii="Arial Narrow" w:hAnsi="Arial Narrow"/>
        </w:rPr>
        <w:t>, które są praktykami ograniczającymi straty składników pokarmowych, ułatwiają lepiej nimi zarządzać</w:t>
      </w:r>
      <w:r w:rsidR="00632594" w:rsidRPr="00632594">
        <w:rPr>
          <w:rFonts w:ascii="Arial Narrow" w:hAnsi="Arial Narrow"/>
        </w:rPr>
        <w:t>,</w:t>
      </w:r>
    </w:p>
    <w:p w:rsidR="00B31CC6" w:rsidRPr="004848D3" w:rsidRDefault="001E062A" w:rsidP="00753F91">
      <w:pPr>
        <w:pStyle w:val="Akapitzlist"/>
        <w:numPr>
          <w:ilvl w:val="0"/>
          <w:numId w:val="11"/>
        </w:numPr>
        <w:spacing w:after="120" w:line="288" w:lineRule="auto"/>
        <w:ind w:left="284" w:hanging="284"/>
        <w:contextualSpacing w:val="0"/>
        <w:jc w:val="both"/>
      </w:pPr>
      <w:r w:rsidRPr="004848D3">
        <w:rPr>
          <w:rFonts w:ascii="Arial Narrow" w:hAnsi="Arial Narrow"/>
          <w:i/>
        </w:rPr>
        <w:t>Inwestycje przyczyniające się do ochrony środowiska i klimatu</w:t>
      </w:r>
      <w:r w:rsidR="005D434B" w:rsidRPr="004848D3">
        <w:rPr>
          <w:rFonts w:ascii="Arial Narrow" w:hAnsi="Arial Narrow"/>
        </w:rPr>
        <w:t xml:space="preserve">, w ramach której przewiduje się </w:t>
      </w:r>
      <w:r w:rsidR="004848D3" w:rsidRPr="004848D3">
        <w:rPr>
          <w:rFonts w:ascii="Arial Narrow" w:hAnsi="Arial Narrow"/>
        </w:rPr>
        <w:t>wsparcie na zakup maszyn i urządzeń do niskoemisyjnej aplikacji nawozów, magazynowania nawozów naturalnych</w:t>
      </w:r>
      <w:r w:rsidR="00B31CC6">
        <w:rPr>
          <w:rFonts w:ascii="Arial Narrow" w:hAnsi="Arial Narrow"/>
        </w:rPr>
        <w:t>,</w:t>
      </w:r>
    </w:p>
    <w:p w:rsidR="004848D3" w:rsidRDefault="004848D3" w:rsidP="00753F91">
      <w:pPr>
        <w:pStyle w:val="Akapitzlist"/>
        <w:numPr>
          <w:ilvl w:val="0"/>
          <w:numId w:val="11"/>
        </w:numPr>
        <w:spacing w:after="120" w:line="288" w:lineRule="auto"/>
        <w:ind w:left="284" w:hanging="284"/>
        <w:contextualSpacing w:val="0"/>
        <w:jc w:val="both"/>
        <w:rPr>
          <w:rFonts w:ascii="Arial Narrow" w:hAnsi="Arial Narrow"/>
        </w:rPr>
      </w:pPr>
      <w:r w:rsidRPr="002C560D">
        <w:rPr>
          <w:rFonts w:ascii="Arial Narrow" w:hAnsi="Arial Narrow"/>
          <w:i/>
        </w:rPr>
        <w:t>Inwestycje w gospodarstwach rolnych w zakresie OZE i poprawy efektywności energetycznej</w:t>
      </w:r>
      <w:r w:rsidRPr="002C560D">
        <w:rPr>
          <w:rFonts w:ascii="Arial Narrow" w:hAnsi="Arial Narrow"/>
        </w:rPr>
        <w:t xml:space="preserve">, gdzie przewidziano </w:t>
      </w:r>
      <w:r w:rsidR="00D2298A" w:rsidRPr="002C560D">
        <w:rPr>
          <w:rFonts w:ascii="Arial Narrow" w:hAnsi="Arial Narrow"/>
        </w:rPr>
        <w:t>wsparcie na zakup (i) mikroinstalacji produkujących energię biogazu (pozwoli zagospodarować nadwyżki nawozów naturalnych) oraz (ii) systemów odzyskiwania ciepła (m.in. ze ściółki, gnojowicy)</w:t>
      </w:r>
      <w:r w:rsidR="002C560D" w:rsidRPr="002C560D">
        <w:rPr>
          <w:rFonts w:ascii="Arial Narrow" w:hAnsi="Arial Narrow"/>
        </w:rPr>
        <w:t xml:space="preserve"> co będzie powodować mniejszą emisje amoniaku a tym samym straty tego związku</w:t>
      </w:r>
      <w:r w:rsidR="00B31CC6">
        <w:rPr>
          <w:rFonts w:ascii="Arial Narrow" w:hAnsi="Arial Narrow"/>
        </w:rPr>
        <w:t>,</w:t>
      </w:r>
    </w:p>
    <w:p w:rsidR="00982E92" w:rsidRPr="00982E92" w:rsidRDefault="00B31CC6" w:rsidP="00753F91">
      <w:pPr>
        <w:pStyle w:val="Akapitzlist"/>
        <w:numPr>
          <w:ilvl w:val="0"/>
          <w:numId w:val="11"/>
        </w:numPr>
        <w:spacing w:after="120" w:line="288" w:lineRule="auto"/>
        <w:ind w:left="284" w:hanging="284"/>
        <w:contextualSpacing w:val="0"/>
        <w:jc w:val="both"/>
        <w:rPr>
          <w:rFonts w:ascii="Arial Narrow" w:hAnsi="Arial Narrow"/>
          <w:i/>
        </w:rPr>
      </w:pPr>
      <w:r w:rsidRPr="008D7AE6">
        <w:rPr>
          <w:rFonts w:ascii="Arial Narrow" w:hAnsi="Arial Narrow"/>
          <w:i/>
        </w:rPr>
        <w:lastRenderedPageBreak/>
        <w:t>Rozwój usług środowiskowych z wykorzystaniem rozwiązań Rolnictwa 4.0</w:t>
      </w:r>
      <w:r w:rsidRPr="008D7AE6">
        <w:rPr>
          <w:rFonts w:ascii="Arial Narrow" w:hAnsi="Arial Narrow"/>
        </w:rPr>
        <w:t>, w ramach których</w:t>
      </w:r>
      <w:r w:rsidR="008D7AE6" w:rsidRPr="008D7AE6">
        <w:rPr>
          <w:rFonts w:ascii="Arial Narrow" w:hAnsi="Arial Narrow"/>
        </w:rPr>
        <w:t xml:space="preserve"> realizowany będzie zakup </w:t>
      </w:r>
      <w:r w:rsidRPr="008D7AE6">
        <w:rPr>
          <w:rFonts w:ascii="Arial Narrow" w:hAnsi="Arial Narrow"/>
        </w:rPr>
        <w:t>inteligentnych rozsiewaczy nawozów, wozów asenizacyjnych, rozrzutnik</w:t>
      </w:r>
      <w:r w:rsidR="008D7AE6" w:rsidRPr="008D7AE6">
        <w:rPr>
          <w:rFonts w:ascii="Arial Narrow" w:hAnsi="Arial Narrow"/>
        </w:rPr>
        <w:t>ów</w:t>
      </w:r>
      <w:r w:rsidRPr="008D7AE6">
        <w:rPr>
          <w:rFonts w:ascii="Arial Narrow" w:hAnsi="Arial Narrow"/>
        </w:rPr>
        <w:t xml:space="preserve"> obornika i kompostu</w:t>
      </w:r>
      <w:r w:rsidR="00982E92">
        <w:rPr>
          <w:rFonts w:ascii="Arial Narrow" w:hAnsi="Arial Narrow"/>
        </w:rPr>
        <w:t xml:space="preserve">, </w:t>
      </w:r>
    </w:p>
    <w:p w:rsidR="00E42EA4" w:rsidRPr="00DA0ECD" w:rsidRDefault="00E42EA4" w:rsidP="00753F91">
      <w:pPr>
        <w:pStyle w:val="Akapitzlist"/>
        <w:numPr>
          <w:ilvl w:val="0"/>
          <w:numId w:val="11"/>
        </w:numPr>
        <w:spacing w:after="120" w:line="288" w:lineRule="auto"/>
        <w:ind w:left="284" w:hanging="284"/>
        <w:contextualSpacing w:val="0"/>
        <w:jc w:val="both"/>
        <w:rPr>
          <w:rFonts w:ascii="Arial Narrow" w:hAnsi="Arial Narrow"/>
        </w:rPr>
      </w:pPr>
      <w:r w:rsidRPr="00982E92">
        <w:rPr>
          <w:rFonts w:ascii="Arial Narrow" w:hAnsi="Arial Narrow"/>
          <w:i/>
        </w:rPr>
        <w:t>Zakładanie systemów rolno-leśnych</w:t>
      </w:r>
      <w:r w:rsidRPr="00DA0ECD">
        <w:rPr>
          <w:rFonts w:ascii="Arial Narrow" w:hAnsi="Arial Narrow"/>
        </w:rPr>
        <w:t xml:space="preserve">, </w:t>
      </w:r>
      <w:r w:rsidRPr="008D3977">
        <w:rPr>
          <w:rFonts w:ascii="Arial Narrow" w:hAnsi="Arial Narrow"/>
        </w:rPr>
        <w:t>pozwala na użytkowanie gruntu rolnego, na którym drzewa lub krzewy są zintegrowane z uprawą rolną na tym samym obszarze. Jest to wielofunkcyjne użytkowanie gruntu przynoszące korzyści środowiskowo-klimatyczne</w:t>
      </w:r>
      <w:r>
        <w:rPr>
          <w:rFonts w:ascii="Arial Narrow" w:hAnsi="Arial Narrow"/>
        </w:rPr>
        <w:t xml:space="preserve">, </w:t>
      </w:r>
      <w:r>
        <w:rPr>
          <w:rFonts w:ascii="Arial Narrow" w:hAnsi="Arial Narrow"/>
          <w:noProof/>
          <w:lang w:eastAsia="pl-PL"/>
        </w:rPr>
        <w:t>dzięki zwiększeniu</w:t>
      </w:r>
      <w:r w:rsidRPr="00960F3A">
        <w:rPr>
          <w:rFonts w:ascii="Arial Narrow" w:hAnsi="Arial Narrow"/>
          <w:noProof/>
          <w:lang w:eastAsia="pl-PL"/>
        </w:rPr>
        <w:t xml:space="preserve"> infiltracji oraz </w:t>
      </w:r>
      <w:r>
        <w:rPr>
          <w:rFonts w:ascii="Arial Narrow" w:hAnsi="Arial Narrow"/>
          <w:noProof/>
          <w:lang w:eastAsia="pl-PL"/>
        </w:rPr>
        <w:t>ochronie</w:t>
      </w:r>
      <w:r w:rsidRPr="00960F3A">
        <w:rPr>
          <w:rFonts w:ascii="Arial Narrow" w:hAnsi="Arial Narrow"/>
          <w:noProof/>
          <w:lang w:eastAsia="pl-PL"/>
        </w:rPr>
        <w:t xml:space="preserve"> wód powierzchniowych</w:t>
      </w:r>
      <w:r>
        <w:rPr>
          <w:rFonts w:ascii="Arial Narrow" w:hAnsi="Arial Narrow"/>
          <w:noProof/>
          <w:lang w:eastAsia="pl-PL"/>
        </w:rPr>
        <w:t xml:space="preserve">. Systemy rolnoleśne zapobiegają erozji oraz </w:t>
      </w:r>
      <w:r>
        <w:rPr>
          <w:rFonts w:ascii="Arial Narrow" w:hAnsi="Arial Narrow"/>
        </w:rPr>
        <w:t>zwiększają zawartość</w:t>
      </w:r>
      <w:r w:rsidRPr="00960F3A">
        <w:rPr>
          <w:rFonts w:ascii="Arial Narrow" w:hAnsi="Arial Narrow"/>
        </w:rPr>
        <w:t xml:space="preserve"> materii organicznej w glebie</w:t>
      </w:r>
      <w:r w:rsidRPr="00960F3A">
        <w:rPr>
          <w:rFonts w:ascii="Arial Narrow" w:hAnsi="Arial Narrow"/>
          <w:noProof/>
          <w:lang w:eastAsia="pl-PL"/>
        </w:rPr>
        <w:t xml:space="preserve">. </w:t>
      </w:r>
    </w:p>
    <w:p w:rsidR="00E42EA4" w:rsidRPr="00DA0ECD" w:rsidRDefault="00E42EA4" w:rsidP="00753F91">
      <w:pPr>
        <w:pStyle w:val="Akapitzlist"/>
        <w:numPr>
          <w:ilvl w:val="0"/>
          <w:numId w:val="11"/>
        </w:numPr>
        <w:spacing w:after="120" w:line="288" w:lineRule="auto"/>
        <w:ind w:left="284" w:hanging="284"/>
        <w:contextualSpacing w:val="0"/>
        <w:jc w:val="both"/>
        <w:rPr>
          <w:rFonts w:ascii="Arial Narrow" w:hAnsi="Arial Narrow"/>
          <w:i/>
        </w:rPr>
      </w:pPr>
      <w:r w:rsidRPr="00982E92">
        <w:rPr>
          <w:rFonts w:ascii="Arial Narrow" w:hAnsi="Arial Narrow"/>
          <w:i/>
        </w:rPr>
        <w:t>Tworzenie zadrzewień śródpolnych</w:t>
      </w:r>
      <w:r>
        <w:rPr>
          <w:rFonts w:ascii="Arial Narrow" w:hAnsi="Arial Narrow"/>
        </w:rPr>
        <w:t xml:space="preserve"> </w:t>
      </w:r>
      <w:r w:rsidRPr="00E13591">
        <w:rPr>
          <w:rFonts w:ascii="Arial Narrow" w:hAnsi="Arial Narrow"/>
        </w:rPr>
        <w:t>wpływa na ochronę zasobów naturalnych, takich jak woda, gleba i powietrze oraz wzrost różnorodności biologicznej na obszarach wiejskich. Zadrzewienia przyczyniają się do zwiększania retencji wodnej oraz zmniejszają ilość zanieczyszczeń przedostających się do wód. Stanowią istotny element przeciwdziałania skutkom suszy. Zapobiegają erozji wodnej i wietrznej</w:t>
      </w:r>
      <w:r>
        <w:rPr>
          <w:rFonts w:ascii="Arial Narrow" w:hAnsi="Arial Narrow"/>
        </w:rPr>
        <w:t xml:space="preserve"> oraz z</w:t>
      </w:r>
      <w:r w:rsidRPr="00E13591">
        <w:rPr>
          <w:rFonts w:ascii="Arial Narrow" w:hAnsi="Arial Narrow"/>
        </w:rPr>
        <w:t>większają pochłanianie dwutlenku węgla.</w:t>
      </w:r>
    </w:p>
    <w:p w:rsidR="00A828A9" w:rsidRPr="00A828A9" w:rsidRDefault="00982E92" w:rsidP="00753F91">
      <w:pPr>
        <w:spacing w:after="120" w:line="288" w:lineRule="auto"/>
        <w:jc w:val="both"/>
        <w:rPr>
          <w:rFonts w:ascii="Arial Narrow" w:hAnsi="Arial Narrow"/>
        </w:rPr>
      </w:pPr>
      <w:r>
        <w:rPr>
          <w:rFonts w:ascii="Arial Narrow" w:hAnsi="Arial Narrow"/>
        </w:rPr>
        <w:t>Niezależnie od powyższego z</w:t>
      </w:r>
      <w:r w:rsidR="00A828A9" w:rsidRPr="00A828A9">
        <w:rPr>
          <w:rFonts w:ascii="Arial Narrow" w:hAnsi="Arial Narrow"/>
        </w:rPr>
        <w:t>asady właściwego stosowania nawozów zawierających w składzie azot oraz przechowywania nawozów naturalnych, w tym postępowania z odciekami, określa ustaw</w:t>
      </w:r>
      <w:r>
        <w:rPr>
          <w:rFonts w:ascii="Arial Narrow" w:hAnsi="Arial Narrow"/>
        </w:rPr>
        <w:t>a</w:t>
      </w:r>
      <w:r w:rsidR="00A828A9" w:rsidRPr="00A828A9">
        <w:rPr>
          <w:rFonts w:ascii="Arial Narrow" w:hAnsi="Arial Narrow"/>
        </w:rPr>
        <w:t xml:space="preserve"> z dnia 20 lipca 2017 r. - Prawo wodne (Dz.U. z 2021 r. poz.624, 784) oraz rozporządzenie Rady Ministrów z dnia 12 lutego 2020 r. w</w:t>
      </w:r>
      <w:r w:rsidR="00D763F7">
        <w:rPr>
          <w:rFonts w:ascii="Arial Narrow" w:hAnsi="Arial Narrow"/>
        </w:rPr>
        <w:t> </w:t>
      </w:r>
      <w:r w:rsidR="00A828A9" w:rsidRPr="00A828A9">
        <w:rPr>
          <w:rFonts w:ascii="Arial Narrow" w:hAnsi="Arial Narrow"/>
        </w:rPr>
        <w:t>sprawie przyjęcia „Programu działań mających na celu zmniejszenie zanieczyszczenia wód azotanami pochodzącymi ze źródeł rolniczych oraz zapobieganie dalszemu zanieczyszczeniu” (Dz.U. z 2020 r. poz. 243) tzw. program azotanowy.</w:t>
      </w:r>
    </w:p>
    <w:p w:rsidR="00A828A9" w:rsidRPr="00A828A9" w:rsidRDefault="00A828A9" w:rsidP="00753F91">
      <w:pPr>
        <w:spacing w:after="120" w:line="288" w:lineRule="auto"/>
        <w:jc w:val="both"/>
        <w:rPr>
          <w:rFonts w:ascii="Arial Narrow" w:hAnsi="Arial Narrow"/>
        </w:rPr>
      </w:pPr>
      <w:r w:rsidRPr="00A828A9">
        <w:rPr>
          <w:rFonts w:ascii="Arial Narrow" w:hAnsi="Arial Narrow"/>
        </w:rPr>
        <w:t>Zgodnie z art. 105a. ust. 1 ustawy z dnia 20 lipca 2017 r. - Prawo wodne podmioty które:</w:t>
      </w:r>
    </w:p>
    <w:p w:rsidR="00A828A9" w:rsidRPr="00753F91" w:rsidRDefault="00A828A9" w:rsidP="00753F91">
      <w:pPr>
        <w:pStyle w:val="Akapitzlist"/>
        <w:numPr>
          <w:ilvl w:val="0"/>
          <w:numId w:val="21"/>
        </w:numPr>
        <w:spacing w:after="120" w:line="288" w:lineRule="auto"/>
        <w:contextualSpacing w:val="0"/>
        <w:jc w:val="both"/>
        <w:rPr>
          <w:rFonts w:ascii="Arial Narrow" w:hAnsi="Arial Narrow"/>
        </w:rPr>
      </w:pPr>
      <w:r w:rsidRPr="00753F91">
        <w:rPr>
          <w:rFonts w:ascii="Arial Narrow" w:hAnsi="Arial Narrow"/>
        </w:rPr>
        <w:t>prowadzą chów lub hodowlę drobiu powyżej 40 000 stanowisk lub chów lub hodowlę świń powyżej 2000 stanowisk dla świń o wadze ponad 30 kg lub 750 stanowisk dla macior (tzw. podmioty wielkopowierzchniowe),</w:t>
      </w:r>
    </w:p>
    <w:p w:rsidR="00A828A9" w:rsidRPr="00753F91" w:rsidRDefault="00A828A9" w:rsidP="00753F91">
      <w:pPr>
        <w:pStyle w:val="Akapitzlist"/>
        <w:numPr>
          <w:ilvl w:val="0"/>
          <w:numId w:val="21"/>
        </w:numPr>
        <w:spacing w:after="120" w:line="288" w:lineRule="auto"/>
        <w:contextualSpacing w:val="0"/>
        <w:jc w:val="both"/>
        <w:rPr>
          <w:rFonts w:ascii="Arial Narrow" w:hAnsi="Arial Narrow"/>
        </w:rPr>
      </w:pPr>
      <w:r w:rsidRPr="00753F91">
        <w:rPr>
          <w:rFonts w:ascii="Arial Narrow" w:hAnsi="Arial Narrow"/>
        </w:rPr>
        <w:t>posiadają gospodarstwo rolne o powierzchni powyżej 100 ha użytków rolnych, uprawiają uprawy intensywne na gruntach ornych na powierzchni powyżej 50 ha lub utrzymują obsadę większą niż 60 dużych jednostek przeliczeniowych (DJP), według stanu średniorocznego,</w:t>
      </w:r>
    </w:p>
    <w:p w:rsidR="00A828A9" w:rsidRPr="00753F91" w:rsidRDefault="00A828A9" w:rsidP="00753F91">
      <w:pPr>
        <w:pStyle w:val="Akapitzlist"/>
        <w:numPr>
          <w:ilvl w:val="0"/>
          <w:numId w:val="21"/>
        </w:numPr>
        <w:spacing w:after="120" w:line="288" w:lineRule="auto"/>
        <w:contextualSpacing w:val="0"/>
        <w:jc w:val="both"/>
        <w:rPr>
          <w:rFonts w:ascii="Arial Narrow" w:hAnsi="Arial Narrow"/>
        </w:rPr>
      </w:pPr>
      <w:r w:rsidRPr="00753F91">
        <w:rPr>
          <w:rFonts w:ascii="Arial Narrow" w:hAnsi="Arial Narrow"/>
        </w:rPr>
        <w:lastRenderedPageBreak/>
        <w:t>nabywają nawóz naturalny lub produkt pofermentacyjny do bezpośredniego rolniczego wykorzystania w</w:t>
      </w:r>
      <w:r w:rsidR="00D763F7">
        <w:rPr>
          <w:rFonts w:ascii="Arial Narrow" w:hAnsi="Arial Narrow"/>
        </w:rPr>
        <w:t> </w:t>
      </w:r>
      <w:r w:rsidRPr="00753F91">
        <w:rPr>
          <w:rFonts w:ascii="Arial Narrow" w:hAnsi="Arial Narrow"/>
        </w:rPr>
        <w:t>celu nawożenia lub poprawy właściwości gleby od podmiotu importującego nawóz naturalny lub produkt pofermentacyjny z terytoriów państw trzecich lub od podmiotu prowadzącego działalność, o której mowa w pkt 1</w:t>
      </w:r>
    </w:p>
    <w:p w:rsidR="00A828A9" w:rsidRPr="00A828A9" w:rsidRDefault="00A828A9" w:rsidP="00753F91">
      <w:pPr>
        <w:spacing w:after="120" w:line="288" w:lineRule="auto"/>
        <w:jc w:val="both"/>
        <w:rPr>
          <w:rFonts w:ascii="Arial Narrow" w:hAnsi="Arial Narrow"/>
        </w:rPr>
      </w:pPr>
      <w:r w:rsidRPr="00A828A9">
        <w:rPr>
          <w:rFonts w:ascii="Arial Narrow" w:hAnsi="Arial Narrow"/>
        </w:rPr>
        <w:t>- są obowiązane do opracowania planu nawożenia azotem.</w:t>
      </w:r>
    </w:p>
    <w:p w:rsidR="00A828A9" w:rsidRPr="00A828A9" w:rsidRDefault="00A828A9" w:rsidP="00753F91">
      <w:pPr>
        <w:spacing w:after="120" w:line="288" w:lineRule="auto"/>
        <w:jc w:val="both"/>
        <w:rPr>
          <w:rFonts w:ascii="Arial Narrow" w:hAnsi="Arial Narrow"/>
        </w:rPr>
      </w:pPr>
      <w:r w:rsidRPr="00A828A9">
        <w:rPr>
          <w:rFonts w:ascii="Arial Narrow" w:hAnsi="Arial Narrow"/>
        </w:rPr>
        <w:t>Dodatkowo, aby zapewnić potrzebę prawidłowego rozdysponowania nawozów przez inwestorów wielkoprzemysłowych istnieje obowiązek posiadania pozytywnej opinii o planie nawożenia azotem, wydawanej przez stacje chemiczno-rolnicze. Plan nawożenia azotem zawiera rozplanowanie stosowania nawozów na poszczególnych działkach rolnych w gospodarstwie rolnym, z uwzględnieniem potrzeb pokarmowych roślin w</w:t>
      </w:r>
      <w:r w:rsidR="00D763F7">
        <w:rPr>
          <w:rFonts w:ascii="Arial Narrow" w:hAnsi="Arial Narrow"/>
        </w:rPr>
        <w:t> </w:t>
      </w:r>
      <w:r w:rsidRPr="00A828A9">
        <w:rPr>
          <w:rFonts w:ascii="Arial Narrow" w:hAnsi="Arial Narrow"/>
        </w:rPr>
        <w:t>warunkach danego siedliska Obowiązek posiadania planu nawożenia fosforem, potasem, czy też innymi składnikami pokarmowymi mogą mieć niektóre gospodarstwa wielkotowarowe – w związku z wymogiem wynikającym z otrzymanego pozwolenia zintegrowanego.</w:t>
      </w:r>
    </w:p>
    <w:p w:rsidR="00A828A9" w:rsidRPr="00A828A9" w:rsidRDefault="00A828A9" w:rsidP="00753F91">
      <w:pPr>
        <w:spacing w:after="120" w:line="288" w:lineRule="auto"/>
        <w:jc w:val="both"/>
        <w:rPr>
          <w:rFonts w:ascii="Arial Narrow" w:hAnsi="Arial Narrow"/>
        </w:rPr>
      </w:pPr>
      <w:r w:rsidRPr="00A828A9">
        <w:rPr>
          <w:rFonts w:ascii="Arial Narrow" w:hAnsi="Arial Narrow"/>
        </w:rPr>
        <w:t>Gospodarstwa, które zgodnie z przepisami ustawy z dnia 20 lipca 2017 r. - Prawo wodne nie są obowiązane do opracowania planu nawożenia azotem, stosują nawozy w dawkach nieprzekraczających maksymalnych dawek nawozów azotowych dla upraw w plonie głównym określonych w programie azotanowym.</w:t>
      </w:r>
    </w:p>
    <w:p w:rsidR="00A828A9" w:rsidRPr="00A828A9" w:rsidRDefault="00A828A9" w:rsidP="00753F91">
      <w:pPr>
        <w:spacing w:after="120" w:line="288" w:lineRule="auto"/>
        <w:jc w:val="both"/>
        <w:rPr>
          <w:rFonts w:ascii="Arial Narrow" w:hAnsi="Arial Narrow"/>
        </w:rPr>
      </w:pPr>
      <w:r w:rsidRPr="00A828A9">
        <w:rPr>
          <w:rFonts w:ascii="Arial Narrow" w:hAnsi="Arial Narrow"/>
        </w:rPr>
        <w:t>Ponadto we wszystkich gospodarstwach zastosowana w okresie roku dawka nawozów naturalnych wykorzystywanych rolniczo nie może zawierać więcej niż 170 kg azotu w czystym składniku na 1 ha użytków rolnych.</w:t>
      </w:r>
    </w:p>
    <w:p w:rsidR="00B435AF" w:rsidRDefault="00B435AF">
      <w:pPr>
        <w:rPr>
          <w:rFonts w:ascii="Arial Narrow" w:hAnsi="Arial Narrow" w:cs="Times New Roman"/>
          <w:b/>
          <w:bCs/>
          <w:noProof/>
        </w:rPr>
      </w:pPr>
      <w:r>
        <w:rPr>
          <w:rFonts w:ascii="Arial Narrow" w:hAnsi="Arial Narrow" w:cs="Times New Roman"/>
          <w:b/>
          <w:bCs/>
          <w:noProof/>
        </w:rPr>
        <w:br w:type="page"/>
      </w:r>
    </w:p>
    <w:p w:rsidR="00FD1CA2" w:rsidRPr="00FD1CA2" w:rsidRDefault="00FD1CA2" w:rsidP="00FD1CA2">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noProof/>
        </w:rPr>
      </w:pPr>
      <w:r>
        <w:rPr>
          <w:rFonts w:ascii="Arial Narrow" w:hAnsi="Arial Narrow" w:cs="Times New Roman"/>
          <w:b/>
          <w:bCs/>
          <w:noProof/>
        </w:rPr>
        <w:lastRenderedPageBreak/>
        <w:t xml:space="preserve">Rekomendacja </w:t>
      </w:r>
      <w:r w:rsidR="00922DF4">
        <w:rPr>
          <w:rFonts w:ascii="Arial Narrow" w:hAnsi="Arial Narrow" w:cs="Times New Roman"/>
          <w:b/>
          <w:bCs/>
          <w:noProof/>
        </w:rPr>
        <w:t>nr 9</w:t>
      </w:r>
      <w:r>
        <w:rPr>
          <w:rFonts w:ascii="Arial Narrow" w:hAnsi="Arial Narrow" w:cs="Times New Roman"/>
          <w:b/>
          <w:bCs/>
          <w:noProof/>
        </w:rPr>
        <w:t xml:space="preserve">: </w:t>
      </w:r>
      <w:r w:rsidRPr="001E062A">
        <w:rPr>
          <w:rFonts w:ascii="Arial Narrow" w:hAnsi="Arial Narrow" w:cs="Times New Roman"/>
          <w:bCs/>
          <w:i/>
          <w:noProof/>
        </w:rPr>
        <w:t>Przyczynianie się do realizacji celu Europejskiego Zielonego Ładu dotyczącego powierzchni upraw ekologicznych poprzez znaczne zwiększenie starań na rzecz powstrzymania spadku i stymulowania wzrostu powierzchni upraw ekologicznych w Polsce dzięki wsparciu w ramach WPR zarówno w zakresie konwersji na uprawy ekologiczne, jak i utrzymania takich upraw. Jednocześnie trzeba zintensyfikować wysiłki i inwestycje mające na celu zwiększenie popytu na produkty ekologiczne w łańcuchu dostaw żywności, np. poprzez określenie potencjału lokalnej produkcji żywności ekologicznej, utworzenie odpowiednich struktur łańcucha dostaw żywności i rozpowszechnianie innowacyjnych podejść.</w:t>
      </w:r>
    </w:p>
    <w:p w:rsidR="00FD1CA2" w:rsidRPr="00753F91" w:rsidRDefault="00922DF4" w:rsidP="00753F91">
      <w:pPr>
        <w:spacing w:after="120" w:line="288" w:lineRule="auto"/>
        <w:jc w:val="both"/>
        <w:rPr>
          <w:rFonts w:ascii="Arial Narrow" w:hAnsi="Arial Narrow"/>
        </w:rPr>
      </w:pPr>
      <w:r w:rsidRPr="00302BC1">
        <w:rPr>
          <w:rFonts w:ascii="Arial Narrow" w:hAnsi="Arial Narrow"/>
        </w:rPr>
        <w:t>R</w:t>
      </w:r>
      <w:r w:rsidR="00FD1CA2" w:rsidRPr="00302BC1">
        <w:rPr>
          <w:rFonts w:ascii="Arial Narrow" w:hAnsi="Arial Narrow"/>
        </w:rPr>
        <w:t xml:space="preserve">ealizacja celu EZŁ dotyczącego powierzchni upraw ekologicznych, powinna mieć charakter systemowy oraz skupiać się na </w:t>
      </w:r>
      <w:r w:rsidR="00FD1CA2" w:rsidRPr="00753F91">
        <w:rPr>
          <w:rFonts w:ascii="Arial Narrow" w:hAnsi="Arial Narrow"/>
        </w:rPr>
        <w:t>rozwoju i wspieraniu działań we wszystkich obszarach łańcucha żywności ekologicznej, począwszy od produkcji pierwotnej do oddziaływania na popyt. Podejście takie zostało również zaproponowane w Ramowym Planie Działań dla Żywności i Rolnictwa Ekologicznego w Polsce na lata 2021 – 2027</w:t>
      </w:r>
      <w:r w:rsidR="00A02913" w:rsidRPr="00753F91">
        <w:rPr>
          <w:rFonts w:ascii="Arial Narrow" w:hAnsi="Arial Narrow"/>
        </w:rPr>
        <w:t>. R</w:t>
      </w:r>
      <w:r w:rsidR="00FD1CA2" w:rsidRPr="00753F91">
        <w:rPr>
          <w:rFonts w:ascii="Arial Narrow" w:hAnsi="Arial Narrow"/>
        </w:rPr>
        <w:t xml:space="preserve">ealizacja celu dot. wzrostu powierzchni gruntów rolnych objętych systemem rolnictwa ekologicznego będzie wspierana </w:t>
      </w:r>
      <w:r w:rsidR="00A02913" w:rsidRPr="00753F91">
        <w:rPr>
          <w:rFonts w:ascii="Arial Narrow" w:hAnsi="Arial Narrow"/>
        </w:rPr>
        <w:t xml:space="preserve">m.in. </w:t>
      </w:r>
      <w:r w:rsidR="00FD1CA2" w:rsidRPr="00753F91">
        <w:rPr>
          <w:rFonts w:ascii="Arial Narrow" w:hAnsi="Arial Narrow"/>
        </w:rPr>
        <w:t>poprzez „Ekoschemat – rolnictwo ekologiczne”. Instrument wspiera kompleksowo produkcję roślinnego surowca ekologicznego, tj. powierzchnie upraw w ramach różnych grup upraw (</w:t>
      </w:r>
      <w:r w:rsidR="00FD1CA2" w:rsidRPr="00753F91">
        <w:rPr>
          <w:rFonts w:ascii="Arial Narrow" w:hAnsi="Arial Narrow"/>
          <w:i/>
        </w:rPr>
        <w:t>rolnicze, warzywne, zielarskie, sadownicze, paszowe i TUZ</w:t>
      </w:r>
      <w:r w:rsidR="00FD1CA2" w:rsidRPr="00753F91">
        <w:rPr>
          <w:rFonts w:ascii="Arial Narrow" w:hAnsi="Arial Narrow"/>
        </w:rPr>
        <w:t>). W zakresie produkcji zwierzęcej, uwzględniono tzw. premię zwierzęcą w przypadku gospodarstw ze zrównoważoną produkcją roślinną i zwierzęcą oraz wspieranie powierzchni upraw stanowiących bazę paszową dla zwierząt utrzymywanych w gospodarstwach ekologicznych (</w:t>
      </w:r>
      <w:r w:rsidR="00FD1CA2" w:rsidRPr="00753F91">
        <w:rPr>
          <w:rFonts w:ascii="Arial Narrow" w:hAnsi="Arial Narrow"/>
          <w:i/>
        </w:rPr>
        <w:t>tj. upraw paszowych na gruntach ornych oraz TUZ</w:t>
      </w:r>
      <w:r w:rsidR="00FD1CA2" w:rsidRPr="00753F91">
        <w:rPr>
          <w:rFonts w:ascii="Arial Narrow" w:hAnsi="Arial Narrow"/>
        </w:rPr>
        <w:t>)</w:t>
      </w:r>
      <w:r w:rsidR="00871C59" w:rsidRPr="00753F91">
        <w:rPr>
          <w:rFonts w:ascii="Arial Narrow" w:hAnsi="Arial Narrow"/>
        </w:rPr>
        <w:t xml:space="preserve"> oraz dodatkową premię za prowadzenie w gospodarstwie zrównoważonej produkcji roślinno-zwierzęcej. Warunkiem otrzymania płatności do takich upraw oraz dodatkowej premii</w:t>
      </w:r>
      <w:r w:rsidR="00FD1CA2" w:rsidRPr="00753F91">
        <w:rPr>
          <w:rFonts w:ascii="Arial Narrow" w:hAnsi="Arial Narrow"/>
        </w:rPr>
        <w:t xml:space="preserve">. Warunkiem otrzymania płatności do takich upraw będzie posiadanie przez rolnika zwierząt. Dodatkowo, przewiduje się wsparcie  rozwoju ekologicznej produkcji zwierzęcej w ramach interwencji „Inwestycje w gospodarstwach rolnych zwiększające konkurencyjność (dotacje)”. </w:t>
      </w:r>
      <w:r w:rsidR="00A02913" w:rsidRPr="00753F91">
        <w:rPr>
          <w:rFonts w:ascii="Arial Narrow" w:hAnsi="Arial Narrow"/>
        </w:rPr>
        <w:t>Uzupełniająco w</w:t>
      </w:r>
      <w:r w:rsidR="00FD1CA2" w:rsidRPr="00753F91">
        <w:rPr>
          <w:rFonts w:ascii="Arial Narrow" w:hAnsi="Arial Narrow"/>
        </w:rPr>
        <w:t xml:space="preserve"> zakresie dostępności środków do produkcji zaplanowano utworzenie bazy danych o</w:t>
      </w:r>
      <w:r w:rsidR="00D763F7">
        <w:rPr>
          <w:rFonts w:ascii="Arial Narrow" w:hAnsi="Arial Narrow"/>
        </w:rPr>
        <w:t> </w:t>
      </w:r>
      <w:r w:rsidR="00FD1CA2" w:rsidRPr="00753F91">
        <w:rPr>
          <w:rFonts w:ascii="Arial Narrow" w:hAnsi="Arial Narrow"/>
        </w:rPr>
        <w:t>dostępnym materiale siewnym, w tym materiale he</w:t>
      </w:r>
      <w:r w:rsidR="00C30DBE" w:rsidRPr="00753F91">
        <w:rPr>
          <w:rFonts w:ascii="Arial Narrow" w:hAnsi="Arial Narrow"/>
        </w:rPr>
        <w:t>terogenicznym.</w:t>
      </w:r>
    </w:p>
    <w:p w:rsidR="00FD1CA2" w:rsidRPr="00302BC1" w:rsidRDefault="00A02913" w:rsidP="00753F91">
      <w:pPr>
        <w:spacing w:after="120" w:line="288" w:lineRule="auto"/>
        <w:jc w:val="both"/>
        <w:rPr>
          <w:rFonts w:ascii="Arial Narrow" w:hAnsi="Arial Narrow"/>
        </w:rPr>
      </w:pPr>
      <w:r w:rsidRPr="00753F91">
        <w:rPr>
          <w:rFonts w:ascii="Arial Narrow" w:hAnsi="Arial Narrow"/>
          <w:u w:val="single"/>
        </w:rPr>
        <w:t xml:space="preserve">Dodatkowo </w:t>
      </w:r>
      <w:r w:rsidRPr="00753F91">
        <w:rPr>
          <w:rFonts w:ascii="Arial Narrow" w:hAnsi="Arial Narrow"/>
        </w:rPr>
        <w:t xml:space="preserve">przestawianie profilu gospodarstwa na produkcję ekologiczną oraz rozwój przetwórstwa tego surowca będzie realizowane w ramach instrumentów </w:t>
      </w:r>
      <w:r w:rsidRPr="00753F91">
        <w:rPr>
          <w:rFonts w:ascii="Arial Narrow" w:hAnsi="Arial Narrow"/>
          <w:i/>
        </w:rPr>
        <w:t>Premie dla młodych rolników</w:t>
      </w:r>
      <w:r w:rsidRPr="00753F91">
        <w:rPr>
          <w:rFonts w:ascii="Arial Narrow" w:hAnsi="Arial Narrow"/>
        </w:rPr>
        <w:t xml:space="preserve">, </w:t>
      </w:r>
      <w:r w:rsidRPr="00753F91">
        <w:rPr>
          <w:rFonts w:ascii="Arial Narrow" w:hAnsi="Arial Narrow"/>
          <w:i/>
        </w:rPr>
        <w:t>Rozwój małych gospodarstw</w:t>
      </w:r>
      <w:r w:rsidRPr="00753F91">
        <w:rPr>
          <w:rFonts w:ascii="Arial Narrow" w:hAnsi="Arial Narrow"/>
        </w:rPr>
        <w:t xml:space="preserve"> poprzez premiowanie operacji dot. produktów objętych systemami jakości (w tym ekologicznych). Dodatkowo w instrumencie </w:t>
      </w:r>
      <w:r w:rsidRPr="00753F91">
        <w:rPr>
          <w:rFonts w:ascii="Arial Narrow" w:hAnsi="Arial Narrow"/>
          <w:i/>
        </w:rPr>
        <w:t>Inwestycje w gospodarstwach rolnych zwiększające konkurencyjność(dotacje)</w:t>
      </w:r>
      <w:r w:rsidRPr="00753F91">
        <w:rPr>
          <w:rFonts w:ascii="Arial Narrow" w:hAnsi="Arial Narrow"/>
        </w:rPr>
        <w:t xml:space="preserve"> przewiduje się procentowe podwyższenie poziomu wsparcia dla rolników ekologicznych (z 45% na 65%) </w:t>
      </w:r>
      <w:r w:rsidRPr="00753F91">
        <w:rPr>
          <w:rFonts w:ascii="Arial Narrow" w:hAnsi="Arial Narrow"/>
        </w:rPr>
        <w:lastRenderedPageBreak/>
        <w:t xml:space="preserve">na zakup maszyn i urządzeń oraz podjęcie inwestycji niematerialnych w przypadku działań skupiających się m.in. na wprowadzeniu nowych technologii produkcji i innowacji, zmianie profilu produkcji, czy zwiększeniu wartości dodanej produkcji ekologicznej. </w:t>
      </w:r>
      <w:r w:rsidR="00FD1CA2" w:rsidRPr="00753F91">
        <w:rPr>
          <w:rFonts w:ascii="Arial Narrow" w:hAnsi="Arial Narrow"/>
        </w:rPr>
        <w:t>W ramach instrumentów krajowych planuje się rozwój istniejącego Centrum Małego Przetwórstwa w CDR Radom.</w:t>
      </w:r>
    </w:p>
    <w:p w:rsidR="00FD1CA2" w:rsidRPr="00753F91" w:rsidRDefault="00A052D3" w:rsidP="00753F91">
      <w:pPr>
        <w:spacing w:after="120" w:line="288" w:lineRule="auto"/>
        <w:jc w:val="both"/>
        <w:rPr>
          <w:rFonts w:ascii="Arial Narrow" w:hAnsi="Arial Narrow"/>
        </w:rPr>
      </w:pPr>
      <w:r w:rsidRPr="00302BC1">
        <w:rPr>
          <w:rFonts w:ascii="Arial Narrow" w:hAnsi="Arial Narrow"/>
        </w:rPr>
        <w:t>Ww. działaniom towarzyszyć będzie t</w:t>
      </w:r>
      <w:r w:rsidR="00FD1CA2" w:rsidRPr="00302BC1">
        <w:rPr>
          <w:rFonts w:ascii="Arial Narrow" w:hAnsi="Arial Narrow"/>
        </w:rPr>
        <w:t>ransfer wiedzy wśród rolników</w:t>
      </w:r>
      <w:r w:rsidR="00FD1CA2" w:rsidRPr="00753F91">
        <w:rPr>
          <w:rFonts w:ascii="Arial Narrow" w:hAnsi="Arial Narrow"/>
        </w:rPr>
        <w:t xml:space="preserve"> i doradców, w tym w ramach dotacji na badania naukowe w rolnictwie ekologicznym.</w:t>
      </w:r>
      <w:r w:rsidRPr="00753F91">
        <w:rPr>
          <w:rFonts w:ascii="Arial Narrow" w:hAnsi="Arial Narrow"/>
        </w:rPr>
        <w:t xml:space="preserve"> Planowane jest, aby każdy producent wraz z wejściem do systemu rolnictwa ekologicznego otrzymywał zestaw materiałów informacyjnych (</w:t>
      </w:r>
      <w:r w:rsidRPr="00753F91">
        <w:rPr>
          <w:rFonts w:ascii="Arial Narrow" w:hAnsi="Arial Narrow"/>
          <w:i/>
        </w:rPr>
        <w:t>tzw. pakiet startowy</w:t>
      </w:r>
      <w:r w:rsidRPr="00753F91">
        <w:rPr>
          <w:rFonts w:ascii="Arial Narrow" w:hAnsi="Arial Narrow"/>
        </w:rPr>
        <w:t>) zawierających podstawową wiedzę o systemie rolnictwa ekologicznego, produkcji rolnej, przetwórstwie i akwakulturze ekologicznej. Na 2021/2022 rok zaplanowano powszechny cykl szkoleń w zakresie nowych przepisów o rolnictwie ekologicznym oraz realizację działań demonstracyjnych w zakresie rolnictwa ekologicznego. W ramach interwencji „Współpraca Grup Operacyjnych EPI” przewiduje się wsparcie współpracy między podmiotami na rzecz wspólnych przedsięwzięć w ramach ww. badań naukowych. Interwencja uwzględnia priorytetowość dla operacji mających pozytywny wpływ na rolnictwo ekologiczne oraz projektów ukierunkowanych na rozwijanie produkcji w systemach jakości żywności.</w:t>
      </w:r>
    </w:p>
    <w:p w:rsidR="001A6C40" w:rsidRPr="00753F91" w:rsidRDefault="001A6C40" w:rsidP="00753F91">
      <w:pPr>
        <w:spacing w:after="120" w:line="288" w:lineRule="auto"/>
        <w:jc w:val="both"/>
        <w:rPr>
          <w:rFonts w:ascii="Arial Narrow" w:hAnsi="Arial Narrow"/>
        </w:rPr>
      </w:pPr>
      <w:r w:rsidRPr="00753F91">
        <w:rPr>
          <w:rFonts w:ascii="Arial Narrow" w:hAnsi="Arial Narrow"/>
        </w:rPr>
        <w:t>Wsparcie sprzedaży wytworzonych produktów ekologicznych odbywać się będzie poprzez wsparcie kanałów dystrybucji, obejmujących oprócz gospodarstw agroturystycznych i edukacyjnych trasy turystyczne, bazary ekologiczne, kooperatywy zakupowe i systemy rolnictwa wspieranego społecznie. Wspierane będzie tworzenie i</w:t>
      </w:r>
      <w:r w:rsidR="00D763F7">
        <w:rPr>
          <w:rFonts w:ascii="Arial Narrow" w:hAnsi="Arial Narrow"/>
        </w:rPr>
        <w:t> </w:t>
      </w:r>
      <w:r w:rsidRPr="00753F91">
        <w:rPr>
          <w:rFonts w:ascii="Arial Narrow" w:hAnsi="Arial Narrow"/>
        </w:rPr>
        <w:t>przystosowywanie zorganizowanych miejsc handlowych, bazarów, targowisk, na których ekologiczni rolnicy i</w:t>
      </w:r>
      <w:r w:rsidR="00D763F7">
        <w:rPr>
          <w:rFonts w:ascii="Arial Narrow" w:hAnsi="Arial Narrow"/>
        </w:rPr>
        <w:t> </w:t>
      </w:r>
      <w:r w:rsidRPr="00753F91">
        <w:rPr>
          <w:rFonts w:ascii="Arial Narrow" w:hAnsi="Arial Narrow"/>
        </w:rPr>
        <w:t>producenci, mogliby sprzedawać swoje wyroby. Wspierane będą również portale i rozwiązania umożliwiające lub ułatwiające sprzedaż produktów ekologicznych za pośrednictwem internetu. Wsparcie rozpoczęcia produkcji w</w:t>
      </w:r>
      <w:r w:rsidR="00D763F7">
        <w:rPr>
          <w:rFonts w:ascii="Arial Narrow" w:hAnsi="Arial Narrow"/>
        </w:rPr>
        <w:t> </w:t>
      </w:r>
      <w:r w:rsidRPr="00753F91">
        <w:rPr>
          <w:rFonts w:ascii="Arial Narrow" w:hAnsi="Arial Narrow"/>
        </w:rPr>
        <w:t xml:space="preserve">ramach RHD/sprzedaży bezpośredniej może być finansowane w ramach interwencji </w:t>
      </w:r>
      <w:r w:rsidRPr="00753F91">
        <w:rPr>
          <w:rFonts w:ascii="Arial Narrow" w:hAnsi="Arial Narrow"/>
          <w:i/>
        </w:rPr>
        <w:t>Rozwój współpracy w</w:t>
      </w:r>
      <w:r w:rsidR="00D763F7">
        <w:rPr>
          <w:rFonts w:ascii="Arial Narrow" w:hAnsi="Arial Narrow"/>
          <w:i/>
        </w:rPr>
        <w:t> </w:t>
      </w:r>
      <w:r w:rsidRPr="00753F91">
        <w:rPr>
          <w:rFonts w:ascii="Arial Narrow" w:hAnsi="Arial Narrow"/>
          <w:i/>
        </w:rPr>
        <w:t>ramach łańcucha wartości (dotacja) - w gospodarstwie</w:t>
      </w:r>
      <w:r w:rsidRPr="00753F91">
        <w:rPr>
          <w:rFonts w:ascii="Arial Narrow" w:hAnsi="Arial Narrow"/>
        </w:rPr>
        <w:t xml:space="preserve">, w której występuje preferencja dla operacji dot. przetwarzania i wytwarzania wyrobów ekologicznych. Ponadto, aby zwiększać podaż produktów ekologicznych, należy wspierać łączenie się producentów w grupy lub organizacje – wzmacnia to ich pozycję w łańcuchu dostaw, podnosi poziom produkcji, pozwala lepiej reagować na zapotrzebowanie rynku. W tym celu producenci ekologiczni będą mogli również skorzystać z ww. interwencji oraz dodatkowo ze środków interwencji </w:t>
      </w:r>
      <w:r w:rsidRPr="00753F91">
        <w:rPr>
          <w:rFonts w:ascii="Arial Narrow" w:hAnsi="Arial Narrow"/>
          <w:i/>
        </w:rPr>
        <w:t>Współpraca Grup Operacyjnych EPI</w:t>
      </w:r>
      <w:r w:rsidRPr="00753F91">
        <w:rPr>
          <w:rFonts w:ascii="Arial Narrow" w:hAnsi="Arial Narrow"/>
        </w:rPr>
        <w:t xml:space="preserve"> oraz </w:t>
      </w:r>
      <w:r w:rsidRPr="00753F91">
        <w:rPr>
          <w:rFonts w:ascii="Arial Narrow" w:hAnsi="Arial Narrow"/>
          <w:i/>
        </w:rPr>
        <w:t>Tworzenie i rozwój grup producentów rolnych i organizacji producentów</w:t>
      </w:r>
      <w:r w:rsidRPr="00753F91">
        <w:rPr>
          <w:rFonts w:ascii="Arial Narrow" w:hAnsi="Arial Narrow"/>
        </w:rPr>
        <w:t>.</w:t>
      </w:r>
    </w:p>
    <w:p w:rsidR="00FD1CA2" w:rsidRPr="00753F91" w:rsidRDefault="001A6C40" w:rsidP="00753F91">
      <w:pPr>
        <w:spacing w:after="120" w:line="288" w:lineRule="auto"/>
        <w:jc w:val="both"/>
        <w:rPr>
          <w:rFonts w:ascii="Arial Narrow" w:hAnsi="Arial Narrow"/>
        </w:rPr>
      </w:pPr>
      <w:r w:rsidRPr="00753F91">
        <w:rPr>
          <w:rFonts w:ascii="Arial Narrow" w:hAnsi="Arial Narrow"/>
        </w:rPr>
        <w:lastRenderedPageBreak/>
        <w:t>Oddziaływanie na stronę popytową jest związane z prowadzeniem działań edukacyjno-informacyjno-promocyjnych o rolnictwie ekologicznym. W ramach instrumentów krajowych, resort rolnictwa będzie bezpośrednio prowadził ww. działania we współpracy z innymi podmiotami i jednostkami organizacyjnymi. Dostępne są również instrumenty skierowane do organizacji/grup na cele prowadzenia działań informacyjno-promocyjnych i należą do nich: Fundusze Promocji, środki dostępne w ramach programu operacyjnego dla sektora rybackiego w ramach perspektywy finansowej na lata 2021–2027 oraz środki dostępne w ramach interwencji „Promowanie, informowanie i marketing dotyczący żywności wytwarzanej w ramach systemów jakości żywności”. To konsumenci kształtują popyt na produkty ekologiczne. Tylko w przypadku zaufania do systemu kontroli i certyfikacji konsumenci są skłonni płacić więcej za produkty ekologiczne niż za konwencjonalne. W zakresie utrzymania zaufania do systemu kontroli i certyfikacji produktów ekologicznych, planowane są działania w trzech obszarach:</w:t>
      </w:r>
      <w:r w:rsidR="00FD1CA2" w:rsidRPr="00753F91">
        <w:rPr>
          <w:rFonts w:ascii="Arial Narrow" w:hAnsi="Arial Narrow"/>
        </w:rPr>
        <w:t xml:space="preserve"> </w:t>
      </w:r>
    </w:p>
    <w:p w:rsidR="00FD1CA2" w:rsidRPr="00753F91" w:rsidRDefault="00FD1CA2" w:rsidP="00753F91">
      <w:pPr>
        <w:pStyle w:val="Akapitzlist"/>
        <w:numPr>
          <w:ilvl w:val="0"/>
          <w:numId w:val="9"/>
        </w:numPr>
        <w:spacing w:after="120" w:line="288" w:lineRule="auto"/>
        <w:contextualSpacing w:val="0"/>
        <w:jc w:val="both"/>
        <w:rPr>
          <w:rFonts w:ascii="Arial Narrow" w:hAnsi="Arial Narrow"/>
        </w:rPr>
      </w:pPr>
      <w:r w:rsidRPr="00753F91">
        <w:rPr>
          <w:rFonts w:ascii="Arial Narrow" w:hAnsi="Arial Narrow"/>
        </w:rPr>
        <w:t>ze środków własnych w zakresie transferu dobrych praktyk kontroli i certyfikacji wśród podmiotów realizujących kontrole urzędowe w rolnictwie ekologicznym, tj. PIORIN, IJHARS, ARiMR i jednostki certyfikujące;</w:t>
      </w:r>
    </w:p>
    <w:p w:rsidR="00FD1CA2" w:rsidRPr="00753F91" w:rsidRDefault="00FD1CA2" w:rsidP="00753F91">
      <w:pPr>
        <w:pStyle w:val="Akapitzlist"/>
        <w:numPr>
          <w:ilvl w:val="0"/>
          <w:numId w:val="9"/>
        </w:numPr>
        <w:spacing w:after="120" w:line="288" w:lineRule="auto"/>
        <w:contextualSpacing w:val="0"/>
        <w:jc w:val="both"/>
        <w:rPr>
          <w:rFonts w:ascii="Arial Narrow" w:hAnsi="Arial Narrow"/>
        </w:rPr>
      </w:pPr>
      <w:r w:rsidRPr="00753F91">
        <w:rPr>
          <w:rFonts w:ascii="Arial Narrow" w:hAnsi="Arial Narrow"/>
        </w:rPr>
        <w:t>ze środków Planu Strategicznego WPR w zakresie zwrotu kosztów kontroli i certyfikacji oraz kosztów udziału w systemie rolnikom i przetwórcom ekologicznym w ramach interwencji „Wsparcie uczestników unijnych i krajowych systemów jakości żywności” oraz „Ekoschemat – rolnictwo ekologiczne”;</w:t>
      </w:r>
    </w:p>
    <w:p w:rsidR="00FD1CA2" w:rsidRPr="00753F91" w:rsidRDefault="00FD1CA2" w:rsidP="00753F91">
      <w:pPr>
        <w:pStyle w:val="Akapitzlist"/>
        <w:numPr>
          <w:ilvl w:val="0"/>
          <w:numId w:val="9"/>
        </w:numPr>
        <w:spacing w:after="120" w:line="288" w:lineRule="auto"/>
        <w:contextualSpacing w:val="0"/>
        <w:jc w:val="both"/>
        <w:rPr>
          <w:rFonts w:ascii="Arial Narrow" w:hAnsi="Arial Narrow"/>
        </w:rPr>
      </w:pPr>
      <w:r w:rsidRPr="00753F91">
        <w:rPr>
          <w:rFonts w:ascii="Arial Narrow" w:hAnsi="Arial Narrow"/>
        </w:rPr>
        <w:t>ze środków Krajowego Planu Odbudowy (e-usługi dla rolnictwa) w obszarze cyfryzacji. Planowane jest przygotowanie kompleksowej bazy informacji dla sektora produkcji ekologicznej i konsumentów, dostępnej dla wszystkich zainteresowanych (pt. Okienko dla Rolnika koordynowane bezpośrednio przez KPRM). Utrudniony dostęp do bieżącej informacji o producentach ekologicznych stanowi jedną z barier rozwoju produkcji ekologicznej w Polsce. Baza ma być również odpowiedzią na problemy związane z nadzorem jak i z unijnymi obciążeniami biurokratycznymi rolników związanymi z udziałem w tym systemie.</w:t>
      </w:r>
    </w:p>
    <w:p w:rsidR="00FD1CA2" w:rsidRDefault="00FD1CA2">
      <w:pPr>
        <w:rPr>
          <w:rFonts w:ascii="Arial Narrow" w:hAnsi="Arial Narrow" w:cs="Times New Roman"/>
          <w:b/>
          <w:bCs/>
          <w:noProof/>
        </w:rPr>
      </w:pPr>
      <w:r>
        <w:rPr>
          <w:rFonts w:ascii="Arial Narrow" w:hAnsi="Arial Narrow" w:cs="Times New Roman"/>
          <w:b/>
          <w:bCs/>
          <w:noProof/>
        </w:rPr>
        <w:br w:type="page"/>
      </w:r>
    </w:p>
    <w:p w:rsidR="007B4656" w:rsidRPr="007B4656" w:rsidRDefault="007B4656" w:rsidP="007B4656">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
          <w:bCs/>
          <w:noProof/>
        </w:rPr>
      </w:pPr>
      <w:r>
        <w:rPr>
          <w:rFonts w:ascii="Arial Narrow" w:hAnsi="Arial Narrow" w:cs="Times New Roman"/>
          <w:b/>
          <w:bCs/>
          <w:noProof/>
        </w:rPr>
        <w:lastRenderedPageBreak/>
        <w:t>Rekomendacja</w:t>
      </w:r>
      <w:r w:rsidR="006F7471">
        <w:rPr>
          <w:rFonts w:ascii="Arial Narrow" w:hAnsi="Arial Narrow" w:cs="Times New Roman"/>
          <w:b/>
          <w:bCs/>
          <w:noProof/>
        </w:rPr>
        <w:t xml:space="preserve"> nr 10:</w:t>
      </w:r>
      <w:r>
        <w:rPr>
          <w:rFonts w:ascii="Arial Narrow" w:hAnsi="Arial Narrow" w:cs="Times New Roman"/>
          <w:b/>
          <w:bCs/>
          <w:noProof/>
        </w:rPr>
        <w:t xml:space="preserve"> </w:t>
      </w:r>
      <w:r w:rsidR="00871C59" w:rsidRPr="00607081">
        <w:rPr>
          <w:rFonts w:ascii="Arial Narrow" w:hAnsi="Arial Narrow" w:cs="Times New Roman"/>
          <w:b/>
          <w:bCs/>
          <w:noProof/>
        </w:rPr>
        <w:t>Wspieranie zatrudnienia, wzrostu, włączenia społecznego i rozwoju lokalnego</w:t>
      </w:r>
      <w:r w:rsidR="00871C59">
        <w:rPr>
          <w:rFonts w:ascii="Arial Narrow" w:hAnsi="Arial Narrow" w:cs="Times New Roman"/>
          <w:b/>
          <w:bCs/>
          <w:noProof/>
        </w:rPr>
        <w:t xml:space="preserve"> na</w:t>
      </w:r>
      <w:r w:rsidR="00871C59" w:rsidRPr="00607081">
        <w:rPr>
          <w:rFonts w:ascii="Arial Narrow" w:hAnsi="Arial Narrow" w:cs="Times New Roman"/>
          <w:b/>
          <w:bCs/>
          <w:noProof/>
        </w:rPr>
        <w:t xml:space="preserve"> </w:t>
      </w:r>
      <w:r w:rsidRPr="007B4656">
        <w:rPr>
          <w:rFonts w:ascii="Arial Narrow" w:hAnsi="Arial Narrow" w:cs="Times New Roman"/>
          <w:b/>
          <w:bCs/>
          <w:noProof/>
        </w:rPr>
        <w:t>obszarach wiejskich poprzez równoważenie struktury wiekowej na obszarach wiejskich i w sektorze rolnictwa za pomocą inwestycji ukierunkowanych na przyciąganie osób młodych, zapewnianie podstawowych usług dla ludności na obszarach wiejskich, wspieranie zakładania przedsiębiorstw na obszarach wiejskich i rozwój biogospodarki. W tym kontekście ważne będzie zapewnienie synergii i komplementarności między funduszami unijnymi i krajowymi.</w:t>
      </w:r>
    </w:p>
    <w:p w:rsidR="006F7471" w:rsidRDefault="006F7471" w:rsidP="00753F91">
      <w:pPr>
        <w:spacing w:after="120" w:line="288" w:lineRule="auto"/>
        <w:jc w:val="both"/>
        <w:rPr>
          <w:rFonts w:ascii="Arial Narrow" w:hAnsi="Arial Narrow"/>
        </w:rPr>
      </w:pPr>
      <w:r w:rsidRPr="0062397F">
        <w:rPr>
          <w:rFonts w:ascii="Arial Narrow" w:hAnsi="Arial Narrow" w:cs="Times New Roman"/>
          <w:noProof/>
          <w:shd w:val="clear" w:color="auto" w:fill="FFFFFF"/>
        </w:rPr>
        <w:t>Dochody młodych rolników charakteryzują się dużą zmiennością w czasie, a przeciętne dochody są niższe od średniego dochodu rolniczego. Młodzi rolnicy mają trudniejszy dostęp do finansowania. Także niższa, niż w innych sektorach, dochodowość jest jedną z głównych barier zniechęcających do wejścia do sektora rolnictwa. Czynnikiem niwelującym tę gorszą pozycję i przyciagającym młodych rolników do sektora rolnictwa jest zewnętrzne wsparcie finansowe i doradcze</w:t>
      </w:r>
      <w:r>
        <w:rPr>
          <w:rFonts w:ascii="Arial Narrow" w:hAnsi="Arial Narrow" w:cs="Times New Roman"/>
          <w:noProof/>
          <w:shd w:val="clear" w:color="auto" w:fill="FFFFFF"/>
        </w:rPr>
        <w:t>.</w:t>
      </w:r>
    </w:p>
    <w:p w:rsidR="007B4656" w:rsidRPr="00753F91" w:rsidRDefault="007B4656" w:rsidP="00753F91">
      <w:pPr>
        <w:spacing w:after="120" w:line="288" w:lineRule="auto"/>
        <w:jc w:val="both"/>
        <w:rPr>
          <w:rFonts w:ascii="Arial Narrow" w:hAnsi="Arial Narrow"/>
        </w:rPr>
      </w:pPr>
      <w:r w:rsidRPr="007B4656">
        <w:rPr>
          <w:rFonts w:ascii="Arial Narrow" w:hAnsi="Arial Narrow"/>
        </w:rPr>
        <w:t>Równoważenie struktury wiekowej na obszarach wiejskich i w sektorze rolnym będzie się odbywać poprzez szeroki katalog interwencji ukierunkowanych na stabilizację dochodów młodych rolników oraz ułatwianie im rozpoczęcia gospodarowania. Kontynuowana będzie płatność dla młodych rolników w ramach płatności bezpośrednich</w:t>
      </w:r>
      <w:r w:rsidR="00B7506F">
        <w:rPr>
          <w:rFonts w:ascii="Arial Narrow" w:hAnsi="Arial Narrow"/>
        </w:rPr>
        <w:t xml:space="preserve"> [</w:t>
      </w:r>
      <w:r w:rsidR="00B7506F" w:rsidRPr="009A0922">
        <w:rPr>
          <w:rFonts w:ascii="Arial Narrow" w:hAnsi="Arial Narrow"/>
          <w:i/>
        </w:rPr>
        <w:t>Uzupełniające wsparcie dochodu dla młodych rolników</w:t>
      </w:r>
      <w:r w:rsidR="00B7506F">
        <w:rPr>
          <w:rFonts w:ascii="Arial Narrow" w:hAnsi="Arial Narrow"/>
        </w:rPr>
        <w:t>]</w:t>
      </w:r>
      <w:r w:rsidRPr="007B4656">
        <w:rPr>
          <w:rFonts w:ascii="Arial Narrow" w:hAnsi="Arial Narrow"/>
        </w:rPr>
        <w:t xml:space="preserve"> a także wsparcie przy podejmowaniu działalności rolniczej poprzez premie dla osób po raz </w:t>
      </w:r>
      <w:r w:rsidRPr="001A6C40">
        <w:rPr>
          <w:rFonts w:ascii="Arial Narrow" w:hAnsi="Arial Narrow"/>
        </w:rPr>
        <w:t>pierwszy podejmujących taką działalność</w:t>
      </w:r>
      <w:r w:rsidR="00B7506F" w:rsidRPr="001A6C40">
        <w:rPr>
          <w:rFonts w:ascii="Arial Narrow" w:hAnsi="Arial Narrow"/>
        </w:rPr>
        <w:t xml:space="preserve"> [</w:t>
      </w:r>
      <w:r w:rsidR="00B7506F" w:rsidRPr="00302BC1">
        <w:rPr>
          <w:rFonts w:ascii="Arial Narrow" w:hAnsi="Arial Narrow"/>
          <w:i/>
        </w:rPr>
        <w:t>Premie dla młodych rolników</w:t>
      </w:r>
      <w:r w:rsidR="00B7506F" w:rsidRPr="00302BC1">
        <w:rPr>
          <w:rFonts w:ascii="Arial Narrow" w:hAnsi="Arial Narrow"/>
        </w:rPr>
        <w:t>]</w:t>
      </w:r>
      <w:r w:rsidRPr="00302BC1">
        <w:rPr>
          <w:rFonts w:ascii="Arial Narrow" w:hAnsi="Arial Narrow"/>
        </w:rPr>
        <w:t>. Jednocześnie przewiduje się preferencje</w:t>
      </w:r>
      <w:r w:rsidR="00D72B50" w:rsidRPr="00302BC1">
        <w:rPr>
          <w:rFonts w:ascii="Arial Narrow" w:hAnsi="Arial Narrow"/>
        </w:rPr>
        <w:t xml:space="preserve"> dla osób młodych</w:t>
      </w:r>
      <w:r w:rsidRPr="00302BC1">
        <w:rPr>
          <w:rFonts w:ascii="Arial Narrow" w:hAnsi="Arial Narrow"/>
        </w:rPr>
        <w:t xml:space="preserve"> w zakresie instrumentów wsparcia inwestycyjnego</w:t>
      </w:r>
      <w:r w:rsidR="00D72B50" w:rsidRPr="00302BC1">
        <w:rPr>
          <w:rFonts w:ascii="Arial Narrow" w:hAnsi="Arial Narrow"/>
        </w:rPr>
        <w:t xml:space="preserve">: </w:t>
      </w:r>
      <w:r w:rsidRPr="00302BC1">
        <w:rPr>
          <w:rFonts w:ascii="Arial Narrow" w:hAnsi="Arial Narrow"/>
          <w:i/>
        </w:rPr>
        <w:t>Inwestycje w gospodarstwach rolnych zwiększające konkurencyjność (dotacje)</w:t>
      </w:r>
      <w:r w:rsidR="008D1766" w:rsidRPr="00302BC1">
        <w:rPr>
          <w:rFonts w:ascii="Arial Narrow" w:hAnsi="Arial Narrow"/>
          <w:i/>
        </w:rPr>
        <w:t xml:space="preserve"> oraz Rozwój współpracy w ramach łańcucha wartości (dotacja) - w gospodarstwie</w:t>
      </w:r>
      <w:r w:rsidRPr="00753F91">
        <w:rPr>
          <w:rFonts w:ascii="Arial Narrow" w:hAnsi="Arial Narrow"/>
          <w:i/>
        </w:rPr>
        <w:t xml:space="preserve">. </w:t>
      </w:r>
      <w:r w:rsidR="001A6C40" w:rsidRPr="00753F91">
        <w:rPr>
          <w:rFonts w:ascii="Arial Narrow" w:hAnsi="Arial Narrow"/>
        </w:rPr>
        <w:t>Również w ramach instrumentu finansowego [</w:t>
      </w:r>
      <w:r w:rsidR="001A6C40" w:rsidRPr="00753F91">
        <w:rPr>
          <w:rFonts w:ascii="Arial Narrow" w:hAnsi="Arial Narrow"/>
          <w:i/>
        </w:rPr>
        <w:t>Inwestycje w</w:t>
      </w:r>
      <w:r w:rsidR="00D763F7">
        <w:rPr>
          <w:rFonts w:ascii="Arial Narrow" w:hAnsi="Arial Narrow"/>
          <w:i/>
        </w:rPr>
        <w:t> </w:t>
      </w:r>
      <w:r w:rsidR="001A6C40" w:rsidRPr="00753F91">
        <w:rPr>
          <w:rFonts w:ascii="Arial Narrow" w:hAnsi="Arial Narrow"/>
          <w:i/>
        </w:rPr>
        <w:t>gospodarstwach rolnych zwiększające konkurencyjność - Instrumenty finansowe</w:t>
      </w:r>
      <w:r w:rsidR="001A6C40" w:rsidRPr="00753F91">
        <w:rPr>
          <w:rFonts w:ascii="Arial Narrow" w:hAnsi="Arial Narrow"/>
        </w:rPr>
        <w:t>] zaproponowano wsparcie dla młodych rolników polegające na gwarancji wraz z dotacją na spłatę odsetek w przypadku kredytów na zakup ziemi, bez limitu 10% kwoty kredytu.</w:t>
      </w:r>
      <w:r w:rsidR="001A6C40" w:rsidRPr="00753F91">
        <w:rPr>
          <w:rFonts w:ascii="Arial Narrow" w:hAnsi="Arial Narrow"/>
          <w:i/>
        </w:rPr>
        <w:t xml:space="preserve"> </w:t>
      </w:r>
      <w:r w:rsidRPr="00753F91">
        <w:rPr>
          <w:rFonts w:ascii="Arial Narrow" w:hAnsi="Arial Narrow"/>
        </w:rPr>
        <w:t xml:space="preserve">Kontynuowane będzie także wsparcie usług doradczych dla </w:t>
      </w:r>
      <w:r w:rsidR="00B7506F" w:rsidRPr="00753F91">
        <w:rPr>
          <w:rFonts w:ascii="Arial Narrow" w:hAnsi="Arial Narrow"/>
        </w:rPr>
        <w:t>młodych rolników</w:t>
      </w:r>
      <w:r w:rsidRPr="00753F91">
        <w:rPr>
          <w:rFonts w:ascii="Arial Narrow" w:hAnsi="Arial Narrow"/>
        </w:rPr>
        <w:t>.</w:t>
      </w:r>
    </w:p>
    <w:p w:rsidR="007B4656" w:rsidRPr="00753F91" w:rsidRDefault="00DE39D1" w:rsidP="00753F91">
      <w:pPr>
        <w:spacing w:after="120" w:line="288" w:lineRule="auto"/>
        <w:jc w:val="both"/>
        <w:rPr>
          <w:rFonts w:ascii="Arial Narrow" w:hAnsi="Arial Narrow"/>
        </w:rPr>
      </w:pPr>
      <w:r w:rsidRPr="00753F91">
        <w:rPr>
          <w:rFonts w:ascii="Arial Narrow" w:hAnsi="Arial Narrow"/>
        </w:rPr>
        <w:t>Jeśli chodzi o rozwój lokalny z</w:t>
      </w:r>
      <w:r w:rsidR="007B4656" w:rsidRPr="00753F91">
        <w:rPr>
          <w:rFonts w:ascii="Arial Narrow" w:hAnsi="Arial Narrow"/>
        </w:rPr>
        <w:t>akłada się</w:t>
      </w:r>
      <w:r w:rsidRPr="00753F91">
        <w:rPr>
          <w:rFonts w:ascii="Arial Narrow" w:hAnsi="Arial Narrow"/>
        </w:rPr>
        <w:t>,</w:t>
      </w:r>
      <w:r w:rsidR="007B4656" w:rsidRPr="00753F91">
        <w:rPr>
          <w:rFonts w:ascii="Arial Narrow" w:hAnsi="Arial Narrow"/>
        </w:rPr>
        <w:t xml:space="preserve"> że wsparcie w ramach Planu będzie miało charakter uzupełniający do innych funduszy unijnych i krajowych. Dla zapewnienia żywotności obszarów wiejskich proces modernizacji i rozwoju infrastruktury technicznej (drogi, sieci wodno-kanalizacyjne oraz rozwój sieci Internetu szerokopasmowego) będzie realizowany w ramach Polityki Spójności, Krajowego Programu Odbudowy i środków krajowych. Z tych samych źródeł będą wspierane inwestycje z obszaru zapewnienia dostępu do usług </w:t>
      </w:r>
      <w:r w:rsidR="007B4656" w:rsidRPr="00753F91">
        <w:rPr>
          <w:rFonts w:ascii="Arial Narrow" w:hAnsi="Arial Narrow"/>
        </w:rPr>
        <w:lastRenderedPageBreak/>
        <w:t xml:space="preserve">publicznych dla mieszkańców obszarów wiejskich. </w:t>
      </w:r>
      <w:r w:rsidR="003D68D7" w:rsidRPr="00753F91">
        <w:rPr>
          <w:rFonts w:ascii="Arial Narrow" w:hAnsi="Arial Narrow"/>
        </w:rPr>
        <w:t>Należy jednak zaznaczyć, że w okresie przejściowym w ramach PROW 20214-2020 na wsparcie budowy i modernizacji dróg lokalnych ora</w:t>
      </w:r>
      <w:r w:rsidR="006C7EFD" w:rsidRPr="00753F91">
        <w:rPr>
          <w:rFonts w:ascii="Arial Narrow" w:hAnsi="Arial Narrow"/>
        </w:rPr>
        <w:t>z inwestycji w gospodarkę wodno -ściekową</w:t>
      </w:r>
      <w:r w:rsidR="003D68D7" w:rsidRPr="00753F91">
        <w:rPr>
          <w:rFonts w:ascii="Arial Narrow" w:hAnsi="Arial Narrow"/>
        </w:rPr>
        <w:t xml:space="preserve"> przeznaczono prawie 800 mln euro środków publicznych co pozwoliło na ogranicze</w:t>
      </w:r>
      <w:r w:rsidR="006C7EFD" w:rsidRPr="00753F91">
        <w:rPr>
          <w:rFonts w:ascii="Arial Narrow" w:hAnsi="Arial Narrow"/>
        </w:rPr>
        <w:t>nie tego wsparcia w P</w:t>
      </w:r>
      <w:r w:rsidR="003D68D7" w:rsidRPr="00753F91">
        <w:rPr>
          <w:rFonts w:ascii="Arial Narrow" w:hAnsi="Arial Narrow"/>
        </w:rPr>
        <w:t xml:space="preserve">lanie </w:t>
      </w:r>
      <w:r w:rsidR="006C7EFD" w:rsidRPr="00753F91">
        <w:rPr>
          <w:rFonts w:ascii="Arial Narrow" w:hAnsi="Arial Narrow"/>
        </w:rPr>
        <w:t>S</w:t>
      </w:r>
      <w:r w:rsidR="003D68D7" w:rsidRPr="00753F91">
        <w:rPr>
          <w:rFonts w:ascii="Arial Narrow" w:hAnsi="Arial Narrow"/>
        </w:rPr>
        <w:t xml:space="preserve">trategicznym. </w:t>
      </w:r>
      <w:r w:rsidRPr="00753F91">
        <w:rPr>
          <w:rFonts w:ascii="Arial Narrow" w:hAnsi="Arial Narrow"/>
        </w:rPr>
        <w:t>W ramach Planu Strategicznego planuje się skupić jedynie na zakresach nieuwzględnionych w</w:t>
      </w:r>
      <w:r w:rsidR="00D763F7">
        <w:rPr>
          <w:rFonts w:ascii="Arial Narrow" w:hAnsi="Arial Narrow"/>
        </w:rPr>
        <w:t> </w:t>
      </w:r>
      <w:r w:rsidRPr="00753F91">
        <w:rPr>
          <w:rFonts w:ascii="Arial Narrow" w:hAnsi="Arial Narrow"/>
        </w:rPr>
        <w:t>innych programach a jednocześnie bardzo istotnych z punktu widzenia polityki rozwoju obszarów wiejskich. W</w:t>
      </w:r>
      <w:r w:rsidR="00D763F7">
        <w:rPr>
          <w:rFonts w:ascii="Arial Narrow" w:hAnsi="Arial Narrow"/>
        </w:rPr>
        <w:t> </w:t>
      </w:r>
      <w:r w:rsidRPr="00753F91">
        <w:rPr>
          <w:rFonts w:ascii="Arial Narrow" w:hAnsi="Arial Narrow"/>
        </w:rPr>
        <w:t xml:space="preserve">związku z tym w zakresie infrastruktury planuje się skupić </w:t>
      </w:r>
      <w:r w:rsidR="003D68D7" w:rsidRPr="00753F91">
        <w:rPr>
          <w:rFonts w:ascii="Arial Narrow" w:hAnsi="Arial Narrow"/>
        </w:rPr>
        <w:t xml:space="preserve">związanych z </w:t>
      </w:r>
      <w:r w:rsidRPr="00753F91">
        <w:rPr>
          <w:rFonts w:ascii="Arial Narrow" w:hAnsi="Arial Narrow"/>
        </w:rPr>
        <w:t xml:space="preserve">zagospodarowaniem przestrzennym miejscowości oraz budowie indywidualnych oczyszczalni ścieków. </w:t>
      </w:r>
    </w:p>
    <w:p w:rsidR="006C7EFD" w:rsidRPr="00302BC1" w:rsidRDefault="009A0922" w:rsidP="00753F91">
      <w:pPr>
        <w:spacing w:after="120" w:line="288" w:lineRule="auto"/>
        <w:jc w:val="both"/>
        <w:rPr>
          <w:rFonts w:ascii="Arial Narrow" w:eastAsia="Calibri" w:hAnsi="Arial Narrow" w:cs="Times New Roman"/>
          <w:bCs/>
        </w:rPr>
      </w:pPr>
      <w:r w:rsidRPr="00753F91">
        <w:rPr>
          <w:rFonts w:ascii="Arial Narrow" w:hAnsi="Arial Narrow" w:cs="Times New Roman"/>
        </w:rPr>
        <w:t xml:space="preserve">Poziom przedsiębiorczości na obszarach wiejskich jest relatywnie niski. Prowadzi tam działalność ok. 1/3 wszystkich przedsiębiorstw (pozostałe działają w miastach). Dominują mikroprzedsiębiorstwa (96%), a działalność prowadzona jest głównie przez osoby fizyczne. Liczba podmiotów gospodarczych wzrasta, jednak tempo tych zmian nie jest jednakowe. Najwyższe tempo wzrostu charakteryzuje regiony w których odnotowuje się wzrost liczby ludności. Postęp </w:t>
      </w:r>
      <w:r w:rsidR="001A6C40" w:rsidRPr="00753F91">
        <w:rPr>
          <w:rFonts w:ascii="Arial Narrow" w:hAnsi="Arial Narrow" w:cs="Times New Roman"/>
        </w:rPr>
        <w:t xml:space="preserve">w </w:t>
      </w:r>
      <w:r w:rsidRPr="00753F91">
        <w:rPr>
          <w:rFonts w:ascii="Arial Narrow" w:hAnsi="Arial Narrow" w:cs="Times New Roman"/>
        </w:rPr>
        <w:t xml:space="preserve">biogospodarce wiąże się ściśle ze zwiększeniem poziomu innowacyjności. Nowe rozwiązania stanowią źródło nowych miejsc pracy dla mieszkańców wsi. </w:t>
      </w:r>
      <w:r w:rsidR="006C7EFD" w:rsidRPr="001A6C40">
        <w:rPr>
          <w:rFonts w:ascii="Arial Narrow" w:hAnsi="Arial Narrow"/>
        </w:rPr>
        <w:t>Wspieranie rozwoju przedsiębiorczości będzie ukierunkowane na usługi dla rolnictwa zarówno w formie dotacji (w zakresie rolnictwa 4.0) jak i instrumentów finans</w:t>
      </w:r>
      <w:r w:rsidR="006C7EFD" w:rsidRPr="00302BC1">
        <w:rPr>
          <w:rFonts w:ascii="Arial Narrow" w:hAnsi="Arial Narrow"/>
        </w:rPr>
        <w:t>owych. Inne obszary, w tym biogospodarka, usługi komercyjne będą mogły uzyskać wsparcie w ramach lokalnych strategii rozwoju. Również w obszarze przedsiębiorczości zakłada się odpowiednie zaangażowanie środków w ramach polityki spójności.</w:t>
      </w:r>
    </w:p>
    <w:p w:rsidR="007B4656" w:rsidRDefault="007B4656" w:rsidP="00040E57">
      <w:pPr>
        <w:spacing w:after="120" w:line="288" w:lineRule="auto"/>
        <w:jc w:val="both"/>
        <w:rPr>
          <w:rFonts w:ascii="Arial Narrow" w:hAnsi="Arial Narrow"/>
        </w:rPr>
      </w:pPr>
      <w:r w:rsidRPr="00302BC1">
        <w:rPr>
          <w:rFonts w:ascii="Arial Narrow" w:hAnsi="Arial Narrow"/>
        </w:rPr>
        <w:t xml:space="preserve">W ramach podejścia LEADER kontynuowane będzie wsparcie finansowe na tworzeniu i rozwoju miejsc pracy na obszarach wiejskich </w:t>
      </w:r>
      <w:r w:rsidR="0097781F" w:rsidRPr="00302BC1">
        <w:rPr>
          <w:rFonts w:ascii="Arial Narrow" w:hAnsi="Arial Narrow"/>
        </w:rPr>
        <w:t>poprzez wspieranie zakładania nowych przedsiębiorstw o</w:t>
      </w:r>
      <w:r w:rsidRPr="00302BC1">
        <w:rPr>
          <w:rFonts w:ascii="Arial Narrow" w:hAnsi="Arial Narrow"/>
        </w:rPr>
        <w:t xml:space="preserve">raz inwestycje z zakresu małej infrastruktury. Dodatkowo pomoc będzie udzielana </w:t>
      </w:r>
      <w:r w:rsidR="00DE39D1" w:rsidRPr="00302BC1">
        <w:rPr>
          <w:rFonts w:ascii="Arial Narrow" w:hAnsi="Arial Narrow"/>
        </w:rPr>
        <w:t>rolnikom na podejmowanie działalności pozarolniczej np. związanej</w:t>
      </w:r>
      <w:r w:rsidRPr="00302BC1">
        <w:rPr>
          <w:rFonts w:ascii="Arial Narrow" w:hAnsi="Arial Narrow"/>
        </w:rPr>
        <w:t xml:space="preserve"> z tworzeniem gospodarstw opiekuńczych i rozwojem srebrnej gospodarki. Nowym instrumentem realizowanym w ramach interwencji typu Współpraca będą przedsięwzięcia z zakresu rozwoju inteligentnych wiosek (smar</w:t>
      </w:r>
      <w:r w:rsidRPr="00753F91">
        <w:rPr>
          <w:rFonts w:ascii="Arial Narrow" w:hAnsi="Arial Narrow"/>
        </w:rPr>
        <w:t>t villages) mających na celu wykorzystanie wiedzy lub innowacji w poszukiwaniu rozwiązań m.in. w</w:t>
      </w:r>
      <w:r w:rsidR="00D763F7">
        <w:rPr>
          <w:rFonts w:ascii="Arial Narrow" w:hAnsi="Arial Narrow"/>
        </w:rPr>
        <w:t> </w:t>
      </w:r>
      <w:r w:rsidRPr="00753F91">
        <w:rPr>
          <w:rFonts w:ascii="Arial Narrow" w:hAnsi="Arial Narrow"/>
        </w:rPr>
        <w:t xml:space="preserve">obszarach poprawy jakości życia, ograniczenia depopularyzacji, niekorzystnych trendów demograficznych, podniesienia jakości usług lokalnych lub bezpieczeństwa, poszanowania środowiska lokalnego, </w:t>
      </w:r>
      <w:r w:rsidR="00871C59" w:rsidRPr="00753F91">
        <w:rPr>
          <w:rFonts w:ascii="Arial Narrow" w:hAnsi="Arial Narrow"/>
        </w:rPr>
        <w:t xml:space="preserve">niewystarczającej liczby miejsc pracy czy wykluczenia cyfrowego. </w:t>
      </w:r>
    </w:p>
    <w:p w:rsidR="00792B90" w:rsidRDefault="00792B90" w:rsidP="00D72B50">
      <w:pPr>
        <w:rPr>
          <w:rFonts w:ascii="Arial Narrow" w:hAnsi="Arial Narrow" w:cs="Times New Roman"/>
          <w:b/>
          <w:bCs/>
          <w:noProof/>
        </w:rPr>
      </w:pPr>
      <w:r>
        <w:rPr>
          <w:rFonts w:ascii="Arial Narrow" w:hAnsi="Arial Narrow" w:cs="Times New Roman"/>
          <w:b/>
          <w:bCs/>
          <w:noProof/>
        </w:rPr>
        <w:br w:type="page"/>
      </w:r>
    </w:p>
    <w:p w:rsidR="00792B90" w:rsidRPr="00792B90" w:rsidRDefault="00792B90" w:rsidP="00792B90">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
          <w:bCs/>
          <w:noProof/>
        </w:rPr>
      </w:pPr>
      <w:r>
        <w:rPr>
          <w:rFonts w:ascii="Arial Narrow" w:hAnsi="Arial Narrow" w:cs="Times New Roman"/>
          <w:b/>
          <w:bCs/>
          <w:noProof/>
        </w:rPr>
        <w:lastRenderedPageBreak/>
        <w:t>Rekomendacja</w:t>
      </w:r>
      <w:r w:rsidR="00892413">
        <w:rPr>
          <w:rFonts w:ascii="Arial Narrow" w:hAnsi="Arial Narrow" w:cs="Times New Roman"/>
          <w:b/>
          <w:bCs/>
          <w:noProof/>
        </w:rPr>
        <w:t xml:space="preserve"> nr 11</w:t>
      </w:r>
      <w:r>
        <w:rPr>
          <w:rFonts w:ascii="Arial Narrow" w:hAnsi="Arial Narrow" w:cs="Times New Roman"/>
          <w:b/>
          <w:bCs/>
          <w:noProof/>
        </w:rPr>
        <w:t xml:space="preserve">: </w:t>
      </w:r>
      <w:r w:rsidRPr="00792B90">
        <w:rPr>
          <w:rFonts w:ascii="Arial Narrow" w:hAnsi="Arial Narrow" w:cs="Times New Roman"/>
          <w:bCs/>
          <w:i/>
          <w:noProof/>
        </w:rPr>
        <w:t>Przyczynienie się do osiągnięcia celu Europejskiego Zielonego Ładu w zakresie środków przeciwdrobnoustrojowych poprzez podjęcie znacznych wysiłków, by w dużym stopniu ograniczyć stosowanie środków przeciwdrobnoustrojowych w rolnictwie, przy uwzględnieniu danych liczbowych, z których wynika, iż sprzedaż tych środków przewyższa średnią UE. Zachęca się Polskę do stosowania wszystkich dostępnych narzędzi, w tym instrumentów w ramach WPR, w celu wspierania hodowców, np. przez propagowanie najlepszych praktyk w zakresie ograniczonego i rozważnego stosowania środków przeciwdrobnoustrojowych, a także poprzez poprawę zarządzania zwierzętami gospodarskimi, bioasekuracji, p</w:t>
      </w:r>
      <w:r>
        <w:rPr>
          <w:rFonts w:ascii="Arial Narrow" w:hAnsi="Arial Narrow" w:cs="Times New Roman"/>
          <w:bCs/>
          <w:i/>
          <w:noProof/>
        </w:rPr>
        <w:t>rofilaktyki i kontroli zakażeń</w:t>
      </w:r>
    </w:p>
    <w:p w:rsidR="00792B90" w:rsidRPr="00792B90" w:rsidRDefault="00792B90" w:rsidP="00753F91">
      <w:pPr>
        <w:spacing w:after="120" w:line="288" w:lineRule="auto"/>
        <w:jc w:val="both"/>
        <w:rPr>
          <w:rFonts w:ascii="Arial Narrow" w:hAnsi="Arial Narrow"/>
        </w:rPr>
      </w:pPr>
      <w:r w:rsidRPr="00792B90">
        <w:rPr>
          <w:rFonts w:ascii="Arial Narrow" w:hAnsi="Arial Narrow"/>
        </w:rPr>
        <w:t xml:space="preserve">Polska zamierza dążyć do ograniczenia stosowania antybiotyków u zwierząt gospodarskich głównie przy użyciu środków </w:t>
      </w:r>
      <w:r w:rsidRPr="005E6B5E">
        <w:rPr>
          <w:rFonts w:ascii="Arial Narrow" w:hAnsi="Arial Narrow"/>
          <w:b/>
        </w:rPr>
        <w:t>spoza WPR</w:t>
      </w:r>
      <w:r w:rsidRPr="00792B90">
        <w:rPr>
          <w:rFonts w:ascii="Arial Narrow" w:hAnsi="Arial Narrow"/>
        </w:rPr>
        <w:t>. W związku z potrzebą wielokierunkowego działania dotychczas podejmowane były i będą także rozwijane i kontynuowane w przyszłości działania nakierowane m.in. na:</w:t>
      </w:r>
    </w:p>
    <w:p w:rsidR="00792B90" w:rsidRPr="00792B90" w:rsidRDefault="00792B90" w:rsidP="00753F91">
      <w:pPr>
        <w:pStyle w:val="Akapitzlist"/>
        <w:numPr>
          <w:ilvl w:val="0"/>
          <w:numId w:val="6"/>
        </w:numPr>
        <w:spacing w:after="120" w:line="288" w:lineRule="auto"/>
        <w:ind w:left="426" w:hanging="426"/>
        <w:contextualSpacing w:val="0"/>
        <w:jc w:val="both"/>
        <w:rPr>
          <w:rFonts w:ascii="Arial Narrow" w:hAnsi="Arial Narrow"/>
        </w:rPr>
      </w:pPr>
      <w:r w:rsidRPr="00792B90">
        <w:rPr>
          <w:rFonts w:ascii="Arial Narrow" w:hAnsi="Arial Narrow"/>
        </w:rPr>
        <w:t>prace nad wdrażaniem przepisów UE w sprawie weterynaryjnych produktów leczniczych i pasz leczniczych;</w:t>
      </w:r>
    </w:p>
    <w:p w:rsidR="00792B90" w:rsidRPr="00792B90" w:rsidRDefault="00792B90" w:rsidP="00753F91">
      <w:pPr>
        <w:pStyle w:val="Akapitzlist"/>
        <w:numPr>
          <w:ilvl w:val="0"/>
          <w:numId w:val="6"/>
        </w:numPr>
        <w:spacing w:after="120" w:line="288" w:lineRule="auto"/>
        <w:ind w:left="426" w:hanging="426"/>
        <w:contextualSpacing w:val="0"/>
        <w:jc w:val="both"/>
        <w:rPr>
          <w:rFonts w:ascii="Arial Narrow" w:hAnsi="Arial Narrow"/>
        </w:rPr>
      </w:pPr>
      <w:r w:rsidRPr="00792B90">
        <w:rPr>
          <w:rFonts w:ascii="Arial Narrow" w:hAnsi="Arial Narrow"/>
        </w:rPr>
        <w:t>wdrożenie działań przeciw narastaniu oporności na środki przeciwdrobnoustrojowe stosowane w weterynarii, obejmujących niżej wymienione cele:</w:t>
      </w:r>
    </w:p>
    <w:p w:rsidR="00792B90" w:rsidRPr="00792B90" w:rsidRDefault="00792B90" w:rsidP="00753F91">
      <w:pPr>
        <w:pStyle w:val="Akapitzlist"/>
        <w:numPr>
          <w:ilvl w:val="0"/>
          <w:numId w:val="6"/>
        </w:numPr>
        <w:spacing w:after="120" w:line="288" w:lineRule="auto"/>
        <w:ind w:left="426" w:hanging="426"/>
        <w:contextualSpacing w:val="0"/>
        <w:jc w:val="both"/>
        <w:rPr>
          <w:rFonts w:ascii="Arial Narrow" w:hAnsi="Arial Narrow"/>
        </w:rPr>
      </w:pPr>
      <w:r w:rsidRPr="00792B90">
        <w:rPr>
          <w:rFonts w:ascii="Arial Narrow" w:hAnsi="Arial Narrow"/>
        </w:rPr>
        <w:t>podnoszenie świadomości publicznej i wiedzy na temat ryzyka rozwoju oporności na środki przeciwdrobnoustrojowe poprzez skuteczną edukację, komunikację i szkolenia;</w:t>
      </w:r>
    </w:p>
    <w:p w:rsidR="00792B90" w:rsidRPr="00792B90" w:rsidRDefault="00792B90" w:rsidP="00753F91">
      <w:pPr>
        <w:pStyle w:val="Akapitzlist"/>
        <w:numPr>
          <w:ilvl w:val="0"/>
          <w:numId w:val="6"/>
        </w:numPr>
        <w:spacing w:after="120" w:line="288" w:lineRule="auto"/>
        <w:ind w:left="426" w:hanging="426"/>
        <w:contextualSpacing w:val="0"/>
        <w:jc w:val="both"/>
        <w:rPr>
          <w:rFonts w:ascii="Arial Narrow" w:hAnsi="Arial Narrow"/>
        </w:rPr>
      </w:pPr>
      <w:r w:rsidRPr="00792B90">
        <w:rPr>
          <w:rFonts w:ascii="Arial Narrow" w:hAnsi="Arial Narrow"/>
        </w:rPr>
        <w:t>budowa systemu informatycznego umożliwiającego monitorowanie zużycia produktów leczniczych weterynaryjnych w poszczególnych gospodarstwach z podziałem na gatunki zwierząt i rodzaje przeciwdrobnoustrojowych produktów leczniczych stosowanych u zwierząt;</w:t>
      </w:r>
    </w:p>
    <w:p w:rsidR="00792B90" w:rsidRPr="00792B90" w:rsidRDefault="00792B90" w:rsidP="00753F91">
      <w:pPr>
        <w:pStyle w:val="Akapitzlist"/>
        <w:numPr>
          <w:ilvl w:val="0"/>
          <w:numId w:val="6"/>
        </w:numPr>
        <w:spacing w:after="120" w:line="288" w:lineRule="auto"/>
        <w:ind w:left="426" w:hanging="426"/>
        <w:contextualSpacing w:val="0"/>
        <w:jc w:val="both"/>
        <w:rPr>
          <w:rFonts w:ascii="Arial Narrow" w:hAnsi="Arial Narrow"/>
        </w:rPr>
      </w:pPr>
      <w:r w:rsidRPr="00792B90">
        <w:rPr>
          <w:rFonts w:ascii="Arial Narrow" w:hAnsi="Arial Narrow"/>
        </w:rPr>
        <w:t>wspieranie działań mających na celu zmniejszenie liczby przypadków infekcji poprzez skuteczne środki sanitarne, dobre praktyki higieniczne i działania zapobiegawcze (</w:t>
      </w:r>
      <w:r w:rsidRPr="005E6B5E">
        <w:rPr>
          <w:rFonts w:ascii="Arial Narrow" w:hAnsi="Arial Narrow"/>
          <w:i/>
        </w:rPr>
        <w:t>w tym bioasekuracja</w:t>
      </w:r>
      <w:r w:rsidRPr="00792B90">
        <w:rPr>
          <w:rFonts w:ascii="Arial Narrow" w:hAnsi="Arial Narrow"/>
        </w:rPr>
        <w:t>);</w:t>
      </w:r>
    </w:p>
    <w:p w:rsidR="00792B90" w:rsidRPr="00792B90" w:rsidRDefault="00792B90" w:rsidP="00753F91">
      <w:pPr>
        <w:pStyle w:val="Akapitzlist"/>
        <w:numPr>
          <w:ilvl w:val="0"/>
          <w:numId w:val="6"/>
        </w:numPr>
        <w:spacing w:after="120" w:line="288" w:lineRule="auto"/>
        <w:ind w:left="426" w:hanging="426"/>
        <w:contextualSpacing w:val="0"/>
        <w:jc w:val="both"/>
        <w:rPr>
          <w:rFonts w:ascii="Arial Narrow" w:hAnsi="Arial Narrow"/>
        </w:rPr>
      </w:pPr>
      <w:r w:rsidRPr="00792B90">
        <w:rPr>
          <w:rFonts w:ascii="Arial Narrow" w:hAnsi="Arial Narrow"/>
        </w:rPr>
        <w:t>powołanie Grupy Ekspertów ds. Oporności na Środki Przeciwdrobnoustrojowe, do której zadań należeć będzie przygotowanie stanowisk, opinii, polityk, strategii i propozycji rozwiązań dotyczących oporności na środki.</w:t>
      </w:r>
    </w:p>
    <w:p w:rsidR="005D7458" w:rsidRPr="00753F91" w:rsidRDefault="001B679C" w:rsidP="00753F91">
      <w:pPr>
        <w:spacing w:after="120" w:line="288" w:lineRule="auto"/>
        <w:jc w:val="both"/>
        <w:rPr>
          <w:rFonts w:ascii="Arial Narrow" w:hAnsi="Arial Narrow" w:cs="Times New Roman"/>
          <w:bCs/>
          <w:noProof/>
        </w:rPr>
      </w:pPr>
      <w:r w:rsidRPr="00753F91">
        <w:rPr>
          <w:rFonts w:ascii="Arial Narrow" w:hAnsi="Arial Narrow" w:cs="Times New Roman"/>
          <w:bCs/>
          <w:noProof/>
        </w:rPr>
        <w:lastRenderedPageBreak/>
        <w:t>Uzupełnieniem powyższych działań będzie organizacja różnych form działań szkoleniowych obejmujących zagadnienia związane m. in. ze stosowaniem antybiotyków</w:t>
      </w:r>
      <w:r w:rsidR="00B01B73">
        <w:rPr>
          <w:rFonts w:ascii="Arial Narrow" w:hAnsi="Arial Narrow" w:cs="Times New Roman"/>
          <w:bCs/>
          <w:noProof/>
        </w:rPr>
        <w:t xml:space="preserve"> </w:t>
      </w:r>
      <w:r w:rsidRPr="00753F91">
        <w:rPr>
          <w:rFonts w:ascii="Arial Narrow" w:hAnsi="Arial Narrow" w:cs="Times New Roman"/>
          <w:bCs/>
          <w:noProof/>
        </w:rPr>
        <w:t>realiz</w:t>
      </w:r>
      <w:r w:rsidR="00B01B73">
        <w:rPr>
          <w:rFonts w:ascii="Arial Narrow" w:hAnsi="Arial Narrow" w:cs="Times New Roman"/>
          <w:bCs/>
          <w:noProof/>
        </w:rPr>
        <w:t xml:space="preserve">owanych </w:t>
      </w:r>
      <w:r w:rsidRPr="00753F91">
        <w:rPr>
          <w:rFonts w:ascii="Arial Narrow" w:hAnsi="Arial Narrow" w:cs="Times New Roman"/>
          <w:bCs/>
          <w:noProof/>
        </w:rPr>
        <w:t xml:space="preserve">w ramach interwencji </w:t>
      </w:r>
      <w:r w:rsidRPr="00753F91">
        <w:rPr>
          <w:rFonts w:ascii="Arial Narrow" w:hAnsi="Arial Narrow" w:cs="Times New Roman"/>
          <w:bCs/>
          <w:i/>
          <w:noProof/>
        </w:rPr>
        <w:t>Doskonalenie zawodowe rolników</w:t>
      </w:r>
      <w:r w:rsidRPr="00753F91">
        <w:rPr>
          <w:rFonts w:ascii="Arial Narrow" w:hAnsi="Arial Narrow" w:cs="Times New Roman"/>
          <w:bCs/>
          <w:noProof/>
        </w:rPr>
        <w:t xml:space="preserve"> </w:t>
      </w:r>
      <w:r w:rsidR="00B01B73" w:rsidRPr="00792B90">
        <w:rPr>
          <w:rFonts w:ascii="Arial Narrow" w:hAnsi="Arial Narrow"/>
        </w:rPr>
        <w:t>Plan</w:t>
      </w:r>
      <w:r w:rsidR="00B01B73">
        <w:rPr>
          <w:rFonts w:ascii="Arial Narrow" w:hAnsi="Arial Narrow"/>
        </w:rPr>
        <w:t>u</w:t>
      </w:r>
      <w:r w:rsidR="00B01B73" w:rsidRPr="00792B90">
        <w:rPr>
          <w:rFonts w:ascii="Arial Narrow" w:hAnsi="Arial Narrow"/>
        </w:rPr>
        <w:t xml:space="preserve"> strategiczn</w:t>
      </w:r>
      <w:r w:rsidR="00B01B73">
        <w:rPr>
          <w:rFonts w:ascii="Arial Narrow" w:hAnsi="Arial Narrow"/>
        </w:rPr>
        <w:t>ego</w:t>
      </w:r>
      <w:r w:rsidR="00B01B73" w:rsidRPr="00792B90">
        <w:rPr>
          <w:rFonts w:ascii="Arial Narrow" w:hAnsi="Arial Narrow"/>
        </w:rPr>
        <w:t xml:space="preserve"> WPR</w:t>
      </w:r>
      <w:r w:rsidRPr="00753F91">
        <w:rPr>
          <w:rFonts w:ascii="Arial Narrow" w:hAnsi="Arial Narrow" w:cs="Times New Roman"/>
          <w:bCs/>
          <w:noProof/>
        </w:rPr>
        <w:t xml:space="preserve">. </w:t>
      </w:r>
      <w:r w:rsidR="005D7458" w:rsidRPr="00753F91">
        <w:rPr>
          <w:rFonts w:ascii="Arial Narrow" w:hAnsi="Arial Narrow" w:cs="Times New Roman"/>
          <w:bCs/>
          <w:noProof/>
        </w:rPr>
        <w:br w:type="page"/>
      </w:r>
    </w:p>
    <w:p w:rsidR="005D7458" w:rsidRPr="005D7458" w:rsidRDefault="005D7458" w:rsidP="005D7458">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
          <w:bCs/>
          <w:noProof/>
        </w:rPr>
      </w:pPr>
      <w:r>
        <w:rPr>
          <w:rFonts w:ascii="Arial Narrow" w:hAnsi="Arial Narrow" w:cs="Times New Roman"/>
          <w:b/>
          <w:bCs/>
          <w:noProof/>
        </w:rPr>
        <w:lastRenderedPageBreak/>
        <w:t xml:space="preserve">Rekomendacja </w:t>
      </w:r>
      <w:r w:rsidR="00892413">
        <w:rPr>
          <w:rFonts w:ascii="Arial Narrow" w:hAnsi="Arial Narrow" w:cs="Times New Roman"/>
          <w:b/>
          <w:bCs/>
          <w:noProof/>
        </w:rPr>
        <w:t>nr 12</w:t>
      </w:r>
      <w:r>
        <w:rPr>
          <w:rFonts w:ascii="Arial Narrow" w:hAnsi="Arial Narrow" w:cs="Times New Roman"/>
          <w:b/>
          <w:bCs/>
          <w:noProof/>
        </w:rPr>
        <w:t xml:space="preserve">: </w:t>
      </w:r>
      <w:r w:rsidRPr="00792B90">
        <w:rPr>
          <w:rFonts w:ascii="Arial Narrow" w:hAnsi="Arial Narrow" w:cs="Times New Roman"/>
          <w:bCs/>
          <w:i/>
          <w:noProof/>
        </w:rPr>
        <w:t>Poprawa dobrostanu zwierząt, zwłaszcza trzody chlewnej i kur niosek, poprzez wspieranie ambitnych środków mających na celu poprawę zarządzania zwierzętami gospodarskimi oraz profilaktyki i kontroli zakażeń, w tym pod</w:t>
      </w:r>
      <w:r w:rsidR="00792B90">
        <w:rPr>
          <w:rFonts w:ascii="Arial Narrow" w:hAnsi="Arial Narrow" w:cs="Times New Roman"/>
          <w:bCs/>
          <w:i/>
          <w:noProof/>
        </w:rPr>
        <w:t>niesienie poziomu bioasekuracji</w:t>
      </w:r>
    </w:p>
    <w:p w:rsidR="005D7458" w:rsidRPr="005D7458" w:rsidRDefault="005D7458" w:rsidP="00753F91">
      <w:pPr>
        <w:spacing w:after="120" w:line="288" w:lineRule="auto"/>
        <w:jc w:val="both"/>
        <w:rPr>
          <w:rFonts w:ascii="Arial Narrow" w:hAnsi="Arial Narrow"/>
        </w:rPr>
      </w:pPr>
      <w:r w:rsidRPr="005D7458">
        <w:rPr>
          <w:rFonts w:ascii="Arial Narrow" w:hAnsi="Arial Narrow"/>
        </w:rPr>
        <w:t xml:space="preserve">Minimalne warunki utrzymywania zwierząt gospodarskich, zapewniające zwierzętom dobrostan na podstawowym poziomie, zostały uregulowane w ustawie z dnia 21 sierpnia 1997 r. o ochronie zwierząt (Dz. U. z 2020 r. poz. 638) oraz wydanych na jej postawie rozporządzeniach Ministra Rolnictwa i Rozwoju Wsi. Przepisy te wdrażają postanowienia dyrektyw Unii Europejskiej w tym zakresie, tj. ogólną dyrektywę o ochronie zwierząt gospodarskich oraz szczegółowe regulujące dobrostan kur niosek, kurcząt brojlerów, cieląt oraz świń. Krajowe przepisy określają także minimalne warunki utrzymywania gatunków zwierząt gospodarskich innych niż te, dla których normy ochrony zostały określone w przepisach Unii Europejskiej. Weryfikacja przestrzegania przepisów z zakresu ochrony zwierząt prowadzona jest poprzez planowe kontrole w gospodarstwach utrzymujących zwierzęta, kontrole w trakcie załadunku i wyładunku w ramach transportu zwierząt oraz poprzez stały nadzór podczas uboju zwierząt w rzeźni. Jednym z zagadnień pozostającym w szczególnym zainteresowaniu Inspekcji Weterynaryjnej jest kwestia zapewnienia właściwych warunków utrzymania świń i ograniczenia stosowania praktyki obcinania ogonów u świń. </w:t>
      </w:r>
    </w:p>
    <w:p w:rsidR="001A6C40" w:rsidRDefault="001A6C40" w:rsidP="00753F91">
      <w:pPr>
        <w:spacing w:after="120" w:line="288" w:lineRule="auto"/>
        <w:jc w:val="both"/>
        <w:rPr>
          <w:rFonts w:ascii="Arial Narrow" w:hAnsi="Arial Narrow"/>
        </w:rPr>
      </w:pPr>
      <w:r w:rsidRPr="00C97613">
        <w:rPr>
          <w:rFonts w:ascii="Arial Narrow" w:hAnsi="Arial Narrow"/>
        </w:rPr>
        <w:t>Działaniem wspierającym osiągnięcie celu poprawy dobrostanu zwierząt jest realizowane aktualnie w ramach Programu Rozwoju Obszarów Wiejskich działanie Dobrostan zwierząt obejmujące bydło, świnie i owce. Realizacja działania Dobrostan zwierząt polega na zapewnieniu zwierzętom zwiększonej o co najmniej 20% względem wymaganej przepisami krajowymi powierzchni bytowej w budynkach lub na zapewnieniu im dostępu do pastwisk czy wybiegów.</w:t>
      </w:r>
      <w:r>
        <w:rPr>
          <w:rFonts w:ascii="Arial Narrow" w:hAnsi="Arial Narrow"/>
        </w:rPr>
        <w:t xml:space="preserve"> </w:t>
      </w:r>
      <w:r w:rsidRPr="005D7458">
        <w:rPr>
          <w:rFonts w:ascii="Arial Narrow" w:hAnsi="Arial Narrow"/>
        </w:rPr>
        <w:t>Rozgęszczenie świń jest jednym z działań, które wpływa na ograniczenie występowania agresywnych zachowań u świń, w tym polegających na obgryzaniu ogonów, co pomoże wyeliminować konieczność wykonywania zabiegów obcinania ogonów</w:t>
      </w:r>
      <w:r>
        <w:rPr>
          <w:rFonts w:ascii="Arial Narrow" w:hAnsi="Arial Narrow"/>
        </w:rPr>
        <w:t>.</w:t>
      </w:r>
    </w:p>
    <w:p w:rsidR="001A6C40" w:rsidRDefault="001A6C40" w:rsidP="00753F91">
      <w:pPr>
        <w:spacing w:after="120" w:line="288" w:lineRule="auto"/>
        <w:jc w:val="both"/>
        <w:rPr>
          <w:rFonts w:ascii="Arial Narrow" w:hAnsi="Arial Narrow"/>
        </w:rPr>
      </w:pPr>
      <w:r w:rsidRPr="005D7458">
        <w:rPr>
          <w:rFonts w:ascii="Arial Narrow" w:hAnsi="Arial Narrow"/>
        </w:rPr>
        <w:t xml:space="preserve">Działanie to, w postaci </w:t>
      </w:r>
      <w:r w:rsidRPr="00892413">
        <w:rPr>
          <w:rFonts w:ascii="Arial Narrow" w:hAnsi="Arial Narrow"/>
          <w:i/>
        </w:rPr>
        <w:t>Ekoschematu – Dobrostan zwierząt</w:t>
      </w:r>
      <w:r w:rsidRPr="005D7458">
        <w:rPr>
          <w:rFonts w:ascii="Arial Narrow" w:hAnsi="Arial Narrow"/>
        </w:rPr>
        <w:t xml:space="preserve"> będzie kontynuowane </w:t>
      </w:r>
      <w:r w:rsidRPr="00C97613">
        <w:rPr>
          <w:rFonts w:ascii="Arial Narrow" w:hAnsi="Arial Narrow"/>
        </w:rPr>
        <w:t xml:space="preserve">w odniesieniu do obecnie wspieranych gatunków, jak również </w:t>
      </w:r>
      <w:r w:rsidRPr="005D7458">
        <w:rPr>
          <w:rFonts w:ascii="Arial Narrow" w:hAnsi="Arial Narrow"/>
        </w:rPr>
        <w:t>planowane jest</w:t>
      </w:r>
      <w:r>
        <w:rPr>
          <w:rFonts w:ascii="Arial Narrow" w:hAnsi="Arial Narrow"/>
        </w:rPr>
        <w:t xml:space="preserve"> jego</w:t>
      </w:r>
      <w:r w:rsidRPr="005D7458">
        <w:rPr>
          <w:rFonts w:ascii="Arial Narrow" w:hAnsi="Arial Narrow"/>
        </w:rPr>
        <w:t xml:space="preserve"> rozszerzeni</w:t>
      </w:r>
      <w:r>
        <w:rPr>
          <w:rFonts w:ascii="Arial Narrow" w:hAnsi="Arial Narrow"/>
        </w:rPr>
        <w:t>e</w:t>
      </w:r>
      <w:r w:rsidRPr="005D7458">
        <w:rPr>
          <w:rFonts w:ascii="Arial Narrow" w:hAnsi="Arial Narrow"/>
        </w:rPr>
        <w:t xml:space="preserve"> </w:t>
      </w:r>
      <w:r>
        <w:rPr>
          <w:rFonts w:ascii="Arial Narrow" w:hAnsi="Arial Narrow"/>
        </w:rPr>
        <w:t xml:space="preserve">o </w:t>
      </w:r>
      <w:r w:rsidRPr="005D7458">
        <w:rPr>
          <w:rFonts w:ascii="Arial Narrow" w:hAnsi="Arial Narrow"/>
        </w:rPr>
        <w:t>kolejne gatunki zwierząt</w:t>
      </w:r>
      <w:r>
        <w:rPr>
          <w:rFonts w:ascii="Arial Narrow" w:hAnsi="Arial Narrow"/>
        </w:rPr>
        <w:t>/</w:t>
      </w:r>
      <w:r w:rsidRPr="00C97613">
        <w:rPr>
          <w:rFonts w:ascii="Arial Narrow" w:hAnsi="Arial Narrow"/>
        </w:rPr>
        <w:t xml:space="preserve"> </w:t>
      </w:r>
      <w:r>
        <w:rPr>
          <w:rFonts w:ascii="Arial Narrow" w:hAnsi="Arial Narrow"/>
        </w:rPr>
        <w:t>grupy zwierząt</w:t>
      </w:r>
      <w:r w:rsidRPr="005D7458">
        <w:rPr>
          <w:rFonts w:ascii="Arial Narrow" w:hAnsi="Arial Narrow"/>
        </w:rPr>
        <w:t xml:space="preserve">, w tym </w:t>
      </w:r>
      <w:r w:rsidRPr="00C97613">
        <w:rPr>
          <w:rFonts w:ascii="Arial Narrow" w:hAnsi="Arial Narrow"/>
        </w:rPr>
        <w:t>opasy,</w:t>
      </w:r>
      <w:r>
        <w:rPr>
          <w:rFonts w:ascii="Arial Narrow" w:hAnsi="Arial Narrow"/>
        </w:rPr>
        <w:t xml:space="preserve"> </w:t>
      </w:r>
      <w:r w:rsidRPr="005D7458">
        <w:rPr>
          <w:rFonts w:ascii="Arial Narrow" w:hAnsi="Arial Narrow"/>
        </w:rPr>
        <w:t xml:space="preserve">konie, kozy, indyki, brojlery i kury nioski. W przypadku kur niosek planowane wsparcie dotyczyć będzie utrzymywania kur niosek w systemach utrzymywania innych niż klatkowy. Wsparcie </w:t>
      </w:r>
      <w:r>
        <w:rPr>
          <w:rFonts w:ascii="Arial Narrow" w:hAnsi="Arial Narrow"/>
        </w:rPr>
        <w:t xml:space="preserve">w </w:t>
      </w:r>
      <w:r>
        <w:rPr>
          <w:rFonts w:ascii="Arial Narrow" w:hAnsi="Arial Narrow"/>
        </w:rPr>
        <w:lastRenderedPageBreak/>
        <w:t>ramach interwencji</w:t>
      </w:r>
      <w:r w:rsidRPr="005D7458">
        <w:rPr>
          <w:rFonts w:ascii="Arial Narrow" w:hAnsi="Arial Narrow"/>
        </w:rPr>
        <w:t xml:space="preserve"> ma na celu zrekompensowanie dodatkowych poniesionych kosztów i utraconych dochodów w wyniku wprowadzenia praktyk hodowlanych związanych z podwyższonym dobrostanem zwierząt.</w:t>
      </w:r>
    </w:p>
    <w:p w:rsidR="00995C65" w:rsidRPr="002E31B7" w:rsidRDefault="005D7458" w:rsidP="00753F91">
      <w:pPr>
        <w:spacing w:after="120" w:line="288" w:lineRule="auto"/>
        <w:jc w:val="both"/>
        <w:rPr>
          <w:rFonts w:ascii="Arial Narrow" w:hAnsi="Arial Narrow"/>
        </w:rPr>
      </w:pPr>
      <w:r w:rsidRPr="005D7458">
        <w:rPr>
          <w:rFonts w:ascii="Arial Narrow" w:hAnsi="Arial Narrow"/>
        </w:rPr>
        <w:t>Ponadto za poprawiające dobrostan zwierząt należy uznać część inwestycji w ramach interwencji</w:t>
      </w:r>
      <w:r w:rsidR="00995C65">
        <w:rPr>
          <w:rFonts w:ascii="Arial Narrow" w:hAnsi="Arial Narrow"/>
        </w:rPr>
        <w:t xml:space="preserve"> pn. </w:t>
      </w:r>
      <w:r w:rsidRPr="00595D82">
        <w:rPr>
          <w:rFonts w:ascii="Arial Narrow" w:hAnsi="Arial Narrow"/>
          <w:i/>
        </w:rPr>
        <w:t>Inwestycje przyczyniające się do ochrony środowiska i klimatu</w:t>
      </w:r>
      <w:r w:rsidRPr="00595D82">
        <w:rPr>
          <w:rFonts w:ascii="Arial Narrow" w:hAnsi="Arial Narrow"/>
        </w:rPr>
        <w:t>, które związane są z adaptacją do niekorzystnych warunków pogodowych, m.in. budowy wiat dla zwierząt, wodopojów oraz instalacji związanych z wentylacją budynków inwentarskic</w:t>
      </w:r>
      <w:r w:rsidR="00995C65">
        <w:rPr>
          <w:rFonts w:ascii="Arial Narrow" w:hAnsi="Arial Narrow"/>
        </w:rPr>
        <w:t xml:space="preserve">h lub obniżających temperaturę. </w:t>
      </w:r>
      <w:r w:rsidRPr="005D7458">
        <w:rPr>
          <w:rFonts w:ascii="Arial Narrow" w:hAnsi="Arial Narrow"/>
        </w:rPr>
        <w:t xml:space="preserve">Dodatkowo inwestycje planowane w ramach interwencji </w:t>
      </w:r>
      <w:r w:rsidRPr="000E0894">
        <w:rPr>
          <w:rFonts w:ascii="Arial Narrow" w:hAnsi="Arial Narrow"/>
          <w:i/>
        </w:rPr>
        <w:t>Inwestycje w</w:t>
      </w:r>
      <w:r w:rsidR="00D763F7">
        <w:rPr>
          <w:rFonts w:ascii="Arial Narrow" w:hAnsi="Arial Narrow"/>
          <w:i/>
        </w:rPr>
        <w:t> </w:t>
      </w:r>
      <w:r w:rsidRPr="000E0894">
        <w:rPr>
          <w:rFonts w:ascii="Arial Narrow" w:hAnsi="Arial Narrow"/>
          <w:i/>
        </w:rPr>
        <w:t>gospodarstwach rolnych zwiększające konkurencyjność (dotacje)</w:t>
      </w:r>
      <w:r w:rsidRPr="005D7458">
        <w:rPr>
          <w:rFonts w:ascii="Arial Narrow" w:hAnsi="Arial Narrow"/>
        </w:rPr>
        <w:t xml:space="preserve"> mogą </w:t>
      </w:r>
      <w:r w:rsidR="00995C65">
        <w:rPr>
          <w:rFonts w:ascii="Arial Narrow" w:hAnsi="Arial Narrow"/>
        </w:rPr>
        <w:t>także</w:t>
      </w:r>
      <w:r w:rsidRPr="005D7458">
        <w:rPr>
          <w:rFonts w:ascii="Arial Narrow" w:hAnsi="Arial Narrow"/>
        </w:rPr>
        <w:t xml:space="preserve"> realizować cel poprawy dobrostan</w:t>
      </w:r>
      <w:r w:rsidR="001A6C40">
        <w:rPr>
          <w:rFonts w:ascii="Arial Narrow" w:hAnsi="Arial Narrow"/>
        </w:rPr>
        <w:t>u</w:t>
      </w:r>
      <w:r w:rsidRPr="005D7458">
        <w:rPr>
          <w:rFonts w:ascii="Arial Narrow" w:hAnsi="Arial Narrow"/>
        </w:rPr>
        <w:t xml:space="preserve"> zwierząt. Pomoc w tej interwencji może dotyczyć wsparcia budowy lub modernizacji oraz wyposażenia budynków lub budowli służących do produkcji zwierzęcej</w:t>
      </w:r>
      <w:r w:rsidR="00995C65">
        <w:rPr>
          <w:rFonts w:ascii="Arial Narrow" w:hAnsi="Arial Narrow"/>
        </w:rPr>
        <w:t xml:space="preserve">, a także </w:t>
      </w:r>
      <w:r w:rsidR="00995C65" w:rsidRPr="002E31B7">
        <w:rPr>
          <w:rFonts w:ascii="Arial Narrow" w:hAnsi="Arial Narrow"/>
        </w:rPr>
        <w:t>zapewnieni</w:t>
      </w:r>
      <w:r w:rsidR="00995C65">
        <w:rPr>
          <w:rFonts w:ascii="Arial Narrow" w:hAnsi="Arial Narrow"/>
        </w:rPr>
        <w:t>a</w:t>
      </w:r>
      <w:r w:rsidR="00995C65" w:rsidRPr="002E31B7">
        <w:rPr>
          <w:rFonts w:ascii="Arial Narrow" w:hAnsi="Arial Narrow"/>
        </w:rPr>
        <w:t xml:space="preserve"> wybiegów oraz pastwisk dla zwierząt z wykorzystaniem innowacyjnych rozwiązań</w:t>
      </w:r>
      <w:r w:rsidRPr="005D7458">
        <w:rPr>
          <w:rFonts w:ascii="Arial Narrow" w:hAnsi="Arial Narrow"/>
        </w:rPr>
        <w:t>. Za realizujące cel poprawy dobrostanu zwierząt należy także uznać wszelkie wsparcie dla produkcji zwierzęcej w ramach rolnictwa ekologicznego, które zakłada stosowanie wysokich standardów dotyczących dobrostanu zwierząt.</w:t>
      </w:r>
      <w:r w:rsidR="00995C65" w:rsidRPr="00995C65">
        <w:rPr>
          <w:rFonts w:ascii="Arial Narrow" w:hAnsi="Arial Narrow"/>
        </w:rPr>
        <w:t xml:space="preserve"> </w:t>
      </w:r>
    </w:p>
    <w:p w:rsidR="009F4926" w:rsidRDefault="005D7458" w:rsidP="00753F91">
      <w:pPr>
        <w:spacing w:after="120" w:line="288" w:lineRule="auto"/>
        <w:jc w:val="both"/>
      </w:pPr>
      <w:r w:rsidRPr="005D7458">
        <w:rPr>
          <w:rFonts w:ascii="Arial Narrow" w:hAnsi="Arial Narrow"/>
        </w:rPr>
        <w:t xml:space="preserve">Jeśli chodzi o działania związane z zapobieganiem rozprzestrzenianiu się ASF planuje się kontynuację wsparcia realizowanego w ramach PROW 2014-2020 w postaci interwencji </w:t>
      </w:r>
      <w:r w:rsidRPr="000E0894">
        <w:rPr>
          <w:rFonts w:ascii="Arial Narrow" w:hAnsi="Arial Narrow"/>
          <w:i/>
        </w:rPr>
        <w:t>Inwestycje zapobiegające rozprzestrzenianiu się ASF</w:t>
      </w:r>
      <w:r w:rsidRPr="005D7458">
        <w:rPr>
          <w:rFonts w:ascii="Arial Narrow" w:hAnsi="Arial Narrow"/>
        </w:rPr>
        <w:t>.</w:t>
      </w:r>
    </w:p>
    <w:p w:rsidR="00995C65" w:rsidRDefault="00995C65">
      <w:pPr>
        <w:rPr>
          <w:rFonts w:ascii="Arial Narrow" w:hAnsi="Arial Narrow" w:cs="Times New Roman"/>
          <w:b/>
          <w:bCs/>
          <w:noProof/>
        </w:rPr>
      </w:pPr>
      <w:r>
        <w:rPr>
          <w:rFonts w:ascii="Arial Narrow" w:hAnsi="Arial Narrow" w:cs="Times New Roman"/>
          <w:b/>
          <w:bCs/>
          <w:noProof/>
        </w:rPr>
        <w:br w:type="page"/>
      </w:r>
    </w:p>
    <w:p w:rsidR="009F4926" w:rsidRPr="005D7458" w:rsidRDefault="005D7458" w:rsidP="005D7458">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
          <w:bCs/>
          <w:noProof/>
        </w:rPr>
      </w:pPr>
      <w:r>
        <w:rPr>
          <w:rFonts w:ascii="Arial Narrow" w:hAnsi="Arial Narrow" w:cs="Times New Roman"/>
          <w:b/>
          <w:bCs/>
          <w:noProof/>
        </w:rPr>
        <w:lastRenderedPageBreak/>
        <w:t xml:space="preserve">Rekomendacja </w:t>
      </w:r>
      <w:r w:rsidR="000E0894">
        <w:rPr>
          <w:rFonts w:ascii="Arial Narrow" w:hAnsi="Arial Narrow" w:cs="Times New Roman"/>
          <w:b/>
          <w:bCs/>
          <w:noProof/>
        </w:rPr>
        <w:t>nr 13</w:t>
      </w:r>
      <w:r>
        <w:rPr>
          <w:rFonts w:ascii="Arial Narrow" w:hAnsi="Arial Narrow" w:cs="Times New Roman"/>
          <w:b/>
          <w:bCs/>
          <w:noProof/>
        </w:rPr>
        <w:t xml:space="preserve">: </w:t>
      </w:r>
      <w:r w:rsidR="009F4926" w:rsidRPr="00792B90">
        <w:rPr>
          <w:rFonts w:ascii="Arial Narrow" w:hAnsi="Arial Narrow" w:cs="Times New Roman"/>
          <w:bCs/>
          <w:i/>
          <w:noProof/>
        </w:rPr>
        <w:t>Przyczynianie się do realizacji celów Europejskiego Zielonego Ładu w zakresie pestycydów, w szczególności poprzez działanie na rzecz ograniczenia stosowania bardziej niebezpiecznych pestycydów i zapewnienie stosowania praktyk zintegrowanego zarząd</w:t>
      </w:r>
      <w:r w:rsidR="00792B90">
        <w:rPr>
          <w:rFonts w:ascii="Arial Narrow" w:hAnsi="Arial Narrow" w:cs="Times New Roman"/>
          <w:bCs/>
          <w:i/>
          <w:noProof/>
        </w:rPr>
        <w:t>zania ochroną przed szkodnikami</w:t>
      </w:r>
    </w:p>
    <w:p w:rsidR="006E2603" w:rsidRPr="00302BC1" w:rsidRDefault="000E0894" w:rsidP="00753F91">
      <w:pPr>
        <w:pStyle w:val="Akapitzlist"/>
        <w:spacing w:after="120" w:line="288" w:lineRule="auto"/>
        <w:ind w:left="0"/>
        <w:contextualSpacing w:val="0"/>
        <w:jc w:val="both"/>
        <w:rPr>
          <w:rFonts w:ascii="Arial Narrow" w:hAnsi="Arial Narrow"/>
          <w:color w:val="222222"/>
        </w:rPr>
      </w:pPr>
      <w:r w:rsidRPr="00302BC1">
        <w:rPr>
          <w:rFonts w:ascii="Arial Narrow" w:hAnsi="Arial Narrow"/>
          <w:color w:val="222222"/>
        </w:rPr>
        <w:t>Wg danych Eurostatu, pomimo postępującej profesjonalizacji rolnictwa w Polsce, nadal relatywnie niskie jest zużycie środków ochrony roślin wyrażone w kg/ha. W najbardziej aktualnych dostępnych danych za rok 2014, Polska plasowała się pod tym względem na 12 miejscu w Unii Europejskiej przy zużyciu na poziomie ok. 1,5 kg środków ochrony roślin na ha, podczas gdy w państwie o najwyższym zużyciu wartość ta wynosiła blisko 10 kg środków ochrony roślin na ha</w:t>
      </w:r>
      <w:r w:rsidR="006E2603" w:rsidRPr="00302BC1">
        <w:rPr>
          <w:rStyle w:val="Odwoanieprzypisudolnego"/>
          <w:rFonts w:ascii="Arial Narrow" w:hAnsi="Arial Narrow"/>
          <w:color w:val="222222"/>
          <w:vertAlign w:val="superscript"/>
        </w:rPr>
        <w:footnoteReference w:id="1"/>
      </w:r>
      <w:r w:rsidR="001A6C40" w:rsidRPr="00302BC1">
        <w:rPr>
          <w:rFonts w:ascii="Arial Narrow" w:hAnsi="Arial Narrow"/>
          <w:color w:val="222222"/>
        </w:rPr>
        <w:t>.</w:t>
      </w:r>
    </w:p>
    <w:p w:rsidR="000E0894" w:rsidRPr="00753F91" w:rsidRDefault="000E0894" w:rsidP="00753F91">
      <w:pPr>
        <w:pStyle w:val="Akapitzlist"/>
        <w:spacing w:after="120" w:line="288" w:lineRule="auto"/>
        <w:ind w:left="0"/>
        <w:contextualSpacing w:val="0"/>
        <w:jc w:val="both"/>
        <w:rPr>
          <w:rFonts w:ascii="Arial Narrow" w:hAnsi="Arial Narrow"/>
          <w:color w:val="222222"/>
        </w:rPr>
      </w:pPr>
      <w:r w:rsidRPr="00753F91">
        <w:rPr>
          <w:rFonts w:ascii="Arial Narrow" w:hAnsi="Arial Narrow"/>
          <w:color w:val="222222"/>
        </w:rPr>
        <w:t xml:space="preserve">Powoduje to, iż w Polsce presja ze strony rolnictwa na środowisko jest nadal relatywnie niska i tendencja ta może zostać utrzymana poprzez odpowiednie działania ukierunkowane na wsparcie rolników w tym zakresie. Jednocześnie pamiętać należy o dużym zróżnicowaniu gospodarstw i upraw pod względem intensywności stosowania środków ochrony roślin. </w:t>
      </w:r>
    </w:p>
    <w:p w:rsidR="000E0894" w:rsidRPr="00753F91" w:rsidRDefault="00D6680C" w:rsidP="00753F91">
      <w:pPr>
        <w:spacing w:after="120" w:line="288" w:lineRule="auto"/>
        <w:jc w:val="both"/>
        <w:rPr>
          <w:rFonts w:ascii="Arial Narrow" w:hAnsi="Arial Narrow" w:cs="Times New Roman"/>
        </w:rPr>
      </w:pPr>
      <w:r w:rsidRPr="00753F91">
        <w:rPr>
          <w:rFonts w:ascii="Arial Narrow" w:hAnsi="Arial Narrow"/>
          <w:color w:val="222222"/>
        </w:rPr>
        <w:t>Jednocześnie Polska od szeregu lat podejmuje aktywne działania ukierunkowane na racjonalizację stosowania środków ochrony roślin oraz ograniczanie ryzyka związanego z aplikacją tych preparatów.</w:t>
      </w:r>
      <w:r w:rsidRPr="00753F91" w:rsidDel="00760306">
        <w:rPr>
          <w:rFonts w:ascii="Arial Narrow" w:hAnsi="Arial Narrow"/>
          <w:color w:val="222222"/>
        </w:rPr>
        <w:t xml:space="preserve"> </w:t>
      </w:r>
      <w:r w:rsidRPr="00302BC1">
        <w:rPr>
          <w:rFonts w:ascii="Arial Narrow" w:hAnsi="Arial Narrow"/>
          <w:color w:val="222222"/>
        </w:rPr>
        <w:t>Działania te opisane zostały w drugim już przyjętym w Polsce</w:t>
      </w:r>
      <w:r w:rsidR="000E0894" w:rsidRPr="00302BC1">
        <w:rPr>
          <w:rStyle w:val="fontstyle01"/>
          <w:rFonts w:ascii="Arial Narrow" w:eastAsia="Calibri" w:hAnsi="Arial Narrow"/>
          <w:color w:val="000000"/>
        </w:rPr>
        <w:t xml:space="preserve"> </w:t>
      </w:r>
      <w:r w:rsidR="000E0894" w:rsidRPr="00302BC1">
        <w:rPr>
          <w:rFonts w:ascii="Arial Narrow" w:hAnsi="Arial Narrow" w:cs="Times New Roman"/>
        </w:rPr>
        <w:t>Krajowy</w:t>
      </w:r>
      <w:r w:rsidRPr="00302BC1">
        <w:rPr>
          <w:rFonts w:ascii="Arial Narrow" w:hAnsi="Arial Narrow" w:cs="Times New Roman"/>
        </w:rPr>
        <w:t>m</w:t>
      </w:r>
      <w:r w:rsidR="000E0894" w:rsidRPr="00302BC1">
        <w:rPr>
          <w:rFonts w:ascii="Arial Narrow" w:hAnsi="Arial Narrow" w:cs="Times New Roman"/>
        </w:rPr>
        <w:t xml:space="preserve"> plan</w:t>
      </w:r>
      <w:r w:rsidRPr="00753F91">
        <w:rPr>
          <w:rFonts w:ascii="Arial Narrow" w:hAnsi="Arial Narrow" w:cs="Times New Roman"/>
        </w:rPr>
        <w:t>ie</w:t>
      </w:r>
      <w:r w:rsidR="000E0894" w:rsidRPr="00753F91">
        <w:rPr>
          <w:rFonts w:ascii="Arial Narrow" w:hAnsi="Arial Narrow" w:cs="Times New Roman"/>
        </w:rPr>
        <w:t xml:space="preserve"> działania </w:t>
      </w:r>
      <w:r w:rsidRPr="00753F91">
        <w:rPr>
          <w:rFonts w:ascii="Arial Narrow" w:hAnsi="Arial Narrow"/>
          <w:color w:val="222222"/>
        </w:rPr>
        <w:t>na rzecz ograniczenia ryzyka związanego ze stosowaniem środków ochrony roślin.</w:t>
      </w:r>
      <w:r w:rsidRPr="00753F91">
        <w:rPr>
          <w:rFonts w:ascii="Arial Narrow" w:hAnsi="Arial Narrow" w:cs="Times New Roman"/>
        </w:rPr>
        <w:t xml:space="preserve"> Cele krajowego planu działania realizowane będą przede wszystkim poprzez </w:t>
      </w:r>
      <w:r w:rsidR="000E0894" w:rsidRPr="00753F91">
        <w:rPr>
          <w:rFonts w:ascii="Arial Narrow" w:hAnsi="Arial Narrow" w:cs="Times New Roman"/>
        </w:rPr>
        <w:t xml:space="preserve">upowszechnienie ogólnych zasad integrowanej ochrony roślin oraz zapobieganie zagrożeniom związanym ze stosowaniem środków ochrony roślin. </w:t>
      </w:r>
    </w:p>
    <w:p w:rsidR="000E0894" w:rsidRPr="00753F91" w:rsidRDefault="000E0894" w:rsidP="00753F91">
      <w:pPr>
        <w:pStyle w:val="Akapitzlist"/>
        <w:spacing w:after="120" w:line="288" w:lineRule="auto"/>
        <w:ind w:left="0"/>
        <w:contextualSpacing w:val="0"/>
        <w:jc w:val="both"/>
        <w:rPr>
          <w:rFonts w:ascii="Arial Narrow" w:hAnsi="Arial Narrow"/>
          <w:bCs/>
          <w:color w:val="000000" w:themeColor="text1"/>
        </w:rPr>
      </w:pPr>
      <w:r w:rsidRPr="00753F91">
        <w:rPr>
          <w:rFonts w:ascii="Arial Narrow" w:hAnsi="Arial Narrow"/>
          <w:bCs/>
          <w:color w:val="000000" w:themeColor="text1"/>
        </w:rPr>
        <w:t xml:space="preserve">Działania przedsięwzięte </w:t>
      </w:r>
      <w:r w:rsidR="00D6680C" w:rsidRPr="00753F91">
        <w:rPr>
          <w:rFonts w:ascii="Arial Narrow" w:hAnsi="Arial Narrow"/>
          <w:bCs/>
          <w:color w:val="000000" w:themeColor="text1"/>
        </w:rPr>
        <w:t xml:space="preserve">do tej pory </w:t>
      </w:r>
      <w:r w:rsidRPr="00753F91">
        <w:rPr>
          <w:rFonts w:ascii="Arial Narrow" w:hAnsi="Arial Narrow"/>
          <w:bCs/>
          <w:color w:val="000000" w:themeColor="text1"/>
        </w:rPr>
        <w:t>przez Polskę to</w:t>
      </w:r>
      <w:r w:rsidR="00D6680C" w:rsidRPr="00753F91">
        <w:rPr>
          <w:rFonts w:ascii="Arial Narrow" w:hAnsi="Arial Narrow"/>
          <w:bCs/>
          <w:color w:val="000000" w:themeColor="text1"/>
        </w:rPr>
        <w:t xml:space="preserve"> m.in.</w:t>
      </w:r>
      <w:r w:rsidRPr="00753F91">
        <w:rPr>
          <w:rFonts w:ascii="Arial Narrow" w:hAnsi="Arial Narrow"/>
          <w:bCs/>
          <w:color w:val="000000" w:themeColor="text1"/>
        </w:rPr>
        <w:t>:</w:t>
      </w:r>
    </w:p>
    <w:p w:rsidR="000E0894" w:rsidRPr="00753F91" w:rsidRDefault="000E0894" w:rsidP="00753F91">
      <w:pPr>
        <w:pStyle w:val="Akapitzlist"/>
        <w:spacing w:after="120" w:line="288" w:lineRule="auto"/>
        <w:ind w:left="0"/>
        <w:contextualSpacing w:val="0"/>
        <w:jc w:val="both"/>
        <w:rPr>
          <w:rFonts w:ascii="Arial Narrow" w:hAnsi="Arial Narrow"/>
          <w:b/>
          <w:bCs/>
          <w:color w:val="000000" w:themeColor="text1"/>
        </w:rPr>
      </w:pPr>
      <w:r w:rsidRPr="00753F91">
        <w:rPr>
          <w:rFonts w:ascii="Arial Narrow" w:hAnsi="Arial Narrow"/>
          <w:b/>
          <w:bCs/>
          <w:color w:val="000000" w:themeColor="text1"/>
        </w:rPr>
        <w:t>Wdrożone już prawodawstwo w zakresie zrównoważonego stosowania środków ochrony roślin</w:t>
      </w:r>
    </w:p>
    <w:p w:rsidR="00D6680C" w:rsidRPr="00753F91" w:rsidRDefault="000E0894" w:rsidP="00753F91">
      <w:pPr>
        <w:spacing w:after="0" w:line="288" w:lineRule="auto"/>
        <w:jc w:val="both"/>
        <w:rPr>
          <w:rFonts w:ascii="Arial Narrow" w:hAnsi="Arial Narrow"/>
        </w:rPr>
      </w:pPr>
      <w:r w:rsidRPr="00753F91">
        <w:rPr>
          <w:rFonts w:ascii="Arial Narrow" w:hAnsi="Arial Narrow"/>
        </w:rPr>
        <w:t xml:space="preserve">Polska wprowadziła mechanizmy </w:t>
      </w:r>
      <w:r w:rsidR="00D6680C" w:rsidRPr="00753F91">
        <w:rPr>
          <w:rFonts w:ascii="Arial Narrow" w:hAnsi="Arial Narrow"/>
        </w:rPr>
        <w:t>prawne dotyczące</w:t>
      </w:r>
      <w:r w:rsidRPr="00753F91">
        <w:rPr>
          <w:rFonts w:ascii="Arial Narrow" w:hAnsi="Arial Narrow"/>
        </w:rPr>
        <w:t xml:space="preserve"> ograniczania stosowania chemicznych środków ochrony roślin i jednocześnie monitoruje postępy w ograniczaniu tego stosowania, również w odniesieniu do substancji kwalifikujących się do zastąpienia, o których mowa w strategii „</w:t>
      </w:r>
      <w:r w:rsidRPr="00112E4C">
        <w:rPr>
          <w:rFonts w:ascii="Arial Narrow" w:hAnsi="Arial Narrow"/>
          <w:i/>
        </w:rPr>
        <w:t>Od pola do stołu</w:t>
      </w:r>
      <w:r w:rsidRPr="00753F91">
        <w:rPr>
          <w:rFonts w:ascii="Arial Narrow" w:hAnsi="Arial Narrow"/>
        </w:rPr>
        <w:t xml:space="preserve">”. Prawodawstwo w zakresie zrównoważonego stosowania środków ochrony roślin </w:t>
      </w:r>
      <w:r w:rsidR="00D6680C" w:rsidRPr="00753F91">
        <w:rPr>
          <w:rFonts w:ascii="Arial Narrow" w:hAnsi="Arial Narrow"/>
        </w:rPr>
        <w:t xml:space="preserve">obejmuje </w:t>
      </w:r>
      <w:r w:rsidRPr="00753F91">
        <w:rPr>
          <w:rFonts w:ascii="Arial Narrow" w:hAnsi="Arial Narrow"/>
        </w:rPr>
        <w:t>m.in.:</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lastRenderedPageBreak/>
        <w:t xml:space="preserve">badania sprawności sprzętu do stosowania środków ochrony roślin; </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szkol</w:t>
      </w:r>
      <w:r w:rsidR="00D6680C" w:rsidRPr="00753F91">
        <w:rPr>
          <w:rStyle w:val="fontstyle01"/>
          <w:rFonts w:ascii="Arial Narrow" w:eastAsia="Calibri" w:hAnsi="Arial Narrow"/>
          <w:color w:val="000000"/>
        </w:rPr>
        <w:t>enia</w:t>
      </w:r>
      <w:r w:rsidRPr="00753F91">
        <w:rPr>
          <w:rStyle w:val="fontstyle01"/>
          <w:rFonts w:ascii="Arial Narrow" w:eastAsia="Calibri" w:hAnsi="Arial Narrow"/>
          <w:color w:val="000000"/>
        </w:rPr>
        <w:t xml:space="preserve"> dla osób stosujących środki ochrony roślin, dystrybutorów tych preparatów oraz doradców;</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 xml:space="preserve">wprowadzenie </w:t>
      </w:r>
      <w:r w:rsidR="00D6680C" w:rsidRPr="00753F91">
        <w:rPr>
          <w:rStyle w:val="fontstyle01"/>
          <w:rFonts w:ascii="Arial Narrow" w:eastAsia="Calibri" w:hAnsi="Arial Narrow"/>
          <w:color w:val="000000"/>
        </w:rPr>
        <w:t xml:space="preserve">ograniczeń w </w:t>
      </w:r>
      <w:r w:rsidRPr="00753F91">
        <w:rPr>
          <w:rStyle w:val="fontstyle01"/>
          <w:rFonts w:ascii="Arial Narrow" w:eastAsia="Calibri" w:hAnsi="Arial Narrow"/>
          <w:color w:val="000000"/>
        </w:rPr>
        <w:t>stosowani</w:t>
      </w:r>
      <w:r w:rsidR="00D6680C" w:rsidRPr="00753F91">
        <w:rPr>
          <w:rStyle w:val="fontstyle01"/>
          <w:rFonts w:ascii="Arial Narrow" w:eastAsia="Calibri" w:hAnsi="Arial Narrow"/>
          <w:color w:val="000000"/>
        </w:rPr>
        <w:t>u</w:t>
      </w:r>
      <w:r w:rsidRPr="00753F91">
        <w:rPr>
          <w:rStyle w:val="fontstyle01"/>
          <w:rFonts w:ascii="Arial Narrow" w:eastAsia="Calibri" w:hAnsi="Arial Narrow"/>
          <w:color w:val="000000"/>
        </w:rPr>
        <w:t xml:space="preserve"> środków ochrony roślin na terenach szczególnie wrażliwych; </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określeni</w:t>
      </w:r>
      <w:r w:rsidR="00D6680C" w:rsidRPr="00753F91">
        <w:rPr>
          <w:rStyle w:val="fontstyle01"/>
          <w:rFonts w:ascii="Arial Narrow" w:eastAsia="Calibri" w:hAnsi="Arial Narrow"/>
          <w:color w:val="000000"/>
        </w:rPr>
        <w:t>e</w:t>
      </w:r>
      <w:r w:rsidRPr="00753F91">
        <w:rPr>
          <w:rStyle w:val="fontstyle01"/>
          <w:rFonts w:ascii="Arial Narrow" w:eastAsia="Calibri" w:hAnsi="Arial Narrow"/>
          <w:color w:val="000000"/>
        </w:rPr>
        <w:t xml:space="preserve"> minimalnych odległości od szczególnie wrażliwych miejsc w jakich można stosować środki ochrony roślin; </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określenie warunków bezpiecznego stosowania środków ochrony roślin</w:t>
      </w:r>
      <w:r w:rsidR="00D6680C" w:rsidRPr="00753F91">
        <w:rPr>
          <w:rStyle w:val="fontstyle01"/>
          <w:rFonts w:ascii="Arial Narrow" w:eastAsia="Calibri" w:hAnsi="Arial Narrow"/>
          <w:color w:val="000000"/>
        </w:rPr>
        <w:t xml:space="preserve"> (tj. magazynowania środków ochrony roślin, przygotowywania zabiegu, aplikacji preparatu oraz postępowania po wykonaniu zabiegu)</w:t>
      </w:r>
      <w:r w:rsidRPr="00753F91">
        <w:rPr>
          <w:rStyle w:val="fontstyle01"/>
          <w:rFonts w:ascii="Arial Narrow" w:eastAsia="Calibri" w:hAnsi="Arial Narrow"/>
          <w:color w:val="000000"/>
        </w:rPr>
        <w:t>, w tym warunków atmosferycznych</w:t>
      </w:r>
      <w:r w:rsidR="00D6680C" w:rsidRPr="00753F91">
        <w:rPr>
          <w:rStyle w:val="fontstyle01"/>
          <w:rFonts w:ascii="Arial Narrow" w:eastAsia="Calibri" w:hAnsi="Arial Narrow"/>
          <w:color w:val="000000"/>
        </w:rPr>
        <w:t xml:space="preserve"> wykonywania zabiegów;</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określenie zasad stosowania środków ochrony roślin sprzętem agrolotniczym;</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 xml:space="preserve">wprowadzenie obowiązku przestrzegania zasad integrowanej ochrony roślin; </w:t>
      </w:r>
    </w:p>
    <w:p w:rsidR="000E0894" w:rsidRPr="00753F91" w:rsidRDefault="000E0894" w:rsidP="00753F91">
      <w:pPr>
        <w:pStyle w:val="Akapitzlist"/>
        <w:numPr>
          <w:ilvl w:val="0"/>
          <w:numId w:val="23"/>
        </w:numPr>
        <w:spacing w:after="12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 xml:space="preserve">utworzenie systemu kontroli obrotu i stosowania środków ochrony roślin. </w:t>
      </w:r>
    </w:p>
    <w:p w:rsidR="00D6680C" w:rsidRPr="00753F91" w:rsidRDefault="00D6680C" w:rsidP="00753F91">
      <w:pPr>
        <w:spacing w:after="120" w:line="288" w:lineRule="auto"/>
        <w:jc w:val="both"/>
        <w:rPr>
          <w:rFonts w:ascii="Arial Narrow" w:hAnsi="Arial Narrow"/>
        </w:rPr>
      </w:pPr>
      <w:r w:rsidRPr="00302BC1">
        <w:rPr>
          <w:rFonts w:ascii="Arial Narrow" w:hAnsi="Arial Narrow"/>
        </w:rPr>
        <w:t xml:space="preserve">Ustanowiono także </w:t>
      </w:r>
      <w:r w:rsidR="000E0894" w:rsidRPr="00302BC1">
        <w:rPr>
          <w:rFonts w:ascii="Arial Narrow" w:hAnsi="Arial Narrow"/>
        </w:rPr>
        <w:t xml:space="preserve">system </w:t>
      </w:r>
      <w:r w:rsidRPr="00302BC1">
        <w:rPr>
          <w:rFonts w:ascii="Arial Narrow" w:hAnsi="Arial Narrow"/>
        </w:rPr>
        <w:t>jakości i certyfikacji żywności</w:t>
      </w:r>
      <w:r w:rsidR="000E0894" w:rsidRPr="00302BC1">
        <w:rPr>
          <w:rFonts w:ascii="Arial Narrow" w:hAnsi="Arial Narrow"/>
        </w:rPr>
        <w:t xml:space="preserve"> uwzględniający zasady integrowanej ochrony roślin</w:t>
      </w:r>
      <w:r w:rsidRPr="00302BC1">
        <w:rPr>
          <w:rFonts w:ascii="Arial Narrow" w:hAnsi="Arial Narrow"/>
        </w:rPr>
        <w:t xml:space="preserve"> – integrowana produkcja roślin</w:t>
      </w:r>
      <w:r w:rsidR="000E0894" w:rsidRPr="00753F91">
        <w:rPr>
          <w:rFonts w:ascii="Arial Narrow" w:hAnsi="Arial Narrow"/>
        </w:rPr>
        <w:t xml:space="preserve">. </w:t>
      </w:r>
    </w:p>
    <w:p w:rsidR="000E0894" w:rsidRPr="00753F91" w:rsidRDefault="000E0894" w:rsidP="00753F91">
      <w:pPr>
        <w:spacing w:after="120" w:line="288" w:lineRule="auto"/>
        <w:jc w:val="both"/>
        <w:rPr>
          <w:rFonts w:ascii="Arial Narrow" w:hAnsi="Arial Narrow"/>
        </w:rPr>
      </w:pPr>
      <w:r w:rsidRPr="00753F91">
        <w:rPr>
          <w:rFonts w:ascii="Arial Narrow" w:hAnsi="Arial Narrow"/>
        </w:rPr>
        <w:t xml:space="preserve">Głównym celem </w:t>
      </w:r>
      <w:r w:rsidR="00D6680C" w:rsidRPr="00753F91">
        <w:rPr>
          <w:rFonts w:ascii="Arial Narrow" w:hAnsi="Arial Narrow"/>
        </w:rPr>
        <w:t xml:space="preserve">opisanych </w:t>
      </w:r>
      <w:r w:rsidRPr="00753F91">
        <w:rPr>
          <w:rFonts w:ascii="Arial Narrow" w:hAnsi="Arial Narrow"/>
        </w:rPr>
        <w:t xml:space="preserve">przepisów jest osiągnięcie zrównoważonego stosowania środków ochrony roślin. </w:t>
      </w:r>
    </w:p>
    <w:p w:rsidR="000E0894" w:rsidRPr="00753F91" w:rsidRDefault="000E0894" w:rsidP="00753F91">
      <w:pPr>
        <w:pStyle w:val="Akapitzlist"/>
        <w:spacing w:after="120" w:line="288" w:lineRule="auto"/>
        <w:ind w:left="0"/>
        <w:contextualSpacing w:val="0"/>
        <w:jc w:val="both"/>
        <w:rPr>
          <w:rFonts w:ascii="Arial Narrow" w:hAnsi="Arial Narrow"/>
          <w:b/>
          <w:bCs/>
          <w:color w:val="000000" w:themeColor="text1"/>
        </w:rPr>
      </w:pPr>
      <w:bookmarkStart w:id="12" w:name="_Przyjęty_Krajowy_plan"/>
      <w:bookmarkEnd w:id="12"/>
      <w:r w:rsidRPr="00753F91">
        <w:rPr>
          <w:rFonts w:ascii="Arial Narrow" w:hAnsi="Arial Narrow"/>
          <w:b/>
          <w:bCs/>
          <w:color w:val="000000" w:themeColor="text1"/>
        </w:rPr>
        <w:t>Przyjęty (drugi) Krajowy plan działania na lata 2018-22 na rzecz ograniczenia ryzyka związanego ze stosowaniem środków ochrony roślin</w:t>
      </w:r>
    </w:p>
    <w:p w:rsidR="000E0894" w:rsidRPr="00753F91" w:rsidRDefault="000E0894" w:rsidP="00753F91">
      <w:pPr>
        <w:spacing w:after="120" w:line="288" w:lineRule="auto"/>
        <w:jc w:val="both"/>
        <w:rPr>
          <w:rFonts w:ascii="Arial Narrow" w:hAnsi="Arial Narrow"/>
        </w:rPr>
      </w:pPr>
      <w:r w:rsidRPr="00753F91">
        <w:rPr>
          <w:rFonts w:ascii="Arial Narrow" w:hAnsi="Arial Narrow"/>
        </w:rPr>
        <w:t>Dokument ten określa zadania dla jednostek administracji publicznej w zakresie ograniczania zagrożeń związanych z wykonywaniem chemicznych zabiegów ochrony roślin. Zadania te będą stanowić wsparcie dla producentów w</w:t>
      </w:r>
      <w:r w:rsidR="00D763F7">
        <w:rPr>
          <w:rFonts w:ascii="Arial Narrow" w:hAnsi="Arial Narrow"/>
        </w:rPr>
        <w:t> </w:t>
      </w:r>
      <w:r w:rsidRPr="00753F91">
        <w:rPr>
          <w:rFonts w:ascii="Arial Narrow" w:hAnsi="Arial Narrow"/>
        </w:rPr>
        <w:t>wytwarzaniu żywności wysokiej jakości, spełniającej wymagania w zakresie bezpieczeństwa konsumenta, przy zminimalizowaniu negatywnej presji na środowisko naturalne. Kluczowe jest upowszechnianie ogólnych zasad integrowanej ochrony roślin, co prowadzi do zmniejszenia zależności produkcji roślinnej od preparatów chemicznych i w efekcie ogranicza ryzyko związane z ich użyciem – zarówno dla konsumentów płodów rolnych, osób wykonujących zabiegi, jak i środowiska, a w szczególności środowiska wodnego oraz owadów zapylających. Duży nacisk położony został na ochronę owadów zapylających oraz środowiska wodnego. Planowany jest także rozwój monitoringu obecności środków ochrony roślin w wodach powierzchniowych.</w:t>
      </w:r>
    </w:p>
    <w:p w:rsidR="000E0894" w:rsidRPr="00753F91" w:rsidRDefault="000E0894" w:rsidP="00753F91">
      <w:pPr>
        <w:spacing w:after="120" w:line="288" w:lineRule="auto"/>
        <w:jc w:val="both"/>
        <w:rPr>
          <w:rFonts w:ascii="Arial Narrow" w:hAnsi="Arial Narrow"/>
        </w:rPr>
      </w:pPr>
      <w:r w:rsidRPr="00753F91">
        <w:rPr>
          <w:rFonts w:ascii="Arial Narrow" w:hAnsi="Arial Narrow"/>
        </w:rPr>
        <w:lastRenderedPageBreak/>
        <w:t xml:space="preserve">Rozwijana i doskonalona będzie Platforma sygnalizacji agrofagów </w:t>
      </w:r>
      <w:hyperlink r:id="rId9" w:history="1">
        <w:r w:rsidRPr="00753F91">
          <w:rPr>
            <w:rFonts w:ascii="Arial Narrow" w:hAnsi="Arial Narrow"/>
          </w:rPr>
          <w:t>www.agrofagi.pl</w:t>
        </w:r>
      </w:hyperlink>
      <w:r w:rsidRPr="00302BC1">
        <w:rPr>
          <w:rFonts w:ascii="Arial Narrow" w:hAnsi="Arial Narrow"/>
        </w:rPr>
        <w:t xml:space="preserve">, </w:t>
      </w:r>
      <w:r w:rsidR="00D6680C" w:rsidRPr="00302BC1">
        <w:rPr>
          <w:rFonts w:ascii="Arial Narrow" w:hAnsi="Arial Narrow"/>
        </w:rPr>
        <w:t xml:space="preserve">jako </w:t>
      </w:r>
      <w:r w:rsidRPr="00302BC1">
        <w:rPr>
          <w:rFonts w:ascii="Arial Narrow" w:hAnsi="Arial Narrow"/>
        </w:rPr>
        <w:t xml:space="preserve">podstawowe narzędzie służące udostępnianiu </w:t>
      </w:r>
      <w:r w:rsidRPr="00753F91">
        <w:rPr>
          <w:rFonts w:ascii="Arial Narrow" w:hAnsi="Arial Narrow"/>
          <w:color w:val="222222"/>
        </w:rPr>
        <w:t>informacji</w:t>
      </w:r>
      <w:r w:rsidRPr="00753F91">
        <w:rPr>
          <w:rFonts w:ascii="Arial Narrow" w:hAnsi="Arial Narrow"/>
        </w:rPr>
        <w:t xml:space="preserve"> dotyczących środków ograniczających ryzyko związane ze stosowaniem środków ochrony roślin dla zdrowia ludzi, zwierząt oraz dla środowiska. Doskonalony będzie system szkoleń z zakresu ochrony roślin, w tym poprzez opracowanie jednolitych materiałów dydaktycznych. Rozwijany będzie monitoring zatruć ludzi oraz pszczół środkami ochrony roślin. Prowadzone będą także działania na rzecz zapewnienia efektywnej ochrony upraw małoobszarowych oraz ekologicznych.</w:t>
      </w:r>
    </w:p>
    <w:p w:rsidR="000E0894" w:rsidRPr="00753F91" w:rsidRDefault="000E0894" w:rsidP="00753F91">
      <w:pPr>
        <w:pStyle w:val="Akapitzlist"/>
        <w:spacing w:after="120" w:line="288" w:lineRule="auto"/>
        <w:ind w:left="0"/>
        <w:contextualSpacing w:val="0"/>
        <w:jc w:val="both"/>
        <w:rPr>
          <w:rFonts w:ascii="Arial Narrow" w:hAnsi="Arial Narrow"/>
          <w:b/>
          <w:bCs/>
          <w:color w:val="000000" w:themeColor="text1"/>
        </w:rPr>
      </w:pPr>
      <w:bookmarkStart w:id="13" w:name="_Sprawna_urzędowa_kontrola_1"/>
      <w:bookmarkEnd w:id="13"/>
      <w:r w:rsidRPr="00753F91">
        <w:rPr>
          <w:rFonts w:ascii="Arial Narrow" w:hAnsi="Arial Narrow"/>
          <w:b/>
          <w:bCs/>
          <w:color w:val="000000" w:themeColor="text1"/>
        </w:rPr>
        <w:t xml:space="preserve">Kontrola </w:t>
      </w:r>
      <w:r w:rsidR="00D6680C" w:rsidRPr="00753F91">
        <w:rPr>
          <w:rFonts w:ascii="Arial Narrow" w:hAnsi="Arial Narrow"/>
          <w:b/>
          <w:bCs/>
          <w:color w:val="000000" w:themeColor="text1"/>
        </w:rPr>
        <w:t xml:space="preserve">obrotu i </w:t>
      </w:r>
      <w:r w:rsidRPr="00753F91">
        <w:rPr>
          <w:rFonts w:ascii="Arial Narrow" w:hAnsi="Arial Narrow"/>
          <w:b/>
          <w:bCs/>
          <w:color w:val="000000" w:themeColor="text1"/>
        </w:rPr>
        <w:t>stosowania środków ochrony roślin</w:t>
      </w:r>
    </w:p>
    <w:p w:rsidR="00D6680C" w:rsidRPr="00753F91" w:rsidRDefault="00D6680C" w:rsidP="00753F91">
      <w:pPr>
        <w:spacing w:after="0" w:line="288" w:lineRule="auto"/>
        <w:jc w:val="both"/>
        <w:rPr>
          <w:rStyle w:val="fontstyle01"/>
          <w:rFonts w:ascii="Arial Narrow" w:eastAsia="Calibri" w:hAnsi="Arial Narrow"/>
          <w:color w:val="000000"/>
        </w:rPr>
      </w:pPr>
      <w:r w:rsidRPr="00753F91">
        <w:rPr>
          <w:rStyle w:val="fontstyle01"/>
          <w:rFonts w:ascii="Arial Narrow" w:eastAsia="Calibri" w:hAnsi="Arial Narrow"/>
          <w:color w:val="000000"/>
        </w:rPr>
        <w:t xml:space="preserve">Ustanowiony został sprawny system urzędowych kontroli obrotu i stosowania środków ochrony roślin. </w:t>
      </w:r>
      <w:r w:rsidR="000E0894" w:rsidRPr="00753F91">
        <w:rPr>
          <w:rStyle w:val="fontstyle01"/>
          <w:rFonts w:ascii="Arial Narrow" w:eastAsia="Calibri" w:hAnsi="Arial Narrow"/>
          <w:color w:val="000000"/>
        </w:rPr>
        <w:t xml:space="preserve">Zakres </w:t>
      </w:r>
      <w:r w:rsidR="000E0894" w:rsidRPr="00753F91">
        <w:rPr>
          <w:rFonts w:ascii="Arial Narrow" w:hAnsi="Arial Narrow"/>
          <w:color w:val="222222"/>
        </w:rPr>
        <w:t>ww</w:t>
      </w:r>
      <w:r w:rsidR="000E0894" w:rsidRPr="00753F91">
        <w:rPr>
          <w:rStyle w:val="fontstyle01"/>
          <w:rFonts w:ascii="Arial Narrow" w:eastAsia="Calibri" w:hAnsi="Arial Narrow"/>
          <w:color w:val="000000"/>
        </w:rPr>
        <w:t xml:space="preserve">. </w:t>
      </w:r>
      <w:r w:rsidRPr="00753F91">
        <w:rPr>
          <w:rStyle w:val="fontstyle01"/>
          <w:rFonts w:ascii="Arial Narrow" w:eastAsia="Calibri" w:hAnsi="Arial Narrow"/>
          <w:color w:val="000000"/>
        </w:rPr>
        <w:t xml:space="preserve">kontroli </w:t>
      </w:r>
      <w:r w:rsidR="000E0894" w:rsidRPr="00753F91">
        <w:rPr>
          <w:rStyle w:val="fontstyle01"/>
          <w:rFonts w:ascii="Arial Narrow" w:eastAsia="Calibri" w:hAnsi="Arial Narrow"/>
          <w:color w:val="000000"/>
        </w:rPr>
        <w:t>obejmuje</w:t>
      </w:r>
      <w:r w:rsidRPr="00753F91">
        <w:rPr>
          <w:rStyle w:val="fontstyle01"/>
          <w:rFonts w:ascii="Arial Narrow" w:eastAsia="Calibri" w:hAnsi="Arial Narrow"/>
          <w:color w:val="000000"/>
        </w:rPr>
        <w:t xml:space="preserve"> w </w:t>
      </w:r>
      <w:r w:rsidR="00302BC1" w:rsidRPr="00753F91">
        <w:rPr>
          <w:rStyle w:val="fontstyle01"/>
          <w:rFonts w:ascii="Arial Narrow" w:eastAsia="Calibri" w:hAnsi="Arial Narrow"/>
          <w:color w:val="000000"/>
        </w:rPr>
        <w:t>szczególności</w:t>
      </w:r>
      <w:r w:rsidR="000E0894" w:rsidRPr="00753F91">
        <w:rPr>
          <w:rStyle w:val="fontstyle01"/>
          <w:rFonts w:ascii="Arial Narrow" w:eastAsia="Calibri" w:hAnsi="Arial Narrow"/>
          <w:color w:val="000000"/>
        </w:rPr>
        <w:t xml:space="preserve">: </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kontrolę obrotu środkami ochrony roślin</w:t>
      </w:r>
      <w:r w:rsidR="00D6680C" w:rsidRPr="00753F91">
        <w:rPr>
          <w:rStyle w:val="fontstyle01"/>
          <w:rFonts w:ascii="Arial Narrow" w:eastAsia="Calibri" w:hAnsi="Arial Narrow"/>
          <w:color w:val="000000"/>
        </w:rPr>
        <w:t xml:space="preserve">, </w:t>
      </w:r>
      <w:r w:rsidR="00D6680C" w:rsidRPr="00753F91">
        <w:rPr>
          <w:rFonts w:ascii="Arial Narrow" w:hAnsi="Arial Narrow"/>
        </w:rPr>
        <w:t>w tym kontrolę importu</w:t>
      </w:r>
      <w:r w:rsidRPr="00753F91">
        <w:rPr>
          <w:rStyle w:val="fontstyle01"/>
          <w:rFonts w:ascii="Arial Narrow" w:eastAsia="Calibri" w:hAnsi="Arial Narrow"/>
          <w:color w:val="000000"/>
        </w:rPr>
        <w:t xml:space="preserve">; </w:t>
      </w:r>
    </w:p>
    <w:p w:rsidR="00D6680C"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 xml:space="preserve">badanie jakości środków ochrony roślin znajdujących się w obrocie; </w:t>
      </w:r>
    </w:p>
    <w:p w:rsidR="00030B5A" w:rsidRPr="00753F9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Style w:val="fontstyle01"/>
          <w:rFonts w:ascii="Arial Narrow" w:eastAsia="Calibri" w:hAnsi="Arial Narrow"/>
          <w:color w:val="000000"/>
        </w:rPr>
        <w:t>kontrolę stosowania środków ochrony roślin w gospodarstwach</w:t>
      </w:r>
      <w:r w:rsidR="00030B5A" w:rsidRPr="00753F91">
        <w:rPr>
          <w:rStyle w:val="fontstyle01"/>
          <w:rFonts w:ascii="Arial Narrow" w:eastAsia="Calibri" w:hAnsi="Arial Narrow"/>
          <w:color w:val="000000"/>
        </w:rPr>
        <w:t xml:space="preserve"> rolnych</w:t>
      </w:r>
      <w:r w:rsidRPr="00753F91">
        <w:rPr>
          <w:rStyle w:val="fontstyle01"/>
          <w:rFonts w:ascii="Arial Narrow" w:eastAsia="Calibri" w:hAnsi="Arial Narrow"/>
          <w:color w:val="000000"/>
        </w:rPr>
        <w:t xml:space="preserve">, przy zaprawianiu materiału siewnego, fumigacji, w magazynach, </w:t>
      </w:r>
      <w:r w:rsidR="00030B5A" w:rsidRPr="00753F91">
        <w:rPr>
          <w:rStyle w:val="fontstyle01"/>
          <w:rFonts w:ascii="Arial Narrow" w:eastAsia="Calibri" w:hAnsi="Arial Narrow"/>
          <w:color w:val="000000"/>
        </w:rPr>
        <w:t>itp.;</w:t>
      </w:r>
    </w:p>
    <w:p w:rsidR="00D6680C" w:rsidRPr="00302BC1" w:rsidRDefault="00030B5A"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753F91">
        <w:rPr>
          <w:rFonts w:ascii="Arial Narrow" w:hAnsi="Arial Narrow"/>
        </w:rPr>
        <w:t xml:space="preserve">kontrolę stosowania środków ochrony roślin </w:t>
      </w:r>
      <w:r w:rsidRPr="00302BC1">
        <w:rPr>
          <w:rFonts w:ascii="Arial Narrow" w:hAnsi="Arial Narrow"/>
        </w:rPr>
        <w:t>na obszarach pozarolniczych;</w:t>
      </w:r>
      <w:r w:rsidR="000E0894" w:rsidRPr="00302BC1">
        <w:rPr>
          <w:rStyle w:val="fontstyle01"/>
          <w:rFonts w:ascii="Arial Narrow" w:eastAsia="Calibri" w:hAnsi="Arial Narrow"/>
          <w:color w:val="000000"/>
        </w:rPr>
        <w:t xml:space="preserve"> </w:t>
      </w:r>
    </w:p>
    <w:p w:rsidR="00D6680C" w:rsidRPr="00302BC1" w:rsidRDefault="000E0894" w:rsidP="00753F91">
      <w:pPr>
        <w:pStyle w:val="Akapitzlist"/>
        <w:numPr>
          <w:ilvl w:val="0"/>
          <w:numId w:val="23"/>
        </w:numPr>
        <w:spacing w:after="0" w:line="288" w:lineRule="auto"/>
        <w:ind w:left="284" w:hanging="284"/>
        <w:contextualSpacing w:val="0"/>
        <w:jc w:val="both"/>
        <w:rPr>
          <w:rStyle w:val="fontstyle01"/>
          <w:rFonts w:ascii="Arial Narrow" w:eastAsia="Calibri" w:hAnsi="Arial Narrow"/>
          <w:color w:val="000000"/>
        </w:rPr>
      </w:pPr>
      <w:r w:rsidRPr="00302BC1">
        <w:rPr>
          <w:rStyle w:val="fontstyle01"/>
          <w:rFonts w:ascii="Arial Narrow" w:eastAsia="Calibri" w:hAnsi="Arial Narrow"/>
          <w:color w:val="000000"/>
        </w:rPr>
        <w:t xml:space="preserve">nadzór nad stosowaniem środków ochrony roślin z powietrza; </w:t>
      </w:r>
    </w:p>
    <w:p w:rsidR="000E0894" w:rsidRPr="00753F91" w:rsidRDefault="000E0894" w:rsidP="00753F91">
      <w:pPr>
        <w:pStyle w:val="Akapitzlist"/>
        <w:numPr>
          <w:ilvl w:val="0"/>
          <w:numId w:val="23"/>
        </w:numPr>
        <w:spacing w:after="120" w:line="288" w:lineRule="auto"/>
        <w:ind w:left="284" w:hanging="284"/>
        <w:contextualSpacing w:val="0"/>
        <w:jc w:val="both"/>
        <w:rPr>
          <w:rFonts w:ascii="Arial Narrow" w:hAnsi="Arial Narrow"/>
        </w:rPr>
      </w:pPr>
      <w:r w:rsidRPr="00302BC1">
        <w:rPr>
          <w:rStyle w:val="fontstyle01"/>
          <w:rFonts w:ascii="Arial Narrow" w:eastAsia="Calibri" w:hAnsi="Arial Narrow"/>
          <w:color w:val="000000"/>
        </w:rPr>
        <w:t>badanie pozostałości środków ochrony roślin w płodach rolnych.</w:t>
      </w:r>
    </w:p>
    <w:p w:rsidR="000E0894" w:rsidRPr="00302BC1" w:rsidRDefault="000E0894" w:rsidP="00753F91">
      <w:pPr>
        <w:pStyle w:val="Akapitzlist"/>
        <w:spacing w:after="120" w:line="288" w:lineRule="auto"/>
        <w:ind w:left="0"/>
        <w:contextualSpacing w:val="0"/>
        <w:jc w:val="both"/>
        <w:rPr>
          <w:rFonts w:ascii="Arial Narrow" w:hAnsi="Arial Narrow"/>
          <w:b/>
          <w:bCs/>
          <w:color w:val="000000" w:themeColor="text1"/>
        </w:rPr>
      </w:pPr>
      <w:r w:rsidRPr="00302BC1">
        <w:rPr>
          <w:rFonts w:ascii="Arial Narrow" w:hAnsi="Arial Narrow"/>
          <w:b/>
          <w:bCs/>
          <w:color w:val="000000" w:themeColor="text1"/>
        </w:rPr>
        <w:t>Monitoring wód w odniesieniu do pozostałości środków ochrony roślin</w:t>
      </w:r>
    </w:p>
    <w:p w:rsidR="000E0894" w:rsidRPr="00753F91" w:rsidRDefault="000E0894" w:rsidP="00753F91">
      <w:pPr>
        <w:spacing w:after="120" w:line="288" w:lineRule="auto"/>
        <w:jc w:val="both"/>
        <w:rPr>
          <w:rFonts w:ascii="Arial Narrow" w:hAnsi="Arial Narrow"/>
        </w:rPr>
      </w:pPr>
      <w:r w:rsidRPr="00302BC1">
        <w:rPr>
          <w:rFonts w:ascii="Arial Narrow" w:hAnsi="Arial Narrow"/>
        </w:rPr>
        <w:t>Prowadzony państwowy monitoring wód powierzchniowych, podziemnych i osadów dennych</w:t>
      </w:r>
      <w:r w:rsidR="00030B5A" w:rsidRPr="00302BC1">
        <w:rPr>
          <w:rFonts w:ascii="Arial Narrow" w:hAnsi="Arial Narrow"/>
        </w:rPr>
        <w:t>,</w:t>
      </w:r>
      <w:r w:rsidRPr="00302BC1">
        <w:rPr>
          <w:rFonts w:ascii="Arial Narrow" w:hAnsi="Arial Narrow"/>
        </w:rPr>
        <w:t xml:space="preserve"> koncentruj</w:t>
      </w:r>
      <w:r w:rsidR="00EE15F2" w:rsidRPr="00753F91">
        <w:rPr>
          <w:rFonts w:ascii="Arial Narrow" w:hAnsi="Arial Narrow"/>
        </w:rPr>
        <w:t>e</w:t>
      </w:r>
      <w:r w:rsidR="00030B5A" w:rsidRPr="00753F91">
        <w:rPr>
          <w:rFonts w:ascii="Arial Narrow" w:hAnsi="Arial Narrow"/>
        </w:rPr>
        <w:t xml:space="preserve"> </w:t>
      </w:r>
      <w:r w:rsidRPr="00753F91">
        <w:rPr>
          <w:rFonts w:ascii="Arial Narrow" w:hAnsi="Arial Narrow"/>
        </w:rPr>
        <w:t xml:space="preserve">się na zbieraniu </w:t>
      </w:r>
      <w:r w:rsidRPr="00753F91">
        <w:rPr>
          <w:rFonts w:ascii="Arial Narrow" w:hAnsi="Arial Narrow"/>
          <w:color w:val="222222"/>
        </w:rPr>
        <w:t>danych</w:t>
      </w:r>
      <w:r w:rsidRPr="00753F91">
        <w:rPr>
          <w:rFonts w:ascii="Arial Narrow" w:hAnsi="Arial Narrow"/>
        </w:rPr>
        <w:t xml:space="preserve"> o stanie jednolitych części wód powierzchniowych w celu wydawania ocen na potrzeby gospodarowania wodami. </w:t>
      </w:r>
      <w:r w:rsidR="00030B5A" w:rsidRPr="00753F91">
        <w:rPr>
          <w:rFonts w:ascii="Arial Narrow" w:hAnsi="Arial Narrow"/>
        </w:rPr>
        <w:t xml:space="preserve">Monitoring ten jest uzupełniany przez badania coraz szerszego wachlarza substancji czynnych, wykorzystywanych obecnie w środkach ochrony roślin. </w:t>
      </w:r>
      <w:r w:rsidRPr="00753F91">
        <w:rPr>
          <w:rFonts w:ascii="Arial Narrow" w:hAnsi="Arial Narrow"/>
        </w:rPr>
        <w:t xml:space="preserve"> Założono dalszy rozwój tego monitoringu.</w:t>
      </w:r>
    </w:p>
    <w:p w:rsidR="000E0894" w:rsidRPr="00753F91" w:rsidRDefault="000E0894" w:rsidP="00753F91">
      <w:pPr>
        <w:pStyle w:val="Akapitzlist"/>
        <w:spacing w:after="120" w:line="288" w:lineRule="auto"/>
        <w:ind w:left="0"/>
        <w:contextualSpacing w:val="0"/>
        <w:jc w:val="both"/>
        <w:rPr>
          <w:rFonts w:ascii="Arial Narrow" w:hAnsi="Arial Narrow"/>
          <w:b/>
          <w:bCs/>
          <w:color w:val="000000" w:themeColor="text1"/>
        </w:rPr>
      </w:pPr>
      <w:bookmarkStart w:id="14" w:name="_Wdrożony_system_publicznego"/>
      <w:bookmarkEnd w:id="14"/>
      <w:r w:rsidRPr="00753F91">
        <w:rPr>
          <w:rFonts w:ascii="Arial Narrow" w:hAnsi="Arial Narrow"/>
          <w:b/>
          <w:bCs/>
          <w:color w:val="000000" w:themeColor="text1"/>
        </w:rPr>
        <w:t>System publicznego doradztwa rolniczego</w:t>
      </w:r>
    </w:p>
    <w:p w:rsidR="000E0894" w:rsidRPr="00753F91" w:rsidRDefault="000E0894" w:rsidP="00753F91">
      <w:pPr>
        <w:spacing w:after="120" w:line="288" w:lineRule="auto"/>
        <w:jc w:val="both"/>
        <w:rPr>
          <w:rFonts w:ascii="Arial Narrow" w:hAnsi="Arial Narrow"/>
        </w:rPr>
      </w:pPr>
      <w:r w:rsidRPr="00753F91">
        <w:rPr>
          <w:rFonts w:ascii="Arial Narrow" w:hAnsi="Arial Narrow"/>
        </w:rPr>
        <w:t xml:space="preserve">Warunkiem osiągnięcia zrównoważonego stosowania środków ochrony roślin jest dostarczenie producentom rolnym wiedzy i narzędzi w tym zakresie. </w:t>
      </w:r>
      <w:r w:rsidR="00030B5A" w:rsidRPr="00753F91">
        <w:rPr>
          <w:rFonts w:ascii="Arial Narrow" w:hAnsi="Arial Narrow"/>
        </w:rPr>
        <w:t xml:space="preserve">Zadania w tym zakresie realizują Ośrodki Doradztwa Rolniczego, ponadto, </w:t>
      </w:r>
      <w:r w:rsidRPr="00753F91">
        <w:rPr>
          <w:rFonts w:ascii="Arial Narrow" w:hAnsi="Arial Narrow"/>
        </w:rPr>
        <w:t xml:space="preserve">Centralny Ośrodek </w:t>
      </w:r>
      <w:r w:rsidR="00A45FDE">
        <w:rPr>
          <w:rFonts w:ascii="Arial Narrow" w:hAnsi="Arial Narrow"/>
        </w:rPr>
        <w:t xml:space="preserve">Badania Odmian Roślin Uprawnych </w:t>
      </w:r>
      <w:r w:rsidRPr="00753F91">
        <w:rPr>
          <w:rFonts w:ascii="Arial Narrow" w:hAnsi="Arial Narrow"/>
        </w:rPr>
        <w:t xml:space="preserve">prowadzi system </w:t>
      </w:r>
      <w:r w:rsidR="00A45FDE">
        <w:rPr>
          <w:rFonts w:ascii="Arial Narrow" w:hAnsi="Arial Narrow"/>
        </w:rPr>
        <w:t>p</w:t>
      </w:r>
      <w:r w:rsidRPr="00753F91">
        <w:rPr>
          <w:rFonts w:ascii="Arial Narrow" w:hAnsi="Arial Narrow"/>
        </w:rPr>
        <w:t xml:space="preserve">orejestrowego </w:t>
      </w:r>
      <w:r w:rsidR="00A45FDE">
        <w:rPr>
          <w:rFonts w:ascii="Arial Narrow" w:hAnsi="Arial Narrow"/>
        </w:rPr>
        <w:t>doświadczalnictwa odmianowego</w:t>
      </w:r>
      <w:r w:rsidR="00030B5A" w:rsidRPr="00753F91">
        <w:rPr>
          <w:rFonts w:ascii="Arial Narrow" w:hAnsi="Arial Narrow"/>
        </w:rPr>
        <w:t>.</w:t>
      </w:r>
      <w:r w:rsidR="00A45FDE">
        <w:rPr>
          <w:rFonts w:ascii="Arial Narrow" w:hAnsi="Arial Narrow"/>
        </w:rPr>
        <w:t xml:space="preserve"> </w:t>
      </w:r>
    </w:p>
    <w:p w:rsidR="000E0894" w:rsidRPr="00302BC1" w:rsidRDefault="000E0894" w:rsidP="00753F91">
      <w:pPr>
        <w:spacing w:after="120" w:line="288" w:lineRule="auto"/>
        <w:jc w:val="both"/>
        <w:rPr>
          <w:rFonts w:ascii="Arial Narrow" w:hAnsi="Arial Narrow"/>
        </w:rPr>
      </w:pPr>
      <w:r w:rsidRPr="00753F91">
        <w:rPr>
          <w:rFonts w:ascii="Arial Narrow" w:hAnsi="Arial Narrow"/>
        </w:rPr>
        <w:lastRenderedPageBreak/>
        <w:t>Platforma umożliwia mieszkańcom obszarów wiejskich dostęp do nowoczesnych technologii. Za pośrednictwem platformy możliwe jest uzyskanie informacji na temat środków ochrony roślin i zasadach ich stosowania. Na stronie internetowej są udostępniane informacje dotyczące sygnalizacji agrofagów, systemy wspomagania podejmowania decyzji w ochronie roślin, informacje na temat zwalczania agrofagów, a także metodyki integrowanej ochrony roślin, programy ochrony roślin oraz poradniki dotyczące sygnalizacji agrofagów. Utworzenie Platformy Sygnalizacji Agrofagów zostało uznane przez Komisję Europejską za „dobrą praktykę.</w:t>
      </w:r>
      <w:r w:rsidRPr="00302BC1">
        <w:rPr>
          <w:rStyle w:val="Odwoanieprzypisudolnego"/>
          <w:rFonts w:ascii="Arial Narrow" w:hAnsi="Arial Narrow"/>
          <w:vertAlign w:val="superscript"/>
        </w:rPr>
        <w:footnoteReference w:id="2"/>
      </w:r>
      <w:r w:rsidRPr="00302BC1">
        <w:rPr>
          <w:rFonts w:ascii="Arial Narrow" w:hAnsi="Arial Narrow"/>
        </w:rPr>
        <w:t xml:space="preserve">” </w:t>
      </w:r>
    </w:p>
    <w:p w:rsidR="000E0894" w:rsidRPr="00753F91" w:rsidRDefault="000E0894" w:rsidP="00753F91">
      <w:pPr>
        <w:pStyle w:val="Akapitzlist"/>
        <w:spacing w:after="120" w:line="288" w:lineRule="auto"/>
        <w:ind w:left="0"/>
        <w:contextualSpacing w:val="0"/>
        <w:jc w:val="both"/>
        <w:rPr>
          <w:rFonts w:ascii="Arial Narrow" w:hAnsi="Arial Narrow"/>
          <w:b/>
          <w:bCs/>
          <w:color w:val="000000" w:themeColor="text1"/>
        </w:rPr>
      </w:pPr>
      <w:bookmarkStart w:id="15" w:name="_Struktura_rolnictwa_nadal"/>
      <w:bookmarkStart w:id="16" w:name="_Efektywne_zaplecze_badawcze,"/>
      <w:bookmarkEnd w:id="15"/>
      <w:bookmarkEnd w:id="16"/>
      <w:r w:rsidRPr="00753F91">
        <w:rPr>
          <w:rFonts w:ascii="Arial Narrow" w:hAnsi="Arial Narrow"/>
          <w:b/>
          <w:bCs/>
          <w:color w:val="000000" w:themeColor="text1"/>
        </w:rPr>
        <w:t>Zaplecze badawcze, systemy wspomagania decyzji w ochronie roślin</w:t>
      </w:r>
    </w:p>
    <w:p w:rsidR="000E0894" w:rsidRPr="00753F91" w:rsidRDefault="000E0894" w:rsidP="00753F91">
      <w:pPr>
        <w:spacing w:after="120" w:line="288" w:lineRule="auto"/>
        <w:jc w:val="both"/>
        <w:rPr>
          <w:rFonts w:ascii="Arial Narrow" w:hAnsi="Arial Narrow"/>
          <w:color w:val="222222"/>
        </w:rPr>
      </w:pPr>
      <w:r w:rsidRPr="00753F91">
        <w:rPr>
          <w:rFonts w:ascii="Arial Narrow" w:hAnsi="Arial Narrow"/>
          <w:color w:val="222222"/>
        </w:rPr>
        <w:t xml:space="preserve">Silne zaplecze badawcze i edukacyjne, złożone jest z instytutów branżowych, uczelni wyższych, instytucji dedykowanych istotnym dziedzinom rolnictwa, np. hodowli nowych odmian roślin, a także </w:t>
      </w:r>
      <w:r w:rsidR="00030B5A" w:rsidRPr="00753F91">
        <w:rPr>
          <w:rFonts w:ascii="Arial Narrow" w:hAnsi="Arial Narrow"/>
          <w:color w:val="222222"/>
        </w:rPr>
        <w:t xml:space="preserve">obejmuje </w:t>
      </w:r>
      <w:r w:rsidRPr="00753F91">
        <w:rPr>
          <w:rFonts w:ascii="Arial Narrow" w:hAnsi="Arial Narrow"/>
          <w:color w:val="222222"/>
        </w:rPr>
        <w:t xml:space="preserve">publiczny system doradztwa rolniczego. Prowadzone są badania naukowe stanowiące następnie podstawę dla </w:t>
      </w:r>
      <w:r w:rsidR="00030B5A" w:rsidRPr="00753F91">
        <w:rPr>
          <w:rFonts w:ascii="Arial Narrow" w:hAnsi="Arial Narrow"/>
          <w:color w:val="222222"/>
        </w:rPr>
        <w:t xml:space="preserve">opracowywania </w:t>
      </w:r>
      <w:r w:rsidRPr="00753F91">
        <w:rPr>
          <w:rFonts w:ascii="Arial Narrow" w:hAnsi="Arial Narrow"/>
          <w:color w:val="222222"/>
        </w:rPr>
        <w:t>treści służących edukacji rolników umieszczanych m.in. na Platformie Sygnalizacji Agrofagów,</w:t>
      </w:r>
      <w:r w:rsidRPr="00753F91">
        <w:rPr>
          <w:rFonts w:ascii="Arial Narrow" w:hAnsi="Arial Narrow"/>
        </w:rPr>
        <w:t xml:space="preserve"> </w:t>
      </w:r>
      <w:hyperlink r:id="rId10" w:history="1">
        <w:r w:rsidRPr="00753F91">
          <w:rPr>
            <w:rStyle w:val="Hipercze"/>
            <w:rFonts w:ascii="Arial Narrow" w:hAnsi="Arial Narrow"/>
          </w:rPr>
          <w:t>https://www.agrofagi.com.pl/</w:t>
        </w:r>
      </w:hyperlink>
      <w:r w:rsidRPr="00302BC1">
        <w:rPr>
          <w:rFonts w:ascii="Arial Narrow" w:hAnsi="Arial Narrow"/>
          <w:color w:val="222222"/>
        </w:rPr>
        <w:t xml:space="preserve">. Na Platformie Sygnalizacji Agrofagów, udostępniane są on-line </w:t>
      </w:r>
      <w:r w:rsidR="00030B5A" w:rsidRPr="00302BC1">
        <w:rPr>
          <w:rFonts w:ascii="Arial Narrow" w:hAnsi="Arial Narrow"/>
          <w:color w:val="222222"/>
        </w:rPr>
        <w:t xml:space="preserve">wspomniane wyżej  </w:t>
      </w:r>
      <w:r w:rsidRPr="00753F91">
        <w:rPr>
          <w:rFonts w:ascii="Arial Narrow" w:hAnsi="Arial Narrow"/>
          <w:color w:val="222222"/>
        </w:rPr>
        <w:t xml:space="preserve">programy ochrony roślin, systemy wspomagania decyzji w ochronie roślin, metodyki integrowanej ochrony roślin, </w:t>
      </w:r>
      <w:r w:rsidR="00030B5A" w:rsidRPr="00753F91">
        <w:rPr>
          <w:rFonts w:ascii="Arial Narrow" w:hAnsi="Arial Narrow"/>
          <w:color w:val="222222"/>
        </w:rPr>
        <w:t xml:space="preserve">ale i </w:t>
      </w:r>
      <w:r w:rsidRPr="00753F91">
        <w:rPr>
          <w:rFonts w:ascii="Arial Narrow" w:hAnsi="Arial Narrow"/>
          <w:color w:val="222222"/>
        </w:rPr>
        <w:t xml:space="preserve">komunikaty dotyczące pojawiających się zagrożeń. </w:t>
      </w:r>
    </w:p>
    <w:p w:rsidR="000E0894" w:rsidRPr="00753F91" w:rsidRDefault="000E0894" w:rsidP="00753F91">
      <w:pPr>
        <w:spacing w:after="120" w:line="288" w:lineRule="auto"/>
        <w:jc w:val="both"/>
        <w:rPr>
          <w:rFonts w:ascii="Arial Narrow" w:hAnsi="Arial Narrow"/>
          <w:color w:val="222222"/>
        </w:rPr>
      </w:pPr>
      <w:r w:rsidRPr="00753F91">
        <w:rPr>
          <w:rFonts w:ascii="Arial Narrow" w:hAnsi="Arial Narrow"/>
          <w:color w:val="222222"/>
        </w:rPr>
        <w:t xml:space="preserve">Pomoc rolnikom zapewniają także systemy wspomagania decyzji w ochronie roślin, czy sygnalizacji pojawu agrofagów, udostępniane zarówno przez podmioty państwowe, jak i prywatne. Taki dwubiegunowy układ źródeł wiedzy pozwala na kompleksową obsługę rolnictwa. Z jednej strony realizowane są potrzeby rynkowe, z drugiej chronione są wartości niematerialne. </w:t>
      </w:r>
    </w:p>
    <w:p w:rsidR="000E0894" w:rsidRPr="00753F91" w:rsidRDefault="000E0894" w:rsidP="00753F91">
      <w:pPr>
        <w:spacing w:after="120" w:line="288" w:lineRule="auto"/>
        <w:jc w:val="both"/>
        <w:rPr>
          <w:rFonts w:ascii="Arial Narrow" w:hAnsi="Arial Narrow"/>
        </w:rPr>
      </w:pPr>
      <w:bookmarkStart w:id="17" w:name="_Niedostateczny_poziom_wiedzy"/>
      <w:bookmarkEnd w:id="17"/>
      <w:r w:rsidRPr="00753F91">
        <w:rPr>
          <w:rFonts w:ascii="Arial Narrow" w:hAnsi="Arial Narrow"/>
          <w:color w:val="222222"/>
        </w:rPr>
        <w:t>Wprawdzie duża część rolników skutecznie realizuje wymagania integrowanej ochrony roślin, to nadal konieczne jest podnoszenie świadomości odnośnie zagrożeń związanych ze stosowaniem środków ochrony roślin i metod ograniczania tych zagrożeń. System edukacji rolników w zakresie integrowanej ochrony roślin powinien być bardziej efektywny. W Plan</w:t>
      </w:r>
      <w:r w:rsidR="00FF0DA3">
        <w:rPr>
          <w:rFonts w:ascii="Arial Narrow" w:hAnsi="Arial Narrow"/>
          <w:color w:val="222222"/>
        </w:rPr>
        <w:t xml:space="preserve">ie </w:t>
      </w:r>
      <w:r w:rsidRPr="00753F91">
        <w:rPr>
          <w:rFonts w:ascii="Arial Narrow" w:hAnsi="Arial Narrow"/>
          <w:color w:val="222222"/>
        </w:rPr>
        <w:t>Strategiczn</w:t>
      </w:r>
      <w:r w:rsidR="00FF0DA3">
        <w:rPr>
          <w:rFonts w:ascii="Arial Narrow" w:hAnsi="Arial Narrow"/>
          <w:color w:val="222222"/>
        </w:rPr>
        <w:t xml:space="preserve">ym WPR część </w:t>
      </w:r>
      <w:r w:rsidRPr="00753F91">
        <w:rPr>
          <w:rFonts w:ascii="Arial Narrow" w:hAnsi="Arial Narrow"/>
          <w:color w:val="222222"/>
        </w:rPr>
        <w:t xml:space="preserve">interwencji </w:t>
      </w:r>
      <w:r w:rsidR="00030B5A" w:rsidRPr="00753F91">
        <w:rPr>
          <w:rFonts w:ascii="Arial Narrow" w:hAnsi="Arial Narrow"/>
          <w:color w:val="222222"/>
        </w:rPr>
        <w:t xml:space="preserve">ukierunkowano </w:t>
      </w:r>
      <w:r w:rsidRPr="00753F91">
        <w:rPr>
          <w:rFonts w:ascii="Arial Narrow" w:hAnsi="Arial Narrow"/>
          <w:color w:val="222222"/>
        </w:rPr>
        <w:t>na rozwój systemów szkoleniowych, systemów wspomagania decyzji, infrastruktury umożliwiającej prognozowanie pojaw</w:t>
      </w:r>
      <w:r w:rsidR="00547874">
        <w:rPr>
          <w:rFonts w:ascii="Arial Narrow" w:hAnsi="Arial Narrow"/>
          <w:color w:val="222222"/>
        </w:rPr>
        <w:t xml:space="preserve">iania się agrofagów. Elementem doskonalenia zawodowego </w:t>
      </w:r>
      <w:r w:rsidRPr="00753F91">
        <w:rPr>
          <w:rFonts w:ascii="Arial Narrow" w:hAnsi="Arial Narrow"/>
          <w:color w:val="222222"/>
        </w:rPr>
        <w:t xml:space="preserve">rolników wymagającym wsparcia, jest </w:t>
      </w:r>
      <w:r w:rsidRPr="00753F91">
        <w:rPr>
          <w:rFonts w:ascii="Arial Narrow" w:hAnsi="Arial Narrow"/>
          <w:color w:val="222222"/>
        </w:rPr>
        <w:lastRenderedPageBreak/>
        <w:t>także stosowanie biologicznych metod ochrony roślin.</w:t>
      </w:r>
      <w:r w:rsidRPr="00753F91">
        <w:rPr>
          <w:rFonts w:ascii="Arial Narrow" w:hAnsi="Arial Narrow"/>
        </w:rPr>
        <w:t xml:space="preserve"> Jak dotąd ten rodzaj ochrony nie jest stosowany na oczekiwanym poziomie. Rolnicy częściej sięgają po dające większą gwarancję skuteczności metody chemicznej ochrony.</w:t>
      </w:r>
    </w:p>
    <w:p w:rsidR="00030B5A" w:rsidRPr="00302BC1" w:rsidRDefault="00030B5A" w:rsidP="00753F91">
      <w:pPr>
        <w:spacing w:after="120" w:line="288" w:lineRule="auto"/>
        <w:jc w:val="both"/>
        <w:rPr>
          <w:rFonts w:ascii="Arial Narrow" w:hAnsi="Arial Narrow"/>
          <w:color w:val="222222"/>
        </w:rPr>
      </w:pPr>
      <w:r w:rsidRPr="00753F91">
        <w:rPr>
          <w:rFonts w:ascii="Arial Narrow" w:hAnsi="Arial Narrow"/>
          <w:color w:val="222222"/>
        </w:rPr>
        <w:t xml:space="preserve">Przewiduje się jednak, że podstawowymi narzędziami służącymi realizacji celów związanych z ograniczeniem stosowania najbardziej niebezpiecznych środków ochrony roślin będą ekoschematy, dotyczące takich metod gospodarowania jak rolnictwo ekologiczne czy integrowana produkcja roślin </w:t>
      </w:r>
      <w:r w:rsidR="006A3C16" w:rsidRPr="00753F91">
        <w:rPr>
          <w:rFonts w:ascii="Arial Narrow" w:hAnsi="Arial Narrow"/>
          <w:color w:val="222222"/>
        </w:rPr>
        <w:t>[</w:t>
      </w:r>
      <w:r w:rsidR="006A3C16" w:rsidRPr="00753F91">
        <w:rPr>
          <w:rFonts w:ascii="Arial Narrow" w:hAnsi="Arial Narrow" w:cs="Times New Roman"/>
          <w:bCs/>
          <w:i/>
          <w:noProof/>
        </w:rPr>
        <w:t xml:space="preserve">Ekoschemat - </w:t>
      </w:r>
      <w:r w:rsidR="006A3C16" w:rsidRPr="00302BC1">
        <w:rPr>
          <w:rFonts w:ascii="Arial Narrow" w:hAnsi="Arial Narrow" w:cs="Times New Roman"/>
          <w:bCs/>
          <w:i/>
          <w:noProof/>
        </w:rPr>
        <w:t>Biologiczna ochrona upraw</w:t>
      </w:r>
      <w:r w:rsidR="006A3C16" w:rsidRPr="00753F91">
        <w:rPr>
          <w:rFonts w:ascii="Arial Narrow" w:hAnsi="Arial Narrow" w:cs="Times New Roman"/>
          <w:bCs/>
          <w:i/>
          <w:noProof/>
        </w:rPr>
        <w:t xml:space="preserve">, </w:t>
      </w:r>
      <w:r w:rsidR="006A3C16" w:rsidRPr="00302BC1">
        <w:rPr>
          <w:rFonts w:ascii="Arial Narrow" w:hAnsi="Arial Narrow" w:cs="Times New Roman"/>
          <w:bCs/>
          <w:i/>
          <w:noProof/>
        </w:rPr>
        <w:t>Ekoschemat – Prowadzenie produkcji roślinnej w systemie Integrowanej Produkcji Roślin, Ekoschemat - Rolnictwo ekologiczne]</w:t>
      </w:r>
      <w:r w:rsidR="006A3C16" w:rsidRPr="00753F91">
        <w:rPr>
          <w:rFonts w:ascii="Arial Narrow" w:hAnsi="Arial Narrow"/>
          <w:color w:val="222222"/>
        </w:rPr>
        <w:t>. Dzięki czemu</w:t>
      </w:r>
      <w:r w:rsidRPr="00753F91">
        <w:rPr>
          <w:rFonts w:ascii="Arial Narrow" w:hAnsi="Arial Narrow"/>
          <w:i/>
          <w:color w:val="222222"/>
        </w:rPr>
        <w:t xml:space="preserve"> eliminowane jest stosowanie najbardziej niebezpiecznych środków ochrony roślin i wprowadzane są obligatoryjnie alternatywne metody ochrony roślin, w tym w szczególności metody ochrony biologicznej</w:t>
      </w:r>
      <w:r w:rsidRPr="00302BC1">
        <w:rPr>
          <w:rFonts w:ascii="Arial Narrow" w:hAnsi="Arial Narrow"/>
          <w:color w:val="222222"/>
        </w:rPr>
        <w:t xml:space="preserve">. </w:t>
      </w:r>
    </w:p>
    <w:p w:rsidR="005E6B5E" w:rsidRPr="00753F91" w:rsidRDefault="00030B5A" w:rsidP="00D763F7">
      <w:pPr>
        <w:spacing w:after="120" w:line="288" w:lineRule="auto"/>
        <w:jc w:val="both"/>
        <w:rPr>
          <w:rFonts w:ascii="Arial Narrow" w:hAnsi="Arial Narrow" w:cs="Times New Roman"/>
          <w:b/>
          <w:bCs/>
          <w:noProof/>
        </w:rPr>
      </w:pPr>
      <w:r w:rsidRPr="00302BC1">
        <w:rPr>
          <w:rFonts w:ascii="Arial Narrow" w:hAnsi="Arial Narrow"/>
          <w:color w:val="222222"/>
        </w:rPr>
        <w:t xml:space="preserve">Cele dotyczące redukcji ryzyka związanego ze stosowaniem środków ochrony roślin realizowane będą </w:t>
      </w:r>
      <w:r w:rsidR="008E3352" w:rsidRPr="00302BC1">
        <w:rPr>
          <w:rFonts w:ascii="Arial Narrow" w:hAnsi="Arial Narrow"/>
          <w:color w:val="222222"/>
        </w:rPr>
        <w:t xml:space="preserve">także poprzez </w:t>
      </w:r>
      <w:r w:rsidRPr="00753F91">
        <w:rPr>
          <w:rFonts w:ascii="Arial Narrow" w:hAnsi="Arial Narrow"/>
          <w:color w:val="222222"/>
        </w:rPr>
        <w:t>wyposażenie gospodarstw rolnych w rozwiązania techniczne służące racjonalizacji stosowania środków ochrony roślin oraz podnoszące bezpieczeństwo zabiegów (</w:t>
      </w:r>
      <w:r w:rsidRPr="00753F91">
        <w:rPr>
          <w:rFonts w:ascii="Arial Narrow" w:hAnsi="Arial Narrow"/>
          <w:i/>
          <w:color w:val="222222"/>
        </w:rPr>
        <w:t>jak stacje meteorologiczne służące wspomaganiu decyzji w ochronie roślin, opryskiwacze wyposażone w rozwiązania antyznoszeniowe, bezpieczne stanowiska mycia opryskiwaczy, etc.</w:t>
      </w:r>
      <w:r w:rsidR="006A3C16" w:rsidRPr="00302BC1">
        <w:rPr>
          <w:rFonts w:ascii="Arial Narrow" w:hAnsi="Arial Narrow"/>
          <w:i/>
          <w:color w:val="222222"/>
        </w:rPr>
        <w:t xml:space="preserve"> W ramach interwencji </w:t>
      </w:r>
      <w:r w:rsidR="006A3C16" w:rsidRPr="00302BC1">
        <w:rPr>
          <w:rFonts w:ascii="Arial Narrow" w:hAnsi="Arial Narrow" w:cs="Times New Roman"/>
          <w:bCs/>
          <w:i/>
          <w:noProof/>
        </w:rPr>
        <w:t>Inwestycje przyczyniające się do ochrony środowiska i klimatu</w:t>
      </w:r>
      <w:r w:rsidRPr="00302BC1">
        <w:rPr>
          <w:rFonts w:ascii="Arial Narrow" w:hAnsi="Arial Narrow"/>
          <w:color w:val="222222"/>
        </w:rPr>
        <w:t>).</w:t>
      </w:r>
    </w:p>
    <w:p w:rsidR="00302BC1" w:rsidRDefault="00302BC1">
      <w:pPr>
        <w:rPr>
          <w:rFonts w:ascii="Arial Narrow" w:hAnsi="Arial Narrow" w:cs="Times New Roman"/>
          <w:b/>
          <w:bCs/>
          <w:noProof/>
        </w:rPr>
      </w:pPr>
      <w:r>
        <w:rPr>
          <w:rFonts w:ascii="Arial Narrow" w:hAnsi="Arial Narrow" w:cs="Times New Roman"/>
          <w:b/>
          <w:bCs/>
          <w:noProof/>
        </w:rPr>
        <w:br w:type="page"/>
      </w:r>
    </w:p>
    <w:p w:rsidR="001C0AF4" w:rsidRPr="005E6B5E" w:rsidRDefault="001C0AF4" w:rsidP="005E6B5E">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
          <w:bCs/>
          <w:noProof/>
        </w:rPr>
      </w:pPr>
      <w:r w:rsidRPr="005E6B5E">
        <w:rPr>
          <w:rFonts w:ascii="Arial Narrow" w:hAnsi="Arial Narrow" w:cs="Times New Roman"/>
          <w:b/>
          <w:bCs/>
          <w:noProof/>
        </w:rPr>
        <w:lastRenderedPageBreak/>
        <w:t>Rekomendacja</w:t>
      </w:r>
      <w:r w:rsidR="00F349FD" w:rsidRPr="005E6B5E">
        <w:rPr>
          <w:rFonts w:ascii="Arial Narrow" w:hAnsi="Arial Narrow" w:cs="Times New Roman"/>
          <w:b/>
          <w:bCs/>
          <w:noProof/>
        </w:rPr>
        <w:t xml:space="preserve"> </w:t>
      </w:r>
      <w:r w:rsidR="00701E54">
        <w:rPr>
          <w:rFonts w:ascii="Arial Narrow" w:hAnsi="Arial Narrow" w:cs="Times New Roman"/>
          <w:b/>
          <w:bCs/>
          <w:noProof/>
        </w:rPr>
        <w:t xml:space="preserve">nr </w:t>
      </w:r>
      <w:r w:rsidR="00F349FD" w:rsidRPr="005E6B5E">
        <w:rPr>
          <w:rFonts w:ascii="Arial Narrow" w:hAnsi="Arial Narrow" w:cs="Times New Roman"/>
          <w:b/>
          <w:bCs/>
          <w:noProof/>
        </w:rPr>
        <w:t>1</w:t>
      </w:r>
      <w:r w:rsidR="00282AEE" w:rsidRPr="005E6B5E">
        <w:rPr>
          <w:rFonts w:ascii="Arial Narrow" w:hAnsi="Arial Narrow" w:cs="Times New Roman"/>
          <w:b/>
          <w:bCs/>
          <w:noProof/>
        </w:rPr>
        <w:t>4</w:t>
      </w:r>
      <w:r w:rsidR="00F349FD" w:rsidRPr="005E6B5E">
        <w:rPr>
          <w:rFonts w:ascii="Arial Narrow" w:hAnsi="Arial Narrow" w:cs="Times New Roman"/>
          <w:b/>
          <w:bCs/>
          <w:noProof/>
        </w:rPr>
        <w:t>:</w:t>
      </w:r>
      <w:r w:rsidR="005E6B5E">
        <w:rPr>
          <w:rFonts w:ascii="Arial Narrow" w:hAnsi="Arial Narrow" w:cs="Times New Roman"/>
          <w:b/>
          <w:bCs/>
          <w:noProof/>
        </w:rPr>
        <w:t xml:space="preserve"> </w:t>
      </w:r>
      <w:r w:rsidRPr="005E6B5E">
        <w:rPr>
          <w:rFonts w:ascii="Arial Narrow" w:hAnsi="Arial Narrow" w:cs="Times New Roman"/>
          <w:bCs/>
          <w:i/>
          <w:noProof/>
        </w:rPr>
        <w:t>Przyczynianie się do realizacji celu Europejskiego Zielonego Ładu w zakresie dostępu szerokopasmowego poprzez dalszy rozwój sieci szerokopasmowych, celem niwelowania różnic w dostępie do łączności na obszarach wiejskich i oddalonych. Równoległe inwestowanie w rozwój umiejętności cyfrowych. W tym kontekście ważne będzie zapewnienie synergii i komplementarności między funduszami unijnymi i krajowymi</w:t>
      </w:r>
      <w:r w:rsidR="005E6B5E">
        <w:rPr>
          <w:rFonts w:ascii="Arial Narrow" w:hAnsi="Arial Narrow" w:cs="Times New Roman"/>
          <w:bCs/>
          <w:i/>
          <w:noProof/>
        </w:rPr>
        <w:t>.</w:t>
      </w:r>
    </w:p>
    <w:p w:rsidR="002D0935" w:rsidRPr="002D0935" w:rsidRDefault="002D0935" w:rsidP="00C435D8">
      <w:pPr>
        <w:spacing w:after="120" w:line="264" w:lineRule="auto"/>
        <w:jc w:val="both"/>
        <w:rPr>
          <w:rFonts w:ascii="Arial Narrow" w:hAnsi="Arial Narrow"/>
        </w:rPr>
      </w:pPr>
      <w:r w:rsidRPr="002D0935">
        <w:rPr>
          <w:rFonts w:ascii="Arial Narrow" w:hAnsi="Arial Narrow"/>
        </w:rPr>
        <w:t>Cel Europejskiego Zielonego Ładu w zakresie dostępu szerokopasmowego będzie realizowany przy pomocy krajowych instrumentów wsparcia. Jednym z instrumentów jest Krajowego Planu Odbudowy i zwiększania odporności (KPO), w którym zgłoszono inwestycję w zakresie rozbudowy internetu szerokopasmowego na obszarach wiejskich. Przysłuży się temu program pod nazwą Telekomunikacja, którego budżet wynosi 1,4 mld euro, a jego głównym celem jest likwidacja tzw. „białych plam”.</w:t>
      </w:r>
    </w:p>
    <w:p w:rsidR="002D0935" w:rsidRPr="002D0935" w:rsidRDefault="002D0935" w:rsidP="00C435D8">
      <w:pPr>
        <w:spacing w:after="120" w:line="264" w:lineRule="auto"/>
        <w:jc w:val="both"/>
        <w:rPr>
          <w:rFonts w:ascii="Arial Narrow" w:hAnsi="Arial Narrow"/>
        </w:rPr>
      </w:pPr>
      <w:r w:rsidRPr="002D0935">
        <w:rPr>
          <w:rFonts w:ascii="Arial Narrow" w:hAnsi="Arial Narrow"/>
        </w:rPr>
        <w:t>Dodatkowe środki na ten cel planuje się przeznaczyć w ramach Polityki Spójności. Projekt Umowy Partnerstwa na lata 2021-2027 przewiduje, iż wspierane będą inwestycje umożliwiające gigabitowy dostęp do Internetu zarówno dla miejsc stanowiących główną siłę napędową rozwoju społeczno-gospodarczego jak i na obszarach gorzej rozwiniętych. Program Fundusze Europejskie na Rozwój Cyfrowy (FERC) przewiduje dostęp do internetu o</w:t>
      </w:r>
      <w:r w:rsidR="00753F91">
        <w:rPr>
          <w:rFonts w:ascii="Arial Narrow" w:hAnsi="Arial Narrow"/>
        </w:rPr>
        <w:t> </w:t>
      </w:r>
      <w:r w:rsidRPr="002D0935">
        <w:rPr>
          <w:rFonts w:ascii="Arial Narrow" w:hAnsi="Arial Narrow"/>
        </w:rPr>
        <w:t>przepustowości co najmniej 100 Mb/s z możliwością jej modyfikacji do przepustowości mierzonej w gigabitach.</w:t>
      </w:r>
    </w:p>
    <w:p w:rsidR="002D0935" w:rsidRPr="002D0935" w:rsidRDefault="002D0935" w:rsidP="00C435D8">
      <w:pPr>
        <w:spacing w:after="120" w:line="264" w:lineRule="auto"/>
        <w:jc w:val="both"/>
        <w:rPr>
          <w:rFonts w:ascii="Arial Narrow" w:hAnsi="Arial Narrow"/>
        </w:rPr>
      </w:pPr>
      <w:r w:rsidRPr="002D0935">
        <w:rPr>
          <w:rFonts w:ascii="Arial Narrow" w:hAnsi="Arial Narrow"/>
        </w:rPr>
        <w:t>Dzięki różnym programom na rzecz rozwoju internetu szerokopasmowego zbliżamy się do osiągnięcia do końca 2025 r. celu Narodowego Planu Szerokopasmowego, który zakłada, że: Wszystkie gospodarstwa domowe, zarówno na obszarach wiejskich, jak i miejskich, będą miały dostęp do internetu o przepustowości dla łącza „w dół” wynoszącej co najmniej 100 Mb/s, z możliwością modernizacji do przepustowości mierzonej w gigabitach.</w:t>
      </w:r>
    </w:p>
    <w:p w:rsidR="002D0935" w:rsidRDefault="002D0935" w:rsidP="00C435D8">
      <w:pPr>
        <w:spacing w:after="120" w:line="264" w:lineRule="auto"/>
        <w:jc w:val="both"/>
        <w:rPr>
          <w:rFonts w:ascii="Arial Narrow" w:hAnsi="Arial Narrow"/>
        </w:rPr>
      </w:pPr>
      <w:r w:rsidRPr="002D0935">
        <w:rPr>
          <w:rFonts w:ascii="Arial Narrow" w:hAnsi="Arial Narrow"/>
        </w:rPr>
        <w:t>Dostęp do internetu szerokopasmowego jest podstawowym elementem m.in. do rozpowszechnienia usług cyfrowych oraz wykorzystywanym do pracy zdalnej.</w:t>
      </w:r>
    </w:p>
    <w:p w:rsidR="00B87983" w:rsidRPr="00001791" w:rsidRDefault="00B87983" w:rsidP="00C435D8">
      <w:pPr>
        <w:spacing w:after="120" w:line="264" w:lineRule="auto"/>
        <w:jc w:val="both"/>
        <w:rPr>
          <w:rFonts w:ascii="Arial Narrow" w:hAnsi="Arial Narrow"/>
        </w:rPr>
      </w:pPr>
      <w:r w:rsidRPr="00001791">
        <w:rPr>
          <w:rFonts w:ascii="Arial Narrow" w:hAnsi="Arial Narrow"/>
        </w:rPr>
        <w:t>Budowę infrastruktury telekomunikacyjnej realizują przede wszystkim przedsiębiorcy telekomunikacyjni oraz JST w ramach własnych, komercyjnych inwestycji. Są jednak miejsca, najczęściej małe miejscowości i wsie o</w:t>
      </w:r>
      <w:r w:rsidR="00753F91">
        <w:rPr>
          <w:rFonts w:ascii="Arial Narrow" w:hAnsi="Arial Narrow"/>
        </w:rPr>
        <w:t> </w:t>
      </w:r>
      <w:r w:rsidRPr="00001791">
        <w:rPr>
          <w:rFonts w:ascii="Arial Narrow" w:hAnsi="Arial Narrow"/>
        </w:rPr>
        <w:t xml:space="preserve">rozproszonej zabudowie, w których bez wsparcia publicznego nie powstaną sieci telekomunikacyjne najnowszych generacji. Wsparcie ich budowy ze środków publicznych jest konieczne, aby skutecznie przeciwdziałać wykluczeniu cyfrowemu mieszkańców takich miejsc </w:t>
      </w:r>
    </w:p>
    <w:p w:rsidR="00B87983" w:rsidRPr="002D0935" w:rsidRDefault="00B87983" w:rsidP="00C435D8">
      <w:pPr>
        <w:spacing w:after="120" w:line="264" w:lineRule="auto"/>
        <w:jc w:val="both"/>
        <w:rPr>
          <w:rFonts w:ascii="Arial Narrow" w:hAnsi="Arial Narrow"/>
        </w:rPr>
      </w:pPr>
      <w:r w:rsidRPr="00001791">
        <w:rPr>
          <w:rFonts w:ascii="Arial Narrow" w:hAnsi="Arial Narrow"/>
        </w:rPr>
        <w:lastRenderedPageBreak/>
        <w:t>Interwencja realizowana w ramach funduszy UE, w tym POPC ma znaczący wpływ na zwiększenie liczby e-usług, poprawę ich jakości i dostępności. Mimo ciągłej poprawy, Polska na tle pozostałych państw członkowskich UE nadal plasuje się wśród krajów, które charakteryzuje niski poziom cyfryzacji i penetracji e-usług.</w:t>
      </w:r>
    </w:p>
    <w:p w:rsidR="002D0935" w:rsidRPr="002D0935" w:rsidRDefault="002D0935" w:rsidP="00C435D8">
      <w:pPr>
        <w:spacing w:after="120" w:line="264" w:lineRule="auto"/>
        <w:jc w:val="both"/>
        <w:rPr>
          <w:rFonts w:ascii="Arial Narrow" w:hAnsi="Arial Narrow"/>
        </w:rPr>
      </w:pPr>
      <w:r w:rsidRPr="002D0935">
        <w:rPr>
          <w:rFonts w:ascii="Arial Narrow" w:hAnsi="Arial Narrow"/>
        </w:rPr>
        <w:t>W ramach rozwoju usług cyfrowych, MRiRW wraz z KPRM i MRiRW planuje utworzyć narzędzie cyfrowe ułatwiające rolnikowi/ mieszkańcowi obszarów wiejskich obsługę przy aplikowaniu wniosków. Integracja różnych systemów i baz danych poszczególnych instytucji pozwoli na częściową automatyzację procesu podczas składania wniosku przez rolnika (rolnik nie będzie musiał podawać wielu informacji, gdyż te będą pozyskiwane automatycznie do wniosku, który będzie miał zamiar złożyć) oraz automatyzację rozpatrywania samego wniosku (pozwoli to ograniczyć do niezbędnego minimum ilość wykonywanych czynności oraz zaoszczędzić czas na załatwienie konkretnej sprawy).Budowa platform monitoringu oraz integracja różnych systemów i baz danych ułatwi rolnikowi dostęp do informacji, które go dotyczą.</w:t>
      </w:r>
      <w:r w:rsidR="00B87983" w:rsidRPr="00001791">
        <w:rPr>
          <w:rFonts w:ascii="Arial Narrow" w:hAnsi="Arial Narrow"/>
        </w:rPr>
        <w:t xml:space="preserve"> </w:t>
      </w:r>
    </w:p>
    <w:p w:rsidR="00A25803" w:rsidRDefault="002D0935" w:rsidP="00C435D8">
      <w:pPr>
        <w:spacing w:after="120" w:line="264" w:lineRule="auto"/>
        <w:rPr>
          <w:rFonts w:ascii="Arial Narrow" w:hAnsi="Arial Narrow"/>
        </w:rPr>
      </w:pPr>
      <w:r w:rsidRPr="002D0935">
        <w:rPr>
          <w:rFonts w:ascii="Arial Narrow" w:hAnsi="Arial Narrow"/>
        </w:rPr>
        <w:t xml:space="preserve">Powyższe działania również będą finansowane z programów krajowych tj. KPO, Umowy Partnerstwa na lata 2021-2027 oraz FERC. </w:t>
      </w:r>
    </w:p>
    <w:p w:rsidR="00BE52F6" w:rsidRPr="009649C8" w:rsidRDefault="00A25803" w:rsidP="00C435D8">
      <w:pPr>
        <w:spacing w:after="120" w:line="264" w:lineRule="auto"/>
        <w:jc w:val="both"/>
        <w:rPr>
          <w:rFonts w:ascii="Arial Narrow" w:hAnsi="Arial Narrow"/>
        </w:rPr>
      </w:pPr>
      <w:r>
        <w:rPr>
          <w:rFonts w:ascii="Arial Narrow" w:hAnsi="Arial Narrow"/>
        </w:rPr>
        <w:t xml:space="preserve">Jednocześnie </w:t>
      </w:r>
      <w:r w:rsidR="00C435D8">
        <w:rPr>
          <w:rFonts w:ascii="Arial Narrow" w:hAnsi="Arial Narrow"/>
        </w:rPr>
        <w:t xml:space="preserve">w </w:t>
      </w:r>
      <w:r w:rsidRPr="009649C8">
        <w:rPr>
          <w:rFonts w:ascii="Arial Narrow" w:hAnsi="Arial Narrow"/>
        </w:rPr>
        <w:t>ramach Planu strategicznego Wspólnej Polityki Rolnej przewiduje się wsparcie organizacji i prowadzenia szkoleń dla rolników z zakresu wykorzystani</w:t>
      </w:r>
      <w:r w:rsidR="00C435D8">
        <w:rPr>
          <w:rFonts w:ascii="Arial Narrow" w:hAnsi="Arial Narrow"/>
        </w:rPr>
        <w:t>a</w:t>
      </w:r>
      <w:r w:rsidRPr="009649C8">
        <w:rPr>
          <w:rFonts w:ascii="Arial Narrow" w:hAnsi="Arial Narrow"/>
        </w:rPr>
        <w:t xml:space="preserve"> technologii cyfrowych w prowadzeniu gospodarstwa rolnego. Nie przewiduje się natomiast szkoleń podnoszących kompetencje cyfrowe mieszkańców obszarów wiejskich. Rozwój kompetencji cyfrowych mieszkańców obszarów wiejskich, </w:t>
      </w:r>
      <w:r w:rsidR="009649C8">
        <w:rPr>
          <w:rFonts w:ascii="Arial Narrow" w:hAnsi="Arial Narrow"/>
        </w:rPr>
        <w:t>realizowany będzie ze środków poza WPR</w:t>
      </w:r>
      <w:r w:rsidR="009649C8" w:rsidRPr="009649C8">
        <w:rPr>
          <w:rFonts w:ascii="Arial Narrow" w:hAnsi="Arial Narrow"/>
        </w:rPr>
        <w:t xml:space="preserve"> </w:t>
      </w:r>
      <w:r w:rsidR="00BE52F6" w:rsidRPr="009649C8">
        <w:rPr>
          <w:rFonts w:ascii="Arial Narrow" w:hAnsi="Arial Narrow"/>
        </w:rPr>
        <w:br w:type="page"/>
      </w:r>
    </w:p>
    <w:p w:rsidR="00F349FD" w:rsidRPr="00C80629" w:rsidRDefault="00282AEE" w:rsidP="00C80629">
      <w:pPr>
        <w:pBdr>
          <w:top w:val="dotted" w:sz="4" w:space="1" w:color="auto"/>
          <w:left w:val="dotted" w:sz="4" w:space="4" w:color="auto"/>
          <w:bottom w:val="dotted" w:sz="4" w:space="1" w:color="auto"/>
          <w:right w:val="dotted" w:sz="4" w:space="4" w:color="auto"/>
        </w:pBdr>
        <w:shd w:val="clear" w:color="auto" w:fill="F2F2F2" w:themeFill="background1" w:themeFillShade="F2"/>
        <w:tabs>
          <w:tab w:val="left" w:pos="4644"/>
        </w:tabs>
        <w:jc w:val="both"/>
        <w:rPr>
          <w:rFonts w:ascii="Arial Narrow" w:hAnsi="Arial Narrow" w:cs="Times New Roman"/>
          <w:bCs/>
          <w:i/>
          <w:noProof/>
        </w:rPr>
      </w:pPr>
      <w:r w:rsidRPr="00282AEE">
        <w:rPr>
          <w:rFonts w:ascii="Arial Narrow" w:hAnsi="Arial Narrow" w:cs="Times New Roman"/>
          <w:b/>
          <w:bCs/>
          <w:noProof/>
        </w:rPr>
        <w:lastRenderedPageBreak/>
        <w:t xml:space="preserve">Rekomendacja </w:t>
      </w:r>
      <w:r w:rsidR="00701E54">
        <w:rPr>
          <w:rFonts w:ascii="Arial Narrow" w:hAnsi="Arial Narrow" w:cs="Times New Roman"/>
          <w:b/>
          <w:bCs/>
          <w:noProof/>
        </w:rPr>
        <w:t xml:space="preserve">nr </w:t>
      </w:r>
      <w:r w:rsidRPr="00282AEE">
        <w:rPr>
          <w:rFonts w:ascii="Arial Narrow" w:hAnsi="Arial Narrow" w:cs="Times New Roman"/>
          <w:b/>
          <w:bCs/>
          <w:noProof/>
        </w:rPr>
        <w:t xml:space="preserve">15: </w:t>
      </w:r>
      <w:r w:rsidR="00F349FD" w:rsidRPr="00C80629">
        <w:rPr>
          <w:rFonts w:ascii="Arial Narrow" w:hAnsi="Arial Narrow" w:cs="Times New Roman"/>
          <w:bCs/>
          <w:i/>
          <w:noProof/>
        </w:rPr>
        <w:t>Inwestowanie w dobrze rozwinięty system wiedzy i innowacji w dziedzinie rolnictwa oraz dalszą integrację informacji, wiedzy, doradztwa, innowacji i umiejętności cyfrowych poprzez wspieranie lepszych powiązań między doradcami publicznymi i prywatnymi oraz inwestowanie w ich szkolenie i umiejętności. Podmioty świadczące usługi doradcze powinny być przygotowane do reagowania na rosnące potrzeby gospodarstw rolnych (w tym małych gospodarstw) na informacje na temat aspektów gospodarczych, środowiskowych i społecznych, a także powinny być w stanie zapewniać wsparcie w zakresie innowacji.</w:t>
      </w:r>
    </w:p>
    <w:p w:rsidR="001C0AF4" w:rsidRPr="00282AEE" w:rsidRDefault="001C0AF4" w:rsidP="00753F91">
      <w:pPr>
        <w:spacing w:after="0" w:line="288" w:lineRule="auto"/>
        <w:jc w:val="both"/>
        <w:rPr>
          <w:rFonts w:ascii="Arial Narrow" w:eastAsia="Times New Roman" w:hAnsi="Arial Narrow" w:cs="Times New Roman"/>
        </w:rPr>
      </w:pPr>
      <w:r w:rsidRPr="00282AEE">
        <w:rPr>
          <w:rFonts w:ascii="Arial Narrow" w:eastAsia="Times New Roman" w:hAnsi="Arial Narrow" w:cs="Times New Roman"/>
        </w:rPr>
        <w:t>Działania na rzecz wzmocnienia wymiany wiedzy i innowacji wspierane będą w ramach Planu strategicznego WPR poprzez proponowane interwencje, dedykowane temu obszarowi, tj.:</w:t>
      </w:r>
    </w:p>
    <w:p w:rsidR="001C0AF4" w:rsidRPr="00C80629" w:rsidRDefault="001C0AF4" w:rsidP="00753F91">
      <w:pPr>
        <w:pStyle w:val="Akapitzlist"/>
        <w:numPr>
          <w:ilvl w:val="0"/>
          <w:numId w:val="1"/>
        </w:numPr>
        <w:spacing w:after="0" w:line="288" w:lineRule="auto"/>
        <w:contextualSpacing w:val="0"/>
        <w:jc w:val="both"/>
        <w:rPr>
          <w:rFonts w:ascii="Arial Narrow" w:hAnsi="Arial Narrow"/>
          <w:b/>
          <w:bCs/>
          <w:i/>
        </w:rPr>
      </w:pPr>
      <w:r w:rsidRPr="00C80629">
        <w:rPr>
          <w:rFonts w:ascii="Arial Narrow" w:hAnsi="Arial Narrow"/>
          <w:b/>
          <w:bCs/>
          <w:i/>
        </w:rPr>
        <w:t xml:space="preserve">Doskonalenie zawodowe rolników, </w:t>
      </w:r>
    </w:p>
    <w:p w:rsidR="001C0AF4" w:rsidRPr="00C80629" w:rsidRDefault="001C0AF4" w:rsidP="00753F91">
      <w:pPr>
        <w:pStyle w:val="Akapitzlist"/>
        <w:numPr>
          <w:ilvl w:val="0"/>
          <w:numId w:val="1"/>
        </w:numPr>
        <w:spacing w:after="0" w:line="288" w:lineRule="auto"/>
        <w:contextualSpacing w:val="0"/>
        <w:jc w:val="both"/>
        <w:rPr>
          <w:rFonts w:ascii="Arial Narrow" w:hAnsi="Arial Narrow"/>
          <w:i/>
        </w:rPr>
      </w:pPr>
      <w:r w:rsidRPr="00C80629">
        <w:rPr>
          <w:rFonts w:ascii="Arial Narrow" w:hAnsi="Arial Narrow"/>
          <w:b/>
          <w:bCs/>
          <w:i/>
        </w:rPr>
        <w:t>Doskonalenie zawodowe kadr doradczych</w:t>
      </w:r>
      <w:r w:rsidRPr="00C80629">
        <w:rPr>
          <w:rFonts w:ascii="Arial Narrow" w:hAnsi="Arial Narrow"/>
          <w:i/>
        </w:rPr>
        <w:t xml:space="preserve">, </w:t>
      </w:r>
    </w:p>
    <w:p w:rsidR="001C0AF4" w:rsidRPr="00C80629" w:rsidRDefault="001C0AF4" w:rsidP="00753F91">
      <w:pPr>
        <w:pStyle w:val="Akapitzlist"/>
        <w:numPr>
          <w:ilvl w:val="0"/>
          <w:numId w:val="1"/>
        </w:numPr>
        <w:spacing w:after="0" w:line="288" w:lineRule="auto"/>
        <w:contextualSpacing w:val="0"/>
        <w:jc w:val="both"/>
        <w:rPr>
          <w:rFonts w:ascii="Arial Narrow" w:hAnsi="Arial Narrow"/>
          <w:i/>
        </w:rPr>
      </w:pPr>
      <w:r w:rsidRPr="00C80629">
        <w:rPr>
          <w:rFonts w:ascii="Arial Narrow" w:hAnsi="Arial Narrow"/>
          <w:b/>
          <w:bCs/>
          <w:i/>
        </w:rPr>
        <w:t>Kompleksowe doradztwo rolnicze</w:t>
      </w:r>
      <w:r w:rsidRPr="00C80629">
        <w:rPr>
          <w:rFonts w:ascii="Arial Narrow" w:hAnsi="Arial Narrow"/>
          <w:i/>
        </w:rPr>
        <w:t>,</w:t>
      </w:r>
    </w:p>
    <w:p w:rsidR="001C0AF4" w:rsidRPr="00C80629" w:rsidRDefault="001C0AF4" w:rsidP="00753F91">
      <w:pPr>
        <w:pStyle w:val="Akapitzlist"/>
        <w:numPr>
          <w:ilvl w:val="0"/>
          <w:numId w:val="1"/>
        </w:numPr>
        <w:spacing w:after="120" w:line="288" w:lineRule="auto"/>
        <w:contextualSpacing w:val="0"/>
        <w:jc w:val="both"/>
        <w:rPr>
          <w:rFonts w:ascii="Arial Narrow" w:hAnsi="Arial Narrow" w:cs="Times New Roman"/>
          <w:b/>
          <w:i/>
        </w:rPr>
      </w:pPr>
      <w:r w:rsidRPr="00C80629">
        <w:rPr>
          <w:rFonts w:ascii="Arial Narrow" w:hAnsi="Arial Narrow" w:cs="Times New Roman"/>
          <w:b/>
          <w:i/>
        </w:rPr>
        <w:t xml:space="preserve">Wsparcie gospodarstw demonstracyjnych. </w:t>
      </w:r>
    </w:p>
    <w:p w:rsidR="001C0AF4" w:rsidRPr="00282AEE" w:rsidRDefault="001C0AF4" w:rsidP="00753F91">
      <w:pPr>
        <w:spacing w:after="120" w:line="288" w:lineRule="auto"/>
        <w:jc w:val="both"/>
        <w:rPr>
          <w:rFonts w:ascii="Arial Narrow" w:hAnsi="Arial Narrow"/>
        </w:rPr>
      </w:pPr>
      <w:r w:rsidRPr="00282AEE">
        <w:rPr>
          <w:rFonts w:ascii="Arial Narrow" w:hAnsi="Arial Narrow"/>
        </w:rPr>
        <w:t xml:space="preserve">Wzmocnienie powiązań pomiędzy partnerami systemu AKIS będzie możliwe dzięki realizacji projektów wielopodmiotowych w ramach </w:t>
      </w:r>
      <w:r w:rsidRPr="00282AEE">
        <w:rPr>
          <w:rFonts w:ascii="Arial Narrow" w:hAnsi="Arial Narrow"/>
          <w:bCs/>
        </w:rPr>
        <w:t>interwencji:</w:t>
      </w:r>
      <w:r w:rsidRPr="00282AEE">
        <w:rPr>
          <w:rFonts w:ascii="Arial Narrow" w:hAnsi="Arial Narrow"/>
          <w:b/>
          <w:bCs/>
        </w:rPr>
        <w:t xml:space="preserve"> </w:t>
      </w:r>
      <w:r w:rsidRPr="00282AEE">
        <w:rPr>
          <w:rFonts w:ascii="Arial Narrow" w:hAnsi="Arial Narrow"/>
          <w:b/>
          <w:bCs/>
          <w:i/>
        </w:rPr>
        <w:t>Współpraca Grup Operacyjnych EPI</w:t>
      </w:r>
      <w:r w:rsidRPr="00282AEE">
        <w:rPr>
          <w:rFonts w:ascii="Arial Narrow" w:hAnsi="Arial Narrow"/>
        </w:rPr>
        <w:t>. Uzupełnieniem zaplanowanych interwencji będą działania realizowane w ramach Krajowej sieci WPR.</w:t>
      </w:r>
    </w:p>
    <w:p w:rsidR="001C0AF4" w:rsidRPr="00282AEE" w:rsidRDefault="001C0AF4" w:rsidP="00753F91">
      <w:pPr>
        <w:spacing w:after="120" w:line="288" w:lineRule="auto"/>
        <w:jc w:val="both"/>
        <w:rPr>
          <w:rFonts w:ascii="Arial Narrow" w:hAnsi="Arial Narrow"/>
        </w:rPr>
      </w:pPr>
      <w:r w:rsidRPr="00282AEE">
        <w:rPr>
          <w:rFonts w:ascii="Arial Narrow" w:hAnsi="Arial Narrow"/>
        </w:rPr>
        <w:t>W doskonaleniu kadr doradczych uczestniczyć będą zarówno doradcy zatrudnieni w publicznych jak i prywatnych podmiotach doradczych. W szczególności będzie to dotyczyć szkoleń podstawowych i uzupełniających, dedykowanym doradcom znajdującym się na listach prowadzonych przez Centrum Doradztwa Rolniczego. Uczestnicy tych szkoleń - zarówno doradcy publiczni jak i prywatni -  po zdaniu egzaminów umieszczani są na listach doradców dostępnych na stronie internetowej CDR, by rolnicy mogli korzystać z ich usług.</w:t>
      </w:r>
    </w:p>
    <w:p w:rsidR="001C0AF4" w:rsidRPr="00282AEE" w:rsidRDefault="001C0AF4" w:rsidP="00753F91">
      <w:pPr>
        <w:spacing w:after="120" w:line="288" w:lineRule="auto"/>
        <w:jc w:val="both"/>
        <w:rPr>
          <w:rFonts w:ascii="Arial Narrow" w:hAnsi="Arial Narrow"/>
        </w:rPr>
      </w:pPr>
      <w:r w:rsidRPr="00282AEE">
        <w:rPr>
          <w:rFonts w:ascii="Arial Narrow" w:hAnsi="Arial Narrow"/>
        </w:rPr>
        <w:t>Oprócz uczestnictwa w szkoleniach doradcy zatrudnieni zarówno w publicznych jak i prywatnych podmiotach będą mieli możliwość doskonalenia swoich kompetencji zawodowych poprzez udział w szkoleniach specjalistycznych, studiach podyplomowych czy praktykach zawodowych. Podmioty doradcze będą też mogły korzystać z możliwości objęcia swoich doradców opieka mentorską.</w:t>
      </w:r>
    </w:p>
    <w:p w:rsidR="001C0AF4" w:rsidRPr="00282AEE" w:rsidRDefault="001C0AF4" w:rsidP="00753F91">
      <w:pPr>
        <w:spacing w:after="120" w:line="288" w:lineRule="auto"/>
        <w:jc w:val="both"/>
        <w:rPr>
          <w:rFonts w:ascii="Arial Narrow" w:hAnsi="Arial Narrow"/>
        </w:rPr>
      </w:pPr>
      <w:r w:rsidRPr="00282AEE">
        <w:rPr>
          <w:rFonts w:ascii="Arial Narrow" w:hAnsi="Arial Narrow"/>
        </w:rPr>
        <w:lastRenderedPageBreak/>
        <w:t>Ponadto, przedstawiciele doradztwa publicznego i prywatnego włączani będą w wydarzenia organizowane w</w:t>
      </w:r>
      <w:r w:rsidR="00753F91">
        <w:rPr>
          <w:rFonts w:ascii="Arial Narrow" w:hAnsi="Arial Narrow"/>
        </w:rPr>
        <w:t> </w:t>
      </w:r>
      <w:r w:rsidRPr="00282AEE">
        <w:rPr>
          <w:rFonts w:ascii="Arial Narrow" w:hAnsi="Arial Narrow"/>
        </w:rPr>
        <w:t xml:space="preserve">ramach Krajowej Sieci WPR, takie jak konferencje, szkolenia, wyjazdy studyjne itp., na podobnych zasadach jak w obecnej perspektywie finansowej. </w:t>
      </w:r>
    </w:p>
    <w:p w:rsidR="001C0AF4" w:rsidRPr="00282AEE" w:rsidRDefault="001C0AF4" w:rsidP="00753F91">
      <w:pPr>
        <w:spacing w:after="120" w:line="288" w:lineRule="auto"/>
        <w:jc w:val="both"/>
        <w:rPr>
          <w:rFonts w:ascii="Arial Narrow" w:eastAsia="Times New Roman" w:hAnsi="Arial Narrow" w:cs="Times New Roman"/>
        </w:rPr>
      </w:pPr>
      <w:r w:rsidRPr="00282AEE">
        <w:rPr>
          <w:rFonts w:ascii="Arial Narrow" w:hAnsi="Arial Narrow"/>
        </w:rPr>
        <w:t>Natomiast dzięki współpracy brokerów innowacji z ośrodków doradztwa rolniczego z grupami operacyjnymi</w:t>
      </w:r>
      <w:r w:rsidRPr="00282AEE">
        <w:rPr>
          <w:rFonts w:ascii="Arial Narrow" w:eastAsia="Times New Roman" w:hAnsi="Arial Narrow" w:cs="Times New Roman"/>
        </w:rPr>
        <w:t xml:space="preserve"> EPI, w</w:t>
      </w:r>
      <w:r w:rsidR="00753F91">
        <w:rPr>
          <w:rFonts w:ascii="Arial Narrow" w:eastAsia="Times New Roman" w:hAnsi="Arial Narrow" w:cs="Times New Roman"/>
        </w:rPr>
        <w:t> </w:t>
      </w:r>
      <w:r w:rsidRPr="00282AEE">
        <w:rPr>
          <w:rFonts w:ascii="Arial Narrow" w:eastAsia="Times New Roman" w:hAnsi="Arial Narrow" w:cs="Times New Roman"/>
        </w:rPr>
        <w:t>skład których mogą wchodzić również prywatne podmioty doradcze, ułatwiona będzie wymiana informacji i</w:t>
      </w:r>
      <w:r w:rsidR="00753F91">
        <w:rPr>
          <w:rFonts w:ascii="Arial Narrow" w:eastAsia="Times New Roman" w:hAnsi="Arial Narrow" w:cs="Times New Roman"/>
        </w:rPr>
        <w:t> </w:t>
      </w:r>
      <w:r w:rsidRPr="00282AEE">
        <w:rPr>
          <w:rFonts w:ascii="Arial Narrow" w:eastAsia="Times New Roman" w:hAnsi="Arial Narrow" w:cs="Times New Roman"/>
        </w:rPr>
        <w:t>doświadczeń związanych z tworzeniem, funkcjonowaniem GO jak i realizacją przez nie projektów.</w:t>
      </w:r>
    </w:p>
    <w:p w:rsidR="001C0AF4" w:rsidRPr="00282AEE" w:rsidRDefault="001C0AF4" w:rsidP="00753F91">
      <w:pPr>
        <w:spacing w:after="120" w:line="288" w:lineRule="auto"/>
        <w:jc w:val="both"/>
        <w:rPr>
          <w:rFonts w:ascii="Arial Narrow" w:eastAsia="Calibri" w:hAnsi="Arial Narrow" w:cs="Times New Roman"/>
          <w:iCs/>
        </w:rPr>
      </w:pPr>
      <w:r w:rsidRPr="00282AEE">
        <w:rPr>
          <w:rFonts w:ascii="Arial Narrow" w:eastAsia="Times New Roman" w:hAnsi="Arial Narrow" w:cs="Times New Roman"/>
        </w:rPr>
        <w:t xml:space="preserve">Niezależnie od zakresu wsparcia w ramach PS WPR, prywatni doradcy mają możliwość korzystania z </w:t>
      </w:r>
      <w:r w:rsidRPr="00282AEE">
        <w:rPr>
          <w:rFonts w:ascii="Arial Narrow" w:hAnsi="Arial Narrow" w:cs="Times New Roman"/>
          <w:iCs/>
        </w:rPr>
        <w:t xml:space="preserve">szerokiego wachlarza </w:t>
      </w:r>
      <w:r w:rsidRPr="00282AEE">
        <w:rPr>
          <w:rFonts w:ascii="Arial Narrow" w:eastAsia="Times New Roman" w:hAnsi="Arial Narrow" w:cs="Times New Roman"/>
        </w:rPr>
        <w:t xml:space="preserve">oferty Centrum Doradztwa Rolniczego, w zakresie m.in. uczestnictwa w szkoleniach, konferencji, warsztatów, webinariów, korzystania z metodyk doradzania, </w:t>
      </w:r>
      <w:r w:rsidRPr="00282AEE">
        <w:rPr>
          <w:rFonts w:ascii="Arial Narrow" w:eastAsia="Calibri" w:hAnsi="Arial Narrow" w:cs="Times New Roman"/>
          <w:iCs/>
        </w:rPr>
        <w:t xml:space="preserve">informacji i narzędzi dla doradców (aplikacji wspierających doradców w procesie doradzania i konsultacji udzielanych rolnikom), uczestnictwa w zespołach konsultacyjnych czy korzystania z bieżących serwisów informacyjnych i newsletterów i filmów dydaktycznych, zamieszczanych na stronie internetowej CDR. </w:t>
      </w:r>
    </w:p>
    <w:p w:rsidR="001C0AF4" w:rsidRPr="00282AEE" w:rsidRDefault="001C0AF4" w:rsidP="00753F91">
      <w:pPr>
        <w:spacing w:after="120" w:line="288" w:lineRule="auto"/>
        <w:jc w:val="both"/>
        <w:rPr>
          <w:rFonts w:ascii="Arial Narrow" w:hAnsi="Arial Narrow" w:cs="Times New Roman"/>
          <w:iCs/>
        </w:rPr>
      </w:pPr>
      <w:r w:rsidRPr="00282AEE">
        <w:rPr>
          <w:rFonts w:ascii="Arial Narrow" w:hAnsi="Arial Narrow" w:cs="Times New Roman"/>
          <w:iCs/>
        </w:rPr>
        <w:t>W „strefie doradcy” na internetowej stronie głównej CDR zamieszczane są aplikacje, które mają za zadanie wspierać doradców w procesie doradzania i konsultacji udzielanych rolnikom. Aplikacje są darmowe, ogólnodostępne i korzystają z nich wszyscy zainteresowani doradcy (a także rolnicy). Planowane jest dalsze rozszerzanie w</w:t>
      </w:r>
      <w:r w:rsidRPr="00282AEE">
        <w:rPr>
          <w:rFonts w:ascii="Arial Narrow" w:hAnsi="Arial Narrow" w:cs="Times New Roman"/>
        </w:rPr>
        <w:t>achlarza narzędzi wspomagających świadczenie usług doradczych oraz jednocześnie zwiększanie zakresu funkcjonalności narzędzi już istniejących (np. kalkulatorów nawozowych, obliczania przepływu azotu i</w:t>
      </w:r>
      <w:r w:rsidR="00753F91">
        <w:rPr>
          <w:rFonts w:ascii="Arial Narrow" w:hAnsi="Arial Narrow" w:cs="Times New Roman"/>
        </w:rPr>
        <w:t> </w:t>
      </w:r>
      <w:r w:rsidRPr="00282AEE">
        <w:rPr>
          <w:rFonts w:ascii="Arial Narrow" w:hAnsi="Arial Narrow" w:cs="Times New Roman"/>
        </w:rPr>
        <w:t xml:space="preserve">fosforu w gospodarstwie, planu rozwoju gospodarstwa, programu do sporządzania planów nawozowych, </w:t>
      </w:r>
      <w:r w:rsidRPr="00282AEE">
        <w:rPr>
          <w:rFonts w:ascii="Arial Narrow" w:hAnsi="Arial Narrow" w:cs="Times New Roman"/>
          <w:color w:val="000000" w:themeColor="text1"/>
        </w:rPr>
        <w:t>planu poprawy dobrostanu zwierząt itp.).</w:t>
      </w:r>
    </w:p>
    <w:p w:rsidR="001C0AF4" w:rsidRPr="00282AEE" w:rsidRDefault="001C0AF4" w:rsidP="00753F91">
      <w:pPr>
        <w:spacing w:after="120" w:line="288" w:lineRule="auto"/>
        <w:jc w:val="both"/>
        <w:rPr>
          <w:rFonts w:ascii="Arial Narrow" w:hAnsi="Arial Narrow" w:cs="Times New Roman"/>
          <w:iCs/>
        </w:rPr>
      </w:pPr>
      <w:r w:rsidRPr="00282AEE">
        <w:rPr>
          <w:rFonts w:ascii="Arial Narrow" w:hAnsi="Arial Narrow" w:cs="Times New Roman"/>
          <w:iCs/>
        </w:rPr>
        <w:t>Wszyscy doradcy mogą również korzystać z bieżących serwisów informacyjnych i newsletterów takich jak np. Horyzont CDR, Poradnik antykryzysowy dla obszarów wiejskich itd.</w:t>
      </w:r>
    </w:p>
    <w:p w:rsidR="001C0AF4" w:rsidRPr="00282AEE" w:rsidRDefault="001C0AF4" w:rsidP="00753F91">
      <w:pPr>
        <w:spacing w:after="120" w:line="288" w:lineRule="auto"/>
        <w:jc w:val="both"/>
        <w:rPr>
          <w:rFonts w:ascii="Arial Narrow" w:eastAsia="Times New Roman" w:hAnsi="Arial Narrow" w:cs="Times New Roman"/>
        </w:rPr>
      </w:pPr>
      <w:r w:rsidRPr="00282AEE">
        <w:rPr>
          <w:rFonts w:ascii="Arial Narrow" w:eastAsia="Times New Roman" w:hAnsi="Arial Narrow" w:cs="Times New Roman"/>
        </w:rPr>
        <w:t>Brokerzy innowacji nawiązują kontakty z przedstawicielami prywatnego doradztwa, którzy również wspierają tworzące się Grupy Operacyjne EPI. Współpraca pomiędzy doradztwem publicznym i prywatnym w tym obszarze działalności przybiera formy m.in.: konsultacji udzielanych przez brokerów (telefoniczne, mailowe, bezpośrednie), spotkań i rozmów pozwalających na wymianę doświadczeń w zakresie wspierania Grup Operacyjnych EPI; wspólnego tworzenia Grup Operacyjnych EPI.</w:t>
      </w:r>
    </w:p>
    <w:p w:rsidR="001C0AF4" w:rsidRPr="00282AEE" w:rsidRDefault="001C0AF4" w:rsidP="00753F91">
      <w:pPr>
        <w:spacing w:after="120" w:line="288" w:lineRule="auto"/>
        <w:jc w:val="both"/>
        <w:rPr>
          <w:rStyle w:val="markedcontent"/>
          <w:rFonts w:ascii="Arial Narrow" w:hAnsi="Arial Narrow" w:cs="Times New Roman"/>
        </w:rPr>
      </w:pPr>
      <w:r w:rsidRPr="00282AEE">
        <w:rPr>
          <w:rFonts w:ascii="Arial Narrow" w:eastAsia="Times New Roman" w:hAnsi="Arial Narrow" w:cs="Times New Roman"/>
        </w:rPr>
        <w:lastRenderedPageBreak/>
        <w:t>Prywatne podmioty doradcze są zarejestrowanymi Partnerami Sieci SIR w związku z tym otrzymują bieżące informacje m.in. na temat dobrych praktyk i inspirujących przykładów związanych z innowacjami w rolnictwie, produkcji żywności i na obszarach wiejskich; prowadzonych badań i prac rozwojowych, możliwości finansowania różnych przedsięwzięć oraz o wydarzeniach planowanych w ramach Sieci SIR.</w:t>
      </w:r>
    </w:p>
    <w:sectPr w:rsidR="001C0AF4" w:rsidRPr="00282AE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E07" w:rsidRDefault="00544E07" w:rsidP="00BE52F6">
      <w:pPr>
        <w:spacing w:after="0" w:line="240" w:lineRule="auto"/>
      </w:pPr>
      <w:r>
        <w:separator/>
      </w:r>
    </w:p>
  </w:endnote>
  <w:endnote w:type="continuationSeparator" w:id="0">
    <w:p w:rsidR="00544E07" w:rsidRDefault="00544E07" w:rsidP="00BE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TimesNew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8688"/>
      <w:docPartObj>
        <w:docPartGallery w:val="Page Numbers (Bottom of Page)"/>
        <w:docPartUnique/>
      </w:docPartObj>
    </w:sdtPr>
    <w:sdtEndPr/>
    <w:sdtContent>
      <w:p w:rsidR="00FF0DA3" w:rsidRDefault="00FF0DA3">
        <w:pPr>
          <w:pStyle w:val="Stopka"/>
          <w:jc w:val="center"/>
        </w:pPr>
        <w:r>
          <w:fldChar w:fldCharType="begin"/>
        </w:r>
        <w:r>
          <w:instrText>PAGE   \* MERGEFORMAT</w:instrText>
        </w:r>
        <w:r>
          <w:fldChar w:fldCharType="separate"/>
        </w:r>
        <w:r w:rsidR="003E2227">
          <w:rPr>
            <w:noProof/>
          </w:rPr>
          <w:t>1</w:t>
        </w:r>
        <w:r>
          <w:fldChar w:fldCharType="end"/>
        </w:r>
      </w:p>
    </w:sdtContent>
  </w:sdt>
  <w:p w:rsidR="00FF0DA3" w:rsidRDefault="00FF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E07" w:rsidRDefault="00544E07" w:rsidP="00BE52F6">
      <w:pPr>
        <w:spacing w:after="0" w:line="240" w:lineRule="auto"/>
      </w:pPr>
      <w:r>
        <w:separator/>
      </w:r>
    </w:p>
  </w:footnote>
  <w:footnote w:type="continuationSeparator" w:id="0">
    <w:p w:rsidR="00544E07" w:rsidRDefault="00544E07" w:rsidP="00BE52F6">
      <w:pPr>
        <w:spacing w:after="0" w:line="240" w:lineRule="auto"/>
      </w:pPr>
      <w:r>
        <w:continuationSeparator/>
      </w:r>
    </w:p>
  </w:footnote>
  <w:footnote w:id="1">
    <w:p w:rsidR="00FF0DA3" w:rsidRDefault="00FF0DA3">
      <w:pPr>
        <w:pStyle w:val="Tekstprzypisudolnego"/>
      </w:pPr>
      <w:r w:rsidRPr="006E2603">
        <w:rPr>
          <w:rStyle w:val="Odwoanieprzypisudolnego"/>
          <w:vertAlign w:val="superscript"/>
        </w:rPr>
        <w:footnoteRef/>
      </w:r>
      <w:r w:rsidRPr="006E2603">
        <w:rPr>
          <w:vertAlign w:val="superscript"/>
        </w:rPr>
        <w:t xml:space="preserve"> </w:t>
      </w:r>
      <w:r w:rsidRPr="009B31DE">
        <w:rPr>
          <w:rFonts w:ascii="Arial Narrow" w:hAnsi="Arial Narrow"/>
          <w:color w:val="222222"/>
        </w:rPr>
        <w:t>https://ec.europa.eu/eurostat/statistics-explained/index.php?title=Archive:Pesticide_sales_statistics</w:t>
      </w:r>
    </w:p>
  </w:footnote>
  <w:footnote w:id="2">
    <w:p w:rsidR="00FF0DA3" w:rsidRPr="00D5266F" w:rsidRDefault="00FF0DA3" w:rsidP="000E0894">
      <w:pPr>
        <w:pStyle w:val="Tekstprzypisudolnego"/>
        <w:rPr>
          <w:sz w:val="18"/>
          <w:szCs w:val="18"/>
        </w:rPr>
      </w:pPr>
      <w:r w:rsidRPr="00D5266F">
        <w:rPr>
          <w:rStyle w:val="Odwoanieprzypisudolnego"/>
          <w:vertAlign w:val="superscript"/>
        </w:rPr>
        <w:footnoteRef/>
      </w:r>
      <w:r>
        <w:t xml:space="preserve"> </w:t>
      </w:r>
      <w:r w:rsidRPr="00D5266F">
        <w:rPr>
          <w:rFonts w:ascii="Times New Roman" w:hAnsi="Times New Roman"/>
          <w:sz w:val="18"/>
          <w:szCs w:val="18"/>
        </w:rPr>
        <w:t xml:space="preserve">w raporcie z audytu przeprowadzonego w Polsce w dniach od 7 czerwca 2017 r. do 14 czerwca 2017 r. w celu oceny implementacji zrównoważonego stosowania </w:t>
      </w:r>
      <w:r w:rsidRPr="00D5266F">
        <w:rPr>
          <w:rFonts w:ascii="Times New Roman" w:hAnsi="Times New Roman"/>
          <w:color w:val="000000"/>
          <w:sz w:val="18"/>
          <w:szCs w:val="18"/>
        </w:rPr>
        <w:t xml:space="preserve">środków ochrony roślin </w:t>
      </w:r>
      <w:r w:rsidRPr="00D5266F">
        <w:rPr>
          <w:rFonts w:ascii="Times New Roman" w:hAnsi="Times New Roman"/>
          <w:sz w:val="18"/>
          <w:szCs w:val="18"/>
        </w:rPr>
        <w:t>(DG(SANTE) 2017-6015).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39" w:rsidRDefault="00355E39" w:rsidP="00355E39">
    <w:pPr>
      <w:pStyle w:val="Nagwek"/>
      <w:jc w:val="right"/>
    </w:pPr>
    <w: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2C3"/>
    <w:multiLevelType w:val="hybridMultilevel"/>
    <w:tmpl w:val="94086AF8"/>
    <w:lvl w:ilvl="0" w:tplc="BC9A0640">
      <w:start w:val="1"/>
      <w:numFmt w:val="bullet"/>
      <w:lvlText w:val=""/>
      <w:lvlJc w:val="left"/>
      <w:pPr>
        <w:ind w:left="360" w:hanging="360"/>
      </w:pPr>
      <w:rPr>
        <w:rFonts w:ascii="Wingdings" w:hAnsi="Wingdings" w:hint="default"/>
      </w:rPr>
    </w:lvl>
    <w:lvl w:ilvl="1" w:tplc="3CF4CD9A" w:tentative="1">
      <w:start w:val="1"/>
      <w:numFmt w:val="bullet"/>
      <w:lvlText w:val="o"/>
      <w:lvlJc w:val="left"/>
      <w:pPr>
        <w:ind w:left="1080" w:hanging="360"/>
      </w:pPr>
      <w:rPr>
        <w:rFonts w:ascii="Courier New" w:hAnsi="Courier New" w:cs="Courier New" w:hint="default"/>
      </w:rPr>
    </w:lvl>
    <w:lvl w:ilvl="2" w:tplc="3E42BF52" w:tentative="1">
      <w:start w:val="1"/>
      <w:numFmt w:val="bullet"/>
      <w:lvlText w:val=""/>
      <w:lvlJc w:val="left"/>
      <w:pPr>
        <w:ind w:left="1800" w:hanging="360"/>
      </w:pPr>
      <w:rPr>
        <w:rFonts w:ascii="Wingdings" w:hAnsi="Wingdings" w:hint="default"/>
      </w:rPr>
    </w:lvl>
    <w:lvl w:ilvl="3" w:tplc="3844E052" w:tentative="1">
      <w:start w:val="1"/>
      <w:numFmt w:val="bullet"/>
      <w:lvlText w:val=""/>
      <w:lvlJc w:val="left"/>
      <w:pPr>
        <w:ind w:left="2520" w:hanging="360"/>
      </w:pPr>
      <w:rPr>
        <w:rFonts w:ascii="Symbol" w:hAnsi="Symbol" w:hint="default"/>
      </w:rPr>
    </w:lvl>
    <w:lvl w:ilvl="4" w:tplc="6A84B7A0" w:tentative="1">
      <w:start w:val="1"/>
      <w:numFmt w:val="bullet"/>
      <w:lvlText w:val="o"/>
      <w:lvlJc w:val="left"/>
      <w:pPr>
        <w:ind w:left="3240" w:hanging="360"/>
      </w:pPr>
      <w:rPr>
        <w:rFonts w:ascii="Courier New" w:hAnsi="Courier New" w:cs="Courier New" w:hint="default"/>
      </w:rPr>
    </w:lvl>
    <w:lvl w:ilvl="5" w:tplc="2BDE2A30" w:tentative="1">
      <w:start w:val="1"/>
      <w:numFmt w:val="bullet"/>
      <w:lvlText w:val=""/>
      <w:lvlJc w:val="left"/>
      <w:pPr>
        <w:ind w:left="3960" w:hanging="360"/>
      </w:pPr>
      <w:rPr>
        <w:rFonts w:ascii="Wingdings" w:hAnsi="Wingdings" w:hint="default"/>
      </w:rPr>
    </w:lvl>
    <w:lvl w:ilvl="6" w:tplc="002AA194" w:tentative="1">
      <w:start w:val="1"/>
      <w:numFmt w:val="bullet"/>
      <w:lvlText w:val=""/>
      <w:lvlJc w:val="left"/>
      <w:pPr>
        <w:ind w:left="4680" w:hanging="360"/>
      </w:pPr>
      <w:rPr>
        <w:rFonts w:ascii="Symbol" w:hAnsi="Symbol" w:hint="default"/>
      </w:rPr>
    </w:lvl>
    <w:lvl w:ilvl="7" w:tplc="27FA254A" w:tentative="1">
      <w:start w:val="1"/>
      <w:numFmt w:val="bullet"/>
      <w:lvlText w:val="o"/>
      <w:lvlJc w:val="left"/>
      <w:pPr>
        <w:ind w:left="5400" w:hanging="360"/>
      </w:pPr>
      <w:rPr>
        <w:rFonts w:ascii="Courier New" w:hAnsi="Courier New" w:cs="Courier New" w:hint="default"/>
      </w:rPr>
    </w:lvl>
    <w:lvl w:ilvl="8" w:tplc="E782F452" w:tentative="1">
      <w:start w:val="1"/>
      <w:numFmt w:val="bullet"/>
      <w:lvlText w:val=""/>
      <w:lvlJc w:val="left"/>
      <w:pPr>
        <w:ind w:left="6120" w:hanging="360"/>
      </w:pPr>
      <w:rPr>
        <w:rFonts w:ascii="Wingdings" w:hAnsi="Wingdings" w:hint="default"/>
      </w:rPr>
    </w:lvl>
  </w:abstractNum>
  <w:abstractNum w:abstractNumId="1" w15:restartNumberingAfterBreak="0">
    <w:nsid w:val="094845CB"/>
    <w:multiLevelType w:val="hybridMultilevel"/>
    <w:tmpl w:val="5DEA63E0"/>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8F60F8"/>
    <w:multiLevelType w:val="hybridMultilevel"/>
    <w:tmpl w:val="CD2A75E6"/>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 w15:restartNumberingAfterBreak="0">
    <w:nsid w:val="105075D3"/>
    <w:multiLevelType w:val="hybridMultilevel"/>
    <w:tmpl w:val="079654FA"/>
    <w:lvl w:ilvl="0" w:tplc="C00ADFC2">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1919DC"/>
    <w:multiLevelType w:val="hybridMultilevel"/>
    <w:tmpl w:val="2B9C835C"/>
    <w:lvl w:ilvl="0" w:tplc="28940D22">
      <w:numFmt w:val="bullet"/>
      <w:lvlText w:val="•"/>
      <w:lvlJc w:val="left"/>
      <w:pPr>
        <w:ind w:left="1065" w:hanging="705"/>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604798"/>
    <w:multiLevelType w:val="hybridMultilevel"/>
    <w:tmpl w:val="ABC419D4"/>
    <w:lvl w:ilvl="0" w:tplc="A7E6AB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111B2"/>
    <w:multiLevelType w:val="hybridMultilevel"/>
    <w:tmpl w:val="268AF3C0"/>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7" w15:restartNumberingAfterBreak="0">
    <w:nsid w:val="21B258BC"/>
    <w:multiLevelType w:val="hybridMultilevel"/>
    <w:tmpl w:val="C070179E"/>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387691"/>
    <w:multiLevelType w:val="hybridMultilevel"/>
    <w:tmpl w:val="4C0A8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4A3C7E"/>
    <w:multiLevelType w:val="hybridMultilevel"/>
    <w:tmpl w:val="E11803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284214"/>
    <w:multiLevelType w:val="hybridMultilevel"/>
    <w:tmpl w:val="53101A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870C08"/>
    <w:multiLevelType w:val="hybridMultilevel"/>
    <w:tmpl w:val="685ADB5A"/>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0353B8"/>
    <w:multiLevelType w:val="hybridMultilevel"/>
    <w:tmpl w:val="5C94EFC2"/>
    <w:lvl w:ilvl="0" w:tplc="E55EEC2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F8A71C4"/>
    <w:multiLevelType w:val="hybridMultilevel"/>
    <w:tmpl w:val="942276A2"/>
    <w:lvl w:ilvl="0" w:tplc="46FC896A">
      <w:start w:val="1"/>
      <w:numFmt w:val="bullet"/>
      <w:lvlText w:val="–"/>
      <w:lvlJc w:val="left"/>
      <w:pPr>
        <w:ind w:left="360" w:hanging="360"/>
      </w:pPr>
      <w:rPr>
        <w:rFonts w:ascii="Yu Gothic" w:hAnsi="Yu Gothic"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5C336C1"/>
    <w:multiLevelType w:val="hybridMultilevel"/>
    <w:tmpl w:val="873A54F4"/>
    <w:lvl w:ilvl="0" w:tplc="84D437B8">
      <w:start w:val="1"/>
      <w:numFmt w:val="decimal"/>
      <w:lvlText w:val="%1."/>
      <w:lvlJc w:val="left"/>
      <w:pPr>
        <w:ind w:left="720" w:hanging="360"/>
      </w:pPr>
    </w:lvl>
    <w:lvl w:ilvl="1" w:tplc="E6CEF1E2">
      <w:start w:val="1"/>
      <w:numFmt w:val="lowerLetter"/>
      <w:lvlText w:val="%2."/>
      <w:lvlJc w:val="left"/>
      <w:pPr>
        <w:ind w:left="1440" w:hanging="360"/>
      </w:pPr>
    </w:lvl>
    <w:lvl w:ilvl="2" w:tplc="101EB002">
      <w:start w:val="1"/>
      <w:numFmt w:val="lowerRoman"/>
      <w:lvlText w:val="%3."/>
      <w:lvlJc w:val="right"/>
      <w:pPr>
        <w:ind w:left="2160" w:hanging="180"/>
      </w:pPr>
    </w:lvl>
    <w:lvl w:ilvl="3" w:tplc="CE2020FA">
      <w:start w:val="1"/>
      <w:numFmt w:val="decimal"/>
      <w:lvlText w:val="%4."/>
      <w:lvlJc w:val="left"/>
      <w:pPr>
        <w:ind w:left="2880" w:hanging="360"/>
      </w:pPr>
    </w:lvl>
    <w:lvl w:ilvl="4" w:tplc="7B9EFC62">
      <w:start w:val="1"/>
      <w:numFmt w:val="lowerLetter"/>
      <w:lvlText w:val="%5."/>
      <w:lvlJc w:val="left"/>
      <w:pPr>
        <w:ind w:left="3600" w:hanging="360"/>
      </w:pPr>
    </w:lvl>
    <w:lvl w:ilvl="5" w:tplc="D7E04DDE">
      <w:start w:val="1"/>
      <w:numFmt w:val="lowerRoman"/>
      <w:lvlText w:val="%6."/>
      <w:lvlJc w:val="right"/>
      <w:pPr>
        <w:ind w:left="4320" w:hanging="180"/>
      </w:pPr>
    </w:lvl>
    <w:lvl w:ilvl="6" w:tplc="ADBC7702">
      <w:start w:val="1"/>
      <w:numFmt w:val="decimal"/>
      <w:lvlText w:val="%7."/>
      <w:lvlJc w:val="left"/>
      <w:pPr>
        <w:ind w:left="5040" w:hanging="360"/>
      </w:pPr>
    </w:lvl>
    <w:lvl w:ilvl="7" w:tplc="2BE2F99C">
      <w:start w:val="1"/>
      <w:numFmt w:val="lowerLetter"/>
      <w:lvlText w:val="%8."/>
      <w:lvlJc w:val="left"/>
      <w:pPr>
        <w:ind w:left="5760" w:hanging="360"/>
      </w:pPr>
    </w:lvl>
    <w:lvl w:ilvl="8" w:tplc="6686945A">
      <w:start w:val="1"/>
      <w:numFmt w:val="lowerRoman"/>
      <w:lvlText w:val="%9."/>
      <w:lvlJc w:val="right"/>
      <w:pPr>
        <w:ind w:left="6480" w:hanging="180"/>
      </w:pPr>
    </w:lvl>
  </w:abstractNum>
  <w:abstractNum w:abstractNumId="15" w15:restartNumberingAfterBreak="0">
    <w:nsid w:val="6A520D89"/>
    <w:multiLevelType w:val="hybridMultilevel"/>
    <w:tmpl w:val="E7089DD0"/>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9906C8"/>
    <w:multiLevelType w:val="hybridMultilevel"/>
    <w:tmpl w:val="B1463F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6F392D8D"/>
    <w:multiLevelType w:val="hybridMultilevel"/>
    <w:tmpl w:val="836C5576"/>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6808AC"/>
    <w:multiLevelType w:val="hybridMultilevel"/>
    <w:tmpl w:val="D15412B0"/>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6A3288"/>
    <w:multiLevelType w:val="hybridMultilevel"/>
    <w:tmpl w:val="7CECDC7E"/>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7D7B9D"/>
    <w:multiLevelType w:val="hybridMultilevel"/>
    <w:tmpl w:val="F942F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1F50C9"/>
    <w:multiLevelType w:val="hybridMultilevel"/>
    <w:tmpl w:val="FC0AAF10"/>
    <w:lvl w:ilvl="0" w:tplc="0415000B">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2" w15:restartNumberingAfterBreak="0">
    <w:nsid w:val="7E5319A0"/>
    <w:multiLevelType w:val="hybridMultilevel"/>
    <w:tmpl w:val="8F52C600"/>
    <w:lvl w:ilvl="0" w:tplc="B04268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6"/>
  </w:num>
  <w:num w:numId="4">
    <w:abstractNumId w:val="2"/>
  </w:num>
  <w:num w:numId="5">
    <w:abstractNumId w:val="8"/>
  </w:num>
  <w:num w:numId="6">
    <w:abstractNumId w:val="19"/>
  </w:num>
  <w:num w:numId="7">
    <w:abstractNumId w:val="0"/>
  </w:num>
  <w:num w:numId="8">
    <w:abstractNumId w:val="12"/>
  </w:num>
  <w:num w:numId="9">
    <w:abstractNumId w:val="1"/>
  </w:num>
  <w:num w:numId="10">
    <w:abstractNumId w:val="20"/>
  </w:num>
  <w:num w:numId="11">
    <w:abstractNumId w:val="15"/>
  </w:num>
  <w:num w:numId="12">
    <w:abstractNumId w:val="14"/>
  </w:num>
  <w:num w:numId="13">
    <w:abstractNumId w:val="7"/>
  </w:num>
  <w:num w:numId="14">
    <w:abstractNumId w:val="5"/>
  </w:num>
  <w:num w:numId="15">
    <w:abstractNumId w:val="13"/>
  </w:num>
  <w:num w:numId="16">
    <w:abstractNumId w:val="16"/>
  </w:num>
  <w:num w:numId="17">
    <w:abstractNumId w:val="3"/>
  </w:num>
  <w:num w:numId="18">
    <w:abstractNumId w:val="21"/>
  </w:num>
  <w:num w:numId="19">
    <w:abstractNumId w:val="9"/>
  </w:num>
  <w:num w:numId="20">
    <w:abstractNumId w:val="10"/>
  </w:num>
  <w:num w:numId="21">
    <w:abstractNumId w:val="17"/>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AE"/>
    <w:rsid w:val="00001791"/>
    <w:rsid w:val="00030B5A"/>
    <w:rsid w:val="00040E57"/>
    <w:rsid w:val="000434C7"/>
    <w:rsid w:val="000438B6"/>
    <w:rsid w:val="00045CB1"/>
    <w:rsid w:val="00057C95"/>
    <w:rsid w:val="000663B2"/>
    <w:rsid w:val="000B4325"/>
    <w:rsid w:val="000B7597"/>
    <w:rsid w:val="000C0377"/>
    <w:rsid w:val="000E0894"/>
    <w:rsid w:val="00106DE5"/>
    <w:rsid w:val="00112E4C"/>
    <w:rsid w:val="00115359"/>
    <w:rsid w:val="00127EDB"/>
    <w:rsid w:val="00155D72"/>
    <w:rsid w:val="00163941"/>
    <w:rsid w:val="001746C3"/>
    <w:rsid w:val="00185B9D"/>
    <w:rsid w:val="001A6C40"/>
    <w:rsid w:val="001B5106"/>
    <w:rsid w:val="001B679C"/>
    <w:rsid w:val="001C0AF4"/>
    <w:rsid w:val="001E062A"/>
    <w:rsid w:val="00244689"/>
    <w:rsid w:val="0027171F"/>
    <w:rsid w:val="00282AEE"/>
    <w:rsid w:val="002856AE"/>
    <w:rsid w:val="0029403E"/>
    <w:rsid w:val="002A60F1"/>
    <w:rsid w:val="002B4B81"/>
    <w:rsid w:val="002B667E"/>
    <w:rsid w:val="002C560D"/>
    <w:rsid w:val="002D0935"/>
    <w:rsid w:val="002E31B7"/>
    <w:rsid w:val="002E735A"/>
    <w:rsid w:val="002F401E"/>
    <w:rsid w:val="002F7900"/>
    <w:rsid w:val="00302BC1"/>
    <w:rsid w:val="0031790E"/>
    <w:rsid w:val="0032056B"/>
    <w:rsid w:val="00331AA4"/>
    <w:rsid w:val="00335885"/>
    <w:rsid w:val="0034410C"/>
    <w:rsid w:val="003526C3"/>
    <w:rsid w:val="00355E39"/>
    <w:rsid w:val="003B1B97"/>
    <w:rsid w:val="003B4516"/>
    <w:rsid w:val="003B65FE"/>
    <w:rsid w:val="003D350F"/>
    <w:rsid w:val="003D542D"/>
    <w:rsid w:val="003D68D7"/>
    <w:rsid w:val="003D72FB"/>
    <w:rsid w:val="003E2227"/>
    <w:rsid w:val="003F085E"/>
    <w:rsid w:val="004127CA"/>
    <w:rsid w:val="00412806"/>
    <w:rsid w:val="00425FAD"/>
    <w:rsid w:val="0042687B"/>
    <w:rsid w:val="004275F5"/>
    <w:rsid w:val="00454C5C"/>
    <w:rsid w:val="004679DE"/>
    <w:rsid w:val="004846A3"/>
    <w:rsid w:val="004848D3"/>
    <w:rsid w:val="004917D2"/>
    <w:rsid w:val="004923E5"/>
    <w:rsid w:val="004A0878"/>
    <w:rsid w:val="004D1F21"/>
    <w:rsid w:val="004D3FBB"/>
    <w:rsid w:val="004D5F77"/>
    <w:rsid w:val="004E4510"/>
    <w:rsid w:val="004F065D"/>
    <w:rsid w:val="004F10BC"/>
    <w:rsid w:val="004F39D5"/>
    <w:rsid w:val="004F3BD5"/>
    <w:rsid w:val="004F724C"/>
    <w:rsid w:val="00501638"/>
    <w:rsid w:val="00516284"/>
    <w:rsid w:val="00544E07"/>
    <w:rsid w:val="00547874"/>
    <w:rsid w:val="00572CF4"/>
    <w:rsid w:val="00591E66"/>
    <w:rsid w:val="00595D82"/>
    <w:rsid w:val="005970D9"/>
    <w:rsid w:val="005D17D2"/>
    <w:rsid w:val="005D434B"/>
    <w:rsid w:val="005D7458"/>
    <w:rsid w:val="005E6B5E"/>
    <w:rsid w:val="005F7DFD"/>
    <w:rsid w:val="0061007F"/>
    <w:rsid w:val="00617C02"/>
    <w:rsid w:val="006208EF"/>
    <w:rsid w:val="00632594"/>
    <w:rsid w:val="00647C7D"/>
    <w:rsid w:val="006614F5"/>
    <w:rsid w:val="00676386"/>
    <w:rsid w:val="006763F3"/>
    <w:rsid w:val="00680E97"/>
    <w:rsid w:val="006A1605"/>
    <w:rsid w:val="006A3C16"/>
    <w:rsid w:val="006A5CDB"/>
    <w:rsid w:val="006B5DFE"/>
    <w:rsid w:val="006C7EFD"/>
    <w:rsid w:val="006E2603"/>
    <w:rsid w:val="006F7471"/>
    <w:rsid w:val="00701170"/>
    <w:rsid w:val="00701E54"/>
    <w:rsid w:val="0070592A"/>
    <w:rsid w:val="0071387C"/>
    <w:rsid w:val="007236A1"/>
    <w:rsid w:val="00753F91"/>
    <w:rsid w:val="00792B90"/>
    <w:rsid w:val="007A25BE"/>
    <w:rsid w:val="007B4656"/>
    <w:rsid w:val="007D0B61"/>
    <w:rsid w:val="007F59F1"/>
    <w:rsid w:val="007F7DC6"/>
    <w:rsid w:val="0080031C"/>
    <w:rsid w:val="00812027"/>
    <w:rsid w:val="00821BFC"/>
    <w:rsid w:val="008251BA"/>
    <w:rsid w:val="00840EF1"/>
    <w:rsid w:val="0086050B"/>
    <w:rsid w:val="00871C59"/>
    <w:rsid w:val="00871F3B"/>
    <w:rsid w:val="00881207"/>
    <w:rsid w:val="00886AA5"/>
    <w:rsid w:val="00892413"/>
    <w:rsid w:val="008957E3"/>
    <w:rsid w:val="008966A1"/>
    <w:rsid w:val="008C19FA"/>
    <w:rsid w:val="008D1766"/>
    <w:rsid w:val="008D218A"/>
    <w:rsid w:val="008D7AE6"/>
    <w:rsid w:val="008E3352"/>
    <w:rsid w:val="00922DF4"/>
    <w:rsid w:val="00924D9E"/>
    <w:rsid w:val="00927627"/>
    <w:rsid w:val="009419EE"/>
    <w:rsid w:val="00957170"/>
    <w:rsid w:val="00963BF5"/>
    <w:rsid w:val="009649C8"/>
    <w:rsid w:val="0097781F"/>
    <w:rsid w:val="00977C71"/>
    <w:rsid w:val="00980C1D"/>
    <w:rsid w:val="00982E92"/>
    <w:rsid w:val="00995C65"/>
    <w:rsid w:val="009A0922"/>
    <w:rsid w:val="009A40A7"/>
    <w:rsid w:val="009D1EBF"/>
    <w:rsid w:val="009E49DD"/>
    <w:rsid w:val="009E538A"/>
    <w:rsid w:val="009F4926"/>
    <w:rsid w:val="00A0108A"/>
    <w:rsid w:val="00A02913"/>
    <w:rsid w:val="00A052D3"/>
    <w:rsid w:val="00A10BC2"/>
    <w:rsid w:val="00A1759D"/>
    <w:rsid w:val="00A25803"/>
    <w:rsid w:val="00A30BBB"/>
    <w:rsid w:val="00A45FDB"/>
    <w:rsid w:val="00A45FDE"/>
    <w:rsid w:val="00A5065F"/>
    <w:rsid w:val="00A828A9"/>
    <w:rsid w:val="00A9100F"/>
    <w:rsid w:val="00AA2A0D"/>
    <w:rsid w:val="00AB08DE"/>
    <w:rsid w:val="00B01B73"/>
    <w:rsid w:val="00B02C1B"/>
    <w:rsid w:val="00B1799A"/>
    <w:rsid w:val="00B22061"/>
    <w:rsid w:val="00B22595"/>
    <w:rsid w:val="00B31CC6"/>
    <w:rsid w:val="00B435AF"/>
    <w:rsid w:val="00B44C4B"/>
    <w:rsid w:val="00B63021"/>
    <w:rsid w:val="00B67F1F"/>
    <w:rsid w:val="00B7506F"/>
    <w:rsid w:val="00B86A48"/>
    <w:rsid w:val="00B87983"/>
    <w:rsid w:val="00B87EF3"/>
    <w:rsid w:val="00B952A9"/>
    <w:rsid w:val="00BD7B1B"/>
    <w:rsid w:val="00BD7C25"/>
    <w:rsid w:val="00BD7C4E"/>
    <w:rsid w:val="00BE4173"/>
    <w:rsid w:val="00BE52F6"/>
    <w:rsid w:val="00BF4F7E"/>
    <w:rsid w:val="00C30DBE"/>
    <w:rsid w:val="00C31915"/>
    <w:rsid w:val="00C41D11"/>
    <w:rsid w:val="00C435D8"/>
    <w:rsid w:val="00C80629"/>
    <w:rsid w:val="00C860B7"/>
    <w:rsid w:val="00CB02AD"/>
    <w:rsid w:val="00CC1D14"/>
    <w:rsid w:val="00CF2BBC"/>
    <w:rsid w:val="00CF6B0A"/>
    <w:rsid w:val="00D01127"/>
    <w:rsid w:val="00D02F47"/>
    <w:rsid w:val="00D20E22"/>
    <w:rsid w:val="00D2298A"/>
    <w:rsid w:val="00D37F2D"/>
    <w:rsid w:val="00D53D11"/>
    <w:rsid w:val="00D63730"/>
    <w:rsid w:val="00D6463B"/>
    <w:rsid w:val="00D650BF"/>
    <w:rsid w:val="00D6680C"/>
    <w:rsid w:val="00D70552"/>
    <w:rsid w:val="00D72B50"/>
    <w:rsid w:val="00D763F7"/>
    <w:rsid w:val="00DC1B79"/>
    <w:rsid w:val="00DC476A"/>
    <w:rsid w:val="00DD0064"/>
    <w:rsid w:val="00DE39D1"/>
    <w:rsid w:val="00E13628"/>
    <w:rsid w:val="00E37DDB"/>
    <w:rsid w:val="00E42EA4"/>
    <w:rsid w:val="00E50762"/>
    <w:rsid w:val="00E511AD"/>
    <w:rsid w:val="00E57D66"/>
    <w:rsid w:val="00E75819"/>
    <w:rsid w:val="00EA14A7"/>
    <w:rsid w:val="00EA4B4C"/>
    <w:rsid w:val="00EB2506"/>
    <w:rsid w:val="00EC21B0"/>
    <w:rsid w:val="00EE15F2"/>
    <w:rsid w:val="00EE6116"/>
    <w:rsid w:val="00F00E2B"/>
    <w:rsid w:val="00F04927"/>
    <w:rsid w:val="00F078C9"/>
    <w:rsid w:val="00F10F80"/>
    <w:rsid w:val="00F20EFF"/>
    <w:rsid w:val="00F349FD"/>
    <w:rsid w:val="00F35879"/>
    <w:rsid w:val="00F46BC8"/>
    <w:rsid w:val="00F65626"/>
    <w:rsid w:val="00F80E75"/>
    <w:rsid w:val="00F86203"/>
    <w:rsid w:val="00FB6E96"/>
    <w:rsid w:val="00FD1CA2"/>
    <w:rsid w:val="00FD77A9"/>
    <w:rsid w:val="00FE7889"/>
    <w:rsid w:val="00FF0A87"/>
    <w:rsid w:val="00FF0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8BC6-725F-4CBD-A925-09C20B1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56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856AE"/>
  </w:style>
  <w:style w:type="paragraph" w:customStyle="1" w:styleId="Point0">
    <w:name w:val="Point 0"/>
    <w:basedOn w:val="Normalny"/>
    <w:rsid w:val="002856AE"/>
    <w:pPr>
      <w:spacing w:before="120" w:after="120" w:line="240" w:lineRule="auto"/>
      <w:ind w:left="850" w:hanging="850"/>
      <w:jc w:val="both"/>
    </w:pPr>
    <w:rPr>
      <w:rFonts w:ascii="Times New Roman" w:hAnsi="Times New Roman" w:cs="Times New Roman"/>
      <w:sz w:val="24"/>
      <w:lang w:eastAsia="pl-PL" w:bidi="pl-PL"/>
    </w:rPr>
  </w:style>
  <w:style w:type="table" w:styleId="Tabela-Siatka">
    <w:name w:val="Table Grid"/>
    <w:basedOn w:val="Standardowy"/>
    <w:uiPriority w:val="39"/>
    <w:rsid w:val="0028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56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6AE"/>
    <w:rPr>
      <w:rFonts w:ascii="Segoe UI" w:hAnsi="Segoe UI" w:cs="Segoe UI"/>
      <w:sz w:val="18"/>
      <w:szCs w:val="18"/>
    </w:rPr>
  </w:style>
  <w:style w:type="paragraph" w:styleId="Akapitzlist">
    <w:name w:val="List Paragraph"/>
    <w:aliases w:val="L1,Numerowanie,List Paragraph,normalny tekst,Sl_Akapit z listą,Wyliczanie,BulletC,Dot pt,F5 List Paragraph,List Paragraph1,Listaszerű bekezdés1,List Paragraph à moi,Numbered Para 1,No Spacing1,List Paragraph Char Char Char,Indicator Text"/>
    <w:basedOn w:val="Normalny"/>
    <w:link w:val="AkapitzlistZnak"/>
    <w:qFormat/>
    <w:rsid w:val="001C0AF4"/>
    <w:pPr>
      <w:ind w:left="720"/>
      <w:contextualSpacing/>
    </w:pPr>
  </w:style>
  <w:style w:type="character" w:customStyle="1" w:styleId="AkapitzlistZnak">
    <w:name w:val="Akapit z listą Znak"/>
    <w:aliases w:val="L1 Znak,Numerowanie Znak,List Paragraph Znak,normalny tekst Znak,Sl_Akapit z listą Znak,Wyliczanie Znak,BulletC Znak,Dot pt Znak,F5 List Paragraph Znak,List Paragraph1 Znak,Listaszerű bekezdés1 Znak,List Paragraph à moi Znak"/>
    <w:link w:val="Akapitzlist"/>
    <w:uiPriority w:val="34"/>
    <w:qFormat/>
    <w:locked/>
    <w:rsid w:val="001C0AF4"/>
  </w:style>
  <w:style w:type="paragraph" w:styleId="Nagwek">
    <w:name w:val="header"/>
    <w:basedOn w:val="Normalny"/>
    <w:link w:val="NagwekZnak"/>
    <w:uiPriority w:val="99"/>
    <w:unhideWhenUsed/>
    <w:rsid w:val="00BE52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2F6"/>
  </w:style>
  <w:style w:type="paragraph" w:styleId="Stopka">
    <w:name w:val="footer"/>
    <w:basedOn w:val="Normalny"/>
    <w:link w:val="StopkaZnak"/>
    <w:uiPriority w:val="99"/>
    <w:unhideWhenUsed/>
    <w:rsid w:val="00BE52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2F6"/>
  </w:style>
  <w:style w:type="paragraph" w:customStyle="1" w:styleId="Domylne">
    <w:name w:val="Domyślne"/>
    <w:rsid w:val="007B4656"/>
    <w:pPr>
      <w:spacing w:before="160" w:after="0" w:line="240" w:lineRule="auto"/>
    </w:pPr>
    <w:rPr>
      <w:rFonts w:ascii="Helvetica Neue" w:eastAsia="Helvetica Neue" w:hAnsi="Helvetica Neue" w:cs="Helvetica Neue"/>
      <w:color w:val="000000"/>
      <w:sz w:val="24"/>
      <w:szCs w:val="24"/>
      <w:lang w:eastAsia="pl-PL"/>
      <w14:textOutline w14:w="0" w14:cap="flat" w14:cmpd="sng" w14:algn="ctr">
        <w14:noFill/>
        <w14:prstDash w14:val="solid"/>
        <w14:bevel/>
      </w14:textOutline>
    </w:rPr>
  </w:style>
  <w:style w:type="character" w:styleId="Hipercze">
    <w:name w:val="Hyperlink"/>
    <w:basedOn w:val="Domylnaczcionkaakapitu"/>
    <w:uiPriority w:val="99"/>
    <w:unhideWhenUsed/>
    <w:rsid w:val="009E538A"/>
    <w:rPr>
      <w:color w:val="0563C1" w:themeColor="hyperlink"/>
      <w:u w:val="single"/>
    </w:rPr>
  </w:style>
  <w:style w:type="character" w:styleId="Odwoaniedokomentarza">
    <w:name w:val="annotation reference"/>
    <w:basedOn w:val="Domylnaczcionkaakapitu"/>
    <w:uiPriority w:val="99"/>
    <w:semiHidden/>
    <w:unhideWhenUsed/>
    <w:rsid w:val="0086050B"/>
    <w:rPr>
      <w:sz w:val="16"/>
      <w:szCs w:val="16"/>
    </w:rPr>
  </w:style>
  <w:style w:type="paragraph" w:styleId="Tekstkomentarza">
    <w:name w:val="annotation text"/>
    <w:basedOn w:val="Normalny"/>
    <w:link w:val="TekstkomentarzaZnak"/>
    <w:uiPriority w:val="99"/>
    <w:semiHidden/>
    <w:unhideWhenUsed/>
    <w:rsid w:val="008605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050B"/>
    <w:rPr>
      <w:sz w:val="20"/>
      <w:szCs w:val="20"/>
    </w:rPr>
  </w:style>
  <w:style w:type="paragraph" w:styleId="Tematkomentarza">
    <w:name w:val="annotation subject"/>
    <w:basedOn w:val="Tekstkomentarza"/>
    <w:next w:val="Tekstkomentarza"/>
    <w:link w:val="TematkomentarzaZnak"/>
    <w:uiPriority w:val="99"/>
    <w:semiHidden/>
    <w:unhideWhenUsed/>
    <w:rsid w:val="0086050B"/>
    <w:rPr>
      <w:b/>
      <w:bCs/>
    </w:rPr>
  </w:style>
  <w:style w:type="character" w:customStyle="1" w:styleId="TematkomentarzaZnak">
    <w:name w:val="Temat komentarza Znak"/>
    <w:basedOn w:val="TekstkomentarzaZnak"/>
    <w:link w:val="Tematkomentarza"/>
    <w:uiPriority w:val="99"/>
    <w:semiHidden/>
    <w:rsid w:val="0086050B"/>
    <w:rPr>
      <w:b/>
      <w:bCs/>
      <w:sz w:val="20"/>
      <w:szCs w:val="20"/>
    </w:rPr>
  </w:style>
  <w:style w:type="paragraph" w:customStyle="1" w:styleId="Default">
    <w:name w:val="Default"/>
    <w:rsid w:val="003D350F"/>
    <w:pPr>
      <w:autoSpaceDE w:val="0"/>
      <w:autoSpaceDN w:val="0"/>
      <w:adjustRightInd w:val="0"/>
      <w:spacing w:after="0" w:line="240" w:lineRule="auto"/>
    </w:pPr>
    <w:rPr>
      <w:rFonts w:ascii="Times New Roman" w:hAnsi="Times New Roman" w:cs="Times New Roman"/>
      <w:color w:val="000000"/>
      <w:sz w:val="24"/>
      <w:szCs w:val="24"/>
    </w:rPr>
  </w:style>
  <w:style w:type="paragraph" w:styleId="Spistreci4">
    <w:name w:val="toc 4"/>
    <w:basedOn w:val="Normalny"/>
    <w:next w:val="Normalny"/>
    <w:autoRedefine/>
    <w:uiPriority w:val="39"/>
    <w:unhideWhenUsed/>
    <w:rsid w:val="00B63021"/>
    <w:pPr>
      <w:spacing w:after="100"/>
      <w:ind w:left="660"/>
    </w:pPr>
    <w:rPr>
      <w:rFonts w:eastAsiaTheme="minorEastAsia"/>
      <w:lang w:eastAsia="pl-PL"/>
    </w:rPr>
  </w:style>
  <w:style w:type="character" w:customStyle="1" w:styleId="fontstyle01">
    <w:name w:val="fontstyle01"/>
    <w:rsid w:val="000E0894"/>
    <w:rPr>
      <w:rFonts w:ascii="TimesNewRoman" w:eastAsia="TimesNewRoman" w:hAnsi="TimesNewRoman"/>
      <w:b w:val="0"/>
      <w:bCs w:val="0"/>
      <w:i w:val="0"/>
      <w:iCs w:val="0"/>
      <w:color w:val="231F20"/>
      <w:sz w:val="22"/>
      <w:szCs w:val="22"/>
    </w:rPr>
  </w:style>
  <w:style w:type="paragraph" w:styleId="Tekstprzypisudolnego">
    <w:name w:val="footnote text"/>
    <w:aliases w:val="Tekst przypisu,Tekst przypisu Znak Znak Znak Znak,Tekst przypisu Znak Znak Znak Znak Znak,Tekst przypisu Znak Znak Znak Znak Znak Znak Znak,Tekst przypisu Znak Znak Znak Znak Znak Znak Znak Znak Zn,Footnote Text Char,fn,Footnotes"/>
    <w:basedOn w:val="Normalny"/>
    <w:link w:val="TekstprzypisudolnegoZnak"/>
    <w:uiPriority w:val="99"/>
    <w:rsid w:val="000E0894"/>
    <w:pPr>
      <w:autoSpaceDN w:val="0"/>
      <w:spacing w:after="0" w:line="240" w:lineRule="auto"/>
    </w:pPr>
    <w:rPr>
      <w:rFonts w:ascii="Calibri" w:eastAsia="Calibri" w:hAnsi="Calibri" w:cs="Times New Roman"/>
      <w:sz w:val="20"/>
      <w:szCs w:val="20"/>
    </w:rPr>
  </w:style>
  <w:style w:type="character" w:customStyle="1" w:styleId="TekstprzypisudolnegoZnak">
    <w:name w:val="Tekst przypisu dolnego Znak"/>
    <w:aliases w:val="Tekst przypisu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rsid w:val="000E0894"/>
    <w:rPr>
      <w:rFonts w:ascii="Calibri" w:eastAsia="Calibri" w:hAnsi="Calibri" w:cs="Times New Roman"/>
      <w:sz w:val="20"/>
      <w:szCs w:val="20"/>
    </w:rPr>
  </w:style>
  <w:style w:type="character" w:styleId="Odwoanieprzypisudolnego">
    <w:name w:val="footnote reference"/>
    <w:aliases w:val="Odwołanie przypisu,Ref,de nota al pie,Odwo³anie przypisu,Footnote Reference Number,EN Footnote Reference,Times 10 Point,Exposant 3 Point,Footnote symbol,Footnote reference number,note TESI,stylish,BVI fnr,SUPERS,Znak Znak4"/>
    <w:basedOn w:val="Domylnaczcionkaakapitu"/>
    <w:qFormat/>
    <w:rsid w:val="000E0894"/>
  </w:style>
  <w:style w:type="character" w:styleId="Uwydatnienie">
    <w:name w:val="Emphasis"/>
    <w:basedOn w:val="Domylnaczcionkaakapitu"/>
    <w:uiPriority w:val="20"/>
    <w:qFormat/>
    <w:rsid w:val="000E0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63613">
      <w:bodyDiv w:val="1"/>
      <w:marLeft w:val="0"/>
      <w:marRight w:val="0"/>
      <w:marTop w:val="0"/>
      <w:marBottom w:val="0"/>
      <w:divBdr>
        <w:top w:val="none" w:sz="0" w:space="0" w:color="auto"/>
        <w:left w:val="none" w:sz="0" w:space="0" w:color="auto"/>
        <w:bottom w:val="none" w:sz="0" w:space="0" w:color="auto"/>
        <w:right w:val="none" w:sz="0" w:space="0" w:color="auto"/>
      </w:divBdr>
    </w:div>
    <w:div w:id="1208105058">
      <w:bodyDiv w:val="1"/>
      <w:marLeft w:val="0"/>
      <w:marRight w:val="0"/>
      <w:marTop w:val="0"/>
      <w:marBottom w:val="0"/>
      <w:divBdr>
        <w:top w:val="none" w:sz="0" w:space="0" w:color="auto"/>
        <w:left w:val="none" w:sz="0" w:space="0" w:color="auto"/>
        <w:bottom w:val="none" w:sz="0" w:space="0" w:color="auto"/>
        <w:right w:val="none" w:sz="0" w:space="0" w:color="auto"/>
      </w:divBdr>
    </w:div>
    <w:div w:id="1252737782">
      <w:bodyDiv w:val="1"/>
      <w:marLeft w:val="0"/>
      <w:marRight w:val="0"/>
      <w:marTop w:val="0"/>
      <w:marBottom w:val="0"/>
      <w:divBdr>
        <w:top w:val="none" w:sz="0" w:space="0" w:color="auto"/>
        <w:left w:val="none" w:sz="0" w:space="0" w:color="auto"/>
        <w:bottom w:val="none" w:sz="0" w:space="0" w:color="auto"/>
        <w:right w:val="none" w:sz="0" w:space="0" w:color="auto"/>
      </w:divBdr>
    </w:div>
    <w:div w:id="1326544384">
      <w:bodyDiv w:val="1"/>
      <w:marLeft w:val="0"/>
      <w:marRight w:val="0"/>
      <w:marTop w:val="0"/>
      <w:marBottom w:val="0"/>
      <w:divBdr>
        <w:top w:val="none" w:sz="0" w:space="0" w:color="auto"/>
        <w:left w:val="none" w:sz="0" w:space="0" w:color="auto"/>
        <w:bottom w:val="none" w:sz="0" w:space="0" w:color="auto"/>
        <w:right w:val="none" w:sz="0" w:space="0" w:color="auto"/>
      </w:divBdr>
    </w:div>
    <w:div w:id="1570116786">
      <w:bodyDiv w:val="1"/>
      <w:marLeft w:val="0"/>
      <w:marRight w:val="0"/>
      <w:marTop w:val="0"/>
      <w:marBottom w:val="0"/>
      <w:divBdr>
        <w:top w:val="none" w:sz="0" w:space="0" w:color="auto"/>
        <w:left w:val="none" w:sz="0" w:space="0" w:color="auto"/>
        <w:bottom w:val="none" w:sz="0" w:space="0" w:color="auto"/>
        <w:right w:val="none" w:sz="0" w:space="0" w:color="auto"/>
      </w:divBdr>
    </w:div>
    <w:div w:id="1894345038">
      <w:bodyDiv w:val="1"/>
      <w:marLeft w:val="0"/>
      <w:marRight w:val="0"/>
      <w:marTop w:val="0"/>
      <w:marBottom w:val="0"/>
      <w:divBdr>
        <w:top w:val="none" w:sz="0" w:space="0" w:color="auto"/>
        <w:left w:val="none" w:sz="0" w:space="0" w:color="auto"/>
        <w:bottom w:val="none" w:sz="0" w:space="0" w:color="auto"/>
        <w:right w:val="none" w:sz="0" w:space="0" w:color="auto"/>
      </w:divBdr>
    </w:div>
    <w:div w:id="1923759766">
      <w:bodyDiv w:val="1"/>
      <w:marLeft w:val="0"/>
      <w:marRight w:val="0"/>
      <w:marTop w:val="0"/>
      <w:marBottom w:val="0"/>
      <w:divBdr>
        <w:top w:val="none" w:sz="0" w:space="0" w:color="auto"/>
        <w:left w:val="none" w:sz="0" w:space="0" w:color="auto"/>
        <w:bottom w:val="none" w:sz="0" w:space="0" w:color="auto"/>
        <w:right w:val="none" w:sz="0" w:space="0" w:color="auto"/>
      </w:divBdr>
    </w:div>
    <w:div w:id="201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grofagi.com.pl/" TargetMode="External"/><Relationship Id="rId4" Type="http://schemas.openxmlformats.org/officeDocument/2006/relationships/settings" Target="settings.xml"/><Relationship Id="rId9" Type="http://schemas.openxmlformats.org/officeDocument/2006/relationships/hyperlink" Target="http://www.agrofag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34C1-ECCD-46AB-AF19-65F4C0BC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11205</Words>
  <Characters>67233</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78282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Pomianek Bogdan</dc:creator>
  <cp:keywords/>
  <dc:description/>
  <cp:lastModifiedBy>Sołtys Justyna</cp:lastModifiedBy>
  <cp:revision>2</cp:revision>
  <dcterms:created xsi:type="dcterms:W3CDTF">2021-07-29T05:59:00Z</dcterms:created>
  <dcterms:modified xsi:type="dcterms:W3CDTF">2021-07-29T05:59:00Z</dcterms:modified>
</cp:coreProperties>
</file>