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21" w:rsidRDefault="00807021" w:rsidP="00807021">
      <w:pPr>
        <w:pStyle w:val="Tekstpodstawowy"/>
        <w:tabs>
          <w:tab w:val="center" w:pos="4536"/>
          <w:tab w:val="left" w:pos="7935"/>
        </w:tabs>
        <w:spacing w:line="276" w:lineRule="auto"/>
        <w:jc w:val="left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ab/>
        <w:t xml:space="preserve">Fabryka Obrabiarek do Drewna Sp. z o.o. </w:t>
      </w:r>
      <w:r>
        <w:rPr>
          <w:b/>
          <w:bCs/>
          <w:sz w:val="24"/>
        </w:rPr>
        <w:tab/>
      </w:r>
    </w:p>
    <w:p w:rsidR="00807021" w:rsidRDefault="00807021" w:rsidP="00807021">
      <w:pPr>
        <w:spacing w:line="276" w:lineRule="auto"/>
        <w:jc w:val="center"/>
        <w:rPr>
          <w:b/>
        </w:rPr>
      </w:pPr>
      <w:r>
        <w:rPr>
          <w:b/>
        </w:rPr>
        <w:t>ogłasza PRZETARG nieograniczony</w:t>
      </w:r>
    </w:p>
    <w:p w:rsidR="00807021" w:rsidRDefault="00807021" w:rsidP="00807021">
      <w:pPr>
        <w:spacing w:line="276" w:lineRule="auto"/>
        <w:jc w:val="center"/>
        <w:rPr>
          <w:b/>
        </w:rPr>
      </w:pPr>
      <w:r>
        <w:rPr>
          <w:b/>
        </w:rPr>
        <w:t xml:space="preserve">na sprzedaż prawa wieczystego użytkowania nieruchomości </w:t>
      </w:r>
    </w:p>
    <w:p w:rsidR="00807021" w:rsidRDefault="00807021" w:rsidP="00807021">
      <w:pPr>
        <w:spacing w:line="276" w:lineRule="auto"/>
        <w:jc w:val="center"/>
        <w:rPr>
          <w:b/>
        </w:rPr>
      </w:pPr>
      <w:r>
        <w:rPr>
          <w:b/>
        </w:rPr>
        <w:t>położonej w Bydgoszczy przy ul. Śluzowej</w:t>
      </w:r>
    </w:p>
    <w:p w:rsidR="00807021" w:rsidRDefault="00807021" w:rsidP="00807021">
      <w:pPr>
        <w:rPr>
          <w:b/>
        </w:rPr>
      </w:pPr>
    </w:p>
    <w:p w:rsidR="00807021" w:rsidRDefault="00807021" w:rsidP="00807021"/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Organizatorem przetargu i prowadzącym przetarg jest Fabryka Obrabiarek do Drewna Sp. z o.o.           z siedzibą w Trzeciewcu (</w:t>
      </w:r>
      <w:r>
        <w:rPr>
          <w:b/>
          <w:sz w:val="22"/>
          <w:szCs w:val="22"/>
        </w:rPr>
        <w:t>Organizator</w:t>
      </w:r>
      <w:r>
        <w:rPr>
          <w:sz w:val="22"/>
          <w:szCs w:val="22"/>
        </w:rPr>
        <w:t xml:space="preserve">) – jednoosobowa spółka Skarbu Państwa, wpisana do rejestru przedsiębiorców prowadzonego przez Sąd Rejonowy w Bydgoszczy pod numerem KRS 80451. 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Przedmiotem przetargu jest sprzedaż prawa użytkowania wieczystego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niezabudowanej nieruchomości gruntowej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położonej w Bydgoszczy przy ul. Śluzowej, stanowiącej działkę ewidencyjną oznaczoną nr 35 (obręb ewidencyjny 0058), o powierzchni 0,2774 ha, dla której Sąd Rejonowy w Bydgoszczy prowadzi księgę wieczystą KW BY1B/00004674/0. Prawo użytkowania wieczystego powyższej nieruchomości zwane jest dalej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Nieruchomością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Przetarg odbędzie się w formie pisemnej. Oferenci zobowiązani są złożyć Organizatorowi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pisemne oferty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terminie </w:t>
      </w:r>
      <w:r w:rsidR="0010619D">
        <w:rPr>
          <w:rFonts w:eastAsia="SimSun"/>
          <w:b/>
          <w:bCs/>
          <w:kern w:val="2"/>
          <w:sz w:val="22"/>
          <w:szCs w:val="22"/>
          <w:lang w:eastAsia="zh-CN" w:bidi="hi-IN"/>
        </w:rPr>
        <w:t>do dnia 12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 w:rsidR="0010619D">
        <w:rPr>
          <w:rFonts w:eastAsia="SimSun"/>
          <w:b/>
          <w:bCs/>
          <w:kern w:val="2"/>
          <w:sz w:val="22"/>
          <w:szCs w:val="22"/>
          <w:lang w:eastAsia="zh-CN" w:bidi="hi-IN"/>
        </w:rPr>
        <w:t>listopad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a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 xml:space="preserve"> 2024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r. do godz. 15:00. Dla zachowania tego terminu decyduje chwila faktycznego złożenia (doręczenia), a nie chwila nadania przesyłki. Ofertę należy złożyć w zamkniętej kopercie, opatrzonej opisem w brzmieniu: </w:t>
      </w:r>
      <w:r>
        <w:rPr>
          <w:rFonts w:eastAsia="SimSun"/>
          <w:i/>
          <w:iCs/>
          <w:kern w:val="2"/>
          <w:sz w:val="22"/>
          <w:szCs w:val="22"/>
          <w:lang w:eastAsia="zh-CN" w:bidi="hi-IN"/>
        </w:rPr>
        <w:t>„oferta w przetargu – Śluzowa”,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osobiście lub korespondencyjnie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biurze / na adres pełnomocnika Organizatora, to jest: </w:t>
      </w:r>
    </w:p>
    <w:p w:rsidR="00807021" w:rsidRDefault="00807021" w:rsidP="00807021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TEBI Kancelaria Radców Prawnych i Adwokatów – Bojarski, Marzec i Partnerzy, </w:t>
      </w:r>
    </w:p>
    <w:p w:rsidR="00807021" w:rsidRDefault="00807021" w:rsidP="00807021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ul. Poznańska 31, 85-129 Bydgoszcz.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kern w:val="2"/>
          <w:sz w:val="22"/>
          <w:szCs w:val="22"/>
          <w:lang w:eastAsia="zh-CN" w:bidi="hi-IN"/>
        </w:rPr>
        <w:t xml:space="preserve">Otwarcie ofert odbędzie się </w:t>
      </w:r>
      <w:r w:rsidR="0010619D">
        <w:rPr>
          <w:rFonts w:eastAsia="SimSun"/>
          <w:b/>
          <w:bCs/>
          <w:kern w:val="2"/>
          <w:sz w:val="22"/>
          <w:szCs w:val="22"/>
          <w:lang w:eastAsia="zh-CN" w:bidi="hi-IN"/>
        </w:rPr>
        <w:t>w dniu 13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 w:rsidR="0010619D">
        <w:rPr>
          <w:rFonts w:eastAsia="SimSun"/>
          <w:b/>
          <w:bCs/>
          <w:kern w:val="2"/>
          <w:sz w:val="22"/>
          <w:szCs w:val="22"/>
          <w:lang w:eastAsia="zh-CN" w:bidi="hi-IN"/>
        </w:rPr>
        <w:t>listopad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a 2024 r. o godzinie 12</w:t>
      </w:r>
      <w:r>
        <w:rPr>
          <w:rFonts w:eastAsia="SimSun"/>
          <w:b/>
          <w:bCs/>
          <w:kern w:val="2"/>
          <w:sz w:val="22"/>
          <w:szCs w:val="22"/>
          <w:vertAlign w:val="superscript"/>
          <w:lang w:eastAsia="zh-CN" w:bidi="hi-IN"/>
        </w:rPr>
        <w:t>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w siedzibie pełnomocnika Organizatora przetargu wskazanej w pkt. 3 powyżej. Oferenci nie mają obowiązku uczestniczyć w otwarciu ofert.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Warunkiem przystąpienia do przetargu jest wpłacenie wadium w wysokości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25 910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Wadium należy wpłacić na rachunek Organizatora nr 33105011391000009031063937 (ING Bank Śląski S.A.) do dnia </w:t>
      </w:r>
      <w:r w:rsidR="0010619D">
        <w:rPr>
          <w:rFonts w:eastAsia="SimSun"/>
          <w:kern w:val="2"/>
          <w:sz w:val="22"/>
          <w:szCs w:val="22"/>
          <w:lang w:eastAsia="zh-CN" w:bidi="hi-IN"/>
        </w:rPr>
        <w:t>12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="0010619D">
        <w:rPr>
          <w:rFonts w:eastAsia="SimSun"/>
          <w:kern w:val="2"/>
          <w:sz w:val="22"/>
          <w:szCs w:val="22"/>
          <w:lang w:eastAsia="zh-CN" w:bidi="hi-IN"/>
        </w:rPr>
        <w:t>listopad</w:t>
      </w:r>
      <w:r>
        <w:rPr>
          <w:rFonts w:eastAsia="SimSun"/>
          <w:kern w:val="2"/>
          <w:sz w:val="22"/>
          <w:szCs w:val="22"/>
          <w:lang w:eastAsia="zh-CN" w:bidi="hi-IN"/>
        </w:rPr>
        <w:t>a 2024 r.  przy czym za datę wpłaty wadium uważać się będzie datę wpływu środków pieniężnych na ww. rachunek. W tytule wpłaty należy podać: „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Wadium w przetargu – Śluzowa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”.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Pisemna oferta zakupu powinna zawierać: 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imię i nazwisko lub firmę, adres lub siedzibę Oferenta,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dowód wniesienia wadium;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datę sporządzenia oferty;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Nieruchomości, której dotyczy oferta;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wskazanie oferowanej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ceny netto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 Nieruchomość;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terminu związania ofertą (nie krótszego niż 30 dni licząc od dnia otwarcia ofert);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oświadczenie oferenta, że zapoznał się z warunkami przetargu –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według wzoru stanowiącego załącznik nr 1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do warunków przetargu;</w:t>
      </w:r>
    </w:p>
    <w:p w:rsidR="00807021" w:rsidRDefault="00807021" w:rsidP="00807021">
      <w:pPr>
        <w:pStyle w:val="Akapitzlist"/>
        <w:numPr>
          <w:ilvl w:val="0"/>
          <w:numId w:val="2"/>
        </w:numPr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 wyrażeniu zgody na przetwarzanie danych osobowych w związku i na potrzeby przetargu oraz sprzedaży Nieruchomości;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podpis oferenta lub osoby upoważnionej do składania w imieniu Oferenta oświadczeń woli;</w:t>
      </w:r>
    </w:p>
    <w:p w:rsidR="00807021" w:rsidRDefault="00807021" w:rsidP="00807021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odpis z właściwego rejestru lub ewidencji oraz inne dokumenty potwierdzające umocowanie osoby podpisującej ofertę.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Złożone oferty wiążą Oferentów (nie mogą być odwołane) przez okres nie krótszy niż 30 dni, licząc od dnia otwarcia ofert.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razie ustalenia, że kilku oferentów zaoferowało tę samą, najwyższą cenę, zostaną oni poinformowani o terminie i miejscu kontynuacji przetargu z ich udziałem w formie licytacji ustnej. W przypadku obecności przy otwarciu ofert wszystkich tych oferentów przetarg może być kontynuowany w formie licytacji z udziałem oferentów, którzy zaoferowali najwyższą cenę, niezwłocznie po otwarciu ofert.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ciągu 30 dni od dnia otwarcia ofert i wyboru najlepszej z nich Organizator zawiadamia zwycięzcę przetargu o terminie i miejscu zawarcia umowy sprzedaży Nieruchomości (w wymaganej formie aktu notarialnego) z zachowaniem 7 dniowego wyprzedzenia. Zważywszy na przysługujące gminie prawo pierwokupu, przeniesienie własności Nieruchomości nastąpi odrębną czynnością, dokonaną po i pod warunkiem nieskorzystania z prawa pierwokupu przez Miasto Bydgoszcz.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Cena wywoławcza (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minimalna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) Nieruchomości wynosi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518 200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netto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, to jest nie licząc podatku od towarów i usług (VAT).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Wedle aktualnego stanu rzeczy sprzedaż Nieruchomości podlega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zwolnieniu spod opodatkowania podatkiem VAT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 przypadku, gdyby na dzień dokonywania sprzedaży (dostawy) Nieruchomości będzie ona w całości lub części objęta opodatkowaniem podatkiem VAT, cena zostanie odpowiednio powiększona o podatek od towarów i usług w obowiązującej wysokości.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Zwycięzca przetargu zobowiązany jest do zapłaty całości ceny najpóźniej do dnia poprzedzającego dzień zawarcia w formie aktu notarialnego umowy przenoszącej prawa do Nieruchomości. </w:t>
      </w:r>
    </w:p>
    <w:p w:rsidR="00807021" w:rsidRDefault="00807021" w:rsidP="00807021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Nieruchomość nie jest objęta obowiązującym miejscowym planem zagospodarowania przestrzennego. W stosunku do Nieruchomości nie wydano także decyzji o warunkach zabudowy. Sąsiedztwo Nieruchomości stanowi zabudowa mieszkaniowa oraz linia kolejowa.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Oferenci zobowiązani są do zapoznania się ze stanem prawnym oraz faktycznym nieruchomości. Dokonanie oględzin Nieruchomości oraz uzyskanie szczegółowych informacji o Nieruchomości, w tym poprzez wgląd do operatu szacunkowego, może nastąpić w terminie uzgodnionym z Organizatorem przetargu, najpóźniej 3 dni przez terminem otwarcia ofert. W tej sprawie, jak i innych kwestiach związanych z przetargiem i Nieruchomością, zainteresowani mogą także kontaktować się z pracownikami Organizatora:</w:t>
      </w:r>
    </w:p>
    <w:p w:rsidR="00807021" w:rsidRDefault="00807021" w:rsidP="00807021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pocztą elektroniczną na adres: fod@fod.com.pl</w:t>
      </w:r>
    </w:p>
    <w:p w:rsidR="00807021" w:rsidRDefault="00807021" w:rsidP="00807021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telefonicznie pod nr 052 325 87 00 lub 519 866 649.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 przetargu jako oferenci nie mogą uczestniczyć członkowie Zarządu Organizatora ani jego organu nadzoru, osoby, którym powierzono wykonanie czynności związanych z przeprowadzeniem przetargu, małżonkowie, dzieci i rodzeństwo ww. osób, ani osoby, które pozostają z prowadzącym przetarg w takim stosunku prawnym lub faktycznym, że może to budzić uzasadnione wątpliwości co do bezstronności prowadzącego przetarg.   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Organizator zastrzega sobie 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>prawo swobodnego odwołania, unieważnienia lub zamknięcia przetargu bez podania przyczyny.</w:t>
      </w:r>
    </w:p>
    <w:p w:rsidR="00807021" w:rsidRDefault="00807021" w:rsidP="00807021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bCs/>
          <w:kern w:val="2"/>
          <w:sz w:val="22"/>
          <w:szCs w:val="22"/>
          <w:lang w:eastAsia="zh-CN" w:bidi="hi-IN"/>
        </w:rPr>
        <w:lastRenderedPageBreak/>
        <w:t>Dalsze, szczegółowe warunki przetargu określają „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>Warunki przetargu ustnego nieograniczonego na sprzedaż nieruchomości przy ul. Śluzowej w Bydgoszczy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 xml:space="preserve">” publikowane na stronie internetowej Organizatora. </w:t>
      </w:r>
    </w:p>
    <w:p w:rsidR="00807021" w:rsidRDefault="00807021" w:rsidP="00807021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807021" w:rsidRDefault="00807021" w:rsidP="00807021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807021" w:rsidRDefault="0010619D" w:rsidP="00807021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Ogłoszono dnia 2</w:t>
      </w:r>
      <w:r w:rsidR="00807021">
        <w:rPr>
          <w:rFonts w:eastAsia="SimSun"/>
          <w:kern w:val="2"/>
          <w:sz w:val="22"/>
          <w:szCs w:val="22"/>
          <w:lang w:eastAsia="zh-CN" w:bidi="hi-IN"/>
        </w:rPr>
        <w:t xml:space="preserve">8 października 2024 r. </w:t>
      </w:r>
    </w:p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>
      <w:pPr>
        <w:spacing w:after="160" w:line="252" w:lineRule="auto"/>
      </w:pPr>
      <w:r>
        <w:br w:type="page"/>
      </w:r>
    </w:p>
    <w:p w:rsidR="00807021" w:rsidRDefault="00807021" w:rsidP="00807021">
      <w:pPr>
        <w:jc w:val="center"/>
      </w:pPr>
      <w:r>
        <w:lastRenderedPageBreak/>
        <w:t>***</w:t>
      </w:r>
    </w:p>
    <w:p w:rsidR="00807021" w:rsidRDefault="00807021" w:rsidP="00807021"/>
    <w:p w:rsidR="00807021" w:rsidRDefault="00807021" w:rsidP="00807021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:rsidR="00807021" w:rsidRDefault="00807021" w:rsidP="00807021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sprzedaż nieruchomości przy ul. Śluzowej w Bydgoszczy</w:t>
      </w:r>
    </w:p>
    <w:p w:rsidR="00807021" w:rsidRDefault="00807021" w:rsidP="00807021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:rsidR="00807021" w:rsidRDefault="00807021" w:rsidP="00807021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dokument (Warunki) określa dalsze warunki przetargu prowadzonego przez Fabrykę Obrabiarek do Drewna Sp. z o.o. (Organizator), którego dotyczy Ogłoszenia przetargowego ogłoszone i opublikowane na stronie internetowej Organizatora dnia </w:t>
      </w:r>
      <w:r w:rsidR="0010619D">
        <w:rPr>
          <w:sz w:val="22"/>
          <w:szCs w:val="22"/>
        </w:rPr>
        <w:t>2</w:t>
      </w:r>
      <w:r>
        <w:rPr>
          <w:sz w:val="22"/>
          <w:szCs w:val="22"/>
        </w:rPr>
        <w:t xml:space="preserve">8 października 2024 r. Rozumienie        i definicje pojęć wynikające z ww. Ogłoszenia, zachowują swą aktualność dla wykładni niniejszych Warunków. 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przetargu mogą wziąć udział osoby, które wpłacą wadium w wyznaczonym terminie oraz przedłożą wraz z ofertą: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wadium, 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 oświadczenie o zapoznaniu się ze stanem faktycznym i prawnym nieruchomości, o spełnianiu warunków udziału w przetargu oraz o statusie cudzoziemca w rozumieniu przepisów ustawy z dnia 24 marca 1920r. o nabywaniu nieruchomości przez cudzoziemców, o rachunku bankowym właściwym dla zwrotu wadium, oraz adresie poczty elektronicznej właściwym dla składania powiadomień kierowanych do uczestnika - według wzoru stanowiącego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niniejszych Warunków.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reprezentujących osoby prawne lub jednostki organizacyjne posiadające zdolność prawną, podlegające wpisom do rejestrów - aktualny wypis z właściwego rejestru, określający status prawny uczestnika oraz sposób i osoby uprawnione do jego reprezentacji;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pełnomocników - odpowiednie pełnomocnictwo umocowujące do reprezentowania w przetargu przynajmniej w zakresie czynnego udziału w licytacji, 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 lub jednostek organizacyjnych posiadających zdolność prawną - oświadczenie, że do udziału w przetargu i nabycia Nieruchomości nie jest wymagana zgoda jakiegokolwiek organu tej osoby prawnej / jednostki, a gdy taka zgoda jest wymagana - dokument zawierający stosowną zgodę,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osoby fizycznej lub handlowej spółki osobowej, nieposiadającej osobowości prawnej, w której chociaż jeden wspólnik jest osobą fizyczną – oświadczenia, że uczestnik lub jego wspólnik nie pozostaje w związku małżeńskim, w którym obowiązuje ustrój wspólności majątkowej, a jeżeli uczestnik lub jego wspólnik pozostaje w takim związku małżeńskim, dokument zawierający zgodę współmałżonka na dokonanie czynności prawnych związanych z udziałem w przetargu, bądź odpowiednio oświadczenie, iż ze względu na panujący między małżonkami szczególny ustrój majątkowy, upoważnienie ani zgoda drugiego małżonka nie są wymagane dla skutecznego nabycia Nieruchomości,</w:t>
      </w:r>
    </w:p>
    <w:p w:rsidR="00807021" w:rsidRDefault="00807021" w:rsidP="008070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oświadczenie o wyrażeniu zgody na przetwarzanie danych osobowych w związku i na potrzeby przetargu oraz sprzedaży Nieruchomości.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Dokumenty, o których mowa w ust. 2 powyżej, powinny być sporządzone w języku polskim; ewentualne tłumaczenia powinny być dokonane przez tłumacza przysięgłego.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Cudzoziemiec, który wygra przetarg, a stosownie do ustawy z dnia 24 marca 1920 r. jest zobowiązany uzyskać zezwolenie na nabycie nieruchomości, winien je przedstawić w terminie 3 miesięcy od dnia otwarcia ofert. W </w:t>
      </w:r>
      <w:r>
        <w:rPr>
          <w:sz w:val="22"/>
          <w:szCs w:val="22"/>
        </w:rPr>
        <w:lastRenderedPageBreak/>
        <w:t>przypadku bezskutecznego upływu tego terminu uznaje się, że zwycięzca przetargu uchyla się od nabycia nieruchomości, a wpłacone przez niego wadium nie podlega zwrotowi.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Wadium złożone przez oferentów, których oferty nie zostaną przyjęte, zostanie zwrócone (bez oprocentowania) w terminie 3 dni od zakończenia licytacji, na rachunek bankowy wskazany przez oferenta. Wadium złożone przez nabywcę zostanie zarachowane na poczet ceny. Zarachowanie to następować będzie w chwili zawarcia w formie aktu notarialnego umowy przenoszącej prawa do Nieruchomości. Wadium przepada na rzecz Organizatora, jeżeli oferent, którego oferta zostanie przyjęta, uchyli się od zawarcia umowy.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dniu otwarcia ofert komisja przetargowa sprawdzi:</w:t>
      </w:r>
    </w:p>
    <w:p w:rsidR="00807021" w:rsidRDefault="00807021" w:rsidP="00807021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dowód wniesienia wadium,</w:t>
      </w:r>
    </w:p>
    <w:p w:rsidR="00807021" w:rsidRDefault="00807021" w:rsidP="00807021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oferty z Ogłoszenie i Warunkami przetargu. 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Przetarg jest ważny bez względu na liczbę uczestników, jeżeli złożono przynajmniej jedną ważną ofertę. 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uważa się za zakończony wynikiem negatywnym, jeżeli żaden z uczestników przetargu nie zaoferował przynajmniej ceny wywoławczej (minimalnej) oraz w sytuacji, gdy nikt do przetargu nie przystąpił.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Przeprowadzenie przetargu i jej wynik wymaga każdorazowo udokumentowania stosownym protokołem. W protokole należy w szczególności zamieścić następujące informacje: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 (minimalną),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i adres lub nazwę (firmę) oraz siedzibę osoby wyłonionej jako zwycięzca przetargu,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:rsidR="00807021" w:rsidRDefault="00807021" w:rsidP="00807021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członków komisji.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Zwycięzca przetargu zostanie zawiadomiony o miejscu i terminie zawarcia umowy sprzedaży najpóźniej w ciągu 30 dni od dnia rozstrzygnięcia przetargu. Brak zapłaty ceny (odpowiednio zadatku) lub niestawienie się zwycięzcy przetargu w czasie i miejscu wyznaczonym przez Organizatora (z przynajmniej 7 dniowym wyprzedzeniem) na podpisanie aktu notarialnego (umowy sprzedaży lub przeniesienia Nieruchomości) będzie równoznaczne z uchyleniem się od zawarcia umowy i przepadkiem wadium na rzecz Organizatora. W takim przypadku wygasa także zobowiązanie Organizatora do dokonania sprzedaży na rzecz zwycięzcy przetargu.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Nabywca Nieruchomości ponosi w całości koszty notarialne sporządzenia umów i opłat sądowych związanych z wpisem praw Nabywcy do ksiąg wieczystych. W przypadku żądania okazania granic Nieruchomości, koszty z tym związane także ponosi nabywca.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Nabywca zobowiązany jest zapłacić całość ceny sprzedawanej Nieruchomości oraz pozostałe ewentualne koszty związane z jej nabyciem do dnia poprzedzającego zawarcie umowy przenoszącej prawa do Nieruchomości. Za termin zapłaty uznaje się dzień wpływu należności na wskazany rachunek bankowy Spółki. 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oferowana i przyjęta w przetargu nie uwzględnia podatku od towarów i usług (VAT). Tak ustalona cena ulega automatycznemu podwyższeniu o podatek od towarów i usług (VAT), jeśli na dzień dokonywania sprzedaży czynność ta będzie objęta opodatkowaniem tym podatkiem. </w:t>
      </w:r>
    </w:p>
    <w:p w:rsidR="00807021" w:rsidRDefault="00807021" w:rsidP="008070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Wedle aktualnego stanu rzeczy sprzedaż Nieruchomości w całości korzysta ze zwolnienia z opodatkowania podatkiem VAT na podstawie art. 43 ust. 1 pkt. 9 ustawy o VAT.</w:t>
      </w:r>
    </w:p>
    <w:p w:rsidR="00807021" w:rsidRDefault="00807021" w:rsidP="00807021">
      <w:pPr>
        <w:jc w:val="both"/>
        <w:rPr>
          <w:sz w:val="22"/>
          <w:szCs w:val="22"/>
        </w:rPr>
      </w:pPr>
    </w:p>
    <w:p w:rsidR="00807021" w:rsidRDefault="00807021" w:rsidP="008070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Ogłoszono dnia </w:t>
      </w:r>
      <w:r w:rsidR="0010619D">
        <w:rPr>
          <w:sz w:val="22"/>
          <w:szCs w:val="22"/>
        </w:rPr>
        <w:t>2</w:t>
      </w:r>
      <w:r>
        <w:rPr>
          <w:sz w:val="22"/>
          <w:szCs w:val="22"/>
        </w:rPr>
        <w:t xml:space="preserve">8 października 2024 r. </w:t>
      </w:r>
    </w:p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807021" w:rsidRDefault="00807021" w:rsidP="00807021"/>
    <w:p w:rsidR="00F121F4" w:rsidRDefault="00B126D0"/>
    <w:sectPr w:rsidR="00F1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2E"/>
    <w:multiLevelType w:val="hybridMultilevel"/>
    <w:tmpl w:val="8A5A03C8"/>
    <w:lvl w:ilvl="0" w:tplc="6FC08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610"/>
    <w:multiLevelType w:val="hybridMultilevel"/>
    <w:tmpl w:val="6B3C3398"/>
    <w:lvl w:ilvl="0" w:tplc="AFE2FB0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4172"/>
    <w:multiLevelType w:val="hybridMultilevel"/>
    <w:tmpl w:val="D57C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0550"/>
    <w:multiLevelType w:val="hybridMultilevel"/>
    <w:tmpl w:val="0A6AC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21"/>
    <w:rsid w:val="0010619D"/>
    <w:rsid w:val="00807021"/>
    <w:rsid w:val="009B67EA"/>
    <w:rsid w:val="00AF63A4"/>
    <w:rsid w:val="00B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410A-662B-471D-920D-4E14EE1D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07021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702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2024-10-28T07:51:00Z</dcterms:created>
  <dcterms:modified xsi:type="dcterms:W3CDTF">2024-10-28T07:51:00Z</dcterms:modified>
</cp:coreProperties>
</file>