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A52CA" w14:textId="4CD635BF" w:rsidR="00EA594A" w:rsidRPr="007A2BD2" w:rsidRDefault="00E6654E" w:rsidP="00AB19ED">
      <w:pPr>
        <w:pStyle w:val="Tytu"/>
        <w:rPr>
          <w:rFonts w:ascii="Open Sans" w:hAnsi="Open Sans" w:cs="Open Sans"/>
          <w:b w:val="0"/>
          <w:bCs w:val="0"/>
          <w:i/>
          <w:iCs/>
          <w:sz w:val="22"/>
          <w:szCs w:val="22"/>
        </w:rPr>
      </w:pPr>
      <w:bookmarkStart w:id="0" w:name="_GoBack"/>
      <w:bookmarkEnd w:id="0"/>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1" w:name="_Ref197757600"/>
      <w:r w:rsidRPr="007A2BD2">
        <w:rPr>
          <w:rStyle w:val="Odwoanieprzypisudolnego"/>
          <w:rFonts w:ascii="Open Sans" w:hAnsi="Open Sans" w:cs="Open Sans"/>
          <w:b w:val="0"/>
          <w:bCs w:val="0"/>
          <w:sz w:val="22"/>
          <w:szCs w:val="22"/>
        </w:rPr>
        <w:footnoteReference w:id="1"/>
      </w:r>
      <w:bookmarkEnd w:id="1"/>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2" w:name="_Hlk121220346"/>
      <w:r w:rsidR="00FA03E2" w:rsidRPr="007A2BD2">
        <w:rPr>
          <w:rStyle w:val="Odwoanieprzypisudolnego"/>
          <w:rFonts w:ascii="Open Sans" w:hAnsi="Open Sans" w:cs="Open Sans"/>
          <w:sz w:val="22"/>
          <w:szCs w:val="22"/>
        </w:rPr>
        <w:footnoteReference w:id="2"/>
      </w:r>
      <w:bookmarkEnd w:id="2"/>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3"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3"/>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4"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5" w:name="_Hlk120540702"/>
      <w:r w:rsidRPr="007A2BD2">
        <w:rPr>
          <w:rFonts w:ascii="Open Sans" w:hAnsi="Open Sans" w:cs="Open Sans"/>
          <w:sz w:val="22"/>
          <w:szCs w:val="22"/>
        </w:rPr>
        <w:t>rozporządzeniem nr 2021/1060</w:t>
      </w:r>
      <w:bookmarkEnd w:id="5"/>
      <w:r w:rsidRPr="007A2BD2">
        <w:rPr>
          <w:rFonts w:ascii="Open Sans" w:hAnsi="Open Sans" w:cs="Open Sans"/>
          <w:sz w:val="22"/>
          <w:szCs w:val="22"/>
        </w:rPr>
        <w:t>”</w:t>
      </w:r>
      <w:bookmarkEnd w:id="4"/>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6"/>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7"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7"/>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8"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8"/>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9"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9"/>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lastRenderedPageBreak/>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10"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10"/>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1"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2"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1"/>
      <w:bookmarkEnd w:id="12"/>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3"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4"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3"/>
      <w:bookmarkEnd w:id="14"/>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6" w:name="_Hlk111023208"/>
      <w:r w:rsidRPr="007A2BD2">
        <w:rPr>
          <w:rFonts w:ascii="Open Sans" w:hAnsi="Open Sans" w:cs="Open Sans"/>
          <w:sz w:val="22"/>
          <w:szCs w:val="22"/>
        </w:rPr>
        <w:t xml:space="preserve">niepochodzących z budżetu środków europejskich, </w:t>
      </w:r>
      <w:bookmarkStart w:id="17" w:name="_Hlk107922682"/>
      <w:r w:rsidRPr="007A2BD2">
        <w:rPr>
          <w:rFonts w:ascii="Open Sans" w:hAnsi="Open Sans" w:cs="Open Sans"/>
          <w:sz w:val="22"/>
          <w:szCs w:val="22"/>
        </w:rPr>
        <w:t>o którym mowa w art. 117 ust. 1 ustawy o finansach publicznych</w:t>
      </w:r>
      <w:bookmarkEnd w:id="17"/>
      <w:r w:rsidRPr="007A2BD2">
        <w:rPr>
          <w:rFonts w:ascii="Open Sans" w:hAnsi="Open Sans" w:cs="Open Sans"/>
          <w:sz w:val="22"/>
          <w:szCs w:val="22"/>
        </w:rPr>
        <w:t xml:space="preserve">, </w:t>
      </w:r>
      <w:bookmarkEnd w:id="16"/>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8"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8"/>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9" w:name="_Hlk141092009"/>
      <w:bookmarkStart w:id="20" w:name="_Hlk141093099"/>
      <w:bookmarkStart w:id="21"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19"/>
      <w:bookmarkEnd w:id="20"/>
      <w:r w:rsidR="00C36BF6" w:rsidRPr="007A2BD2">
        <w:rPr>
          <w:rFonts w:ascii="Open Sans" w:hAnsi="Open Sans" w:cs="Open Sans"/>
          <w:sz w:val="22"/>
          <w:szCs w:val="22"/>
        </w:rPr>
        <w:t>.</w:t>
      </w:r>
      <w:bookmarkEnd w:id="21"/>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2"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2"/>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3" w:name="_Hlk122074339"/>
      <w:r w:rsidR="00D53925" w:rsidRPr="007A2BD2">
        <w:rPr>
          <w:rFonts w:ascii="Open Sans" w:hAnsi="Open Sans" w:cs="Open Sans"/>
          <w:sz w:val="22"/>
          <w:szCs w:val="22"/>
        </w:rPr>
        <w:t>Dz. U. z 2022 r., poz. 1375</w:t>
      </w:r>
      <w:bookmarkEnd w:id="23"/>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zainicjowany przez Transparency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4" w:name="_Hlk116550718"/>
      <w:r w:rsidRPr="007A2BD2">
        <w:rPr>
          <w:rFonts w:ascii="Open Sans" w:hAnsi="Open Sans" w:cs="Open Sans"/>
          <w:i/>
          <w:sz w:val="22"/>
          <w:szCs w:val="22"/>
        </w:rPr>
        <w:t>Wytycznych dotyczących kwalifikowalności wydatków na lata 2021-2027</w:t>
      </w:r>
      <w:bookmarkEnd w:id="24"/>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5"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5"/>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6"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7" w:name="_Hlk135825929"/>
      <w:r w:rsidR="00762B48" w:rsidRPr="007A2BD2">
        <w:rPr>
          <w:rFonts w:ascii="Open Sans" w:hAnsi="Open Sans" w:cs="Open Sans"/>
          <w:sz w:val="22"/>
          <w:szCs w:val="22"/>
        </w:rPr>
        <w:t xml:space="preserve"> </w:t>
      </w:r>
      <w:bookmarkEnd w:id="27"/>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8" w:name="_Hlk135825991"/>
      <w:r w:rsidR="007C11D9" w:rsidRPr="007A2BD2">
        <w:rPr>
          <w:rFonts w:ascii="Open Sans" w:hAnsi="Open Sans" w:cs="Open Sans"/>
          <w:sz w:val="22"/>
          <w:szCs w:val="22"/>
        </w:rPr>
        <w:t>(datą końcową)</w:t>
      </w:r>
      <w:bookmarkEnd w:id="28"/>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6"/>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9"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9"/>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30"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30"/>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1" w:name="_Hlk116550178"/>
      <w:r w:rsidR="00E37357" w:rsidRPr="007A2BD2">
        <w:rPr>
          <w:rFonts w:ascii="Open Sans" w:hAnsi="Open Sans" w:cs="Open Sans"/>
          <w:sz w:val="22"/>
          <w:szCs w:val="22"/>
        </w:rPr>
        <w:t xml:space="preserve">w art. 29 ust. 1 ustawy oraz </w:t>
      </w:r>
      <w:bookmarkEnd w:id="31"/>
      <w:r w:rsidR="00E37357" w:rsidRPr="007A2BD2">
        <w:rPr>
          <w:rFonts w:ascii="Open Sans" w:hAnsi="Open Sans" w:cs="Open Sans"/>
          <w:sz w:val="22"/>
          <w:szCs w:val="22"/>
        </w:rPr>
        <w:t xml:space="preserve">w </w:t>
      </w:r>
      <w:bookmarkStart w:id="32"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2"/>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3"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3"/>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4"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Pr="007A2BD2">
        <w:rPr>
          <w:rFonts w:ascii="Open Sans" w:hAnsi="Open Sans" w:cs="Open Sans"/>
          <w:sz w:val="22"/>
          <w:szCs w:val="22"/>
        </w:rPr>
        <w:t>,</w:t>
      </w:r>
      <w:bookmarkEnd w:id="34"/>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5"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5"/>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6"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6"/>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7" w:name="_Hlk111025044"/>
      <w:r w:rsidRPr="007A2BD2">
        <w:rPr>
          <w:rFonts w:ascii="Open Sans" w:hAnsi="Open Sans" w:cs="Open Sans"/>
          <w:sz w:val="22"/>
          <w:szCs w:val="22"/>
        </w:rPr>
        <w:t>art. 63 ust. 6 rozporządzenia nr 2021/1060 i Wytycznych dotyczących kwalifikowalności wydatków na lata 2021-2027.</w:t>
      </w:r>
      <w:bookmarkEnd w:id="37"/>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8" w:name="_Hlk111025165"/>
      <w:r w:rsidRPr="007A2BD2">
        <w:rPr>
          <w:rFonts w:ascii="Open Sans" w:hAnsi="Open Sans" w:cs="Open Sans"/>
          <w:sz w:val="22"/>
          <w:szCs w:val="22"/>
        </w:rPr>
        <w:t>oraz procedurami o których mowa w art. 184 ustawy o finansach publicznych,</w:t>
      </w:r>
      <w:bookmarkEnd w:id="38"/>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9"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9"/>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40"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40"/>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1"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1"/>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2" w:name="_Hlk121914333"/>
      <w:r w:rsidR="004200C6" w:rsidRPr="007A2BD2">
        <w:rPr>
          <w:rFonts w:ascii="Open Sans" w:hAnsi="Open Sans" w:cs="Open Sans"/>
          <w:sz w:val="22"/>
          <w:szCs w:val="22"/>
        </w:rPr>
        <w:t>następuje za pośrednictwem SL2021.</w:t>
      </w:r>
      <w:bookmarkEnd w:id="42"/>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3"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4"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4"/>
      <w:r w:rsidR="00325FF7" w:rsidRPr="007A2BD2">
        <w:rPr>
          <w:rFonts w:ascii="Open Sans" w:hAnsi="Open Sans" w:cs="Open Sans"/>
          <w:sz w:val="22"/>
          <w:szCs w:val="22"/>
        </w:rPr>
        <w:t>, str. 1</w:t>
      </w:r>
      <w:r w:rsidR="00F2425E" w:rsidRPr="007A2BD2">
        <w:rPr>
          <w:rFonts w:ascii="Open Sans" w:hAnsi="Open Sans" w:cs="Open Sans"/>
          <w:sz w:val="22"/>
          <w:szCs w:val="22"/>
        </w:rPr>
        <w:t>, z późn.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3"/>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5" w:name="_Hlk111027321"/>
      <w:bookmarkStart w:id="46" w:name="_Hlk122091007"/>
      <w:bookmarkStart w:id="47"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5"/>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6"/>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mechanizmu sygnalistycznego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7"/>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50" w:name="_Hlk121761938"/>
      <w:bookmarkEnd w:id="48"/>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9"/>
      <w:bookmarkEnd w:id="50"/>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2"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2"/>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38"/>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9"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9"/>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r w:rsidR="008576DB" w:rsidRPr="007A2BD2">
        <w:rPr>
          <w:rFonts w:ascii="Open Sans" w:hAnsi="Open Sans" w:cs="Open Sans"/>
          <w:sz w:val="22"/>
          <w:szCs w:val="22"/>
        </w:rPr>
        <w:t>SzOP FEnIKS</w:t>
      </w:r>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0" w:name="_Hlk121983720"/>
      <w:bookmarkStart w:id="61"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60"/>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1"/>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eneficjenta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5"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6" w:name="_Hlk121937024"/>
      <w:bookmarkEnd w:id="65"/>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6"/>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7" w:name="_Hlk127366135"/>
      <w:bookmarkStart w:id="68"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7"/>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8"/>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69"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69"/>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0"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0"/>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1"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1"/>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2"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3" w:name="_Hlk111034258"/>
      <w:r w:rsidRPr="007A2BD2">
        <w:rPr>
          <w:rFonts w:ascii="Open Sans" w:hAnsi="Open Sans" w:cs="Open Sans"/>
          <w:sz w:val="22"/>
          <w:szCs w:val="22"/>
        </w:rPr>
        <w:t xml:space="preserve">W takim przypadku, jeżeli </w:t>
      </w:r>
      <w:bookmarkStart w:id="74"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3"/>
      <w:r w:rsidRPr="007A2BD2">
        <w:rPr>
          <w:rFonts w:ascii="Open Sans" w:hAnsi="Open Sans" w:cs="Open Sans"/>
          <w:sz w:val="22"/>
          <w:szCs w:val="22"/>
        </w:rPr>
        <w:t>.</w:t>
      </w:r>
      <w:bookmarkEnd w:id="72"/>
    </w:p>
    <w:bookmarkEnd w:id="74"/>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5"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5"/>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6"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późn.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Pzp”, w przypadku, gdy wymóg jej stosowania wynika z ustawy Pzp. </w:t>
      </w:r>
    </w:p>
    <w:bookmarkEnd w:id="76"/>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7" w:name="_Hlk126676342"/>
      <w:r w:rsidRPr="007A2BD2">
        <w:rPr>
          <w:rFonts w:ascii="Open Sans" w:hAnsi="Open Sans" w:cs="Open Sans"/>
          <w:sz w:val="22"/>
          <w:szCs w:val="22"/>
        </w:rPr>
        <w:t>.</w:t>
      </w:r>
    </w:p>
    <w:bookmarkEnd w:id="77"/>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8"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8"/>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79"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79"/>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de minimis</w:t>
      </w:r>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1"/>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3"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3"/>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4"/>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6" w:name="_M657410519"/>
      <w:bookmarkEnd w:id="86"/>
      <w:r w:rsidRPr="007A2BD2">
        <w:rPr>
          <w:rFonts w:ascii="Open Sans" w:hAnsi="Open Sans" w:cs="Open Sans"/>
          <w:sz w:val="22"/>
          <w:szCs w:val="22"/>
        </w:rPr>
        <w:t>.</w:t>
      </w:r>
      <w:bookmarkEnd w:id="85"/>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88" w:name="_Hlk111728707"/>
      <w:r w:rsidRPr="007A2BD2">
        <w:rPr>
          <w:rFonts w:ascii="Open Sans" w:hAnsi="Open Sans" w:cs="Open Sans"/>
          <w:i/>
          <w:iCs/>
          <w:sz w:val="22"/>
          <w:szCs w:val="22"/>
        </w:rPr>
        <w:t>Wytycznych dotyczących kontroli realizacji programów polityki spójności na lata 2021-2027.</w:t>
      </w:r>
      <w:bookmarkEnd w:id="87"/>
      <w:bookmarkEnd w:id="88"/>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8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0" w:name="_Hlk117077470"/>
      <w:r w:rsidRPr="007A2BD2">
        <w:rPr>
          <w:rFonts w:ascii="Open Sans" w:hAnsi="Open Sans" w:cs="Open Sans"/>
          <w:sz w:val="22"/>
          <w:szCs w:val="22"/>
        </w:rPr>
        <w:t xml:space="preserve">(w tym kontrolnych) </w:t>
      </w:r>
      <w:bookmarkEnd w:id="90"/>
      <w:r w:rsidRPr="007A2BD2">
        <w:rPr>
          <w:rFonts w:ascii="Open Sans" w:hAnsi="Open Sans" w:cs="Open Sans"/>
          <w:sz w:val="22"/>
          <w:szCs w:val="22"/>
        </w:rPr>
        <w:t xml:space="preserve">lub postępowań prowadzonych w szczególności przez organy ścigania </w:t>
      </w:r>
      <w:bookmarkStart w:id="91" w:name="_Hlk117077485"/>
      <w:r w:rsidRPr="007A2BD2">
        <w:rPr>
          <w:rFonts w:ascii="Open Sans" w:hAnsi="Open Sans" w:cs="Open Sans"/>
          <w:sz w:val="22"/>
          <w:szCs w:val="22"/>
        </w:rPr>
        <w:t>bądź organy nadzoru</w:t>
      </w:r>
      <w:bookmarkEnd w:id="9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2" w:name="_Hlk117077502"/>
      <w:r w:rsidRPr="007A2BD2">
        <w:rPr>
          <w:rFonts w:ascii="Open Sans" w:hAnsi="Open Sans" w:cs="Open Sans"/>
          <w:sz w:val="22"/>
          <w:szCs w:val="22"/>
        </w:rPr>
        <w:t>podmiotów, o których mowa art. 24 ust. 12 oraz 25 ust. 2 ustawy</w:t>
      </w:r>
      <w:bookmarkEnd w:id="9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89"/>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3"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3"/>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4"/>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6"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6"/>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7" w:name="_Hlk131019426"/>
      <w:r w:rsidR="001429E3" w:rsidRPr="007A2BD2">
        <w:rPr>
          <w:rFonts w:ascii="Open Sans" w:hAnsi="Open Sans" w:cs="Open Sans"/>
          <w:sz w:val="22"/>
          <w:szCs w:val="22"/>
        </w:rPr>
        <w:t xml:space="preserve"> </w:t>
      </w:r>
      <w:bookmarkEnd w:id="97"/>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8" w:name="_Hlk131160606"/>
      <w:bookmarkStart w:id="99"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8"/>
      <w:r w:rsidRPr="007A2BD2">
        <w:rPr>
          <w:rFonts w:ascii="Open Sans" w:hAnsi="Open Sans" w:cs="Open Sans"/>
          <w:sz w:val="22"/>
          <w:szCs w:val="22"/>
        </w:rPr>
        <w:t>:</w:t>
      </w:r>
    </w:p>
    <w:bookmarkEnd w:id="99"/>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0"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0"/>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1" w:name="_Hlk121209912"/>
      <w:r w:rsidRPr="007A2BD2">
        <w:rPr>
          <w:rFonts w:ascii="Open Sans" w:hAnsi="Open Sans" w:cs="Open Sans"/>
          <w:sz w:val="22"/>
          <w:szCs w:val="22"/>
        </w:rPr>
        <w:t>SL2021</w:t>
      </w:r>
      <w:bookmarkEnd w:id="101"/>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2"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3" w:name="_Hlk121209955"/>
      <w:r w:rsidRPr="007A2BD2">
        <w:rPr>
          <w:rFonts w:ascii="Open Sans" w:hAnsi="Open Sans" w:cs="Open Sans"/>
          <w:sz w:val="22"/>
          <w:szCs w:val="22"/>
        </w:rPr>
        <w:t>SL2021 pomiędzy Beneficjentem a Instytucj</w:t>
      </w:r>
      <w:bookmarkEnd w:id="103"/>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2"/>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4"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5"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5"/>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6"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6"/>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7"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„.xlsx” w zakładce &lt;Załączniki&gt;, określając typ załącznika jako: &lt;Inny&gt;.</w:t>
      </w:r>
      <w:bookmarkEnd w:id="107"/>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4"/>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8"/>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1" w:name="_Hlk121210354"/>
      <w:bookmarkStart w:id="112"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1"/>
      <w:r w:rsidRPr="007A2BD2">
        <w:rPr>
          <w:rFonts w:ascii="Open Sans" w:hAnsi="Open Sans" w:cs="Open Sans"/>
          <w:sz w:val="22"/>
          <w:szCs w:val="22"/>
        </w:rPr>
        <w:t>.</w:t>
      </w:r>
      <w:bookmarkEnd w:id="112"/>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1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3"/>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4" w:name="_Hlk121210467"/>
      <w:bookmarkStart w:id="11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4"/>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6"/>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7"/>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8"/>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1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19"/>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0"/>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1"/>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2"/>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3"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3"/>
    </w:p>
    <w:bookmarkEnd w:id="115"/>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4"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5" w:name="_Hlk128126833"/>
      <w:r w:rsidRPr="007A2BD2">
        <w:rPr>
          <w:rFonts w:ascii="Open Sans" w:hAnsi="Open Sans" w:cs="Open Sans"/>
          <w:sz w:val="22"/>
          <w:szCs w:val="22"/>
        </w:rPr>
        <w:t>na podstawie art. 90 ust. 2 w związku z art. 87 ust. 1 ustawy</w:t>
      </w:r>
      <w:bookmarkEnd w:id="12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6" w:name="_Hlk107992370"/>
      <w:r w:rsidRPr="007A2BD2">
        <w:rPr>
          <w:rFonts w:ascii="Open Sans" w:hAnsi="Open Sans" w:cs="Open Sans"/>
          <w:sz w:val="22"/>
          <w:szCs w:val="22"/>
        </w:rPr>
        <w:t xml:space="preserve">i zgłasza, a także zawiadamia osoby, których dane dotyczą, </w:t>
      </w:r>
      <w:bookmarkEnd w:id="126"/>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7"/>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8" w:name="_Hlk107992490"/>
      <w:r w:rsidRPr="007A2BD2">
        <w:rPr>
          <w:rFonts w:ascii="Open Sans" w:hAnsi="Open Sans" w:cs="Open Sans"/>
          <w:sz w:val="22"/>
          <w:szCs w:val="22"/>
        </w:rPr>
        <w:t xml:space="preserve">które mogą mieć negatywny wpływ na ich przetwarzanie </w:t>
      </w:r>
      <w:bookmarkEnd w:id="128"/>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29"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29"/>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1"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1"/>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4"/>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2" w:name="_Hlk136848027"/>
      <w:r w:rsidR="008275FB" w:rsidRPr="007A2BD2">
        <w:rPr>
          <w:rFonts w:ascii="Open Sans" w:hAnsi="Open Sans" w:cs="Open Sans"/>
          <w:sz w:val="22"/>
          <w:szCs w:val="22"/>
        </w:rPr>
        <w:t xml:space="preserve">lub obowiązywania w </w:t>
      </w:r>
      <w:bookmarkEnd w:id="132"/>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3" w:name="_Hlk127268570"/>
      <w:bookmarkStart w:id="134" w:name="_Hlk127268600"/>
      <w:r w:rsidRPr="007A2BD2">
        <w:rPr>
          <w:rFonts w:ascii="Open Sans" w:hAnsi="Open Sans" w:cs="Open Sans"/>
          <w:b/>
          <w:bCs/>
          <w:sz w:val="22"/>
          <w:szCs w:val="22"/>
        </w:rPr>
        <w:t>Warunki zawieszające przekazanie dofinansowania związane z zabezpieczeniem wykonania Umowy</w:t>
      </w:r>
      <w:bookmarkEnd w:id="133"/>
      <w:r w:rsidRPr="007A2BD2">
        <w:rPr>
          <w:rStyle w:val="Odwoanieprzypisudolnego"/>
          <w:rFonts w:ascii="Open Sans" w:hAnsi="Open Sans" w:cs="Open Sans"/>
          <w:b/>
          <w:bCs/>
          <w:sz w:val="22"/>
          <w:szCs w:val="22"/>
        </w:rPr>
        <w:footnoteReference w:id="107"/>
      </w:r>
    </w:p>
    <w:bookmarkEnd w:id="134"/>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5" w:name="_Hlk122033255"/>
      <w:bookmarkStart w:id="136" w:name="_Hlk122515081"/>
      <w:r w:rsidR="00B026AF" w:rsidRPr="007A2BD2">
        <w:rPr>
          <w:rFonts w:ascii="Open Sans" w:hAnsi="Open Sans" w:cs="Open Sans"/>
          <w:sz w:val="22"/>
          <w:szCs w:val="22"/>
        </w:rPr>
        <w:t>Stanowisko Instytucji Wdrażającej w powyższym zakresie będzie wiążące dla Beneficjenta</w:t>
      </w:r>
      <w:bookmarkEnd w:id="135"/>
      <w:r w:rsidR="00B026AF" w:rsidRPr="007A2BD2">
        <w:rPr>
          <w:rFonts w:ascii="Open Sans" w:hAnsi="Open Sans" w:cs="Open Sans"/>
          <w:sz w:val="22"/>
          <w:szCs w:val="22"/>
        </w:rPr>
        <w:t>.</w:t>
      </w:r>
      <w:bookmarkEnd w:id="136"/>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7"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8" w:name="_Hlk131416280"/>
      <w:r w:rsidR="00772FBB" w:rsidRPr="007A2BD2">
        <w:rPr>
          <w:rStyle w:val="Odwoanieprzypisudolnego"/>
          <w:rFonts w:ascii="Open Sans" w:hAnsi="Open Sans" w:cs="Open Sans"/>
          <w:sz w:val="22"/>
          <w:szCs w:val="22"/>
        </w:rPr>
        <w:footnoteReference w:id="109"/>
      </w:r>
      <w:bookmarkEnd w:id="137"/>
      <w:bookmarkEnd w:id="138"/>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39"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39"/>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0"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0"/>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1"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1"/>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1EE33" w14:textId="77777777" w:rsidR="00A97113" w:rsidRDefault="00A97113">
      <w:r>
        <w:separator/>
      </w:r>
    </w:p>
  </w:endnote>
  <w:endnote w:type="continuationSeparator" w:id="0">
    <w:p w14:paraId="198EA4C4" w14:textId="77777777" w:rsidR="00A97113" w:rsidRDefault="00A9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A8E1" w14:textId="5FE90D5D"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0C727E">
      <w:rPr>
        <w:rStyle w:val="Numerstrony"/>
        <w:rFonts w:ascii="Arial" w:hAnsi="Arial" w:cs="Arial"/>
        <w:noProof/>
      </w:rPr>
      <w:t>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0C727E">
      <w:rPr>
        <w:rStyle w:val="Numerstrony"/>
        <w:rFonts w:ascii="Arial" w:hAnsi="Arial" w:cs="Arial"/>
        <w:noProof/>
      </w:rPr>
      <w:t>50</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2944E" w14:textId="77777777" w:rsidR="00A97113" w:rsidRDefault="00A97113">
      <w:r>
        <w:separator/>
      </w:r>
    </w:p>
  </w:footnote>
  <w:footnote w:type="continuationSeparator" w:id="0">
    <w:p w14:paraId="51010C4D" w14:textId="77777777" w:rsidR="00A97113" w:rsidRDefault="00A97113">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5" w:name="_Hlk128651285"/>
      <w:r w:rsidR="003044B0" w:rsidRPr="00095236">
        <w:rPr>
          <w:rFonts w:ascii="Open Sans" w:hAnsi="Open Sans" w:cs="Open Sans"/>
        </w:rPr>
        <w:t>Należy w</w:t>
      </w:r>
      <w:r w:rsidRPr="00095236">
        <w:rPr>
          <w:rFonts w:ascii="Open Sans" w:hAnsi="Open Sans" w:cs="Open Sans"/>
        </w:rPr>
        <w:t>ykreślić jeśli nie dotyczy.</w:t>
      </w:r>
      <w:bookmarkEnd w:id="15"/>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ws zmiany tej decyzji lub decyzji wydanej w wyniku wniesionych odwołań od tej decyzji (tzw. decyzji reformatoryjnej),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8"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8"/>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Postanowienie dotyczy projektów, dla których VAT stanowi wydatek niekwalifikowalny, zgodnie z treścią regulaminu wyboru projektów lub S</w:t>
      </w:r>
      <w:r w:rsidR="000120BA" w:rsidRPr="00095236">
        <w:rPr>
          <w:rFonts w:ascii="Open Sans" w:hAnsi="Open Sans" w:cs="Open Sans"/>
        </w:rPr>
        <w:t>z</w:t>
      </w:r>
      <w:r w:rsidR="00566087" w:rsidRPr="00095236">
        <w:rPr>
          <w:rFonts w:ascii="Open Sans" w:hAnsi="Open Sans" w:cs="Open Sans"/>
        </w:rPr>
        <w:t>OP FEnIKS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r w:rsidR="000120BA" w:rsidRPr="00095236">
        <w:rPr>
          <w:rFonts w:ascii="Open Sans" w:hAnsi="Open Sans" w:cs="Open Sans"/>
        </w:rPr>
        <w:t>Sz</w:t>
      </w:r>
      <w:r w:rsidR="00566087" w:rsidRPr="00095236">
        <w:rPr>
          <w:rFonts w:ascii="Open Sans" w:hAnsi="Open Sans" w:cs="Open Sans"/>
        </w:rPr>
        <w:t xml:space="preserve">OP FEnIKS (wykreślić jeśli nie dotyczy). </w:t>
      </w:r>
    </w:p>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późn.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footnote>
  <w:footnote w:id="55">
    <w:p w14:paraId="0677F9C5" w14:textId="77777777" w:rsidR="00D52001" w:rsidRPr="00095236" w:rsidRDefault="00D52001">
      <w:pPr>
        <w:rPr>
          <w:rFonts w:ascii="Open Sans" w:hAnsi="Open Sans" w:cs="Open Sans"/>
        </w:rPr>
      </w:pPr>
      <w:bookmarkStart w:id="64" w:name="_Hlk120624443"/>
      <w:bookmarkEnd w:id="64"/>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/niekwalifikowalne (niewłaściwe usunąć) zgodnie z treścią regulaminu wyboru projektów i SzOP FEnIKS.</w:t>
      </w:r>
      <w:r w:rsidR="00F668C1" w:rsidRPr="00095236">
        <w:rPr>
          <w:rFonts w:ascii="Open Sans" w:hAnsi="Open Sans" w:cs="Open Sans"/>
        </w:rPr>
        <w:t xml:space="preserve"> W przypadku niekwalifikowalności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SzOP FEnIKS.</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r w:rsidR="00FA03E2" w:rsidRPr="00095236">
        <w:rPr>
          <w:rFonts w:ascii="Open Sans" w:hAnsi="Open Sans" w:cs="Open Sans"/>
        </w:rPr>
        <w:t>FEnIKS</w:t>
      </w:r>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0"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0"/>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5"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5"/>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09" w:name="_Hlk126135864"/>
      <w:r w:rsidRPr="00095236">
        <w:rPr>
          <w:rFonts w:ascii="Open Sans" w:hAnsi="Open Sans" w:cs="Open Sans"/>
        </w:rPr>
        <w:t>Wykreślić jeżeli Projekt będzie realizowany bez udziału partnerów.</w:t>
      </w:r>
      <w:bookmarkEnd w:id="109"/>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FEnIKS</w:t>
      </w:r>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FEnIKS,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0" w:name="_Hlk133306492"/>
      <w:r w:rsidR="00AC6ED8" w:rsidRPr="00095236">
        <w:rPr>
          <w:rFonts w:ascii="Open Sans" w:hAnsi="Open Sans" w:cs="Open Sans"/>
        </w:rPr>
        <w:t xml:space="preserve">lub - w niektórych przypadkach – art. 14 </w:t>
      </w:r>
      <w:bookmarkEnd w:id="130"/>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80"/>
  </w:num>
  <w:num w:numId="3">
    <w:abstractNumId w:val="45"/>
  </w:num>
  <w:num w:numId="4">
    <w:abstractNumId w:val="91"/>
  </w:num>
  <w:num w:numId="5">
    <w:abstractNumId w:val="79"/>
  </w:num>
  <w:num w:numId="6">
    <w:abstractNumId w:val="71"/>
  </w:num>
  <w:num w:numId="7">
    <w:abstractNumId w:val="29"/>
  </w:num>
  <w:num w:numId="8">
    <w:abstractNumId w:val="20"/>
  </w:num>
  <w:num w:numId="9">
    <w:abstractNumId w:val="46"/>
  </w:num>
  <w:num w:numId="10">
    <w:abstractNumId w:val="94"/>
  </w:num>
  <w:num w:numId="11">
    <w:abstractNumId w:val="0"/>
  </w:num>
  <w:num w:numId="12">
    <w:abstractNumId w:val="5"/>
  </w:num>
  <w:num w:numId="13">
    <w:abstractNumId w:val="35"/>
  </w:num>
  <w:num w:numId="14">
    <w:abstractNumId w:val="34"/>
  </w:num>
  <w:num w:numId="15">
    <w:abstractNumId w:val="87"/>
  </w:num>
  <w:num w:numId="16">
    <w:abstractNumId w:val="64"/>
  </w:num>
  <w:num w:numId="17">
    <w:abstractNumId w:val="2"/>
  </w:num>
  <w:num w:numId="18">
    <w:abstractNumId w:val="47"/>
  </w:num>
  <w:num w:numId="19">
    <w:abstractNumId w:val="54"/>
  </w:num>
  <w:num w:numId="20">
    <w:abstractNumId w:val="33"/>
  </w:num>
  <w:num w:numId="21">
    <w:abstractNumId w:val="6"/>
  </w:num>
  <w:num w:numId="22">
    <w:abstractNumId w:val="25"/>
  </w:num>
  <w:num w:numId="23">
    <w:abstractNumId w:val="48"/>
  </w:num>
  <w:num w:numId="24">
    <w:abstractNumId w:val="50"/>
  </w:num>
  <w:num w:numId="25">
    <w:abstractNumId w:val="93"/>
  </w:num>
  <w:num w:numId="26">
    <w:abstractNumId w:val="85"/>
  </w:num>
  <w:num w:numId="27">
    <w:abstractNumId w:val="108"/>
  </w:num>
  <w:num w:numId="28">
    <w:abstractNumId w:val="97"/>
  </w:num>
  <w:num w:numId="29">
    <w:abstractNumId w:val="49"/>
  </w:num>
  <w:num w:numId="30">
    <w:abstractNumId w:val="39"/>
  </w:num>
  <w:num w:numId="31">
    <w:abstractNumId w:val="67"/>
  </w:num>
  <w:num w:numId="32">
    <w:abstractNumId w:val="102"/>
  </w:num>
  <w:num w:numId="33">
    <w:abstractNumId w:val="77"/>
  </w:num>
  <w:num w:numId="34">
    <w:abstractNumId w:val="109"/>
  </w:num>
  <w:num w:numId="35">
    <w:abstractNumId w:val="90"/>
  </w:num>
  <w:num w:numId="36">
    <w:abstractNumId w:val="27"/>
  </w:num>
  <w:num w:numId="37">
    <w:abstractNumId w:val="74"/>
  </w:num>
  <w:num w:numId="38">
    <w:abstractNumId w:val="104"/>
  </w:num>
  <w:num w:numId="39">
    <w:abstractNumId w:val="4"/>
  </w:num>
  <w:num w:numId="40">
    <w:abstractNumId w:val="103"/>
  </w:num>
  <w:num w:numId="41">
    <w:abstractNumId w:val="21"/>
  </w:num>
  <w:num w:numId="42">
    <w:abstractNumId w:val="55"/>
  </w:num>
  <w:num w:numId="43">
    <w:abstractNumId w:val="82"/>
  </w:num>
  <w:num w:numId="44">
    <w:abstractNumId w:val="83"/>
  </w:num>
  <w:num w:numId="45">
    <w:abstractNumId w:val="72"/>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num>
  <w:num w:numId="48">
    <w:abstractNumId w:val="92"/>
  </w:num>
  <w:num w:numId="49">
    <w:abstractNumId w:val="36"/>
  </w:num>
  <w:num w:numId="50">
    <w:abstractNumId w:val="53"/>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num>
  <w:num w:numId="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6"/>
  </w:num>
  <w:num w:numId="66">
    <w:abstractNumId w:val="51"/>
  </w:num>
  <w:num w:numId="67">
    <w:abstractNumId w:val="63"/>
  </w:num>
  <w:num w:numId="68">
    <w:abstractNumId w:val="101"/>
  </w:num>
  <w:num w:numId="69">
    <w:abstractNumId w:val="76"/>
  </w:num>
  <w:num w:numId="70">
    <w:abstractNumId w:val="17"/>
  </w:num>
  <w:num w:numId="71">
    <w:abstractNumId w:val="88"/>
  </w:num>
  <w:num w:numId="72">
    <w:abstractNumId w:val="69"/>
  </w:num>
  <w:num w:numId="73">
    <w:abstractNumId w:val="96"/>
  </w:num>
  <w:num w:numId="74">
    <w:abstractNumId w:val="100"/>
  </w:num>
  <w:num w:numId="75">
    <w:abstractNumId w:val="75"/>
  </w:num>
  <w:num w:numId="76">
    <w:abstractNumId w:val="58"/>
  </w:num>
  <w:num w:numId="77">
    <w:abstractNumId w:val="37"/>
  </w:num>
  <w:num w:numId="78">
    <w:abstractNumId w:val="31"/>
  </w:num>
  <w:num w:numId="79">
    <w:abstractNumId w:val="14"/>
  </w:num>
  <w:num w:numId="80">
    <w:abstractNumId w:val="24"/>
  </w:num>
  <w:num w:numId="81">
    <w:abstractNumId w:val="62"/>
  </w:num>
  <w:num w:numId="82">
    <w:abstractNumId w:val="98"/>
  </w:num>
  <w:num w:numId="83">
    <w:abstractNumId w:val="1"/>
  </w:num>
  <w:num w:numId="84">
    <w:abstractNumId w:val="8"/>
  </w:num>
  <w:num w:numId="85">
    <w:abstractNumId w:val="38"/>
  </w:num>
  <w:num w:numId="86">
    <w:abstractNumId w:val="68"/>
  </w:num>
  <w:num w:numId="87">
    <w:abstractNumId w:val="56"/>
  </w:num>
  <w:num w:numId="88">
    <w:abstractNumId w:val="57"/>
  </w:num>
  <w:num w:numId="89">
    <w:abstractNumId w:val="60"/>
  </w:num>
  <w:num w:numId="90">
    <w:abstractNumId w:val="32"/>
  </w:num>
  <w:num w:numId="91">
    <w:abstractNumId w:val="89"/>
  </w:num>
  <w:num w:numId="92">
    <w:abstractNumId w:val="43"/>
  </w:num>
  <w:num w:numId="93">
    <w:abstractNumId w:val="15"/>
  </w:num>
  <w:num w:numId="94">
    <w:abstractNumId w:val="13"/>
  </w:num>
  <w:num w:numId="95">
    <w:abstractNumId w:val="44"/>
  </w:num>
  <w:num w:numId="96">
    <w:abstractNumId w:val="16"/>
  </w:num>
  <w:num w:numId="97">
    <w:abstractNumId w:val="18"/>
  </w:num>
  <w:num w:numId="98">
    <w:abstractNumId w:val="110"/>
  </w:num>
  <w:num w:numId="99">
    <w:abstractNumId w:val="107"/>
  </w:num>
  <w:num w:numId="100">
    <w:abstractNumId w:val="65"/>
  </w:num>
  <w:num w:numId="101">
    <w:abstractNumId w:val="73"/>
  </w:num>
  <w:num w:numId="102">
    <w:abstractNumId w:val="41"/>
  </w:num>
  <w:num w:numId="103">
    <w:abstractNumId w:val="40"/>
  </w:num>
  <w:num w:numId="104">
    <w:abstractNumId w:val="42"/>
  </w:num>
  <w:num w:numId="105">
    <w:abstractNumId w:val="84"/>
  </w:num>
  <w:num w:numId="106">
    <w:abstractNumId w:val="23"/>
  </w:num>
  <w:num w:numId="107">
    <w:abstractNumId w:val="86"/>
  </w:num>
  <w:num w:numId="1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5"/>
  </w:num>
  <w:num w:numId="110">
    <w:abstractNumId w:val="12"/>
  </w:num>
  <w:num w:numId="111">
    <w:abstractNumId w:val="59"/>
  </w:num>
  <w:num w:numId="112">
    <w:abstractNumId w:val="78"/>
  </w:num>
  <w:num w:numId="1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6"/>
  </w:num>
  <w:num w:numId="116">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5"/>
  </w:num>
  <w:num w:numId="118">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9"/>
  </w:num>
  <w:num w:numId="120">
    <w:abstractNumId w:val="81"/>
  </w:num>
  <w:num w:numId="121">
    <w:abstractNumId w:val="22"/>
  </w:num>
  <w:num w:numId="122">
    <w:abstractNumId w:val="9"/>
  </w:num>
  <w:num w:numId="123">
    <w:abstractNumId w:val="78"/>
  </w:num>
  <w:num w:numId="124">
    <w:abstractNumId w:val="7"/>
  </w:num>
  <w:num w:numId="125">
    <w:abstractNumId w:val="105"/>
  </w:num>
  <w:num w:numId="126">
    <w:abstractNumId w:val="11"/>
  </w:num>
  <w:num w:numId="127">
    <w:abstractNumId w:val="30"/>
  </w:num>
  <w:num w:numId="128">
    <w:abstractNumId w:val="10"/>
  </w:num>
  <w:num w:numId="129">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27E"/>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UnresolvedMention">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2.xml><?xml version="1.0" encoding="utf-8"?>
<ds:datastoreItem xmlns:ds="http://schemas.openxmlformats.org/officeDocument/2006/customXml" ds:itemID="{AB0A79C6-AAE9-41FD-8A68-05FCF7111993}">
  <ds:schemaRefs>
    <ds:schemaRef ds:uri="http://purl.org/dc/term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5215c7fe-aca5-4dac-9dfe-e6640b90bd40"/>
    <ds:schemaRef ds:uri="a52f6753-9926-4fd2-ba81-95ff98473633"/>
  </ds:schemaRefs>
</ds:datastoreItem>
</file>

<file path=customXml/itemProps3.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34842F-07C9-487B-B42B-93D583DFB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19275</Words>
  <Characters>132406</Characters>
  <Application>Microsoft Office Word</Application>
  <DocSecurity>0</DocSecurity>
  <Lines>1103</Lines>
  <Paragraphs>302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Demkowicz-Dobrzańska Dorota</cp:lastModifiedBy>
  <cp:revision>2</cp:revision>
  <cp:lastPrinted>2023-06-13T08:47:00Z</cp:lastPrinted>
  <dcterms:created xsi:type="dcterms:W3CDTF">2023-08-17T11:31:00Z</dcterms:created>
  <dcterms:modified xsi:type="dcterms:W3CDTF">2023-08-17T11:31:00Z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