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945F" w14:textId="79F701ED" w:rsidR="00F93094" w:rsidRPr="00F93094" w:rsidRDefault="008E1B7F" w:rsidP="0057046E">
      <w:pPr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ar-SA"/>
        </w:rPr>
      </w:pPr>
      <w:r w:rsidRPr="00345310">
        <w:rPr>
          <w:rFonts w:asciiTheme="minorHAnsi" w:hAnsiTheme="minorHAnsi" w:cstheme="minorHAnsi"/>
          <w:b/>
          <w:szCs w:val="20"/>
        </w:rPr>
        <w:tab/>
      </w:r>
    </w:p>
    <w:p w14:paraId="3623A96E" w14:textId="5478E921" w:rsidR="008E1B7F" w:rsidRPr="00345310" w:rsidRDefault="00F93094" w:rsidP="00723490">
      <w:pPr>
        <w:pStyle w:val="Nagwek1"/>
        <w:tabs>
          <w:tab w:val="left" w:pos="2003"/>
          <w:tab w:val="center" w:pos="4536"/>
        </w:tabs>
        <w:jc w:val="center"/>
        <w:rPr>
          <w:rFonts w:asciiTheme="minorHAnsi" w:hAnsiTheme="minorHAnsi" w:cstheme="minorHAnsi"/>
          <w:b/>
          <w:color w:val="auto"/>
          <w:szCs w:val="20"/>
        </w:rPr>
      </w:pPr>
      <w:r w:rsidRPr="00345310">
        <w:rPr>
          <w:rFonts w:asciiTheme="minorHAnsi" w:hAnsiTheme="minorHAnsi" w:cstheme="minorHAnsi"/>
          <w:b/>
          <w:color w:val="auto"/>
          <w:szCs w:val="20"/>
        </w:rPr>
        <w:t>SZCZEGÓŁOWY OPIS PRZEDMIOTU ZAMÓWIENIA</w:t>
      </w:r>
      <w:r>
        <w:rPr>
          <w:rFonts w:asciiTheme="minorHAnsi" w:hAnsiTheme="minorHAnsi" w:cstheme="minorHAnsi"/>
          <w:b/>
          <w:color w:val="auto"/>
          <w:szCs w:val="20"/>
        </w:rPr>
        <w:t xml:space="preserve"> (SOPZ)</w:t>
      </w:r>
    </w:p>
    <w:p w14:paraId="666AA172" w14:textId="7D98FDA6" w:rsidR="006F379B" w:rsidRPr="00345310" w:rsidRDefault="008E1B7F" w:rsidP="00723490">
      <w:pPr>
        <w:pStyle w:val="Nagwek1"/>
        <w:tabs>
          <w:tab w:val="left" w:pos="2003"/>
          <w:tab w:val="center" w:pos="4536"/>
        </w:tabs>
        <w:jc w:val="center"/>
        <w:rPr>
          <w:rFonts w:asciiTheme="minorHAnsi" w:hAnsiTheme="minorHAnsi" w:cstheme="minorHAnsi"/>
          <w:b/>
          <w:color w:val="000000"/>
          <w:szCs w:val="20"/>
        </w:rPr>
      </w:pPr>
      <w:r w:rsidRPr="00345310">
        <w:rPr>
          <w:rFonts w:asciiTheme="minorHAnsi" w:hAnsiTheme="minorHAnsi" w:cstheme="minorHAnsi"/>
          <w:b/>
          <w:color w:val="auto"/>
          <w:szCs w:val="20"/>
        </w:rPr>
        <w:t>P</w:t>
      </w:r>
      <w:r w:rsidRPr="0034531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rzeprowadzenie badania oraz opracowanie</w:t>
      </w:r>
      <w:r w:rsidR="00602C3E" w:rsidRPr="0034531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 na tej podstawie raportu pn. „Analiza </w:t>
      </w:r>
      <w:r w:rsidR="00BD4EA2" w:rsidRPr="0034531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przewag konkurencyjnych, </w:t>
      </w:r>
      <w:r w:rsidR="00602C3E" w:rsidRPr="0034531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trendów rozwojowych </w:t>
      </w:r>
      <w:r w:rsidR="00BD4EA2" w:rsidRPr="0034531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oraz analiza łańcuchów wartości </w:t>
      </w:r>
      <w:r w:rsidR="00602C3E" w:rsidRPr="0034531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branży</w:t>
      </w:r>
      <w:r w:rsidR="00ED23FD" w:rsidRPr="0034531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 elektronicznej i </w:t>
      </w:r>
      <w:proofErr w:type="spellStart"/>
      <w:r w:rsidR="00602C3E" w:rsidRPr="0034531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fotonicznej</w:t>
      </w:r>
      <w:proofErr w:type="spellEnd"/>
      <w:r w:rsidR="00392EE2" w:rsidRPr="0034531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 w Polsce</w:t>
      </w:r>
      <w:r w:rsidR="00B7773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 – </w:t>
      </w:r>
      <w:proofErr w:type="spellStart"/>
      <w:r w:rsidR="00B7773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kalkluacja</w:t>
      </w:r>
      <w:proofErr w:type="spellEnd"/>
      <w:r w:rsidR="00B77730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 ceny</w:t>
      </w:r>
    </w:p>
    <w:p w14:paraId="0099DA46" w14:textId="48A50AB6" w:rsidR="00BF36D5" w:rsidRPr="00345310" w:rsidRDefault="00BF36D5" w:rsidP="0023327D">
      <w:pPr>
        <w:tabs>
          <w:tab w:val="left" w:pos="6600"/>
        </w:tabs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9574FF3" w14:textId="77777777" w:rsidR="00BF36D5" w:rsidRPr="00345310" w:rsidRDefault="00BF36D5" w:rsidP="006D2429">
      <w:pPr>
        <w:pStyle w:val="Akapitzlist"/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5310">
        <w:rPr>
          <w:rFonts w:asciiTheme="minorHAnsi" w:hAnsiTheme="minorHAnsi" w:cstheme="minorHAnsi"/>
          <w:b/>
          <w:sz w:val="20"/>
          <w:szCs w:val="20"/>
        </w:rPr>
        <w:t>Postanowienia ogólne</w:t>
      </w:r>
    </w:p>
    <w:p w14:paraId="056FA214" w14:textId="1CB005DF" w:rsidR="00B77730" w:rsidRPr="00B77730" w:rsidRDefault="00B77730" w:rsidP="00B77730">
      <w:pPr>
        <w:keepNext/>
        <w:numPr>
          <w:ilvl w:val="0"/>
          <w:numId w:val="6"/>
        </w:numPr>
        <w:spacing w:after="1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7046E">
        <w:rPr>
          <w:rFonts w:asciiTheme="minorHAnsi" w:eastAsia="Arial" w:hAnsiTheme="minorHAnsi" w:cstheme="minorHAnsi"/>
          <w:sz w:val="20"/>
          <w:szCs w:val="20"/>
        </w:rPr>
        <w:t xml:space="preserve">Ministerstwo Rozwoju, Pracy  i Technologii, Departament Innowacji i Polityki Przemysłowej, z siedzibą </w:t>
      </w:r>
      <w:r w:rsidRPr="0057046E">
        <w:rPr>
          <w:rFonts w:asciiTheme="minorHAnsi" w:eastAsia="Arial" w:hAnsiTheme="minorHAnsi" w:cstheme="minorHAnsi"/>
          <w:sz w:val="20"/>
          <w:szCs w:val="20"/>
        </w:rPr>
        <w:br/>
        <w:t xml:space="preserve">przy Pl. Trzech Krzyży 3/5, 00-507 Warszawa, zaprasza do składania ofert w zakresie </w:t>
      </w:r>
      <w:r w:rsidR="000E3F05">
        <w:rPr>
          <w:rFonts w:asciiTheme="minorHAnsi" w:eastAsia="Arial" w:hAnsiTheme="minorHAnsi" w:cstheme="minorHAnsi"/>
          <w:sz w:val="20"/>
          <w:szCs w:val="20"/>
        </w:rPr>
        <w:t>kalkulacji ceny na</w:t>
      </w:r>
      <w:r w:rsidRPr="0057046E">
        <w:rPr>
          <w:rFonts w:asciiTheme="minorHAnsi" w:eastAsia="Arial" w:hAnsiTheme="minorHAnsi" w:cstheme="minorHAnsi"/>
          <w:sz w:val="20"/>
          <w:szCs w:val="20"/>
        </w:rPr>
        <w:t xml:space="preserve"> usług</w:t>
      </w:r>
      <w:r w:rsidR="000E3F05">
        <w:rPr>
          <w:rFonts w:asciiTheme="minorHAnsi" w:eastAsia="Arial" w:hAnsiTheme="minorHAnsi" w:cstheme="minorHAnsi"/>
          <w:sz w:val="20"/>
          <w:szCs w:val="20"/>
        </w:rPr>
        <w:t>ę</w:t>
      </w:r>
      <w:r w:rsidRPr="0057046E">
        <w:rPr>
          <w:rFonts w:asciiTheme="minorHAnsi" w:eastAsia="Arial" w:hAnsiTheme="minorHAnsi" w:cstheme="minorHAnsi"/>
          <w:sz w:val="20"/>
          <w:szCs w:val="20"/>
        </w:rPr>
        <w:t xml:space="preserve"> polegając</w:t>
      </w:r>
      <w:r w:rsidR="000E3F05">
        <w:rPr>
          <w:rFonts w:asciiTheme="minorHAnsi" w:eastAsia="Arial" w:hAnsiTheme="minorHAnsi" w:cstheme="minorHAnsi"/>
          <w:sz w:val="20"/>
          <w:szCs w:val="20"/>
        </w:rPr>
        <w:t>ą</w:t>
      </w:r>
      <w:r w:rsidRPr="0057046E">
        <w:rPr>
          <w:rFonts w:asciiTheme="minorHAnsi" w:eastAsia="Arial" w:hAnsiTheme="minorHAnsi" w:cstheme="minorHAnsi"/>
          <w:sz w:val="20"/>
          <w:szCs w:val="20"/>
        </w:rPr>
        <w:t xml:space="preserve"> na przeprowadzeniu badania oraz opracowani</w:t>
      </w:r>
      <w:r w:rsidR="000E3F05">
        <w:rPr>
          <w:rFonts w:asciiTheme="minorHAnsi" w:eastAsia="Arial" w:hAnsiTheme="minorHAnsi" w:cstheme="minorHAnsi"/>
          <w:sz w:val="20"/>
          <w:szCs w:val="20"/>
        </w:rPr>
        <w:t>u</w:t>
      </w:r>
      <w:r w:rsidRPr="0057046E">
        <w:rPr>
          <w:rFonts w:asciiTheme="minorHAnsi" w:eastAsia="Arial" w:hAnsiTheme="minorHAnsi" w:cstheme="minorHAnsi"/>
          <w:sz w:val="20"/>
          <w:szCs w:val="20"/>
        </w:rPr>
        <w:t xml:space="preserve"> na tej podstawie raportu pn. </w:t>
      </w:r>
      <w:r w:rsidRPr="0057046E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„Analiza przewag konkurencyjnych, trendów rozwojowych oraz analiza łańcuchów wartości branży elektronicznej i </w:t>
      </w:r>
      <w:proofErr w:type="spellStart"/>
      <w:r w:rsidRPr="0057046E">
        <w:rPr>
          <w:rFonts w:asciiTheme="minorHAnsi" w:eastAsia="Arial" w:hAnsiTheme="minorHAnsi" w:cstheme="minorHAnsi"/>
          <w:b/>
          <w:bCs/>
          <w:sz w:val="20"/>
          <w:szCs w:val="20"/>
        </w:rPr>
        <w:t>fotonicznej</w:t>
      </w:r>
      <w:proofErr w:type="spellEnd"/>
      <w:r w:rsidRPr="0057046E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w Polsce”.</w:t>
      </w:r>
    </w:p>
    <w:p w14:paraId="5A68B46D" w14:textId="4C46B65C" w:rsidR="005510D0" w:rsidRPr="000E3F05" w:rsidRDefault="00F8570A" w:rsidP="000E3F05">
      <w:pPr>
        <w:keepNext/>
        <w:numPr>
          <w:ilvl w:val="0"/>
          <w:numId w:val="6"/>
        </w:numPr>
        <w:spacing w:after="1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45310">
        <w:rPr>
          <w:rFonts w:asciiTheme="minorHAnsi" w:eastAsia="Arial" w:hAnsiTheme="minorHAnsi" w:cstheme="minorHAnsi"/>
          <w:sz w:val="20"/>
          <w:szCs w:val="20"/>
        </w:rPr>
        <w:t xml:space="preserve">Projekt jest współfinansowany ze środków Europejskiego Funduszu Rozwoju Regionalnego w ramach Programu Operacyjnego Inteligentny Rozwój, oś priorytetowa II pt.: „Monitoring Krajowej Inteligentnej Specjalizacji”. W związku z powyższym, Wykonawca będzie zobowiązany do właściwego oznakowania przedmiotowego opracowania </w:t>
      </w:r>
      <w:r w:rsidR="00F83CAA" w:rsidRPr="00345310">
        <w:rPr>
          <w:rFonts w:asciiTheme="minorHAnsi" w:hAnsiTheme="minorHAnsi" w:cstheme="minorHAnsi"/>
          <w:sz w:val="20"/>
          <w:szCs w:val="20"/>
        </w:rPr>
        <w:t>zgodnie z wytycznymi znajdującymi się</w:t>
      </w:r>
      <w:r w:rsidR="004F40CE" w:rsidRPr="00345310">
        <w:rPr>
          <w:rFonts w:asciiTheme="minorHAnsi" w:hAnsiTheme="minorHAnsi" w:cstheme="minorHAnsi"/>
          <w:sz w:val="20"/>
          <w:szCs w:val="20"/>
        </w:rPr>
        <w:t xml:space="preserve"> na portalu Funduszy Europejskich pod</w:t>
      </w:r>
      <w:r w:rsidR="00F83CAA" w:rsidRPr="00345310">
        <w:rPr>
          <w:rFonts w:asciiTheme="minorHAnsi" w:hAnsiTheme="minorHAnsi" w:cstheme="minorHAnsi"/>
          <w:sz w:val="20"/>
          <w:szCs w:val="20"/>
        </w:rPr>
        <w:t xml:space="preserve"> adresem internetowym: </w:t>
      </w:r>
      <w:hyperlink r:id="rId8" w:history="1">
        <w:r w:rsidR="005510D0" w:rsidRPr="00345310">
          <w:rPr>
            <w:rStyle w:val="Hipercze"/>
            <w:rFonts w:asciiTheme="minorHAnsi" w:hAnsiTheme="minorHAnsi" w:cstheme="minorHAnsi"/>
            <w:sz w:val="20"/>
            <w:szCs w:val="20"/>
          </w:rPr>
          <w:t>https://www.funduszeeuropejskie.gov.pl</w:t>
        </w:r>
      </w:hyperlink>
    </w:p>
    <w:p w14:paraId="5FE74CAA" w14:textId="54B7E337" w:rsidR="00B77730" w:rsidRPr="000E3F05" w:rsidRDefault="00B77730" w:rsidP="000E3F05">
      <w:pPr>
        <w:keepNext/>
        <w:numPr>
          <w:ilvl w:val="0"/>
          <w:numId w:val="6"/>
        </w:numPr>
        <w:spacing w:after="1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7046E">
        <w:rPr>
          <w:rFonts w:asciiTheme="minorHAnsi" w:eastAsia="Arial" w:hAnsiTheme="minorHAnsi" w:cstheme="minorHAnsi"/>
          <w:sz w:val="20"/>
          <w:szCs w:val="20"/>
        </w:rPr>
        <w:t>Osob</w:t>
      </w:r>
      <w:r>
        <w:rPr>
          <w:rFonts w:asciiTheme="minorHAnsi" w:eastAsia="Arial" w:hAnsiTheme="minorHAnsi" w:cstheme="minorHAnsi"/>
          <w:sz w:val="20"/>
          <w:szCs w:val="20"/>
        </w:rPr>
        <w:t xml:space="preserve">ą </w:t>
      </w:r>
      <w:r w:rsidRPr="0057046E">
        <w:rPr>
          <w:rFonts w:asciiTheme="minorHAnsi" w:eastAsia="Arial" w:hAnsiTheme="minorHAnsi" w:cstheme="minorHAnsi"/>
          <w:sz w:val="20"/>
          <w:szCs w:val="20"/>
        </w:rPr>
        <w:t>uprawnion</w:t>
      </w:r>
      <w:r>
        <w:rPr>
          <w:rFonts w:asciiTheme="minorHAnsi" w:eastAsia="Arial" w:hAnsiTheme="minorHAnsi" w:cstheme="minorHAnsi"/>
          <w:sz w:val="20"/>
          <w:szCs w:val="20"/>
        </w:rPr>
        <w:t>ą</w:t>
      </w:r>
      <w:r w:rsidRPr="0057046E">
        <w:rPr>
          <w:rFonts w:asciiTheme="minorHAnsi" w:eastAsia="Arial" w:hAnsiTheme="minorHAnsi" w:cstheme="minorHAnsi"/>
          <w:sz w:val="20"/>
          <w:szCs w:val="20"/>
        </w:rPr>
        <w:t xml:space="preserve"> do kontaktów roboczych w ramach niniejszego zamówienia ze strony zamawiającego </w:t>
      </w:r>
      <w:r>
        <w:rPr>
          <w:rFonts w:asciiTheme="minorHAnsi" w:eastAsia="Arial" w:hAnsiTheme="minorHAnsi" w:cstheme="minorHAnsi"/>
          <w:sz w:val="20"/>
          <w:szCs w:val="20"/>
        </w:rPr>
        <w:t>jest</w:t>
      </w:r>
      <w:r w:rsidRPr="0057046E">
        <w:rPr>
          <w:rFonts w:asciiTheme="minorHAnsi" w:eastAsia="Arial" w:hAnsiTheme="minorHAnsi" w:cstheme="minorHAnsi"/>
          <w:sz w:val="20"/>
          <w:szCs w:val="20"/>
        </w:rPr>
        <w:t>:</w:t>
      </w:r>
      <w:r w:rsidR="000E3F05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0E3F05">
        <w:rPr>
          <w:rFonts w:asciiTheme="minorHAnsi" w:eastAsia="Arial" w:hAnsiTheme="minorHAnsi" w:cstheme="minorHAnsi"/>
          <w:sz w:val="20"/>
          <w:szCs w:val="20"/>
        </w:rPr>
        <w:t>Andrzej Jarzewski - andrzej.jarzewski@mrit.gov.pl</w:t>
      </w:r>
    </w:p>
    <w:p w14:paraId="4E2F6CF7" w14:textId="12E738CC" w:rsidR="00D02B75" w:rsidRPr="00345310" w:rsidRDefault="00572668" w:rsidP="006D2429">
      <w:pPr>
        <w:pStyle w:val="Akapitzlist"/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5310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14:paraId="0C741B09" w14:textId="60C1B822" w:rsidR="00F8570A" w:rsidRPr="00345310" w:rsidRDefault="004563D9" w:rsidP="000E3F05">
      <w:pPr>
        <w:keepNext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eastAsia="Arial" w:hAnsiTheme="minorHAnsi" w:cstheme="minorHAnsi"/>
          <w:sz w:val="20"/>
          <w:szCs w:val="20"/>
        </w:rPr>
        <w:t xml:space="preserve">Przedmiotem zamówienia jest </w:t>
      </w:r>
      <w:r w:rsidR="00E83442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wykonanie </w:t>
      </w:r>
      <w:r w:rsidR="0036599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dzieła</w:t>
      </w:r>
      <w:r w:rsidR="00E83442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polegające</w:t>
      </w:r>
      <w:r w:rsidR="0036599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go </w:t>
      </w:r>
      <w:r w:rsidR="00E83442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na </w:t>
      </w:r>
      <w:r w:rsidR="00E83442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przeprowadzeniu badania oraz opracowaniu na tej podstawie raportu pn. „Analiza p</w:t>
      </w:r>
      <w:r w:rsidR="00BD4EA2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rzewag konkurencyjnych, </w:t>
      </w:r>
      <w:r w:rsidR="00E83442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 trendów rozwojowych</w:t>
      </w:r>
      <w:r w:rsidR="00BD4EA2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 oraz analiza łańcuchów wartości</w:t>
      </w:r>
      <w:r w:rsidR="00ED23FD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="00E83442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branży </w:t>
      </w:r>
      <w:r w:rsidR="00ED23FD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elektronicznej i </w:t>
      </w:r>
      <w:proofErr w:type="spellStart"/>
      <w:r w:rsidR="00E83442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fotonicznej</w:t>
      </w:r>
      <w:proofErr w:type="spellEnd"/>
      <w:r w:rsidR="00E83442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 w Polsce”.</w:t>
      </w:r>
    </w:p>
    <w:p w14:paraId="5D3DD53A" w14:textId="6F054226" w:rsidR="00572668" w:rsidRPr="00345310" w:rsidRDefault="00ED23FD" w:rsidP="000E3F0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45310">
        <w:rPr>
          <w:rFonts w:asciiTheme="minorHAnsi" w:eastAsia="Arial" w:hAnsiTheme="minorHAnsi" w:cstheme="minorHAnsi"/>
          <w:sz w:val="20"/>
          <w:szCs w:val="20"/>
        </w:rPr>
        <w:t>Elektronikę i f</w:t>
      </w:r>
      <w:r w:rsidR="00E260D3" w:rsidRPr="00345310">
        <w:rPr>
          <w:rFonts w:asciiTheme="minorHAnsi" w:eastAsia="Arial" w:hAnsiTheme="minorHAnsi" w:cstheme="minorHAnsi"/>
          <w:sz w:val="20"/>
          <w:szCs w:val="20"/>
        </w:rPr>
        <w:t xml:space="preserve">otonikę, jak większość branż wysokich technologii, cechuje wysoki stopień globalizacji oraz szybko zachodząca dyfuzja innowacji. </w:t>
      </w:r>
      <w:r w:rsidR="004B0979" w:rsidRPr="00345310">
        <w:rPr>
          <w:rFonts w:asciiTheme="minorHAnsi" w:eastAsia="Arial" w:hAnsiTheme="minorHAnsi" w:cstheme="minorHAnsi"/>
          <w:sz w:val="20"/>
          <w:szCs w:val="20"/>
        </w:rPr>
        <w:t xml:space="preserve">Mikroelektronika będąca fundamentem rozwoju elektroniki oraz fotonika </w:t>
      </w:r>
      <w:r w:rsidRPr="00345310">
        <w:rPr>
          <w:rFonts w:asciiTheme="minorHAnsi" w:eastAsia="Arial" w:hAnsiTheme="minorHAnsi" w:cstheme="minorHAnsi"/>
          <w:sz w:val="20"/>
          <w:szCs w:val="20"/>
        </w:rPr>
        <w:t>są</w:t>
      </w:r>
      <w:r w:rsidR="00305132" w:rsidRPr="00345310">
        <w:rPr>
          <w:rFonts w:asciiTheme="minorHAnsi" w:eastAsia="Arial" w:hAnsiTheme="minorHAnsi" w:cstheme="minorHAnsi"/>
          <w:sz w:val="20"/>
          <w:szCs w:val="20"/>
        </w:rPr>
        <w:t xml:space="preserve"> zidentyfikowane</w:t>
      </w:r>
      <w:r w:rsidR="00572668" w:rsidRPr="00345310">
        <w:rPr>
          <w:rFonts w:asciiTheme="minorHAnsi" w:eastAsia="Arial" w:hAnsiTheme="minorHAnsi" w:cstheme="minorHAnsi"/>
          <w:sz w:val="20"/>
          <w:szCs w:val="20"/>
        </w:rPr>
        <w:t xml:space="preserve"> przez czołowe gospodarki jako kluczow</w:t>
      </w:r>
      <w:r w:rsidRPr="00345310">
        <w:rPr>
          <w:rFonts w:asciiTheme="minorHAnsi" w:eastAsia="Arial" w:hAnsiTheme="minorHAnsi" w:cstheme="minorHAnsi"/>
          <w:sz w:val="20"/>
          <w:szCs w:val="20"/>
        </w:rPr>
        <w:t>e</w:t>
      </w:r>
      <w:r w:rsidR="00572668" w:rsidRPr="00345310">
        <w:rPr>
          <w:rFonts w:asciiTheme="minorHAnsi" w:eastAsia="Arial" w:hAnsiTheme="minorHAnsi" w:cstheme="minorHAnsi"/>
          <w:sz w:val="20"/>
          <w:szCs w:val="20"/>
        </w:rPr>
        <w:t xml:space="preserve"> technologi</w:t>
      </w:r>
      <w:r w:rsidRPr="00345310">
        <w:rPr>
          <w:rFonts w:asciiTheme="minorHAnsi" w:eastAsia="Arial" w:hAnsiTheme="minorHAnsi" w:cstheme="minorHAnsi"/>
          <w:sz w:val="20"/>
          <w:szCs w:val="20"/>
        </w:rPr>
        <w:t>e</w:t>
      </w:r>
      <w:r w:rsidR="00572668" w:rsidRPr="0034531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345310">
        <w:rPr>
          <w:rFonts w:asciiTheme="minorHAnsi" w:eastAsia="Arial" w:hAnsiTheme="minorHAnsi" w:cstheme="minorHAnsi"/>
          <w:sz w:val="20"/>
          <w:szCs w:val="20"/>
        </w:rPr>
        <w:t xml:space="preserve">umożliwiające rozwój innych branż </w:t>
      </w:r>
      <w:r w:rsidR="00572668" w:rsidRPr="00345310">
        <w:rPr>
          <w:rFonts w:asciiTheme="minorHAnsi" w:eastAsia="Arial" w:hAnsiTheme="minorHAnsi" w:cstheme="minorHAnsi"/>
          <w:sz w:val="20"/>
          <w:szCs w:val="20"/>
        </w:rPr>
        <w:t>(</w:t>
      </w:r>
      <w:r w:rsidRPr="0057046E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KET - </w:t>
      </w:r>
      <w:proofErr w:type="spellStart"/>
      <w:r w:rsidR="00572668" w:rsidRPr="0057046E">
        <w:rPr>
          <w:rFonts w:asciiTheme="minorHAnsi" w:eastAsia="Arial" w:hAnsiTheme="minorHAnsi" w:cstheme="minorHAnsi"/>
          <w:i/>
          <w:iCs/>
          <w:sz w:val="20"/>
          <w:szCs w:val="20"/>
        </w:rPr>
        <w:t>Key</w:t>
      </w:r>
      <w:proofErr w:type="spellEnd"/>
      <w:r w:rsidR="00572668" w:rsidRPr="0057046E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572668" w:rsidRPr="0057046E">
        <w:rPr>
          <w:rFonts w:asciiTheme="minorHAnsi" w:eastAsia="Arial" w:hAnsiTheme="minorHAnsi" w:cstheme="minorHAnsi"/>
          <w:i/>
          <w:iCs/>
          <w:sz w:val="20"/>
          <w:szCs w:val="20"/>
        </w:rPr>
        <w:t>Enabling</w:t>
      </w:r>
      <w:proofErr w:type="spellEnd"/>
      <w:r w:rsidR="00572668" w:rsidRPr="0057046E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Technolog</w:t>
      </w:r>
      <w:r w:rsidRPr="0057046E">
        <w:rPr>
          <w:rFonts w:asciiTheme="minorHAnsi" w:eastAsia="Arial" w:hAnsiTheme="minorHAnsi" w:cstheme="minorHAnsi"/>
          <w:i/>
          <w:iCs/>
          <w:sz w:val="20"/>
          <w:szCs w:val="20"/>
        </w:rPr>
        <w:t>ies</w:t>
      </w:r>
      <w:r w:rsidR="00572668" w:rsidRPr="00345310">
        <w:rPr>
          <w:rFonts w:asciiTheme="minorHAnsi" w:eastAsia="Arial" w:hAnsiTheme="minorHAnsi" w:cstheme="minorHAnsi"/>
          <w:sz w:val="20"/>
          <w:szCs w:val="20"/>
        </w:rPr>
        <w:t>)</w:t>
      </w:r>
      <w:r w:rsidR="003A343C" w:rsidRPr="00345310">
        <w:rPr>
          <w:rFonts w:asciiTheme="minorHAnsi" w:eastAsia="Arial" w:hAnsiTheme="minorHAnsi" w:cstheme="minorHAnsi"/>
          <w:sz w:val="20"/>
          <w:szCs w:val="20"/>
        </w:rPr>
        <w:t xml:space="preserve">, </w:t>
      </w:r>
      <w:r w:rsidR="00DF5061" w:rsidRPr="00345310">
        <w:rPr>
          <w:rFonts w:asciiTheme="minorHAnsi" w:eastAsia="Arial" w:hAnsiTheme="minorHAnsi" w:cstheme="minorHAnsi"/>
          <w:sz w:val="20"/>
          <w:szCs w:val="20"/>
        </w:rPr>
        <w:t xml:space="preserve">a w szczególności – jako technologie </w:t>
      </w:r>
      <w:r w:rsidR="005C519D" w:rsidRPr="00345310">
        <w:rPr>
          <w:rFonts w:asciiTheme="minorHAnsi" w:eastAsia="Arial" w:hAnsiTheme="minorHAnsi" w:cstheme="minorHAnsi"/>
          <w:sz w:val="20"/>
          <w:szCs w:val="20"/>
        </w:rPr>
        <w:t xml:space="preserve">kluczowe </w:t>
      </w:r>
      <w:r w:rsidR="00DF5061" w:rsidRPr="00345310">
        <w:rPr>
          <w:rFonts w:asciiTheme="minorHAnsi" w:eastAsia="Arial" w:hAnsiTheme="minorHAnsi" w:cstheme="minorHAnsi"/>
          <w:sz w:val="20"/>
          <w:szCs w:val="20"/>
        </w:rPr>
        <w:t>dla cyfryzacji (</w:t>
      </w:r>
      <w:r w:rsidR="00DF5061" w:rsidRPr="0057046E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KDT – </w:t>
      </w:r>
      <w:proofErr w:type="spellStart"/>
      <w:r w:rsidR="00DF5061" w:rsidRPr="0057046E">
        <w:rPr>
          <w:rFonts w:asciiTheme="minorHAnsi" w:eastAsia="Arial" w:hAnsiTheme="minorHAnsi" w:cstheme="minorHAnsi"/>
          <w:i/>
          <w:iCs/>
          <w:sz w:val="20"/>
          <w:szCs w:val="20"/>
        </w:rPr>
        <w:t>Key</w:t>
      </w:r>
      <w:proofErr w:type="spellEnd"/>
      <w:r w:rsidR="00DF5061" w:rsidRPr="0057046E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Digital Technologies</w:t>
      </w:r>
      <w:r w:rsidR="00DF5061" w:rsidRPr="00345310">
        <w:rPr>
          <w:rFonts w:asciiTheme="minorHAnsi" w:eastAsia="Arial" w:hAnsiTheme="minorHAnsi" w:cstheme="minorHAnsi"/>
          <w:sz w:val="20"/>
          <w:szCs w:val="20"/>
        </w:rPr>
        <w:t>)</w:t>
      </w:r>
      <w:r w:rsidR="00572668" w:rsidRPr="00345310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="004743E7" w:rsidRPr="00345310">
        <w:rPr>
          <w:rFonts w:asciiTheme="minorHAnsi" w:eastAsia="Arial" w:hAnsiTheme="minorHAnsi" w:cstheme="minorHAnsi"/>
          <w:sz w:val="20"/>
          <w:szCs w:val="20"/>
        </w:rPr>
        <w:t xml:space="preserve">Z punktu widzenia udziału </w:t>
      </w:r>
      <w:r w:rsidR="004B0979" w:rsidRPr="00345310">
        <w:rPr>
          <w:rFonts w:asciiTheme="minorHAnsi" w:eastAsia="Arial" w:hAnsiTheme="minorHAnsi" w:cstheme="minorHAnsi"/>
          <w:sz w:val="20"/>
          <w:szCs w:val="20"/>
        </w:rPr>
        <w:t xml:space="preserve">Polski </w:t>
      </w:r>
      <w:r w:rsidR="004743E7" w:rsidRPr="00345310">
        <w:rPr>
          <w:rFonts w:asciiTheme="minorHAnsi" w:eastAsia="Arial" w:hAnsiTheme="minorHAnsi" w:cstheme="minorHAnsi"/>
          <w:sz w:val="20"/>
          <w:szCs w:val="20"/>
        </w:rPr>
        <w:t xml:space="preserve">w globalnym rynku </w:t>
      </w:r>
      <w:r w:rsidR="004B0979" w:rsidRPr="00345310">
        <w:rPr>
          <w:rFonts w:asciiTheme="minorHAnsi" w:eastAsia="Arial" w:hAnsiTheme="minorHAnsi" w:cstheme="minorHAnsi"/>
          <w:sz w:val="20"/>
          <w:szCs w:val="20"/>
        </w:rPr>
        <w:t xml:space="preserve">oraz generalnie, sytuacji rynkowej, w branżach </w:t>
      </w:r>
      <w:r w:rsidR="00B77730">
        <w:rPr>
          <w:rFonts w:asciiTheme="minorHAnsi" w:eastAsia="Arial" w:hAnsiTheme="minorHAnsi" w:cstheme="minorHAnsi"/>
          <w:sz w:val="20"/>
          <w:szCs w:val="20"/>
        </w:rPr>
        <w:t>e</w:t>
      </w:r>
      <w:r w:rsidR="004B0979" w:rsidRPr="00345310">
        <w:rPr>
          <w:rFonts w:asciiTheme="minorHAnsi" w:eastAsia="Arial" w:hAnsiTheme="minorHAnsi" w:cstheme="minorHAnsi"/>
          <w:sz w:val="20"/>
          <w:szCs w:val="20"/>
        </w:rPr>
        <w:t xml:space="preserve">lektroniki i </w:t>
      </w:r>
      <w:r w:rsidR="00B77730">
        <w:rPr>
          <w:rFonts w:asciiTheme="minorHAnsi" w:eastAsia="Arial" w:hAnsiTheme="minorHAnsi" w:cstheme="minorHAnsi"/>
          <w:sz w:val="20"/>
          <w:szCs w:val="20"/>
        </w:rPr>
        <w:t>f</w:t>
      </w:r>
      <w:r w:rsidR="004B0979" w:rsidRPr="00345310">
        <w:rPr>
          <w:rFonts w:asciiTheme="minorHAnsi" w:eastAsia="Arial" w:hAnsiTheme="minorHAnsi" w:cstheme="minorHAnsi"/>
          <w:sz w:val="20"/>
          <w:szCs w:val="20"/>
        </w:rPr>
        <w:t>otoniki należy wyróżnić trzy sektory</w:t>
      </w:r>
      <w:r w:rsidR="002C69EE" w:rsidRPr="00345310">
        <w:rPr>
          <w:rFonts w:asciiTheme="minorHAnsi" w:eastAsia="Arial" w:hAnsiTheme="minorHAnsi" w:cstheme="minorHAnsi"/>
          <w:sz w:val="20"/>
          <w:szCs w:val="20"/>
        </w:rPr>
        <w:t xml:space="preserve"> w sposób istotny różniące się stopniem zaawansowania oraz pozycją rynkową. W obszarze </w:t>
      </w:r>
      <w:r w:rsidR="005C519D" w:rsidRPr="00345310">
        <w:rPr>
          <w:rFonts w:asciiTheme="minorHAnsi" w:eastAsia="Arial" w:hAnsiTheme="minorHAnsi" w:cstheme="minorHAnsi"/>
          <w:sz w:val="20"/>
          <w:szCs w:val="20"/>
        </w:rPr>
        <w:t>e</w:t>
      </w:r>
      <w:r w:rsidR="009752A3" w:rsidRPr="00345310">
        <w:rPr>
          <w:rFonts w:asciiTheme="minorHAnsi" w:eastAsia="Arial" w:hAnsiTheme="minorHAnsi" w:cstheme="minorHAnsi"/>
          <w:sz w:val="20"/>
          <w:szCs w:val="20"/>
        </w:rPr>
        <w:t>lektroniki istnieje szereg podmiotów należących do światowych koncernów, wbudowanych w globalne łańcuchy dostaw, rządzących się własną</w:t>
      </w:r>
      <w:r w:rsidR="005C519D" w:rsidRPr="00345310">
        <w:rPr>
          <w:rFonts w:asciiTheme="minorHAnsi" w:eastAsia="Arial" w:hAnsiTheme="minorHAnsi" w:cstheme="minorHAnsi"/>
          <w:sz w:val="20"/>
          <w:szCs w:val="20"/>
        </w:rPr>
        <w:t>, korporacyjną</w:t>
      </w:r>
      <w:r w:rsidR="009752A3" w:rsidRPr="00345310">
        <w:rPr>
          <w:rFonts w:asciiTheme="minorHAnsi" w:eastAsia="Arial" w:hAnsiTheme="minorHAnsi" w:cstheme="minorHAnsi"/>
          <w:sz w:val="20"/>
          <w:szCs w:val="20"/>
        </w:rPr>
        <w:t xml:space="preserve"> strategią rozwojową. Z drugiej strony, zaró</w:t>
      </w:r>
      <w:r w:rsidR="005C519D" w:rsidRPr="00345310">
        <w:rPr>
          <w:rFonts w:asciiTheme="minorHAnsi" w:eastAsia="Arial" w:hAnsiTheme="minorHAnsi" w:cstheme="minorHAnsi"/>
          <w:sz w:val="20"/>
          <w:szCs w:val="20"/>
        </w:rPr>
        <w:t>wno w obszarze elektroniki i fotoniki, istnieją</w:t>
      </w:r>
      <w:r w:rsidR="004743E7" w:rsidRPr="00345310">
        <w:rPr>
          <w:rFonts w:asciiTheme="minorHAnsi" w:eastAsia="Arial" w:hAnsiTheme="minorHAnsi" w:cstheme="minorHAnsi"/>
          <w:sz w:val="20"/>
          <w:szCs w:val="20"/>
        </w:rPr>
        <w:t xml:space="preserve"> mał</w:t>
      </w:r>
      <w:r w:rsidR="005C519D" w:rsidRPr="00345310">
        <w:rPr>
          <w:rFonts w:asciiTheme="minorHAnsi" w:eastAsia="Arial" w:hAnsiTheme="minorHAnsi" w:cstheme="minorHAnsi"/>
          <w:sz w:val="20"/>
          <w:szCs w:val="20"/>
        </w:rPr>
        <w:t>e</w:t>
      </w:r>
      <w:r w:rsidR="004743E7" w:rsidRPr="00345310">
        <w:rPr>
          <w:rFonts w:asciiTheme="minorHAnsi" w:eastAsia="Arial" w:hAnsiTheme="minorHAnsi" w:cstheme="minorHAnsi"/>
          <w:sz w:val="20"/>
          <w:szCs w:val="20"/>
        </w:rPr>
        <w:t xml:space="preserve"> przedsiębiorstw</w:t>
      </w:r>
      <w:r w:rsidR="005C519D" w:rsidRPr="00345310">
        <w:rPr>
          <w:rFonts w:asciiTheme="minorHAnsi" w:eastAsia="Arial" w:hAnsiTheme="minorHAnsi" w:cstheme="minorHAnsi"/>
          <w:sz w:val="20"/>
          <w:szCs w:val="20"/>
        </w:rPr>
        <w:t>a</w:t>
      </w:r>
      <w:r w:rsidR="004743E7" w:rsidRPr="00345310">
        <w:rPr>
          <w:rFonts w:asciiTheme="minorHAnsi" w:eastAsia="Arial" w:hAnsiTheme="minorHAnsi" w:cstheme="minorHAnsi"/>
          <w:sz w:val="20"/>
          <w:szCs w:val="20"/>
        </w:rPr>
        <w:t xml:space="preserve">, które znalazły swoje nisze i </w:t>
      </w:r>
      <w:r w:rsidR="00572668" w:rsidRPr="00345310">
        <w:rPr>
          <w:rFonts w:asciiTheme="minorHAnsi" w:eastAsia="Arial" w:hAnsiTheme="minorHAnsi" w:cstheme="minorHAnsi"/>
          <w:sz w:val="20"/>
          <w:szCs w:val="20"/>
        </w:rPr>
        <w:t>odnajdują się w gospodarce globalnej</w:t>
      </w:r>
      <w:r w:rsidR="007543B8" w:rsidRPr="00345310">
        <w:rPr>
          <w:rFonts w:asciiTheme="minorHAnsi" w:eastAsia="Arial" w:hAnsiTheme="minorHAnsi" w:cstheme="minorHAnsi"/>
          <w:sz w:val="20"/>
          <w:szCs w:val="20"/>
        </w:rPr>
        <w:t>,</w:t>
      </w:r>
      <w:r w:rsidR="004743E7" w:rsidRPr="00345310">
        <w:rPr>
          <w:rFonts w:asciiTheme="minorHAnsi" w:eastAsia="Arial" w:hAnsiTheme="minorHAnsi" w:cstheme="minorHAnsi"/>
          <w:sz w:val="20"/>
          <w:szCs w:val="20"/>
        </w:rPr>
        <w:t xml:space="preserve"> jednocześnie</w:t>
      </w:r>
      <w:r w:rsidR="00572668" w:rsidRPr="0034531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4743E7" w:rsidRPr="00345310">
        <w:rPr>
          <w:rFonts w:asciiTheme="minorHAnsi" w:eastAsia="Arial" w:hAnsiTheme="minorHAnsi" w:cstheme="minorHAnsi"/>
          <w:sz w:val="20"/>
          <w:szCs w:val="20"/>
        </w:rPr>
        <w:t>posiadając</w:t>
      </w:r>
      <w:r w:rsidR="00572668" w:rsidRPr="00345310">
        <w:rPr>
          <w:rFonts w:asciiTheme="minorHAnsi" w:eastAsia="Arial" w:hAnsiTheme="minorHAnsi" w:cstheme="minorHAnsi"/>
          <w:sz w:val="20"/>
          <w:szCs w:val="20"/>
        </w:rPr>
        <w:t xml:space="preserve"> atrakcyjny potencjał rozwojowy.</w:t>
      </w:r>
      <w:r w:rsidR="005C519D" w:rsidRPr="00345310">
        <w:rPr>
          <w:rFonts w:asciiTheme="minorHAnsi" w:eastAsia="Arial" w:hAnsiTheme="minorHAnsi" w:cstheme="minorHAnsi"/>
          <w:sz w:val="20"/>
          <w:szCs w:val="20"/>
        </w:rPr>
        <w:t xml:space="preserve"> Dotyczy to w pewnym stopniu również </w:t>
      </w:r>
      <w:proofErr w:type="spellStart"/>
      <w:r w:rsidR="005C519D" w:rsidRPr="00345310">
        <w:rPr>
          <w:rFonts w:asciiTheme="minorHAnsi" w:eastAsia="Arial" w:hAnsiTheme="minorHAnsi" w:cstheme="minorHAnsi"/>
          <w:sz w:val="20"/>
          <w:szCs w:val="20"/>
        </w:rPr>
        <w:t>sensoryki</w:t>
      </w:r>
      <w:proofErr w:type="spellEnd"/>
      <w:r w:rsidR="005C519D" w:rsidRPr="00345310">
        <w:rPr>
          <w:rFonts w:asciiTheme="minorHAnsi" w:eastAsia="Arial" w:hAnsiTheme="minorHAnsi" w:cstheme="minorHAnsi"/>
          <w:sz w:val="20"/>
          <w:szCs w:val="20"/>
        </w:rPr>
        <w:t xml:space="preserve"> – branży na styku mikroelektroniki i fotoniki.</w:t>
      </w:r>
      <w:r w:rsidR="009B6A7C" w:rsidRPr="00345310">
        <w:rPr>
          <w:rFonts w:asciiTheme="minorHAnsi" w:eastAsia="Arial" w:hAnsiTheme="minorHAnsi" w:cstheme="minorHAnsi"/>
          <w:sz w:val="20"/>
          <w:szCs w:val="20"/>
        </w:rPr>
        <w:t xml:space="preserve"> Przedsiębiorstwa MŚP działające w tych obszarach często stanowią istotny element łańcucha wartości w różnych gałęziach gospodarki.</w:t>
      </w:r>
      <w:r w:rsidR="004B0979" w:rsidRPr="0034531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5C519D" w:rsidRPr="00345310">
        <w:rPr>
          <w:rFonts w:asciiTheme="minorHAnsi" w:eastAsia="Arial" w:hAnsiTheme="minorHAnsi" w:cstheme="minorHAnsi"/>
          <w:sz w:val="20"/>
          <w:szCs w:val="20"/>
        </w:rPr>
        <w:t>Odmienną sytuację obserwujemy w obszarze mikroelektroniki</w:t>
      </w:r>
      <w:r w:rsidR="007543B8" w:rsidRPr="00345310">
        <w:rPr>
          <w:rFonts w:asciiTheme="minorHAnsi" w:eastAsia="Arial" w:hAnsiTheme="minorHAnsi" w:cstheme="minorHAnsi"/>
          <w:sz w:val="20"/>
          <w:szCs w:val="20"/>
        </w:rPr>
        <w:t xml:space="preserve"> układów i systemów scalonych</w:t>
      </w:r>
      <w:r w:rsidR="005C519D" w:rsidRPr="00345310">
        <w:rPr>
          <w:rFonts w:asciiTheme="minorHAnsi" w:eastAsia="Arial" w:hAnsiTheme="minorHAnsi" w:cstheme="minorHAnsi"/>
          <w:sz w:val="20"/>
          <w:szCs w:val="20"/>
        </w:rPr>
        <w:t>. Tutaj bowiem, z racji zaszłości historycznych (</w:t>
      </w:r>
      <w:r w:rsidR="007543B8" w:rsidRPr="00345310">
        <w:rPr>
          <w:rFonts w:asciiTheme="minorHAnsi" w:eastAsia="Arial" w:hAnsiTheme="minorHAnsi" w:cstheme="minorHAnsi"/>
          <w:sz w:val="20"/>
          <w:szCs w:val="20"/>
        </w:rPr>
        <w:t>zatrzymanie</w:t>
      </w:r>
      <w:r w:rsidR="005C519D" w:rsidRPr="00345310">
        <w:rPr>
          <w:rFonts w:asciiTheme="minorHAnsi" w:eastAsia="Arial" w:hAnsiTheme="minorHAnsi" w:cstheme="minorHAnsi"/>
          <w:sz w:val="20"/>
          <w:szCs w:val="20"/>
        </w:rPr>
        <w:t xml:space="preserve"> rozwoju technologicznego w latach 80-tych)</w:t>
      </w:r>
      <w:r w:rsidR="007543B8" w:rsidRPr="00345310">
        <w:rPr>
          <w:rFonts w:asciiTheme="minorHAnsi" w:eastAsia="Arial" w:hAnsiTheme="minorHAnsi" w:cstheme="minorHAnsi"/>
          <w:sz w:val="20"/>
          <w:szCs w:val="20"/>
        </w:rPr>
        <w:t xml:space="preserve"> potencjał produkc</w:t>
      </w:r>
      <w:r w:rsidR="00305132" w:rsidRPr="00345310">
        <w:rPr>
          <w:rFonts w:asciiTheme="minorHAnsi" w:eastAsia="Arial" w:hAnsiTheme="minorHAnsi" w:cstheme="minorHAnsi"/>
          <w:sz w:val="20"/>
          <w:szCs w:val="20"/>
        </w:rPr>
        <w:t>yjny praktycznie nie istnieje (j</w:t>
      </w:r>
      <w:r w:rsidR="00B52736" w:rsidRPr="00345310">
        <w:rPr>
          <w:rFonts w:asciiTheme="minorHAnsi" w:eastAsia="Arial" w:hAnsiTheme="minorHAnsi" w:cstheme="minorHAnsi"/>
          <w:sz w:val="20"/>
          <w:szCs w:val="20"/>
        </w:rPr>
        <w:t xml:space="preserve">edynym, niewielkim </w:t>
      </w:r>
      <w:r w:rsidR="007543B8" w:rsidRPr="00345310">
        <w:rPr>
          <w:rFonts w:asciiTheme="minorHAnsi" w:eastAsia="Arial" w:hAnsiTheme="minorHAnsi" w:cstheme="minorHAnsi"/>
          <w:sz w:val="20"/>
          <w:szCs w:val="20"/>
        </w:rPr>
        <w:t>producentem</w:t>
      </w:r>
      <w:r w:rsidR="00305132" w:rsidRPr="00345310">
        <w:rPr>
          <w:rFonts w:asciiTheme="minorHAnsi" w:eastAsia="Arial" w:hAnsiTheme="minorHAnsi" w:cstheme="minorHAnsi"/>
          <w:sz w:val="20"/>
          <w:szCs w:val="20"/>
        </w:rPr>
        <w:t xml:space="preserve"> jest oddział instytutu Ł-IMIF </w:t>
      </w:r>
      <w:r w:rsidR="007543B8" w:rsidRPr="00345310">
        <w:rPr>
          <w:rFonts w:asciiTheme="minorHAnsi" w:eastAsia="Arial" w:hAnsiTheme="minorHAnsi" w:cstheme="minorHAnsi"/>
          <w:sz w:val="20"/>
          <w:szCs w:val="20"/>
        </w:rPr>
        <w:t>w Piasecznie). Istnieje natomia</w:t>
      </w:r>
      <w:r w:rsidR="00305132" w:rsidRPr="00345310">
        <w:rPr>
          <w:rFonts w:asciiTheme="minorHAnsi" w:eastAsia="Arial" w:hAnsiTheme="minorHAnsi" w:cstheme="minorHAnsi"/>
          <w:sz w:val="20"/>
          <w:szCs w:val="20"/>
        </w:rPr>
        <w:t xml:space="preserve">st kilka zespołów projektowych </w:t>
      </w:r>
      <w:r w:rsidR="007543B8" w:rsidRPr="00345310">
        <w:rPr>
          <w:rFonts w:asciiTheme="minorHAnsi" w:eastAsia="Arial" w:hAnsiTheme="minorHAnsi" w:cstheme="minorHAnsi"/>
          <w:sz w:val="20"/>
          <w:szCs w:val="20"/>
        </w:rPr>
        <w:t xml:space="preserve">(tzw. Design House) będących w stanie podejmować projektowanie i produkcję układów scalonych w trybie </w:t>
      </w:r>
      <w:proofErr w:type="spellStart"/>
      <w:r w:rsidR="007543B8" w:rsidRPr="00345310">
        <w:rPr>
          <w:rFonts w:asciiTheme="minorHAnsi" w:eastAsia="Arial" w:hAnsiTheme="minorHAnsi" w:cstheme="minorHAnsi"/>
          <w:sz w:val="20"/>
          <w:szCs w:val="20"/>
        </w:rPr>
        <w:t>Fab</w:t>
      </w:r>
      <w:proofErr w:type="spellEnd"/>
      <w:r w:rsidR="007543B8" w:rsidRPr="00345310">
        <w:rPr>
          <w:rFonts w:asciiTheme="minorHAnsi" w:eastAsia="Arial" w:hAnsiTheme="minorHAnsi" w:cstheme="minorHAnsi"/>
          <w:sz w:val="20"/>
          <w:szCs w:val="20"/>
        </w:rPr>
        <w:t>-less, w oparciu o dostęp do zaawansowanych technologii światowych. Ośrodki te jednak pracują w przeważającej większości dla odbiorców zagranicznych. Niektóre z nich reprezentują najwyższy poziom światowy.</w:t>
      </w:r>
    </w:p>
    <w:p w14:paraId="49933637" w14:textId="37C793F5" w:rsidR="00581943" w:rsidRDefault="00572668" w:rsidP="000E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2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lastRenderedPageBreak/>
        <w:t xml:space="preserve">Rozwój przemysłu na świecie wymaga uruchomienia nowych mocy produkcyjnych 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br/>
        <w:t xml:space="preserve">dla systemów </w:t>
      </w:r>
      <w:r w:rsidR="00B52736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mikro- i </w:t>
      </w:r>
      <w:proofErr w:type="spellStart"/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opto</w:t>
      </w:r>
      <w:proofErr w:type="spellEnd"/>
      <w:r w:rsidR="00B52736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-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elektronicznych. Problemem jest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brak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dostęp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u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do infrastruktury produkcyjnej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,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B210EC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konieczność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rozw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oju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technologii wytwarzania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,</w:t>
      </w:r>
      <w:r w:rsidR="004743E7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jak również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brak procesów wspierających adaptację systemów</w:t>
      </w:r>
      <w:r w:rsidR="004B0979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fotonicznych</w:t>
      </w:r>
      <w:proofErr w:type="spellEnd"/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 wdrażanie nowych technologii do przemysłu. </w:t>
      </w:r>
      <w:r w:rsidR="005C507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Istotnym problemem, szczególnie w obszarze mikroelektroniki i </w:t>
      </w:r>
      <w:proofErr w:type="spellStart"/>
      <w:r w:rsidR="005C507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sensoryki</w:t>
      </w:r>
      <w:proofErr w:type="spellEnd"/>
      <w:r w:rsidR="005C507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jest niedostateczne upowszechnienie w środowisku przemysłowym wiedzy o dostępnym potencjale projektowym oraz możliwościach wytwórczych oferowanych przez ośrodki zagraniczne w trybie produkcji </w:t>
      </w:r>
      <w:proofErr w:type="spellStart"/>
      <w:r w:rsidR="005C507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fab</w:t>
      </w:r>
      <w:proofErr w:type="spellEnd"/>
      <w:r w:rsidR="005C507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-less. 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Badanie ma wykazać skalę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 zaawansowanie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realizacji wdrożenia projektów </w:t>
      </w:r>
      <w:r w:rsidR="005C507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elektronicznych i </w:t>
      </w:r>
      <w:proofErr w:type="spellStart"/>
      <w:r w:rsidR="0030513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fotonicznych</w:t>
      </w:r>
      <w:proofErr w:type="spellEnd"/>
      <w:r w:rsidR="0030513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w Polsce oraz </w:t>
      </w:r>
      <w:r w:rsidR="00B210EC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stworzyć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bazę wiedzy 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umożliwi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ającą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4743E7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ich dalszy rozwój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  <w:r w:rsidR="0058194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Celem badania jest także wskazanie obszarów, gdzie wskazane byłoby uzupełnienie potencjału polskiej branży mikroelektroniki, optoelektroniki i fotoniki w celu  </w:t>
      </w:r>
      <w:r w:rsidR="00C3445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najefektywniejszego </w:t>
      </w:r>
      <w:r w:rsidR="0058194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wzmocnienia ogniw łańcucha wartości </w:t>
      </w:r>
      <w:r w:rsidR="00C3445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w Polsce </w:t>
      </w:r>
      <w:r w:rsidR="0058194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w formie pozyskania inwestycji zagranicznych lub wsparcia </w:t>
      </w:r>
      <w:r w:rsidR="00757CB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polskich podmiotów sektorowych </w:t>
      </w:r>
      <w:r w:rsidR="00581943">
        <w:rPr>
          <w:rFonts w:asciiTheme="minorHAnsi" w:eastAsia="Arial" w:hAnsiTheme="minorHAnsi" w:cstheme="minorHAnsi"/>
          <w:color w:val="000000"/>
          <w:sz w:val="20"/>
          <w:szCs w:val="20"/>
        </w:rPr>
        <w:t>instrumentami pomocy publicznej państwa przy możliwym udziale funduszy europejskich</w:t>
      </w:r>
      <w:r w:rsidR="00757CBC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14:paraId="761DF8D3" w14:textId="2D949B1C" w:rsidR="00E30831" w:rsidRPr="00345310" w:rsidRDefault="000E3F05" w:rsidP="000E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2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</w:rPr>
        <w:t>Z</w:t>
      </w:r>
      <w:r w:rsidR="00E3083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e względu na znaczne nakładanie się obszarów elektroniki, mikroelektroniki, fotoniki </w:t>
      </w:r>
      <w:r w:rsidR="0030513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br/>
      </w:r>
      <w:r w:rsidR="00E3083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i optoelektroniki </w:t>
      </w:r>
      <w:r w:rsidR="00E55ACB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należących do analizowanej branży</w:t>
      </w:r>
      <w:r w:rsidR="0030513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,</w:t>
      </w:r>
      <w:r w:rsidR="00E55ACB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E3083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a jednocześnie wyraźną specyfikę tych części zaleca się, żeby w opracowaniu </w:t>
      </w:r>
      <w:r w:rsidR="00E55ACB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wyników </w:t>
      </w:r>
      <w:r w:rsidR="00E3083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umożliwić przypisanie podmiotów do poszczególnych części branży w sposób umożliwiający wyróżnienie</w:t>
      </w:r>
      <w:r w:rsidR="00E55ACB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tych części</w:t>
      </w:r>
      <w:r w:rsidR="00E3083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. Uważa się przy tym za możliwe zaliczanie analizowanych podmiotów do więcej niż jednej z tych części.</w:t>
      </w:r>
    </w:p>
    <w:p w14:paraId="6F8D7CB0" w14:textId="50BC4FE9" w:rsidR="00F8570A" w:rsidRPr="00345310" w:rsidRDefault="00572668" w:rsidP="000E3F05">
      <w:pPr>
        <w:pStyle w:val="Tekstpodstawowywcity"/>
        <w:shd w:val="clear" w:color="auto" w:fill="FFFFFF" w:themeFill="background1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Korzyści ekonomiczne, społeczne</w:t>
      </w:r>
      <w:r w:rsidR="0030513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,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jak i środowiskowe, wynikające z wykorzystania w wielu obszarach systemów </w:t>
      </w:r>
      <w:r w:rsidR="005C507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mikro- i </w:t>
      </w:r>
      <w:proofErr w:type="spellStart"/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opto</w:t>
      </w:r>
      <w:proofErr w:type="spellEnd"/>
      <w:r w:rsidR="005C5071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-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elektronicznych, w szczególności zaś poprawa jakości efektywności produkcji 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wskazują na konieczność 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podjęci</w:t>
      </w:r>
      <w:r w:rsidR="001613A2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a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pogłębionej analizy weryfikującej możliwość ich </w:t>
      </w:r>
      <w:r w:rsidR="00E260D3"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>rozwoju</w:t>
      </w:r>
      <w:r w:rsidRPr="0034531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w Polsce. Analiza powinna zostać przeprowadzona zgodnie z regułami formułowanymi na gruncie uprawiania polityk publicznych opartych na dowodach, w tym wykorzystania zróżnicowanych, zobiektywizowanych danych (pochodzących z badań empirycznych i ekonometrycznych) oraz zróżnicowanych opinii i poglądów.</w:t>
      </w:r>
    </w:p>
    <w:p w14:paraId="21F55D9B" w14:textId="77777777" w:rsidR="00F8570A" w:rsidRPr="00345310" w:rsidRDefault="00F8570A" w:rsidP="000E3F05">
      <w:pPr>
        <w:pStyle w:val="Tekstpodstawowywcity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Kod i nazwa zamówienia według Wspólnego Słownika Zamówień (CPV):</w:t>
      </w:r>
    </w:p>
    <w:p w14:paraId="385037DC" w14:textId="77777777" w:rsidR="00E83442" w:rsidRPr="00345310" w:rsidRDefault="00E83442" w:rsidP="0023327D">
      <w:pPr>
        <w:pStyle w:val="Tekstpodstawowywcity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73110000-6 – usługi badawcze;</w:t>
      </w:r>
    </w:p>
    <w:p w14:paraId="787BC650" w14:textId="77777777" w:rsidR="00E83442" w:rsidRPr="00345310" w:rsidRDefault="00E83442" w:rsidP="0023327D">
      <w:pPr>
        <w:pStyle w:val="Tekstpodstawowywcity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73210000-7 – usługi doradcze w zakresie badań;</w:t>
      </w:r>
    </w:p>
    <w:p w14:paraId="3F73F1A2" w14:textId="77777777" w:rsidR="00E83442" w:rsidRPr="00345310" w:rsidRDefault="00E83442" w:rsidP="0023327D">
      <w:pPr>
        <w:pStyle w:val="Tekstpodstawowywcity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72316000-3 – usługi analizy danych;</w:t>
      </w:r>
    </w:p>
    <w:p w14:paraId="5B83378C" w14:textId="5E09B661" w:rsidR="00E83442" w:rsidRPr="00345310" w:rsidRDefault="00E83442" w:rsidP="0023327D">
      <w:pPr>
        <w:pStyle w:val="Tekstpodstawowywcity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85312320-8 – usługi doradztwa.</w:t>
      </w:r>
    </w:p>
    <w:p w14:paraId="0C1D2EB6" w14:textId="77777777" w:rsidR="007D74F3" w:rsidRPr="00345310" w:rsidRDefault="00726A40" w:rsidP="006D2429">
      <w:pPr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5310">
        <w:rPr>
          <w:rFonts w:asciiTheme="minorHAnsi" w:hAnsiTheme="minorHAnsi" w:cstheme="minorHAnsi"/>
          <w:b/>
          <w:sz w:val="20"/>
          <w:szCs w:val="20"/>
        </w:rPr>
        <w:t>Cel zamówienia</w:t>
      </w:r>
    </w:p>
    <w:p w14:paraId="5695BCEE" w14:textId="7E83E40F" w:rsidR="004563D9" w:rsidRDefault="003168C7" w:rsidP="000E3F05">
      <w:pPr>
        <w:keepNext/>
        <w:spacing w:after="1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45310">
        <w:rPr>
          <w:rFonts w:asciiTheme="minorHAnsi" w:eastAsia="Arial" w:hAnsiTheme="minorHAnsi" w:cstheme="minorHAnsi"/>
          <w:sz w:val="20"/>
          <w:szCs w:val="20"/>
        </w:rPr>
        <w:t xml:space="preserve">Celem nadrzędnym realizacji zamówienia jest </w:t>
      </w:r>
      <w:r w:rsidR="005B41EA" w:rsidRPr="00345310">
        <w:rPr>
          <w:rFonts w:asciiTheme="minorHAnsi" w:eastAsia="Arial" w:hAnsiTheme="minorHAnsi" w:cstheme="minorHAnsi"/>
          <w:sz w:val="20"/>
          <w:szCs w:val="20"/>
        </w:rPr>
        <w:t xml:space="preserve">zidentyfikowanie przewag konkurencyjnych </w:t>
      </w:r>
      <w:r w:rsidR="00305132" w:rsidRPr="00345310">
        <w:rPr>
          <w:rFonts w:asciiTheme="minorHAnsi" w:eastAsia="Arial" w:hAnsiTheme="minorHAnsi" w:cstheme="minorHAnsi"/>
          <w:sz w:val="20"/>
          <w:szCs w:val="20"/>
        </w:rPr>
        <w:br/>
      </w:r>
      <w:r w:rsidR="005B41EA" w:rsidRPr="00345310">
        <w:rPr>
          <w:rFonts w:asciiTheme="minorHAnsi" w:eastAsia="Arial" w:hAnsiTheme="minorHAnsi" w:cstheme="minorHAnsi"/>
          <w:sz w:val="20"/>
          <w:szCs w:val="20"/>
        </w:rPr>
        <w:t xml:space="preserve">w obszarze badawczo-rozwojowym i innowacyjnym przedsiębiorstw w obszarze </w:t>
      </w:r>
      <w:r w:rsidR="005C5071" w:rsidRPr="00345310">
        <w:rPr>
          <w:rFonts w:asciiTheme="minorHAnsi" w:eastAsia="Arial" w:hAnsiTheme="minorHAnsi" w:cstheme="minorHAnsi"/>
          <w:sz w:val="20"/>
          <w:szCs w:val="20"/>
        </w:rPr>
        <w:t xml:space="preserve">elektroniki i </w:t>
      </w:r>
      <w:r w:rsidR="005B41EA" w:rsidRPr="00345310">
        <w:rPr>
          <w:rFonts w:asciiTheme="minorHAnsi" w:eastAsia="Arial" w:hAnsiTheme="minorHAnsi" w:cstheme="minorHAnsi"/>
          <w:sz w:val="20"/>
          <w:szCs w:val="20"/>
        </w:rPr>
        <w:t>fotoniki</w:t>
      </w:r>
      <w:r w:rsidR="00900B3F">
        <w:rPr>
          <w:rFonts w:asciiTheme="minorHAnsi" w:eastAsia="Arial" w:hAnsiTheme="minorHAnsi" w:cstheme="minorHAnsi"/>
          <w:sz w:val="20"/>
          <w:szCs w:val="20"/>
        </w:rPr>
        <w:t xml:space="preserve"> (</w:t>
      </w:r>
      <w:r w:rsidR="00900B3F" w:rsidRPr="00900B3F">
        <w:rPr>
          <w:rFonts w:asciiTheme="minorHAnsi" w:eastAsia="Arial" w:hAnsiTheme="minorHAnsi" w:cstheme="minorHAnsi"/>
          <w:sz w:val="20"/>
          <w:szCs w:val="20"/>
        </w:rPr>
        <w:t>nie zaliczają się więc do tej kategorii przedsiębiorstwa, które wykorzystują te produkty do</w:t>
      </w:r>
      <w:r w:rsidR="00900B3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900B3F" w:rsidRPr="00900B3F">
        <w:rPr>
          <w:rFonts w:asciiTheme="minorHAnsi" w:eastAsia="Arial" w:hAnsiTheme="minorHAnsi" w:cstheme="minorHAnsi"/>
          <w:sz w:val="20"/>
          <w:szCs w:val="20"/>
        </w:rPr>
        <w:t xml:space="preserve">osiągania celów w swoich branżach nie powiązanych z branżą elektroniczną i </w:t>
      </w:r>
      <w:proofErr w:type="spellStart"/>
      <w:r w:rsidR="00900B3F" w:rsidRPr="00900B3F">
        <w:rPr>
          <w:rFonts w:asciiTheme="minorHAnsi" w:eastAsia="Arial" w:hAnsiTheme="minorHAnsi" w:cstheme="minorHAnsi"/>
          <w:sz w:val="20"/>
          <w:szCs w:val="20"/>
        </w:rPr>
        <w:t>fotoniczną</w:t>
      </w:r>
      <w:proofErr w:type="spellEnd"/>
      <w:r w:rsidR="00900B3F">
        <w:rPr>
          <w:rFonts w:asciiTheme="minorHAnsi" w:eastAsia="Arial" w:hAnsiTheme="minorHAnsi" w:cstheme="minorHAnsi"/>
          <w:sz w:val="20"/>
          <w:szCs w:val="20"/>
        </w:rPr>
        <w:t>)</w:t>
      </w:r>
      <w:r w:rsidR="005B41EA" w:rsidRPr="00345310">
        <w:rPr>
          <w:rFonts w:asciiTheme="minorHAnsi" w:eastAsia="Arial" w:hAnsiTheme="minorHAnsi" w:cstheme="minorHAnsi"/>
          <w:sz w:val="20"/>
          <w:szCs w:val="20"/>
        </w:rPr>
        <w:t xml:space="preserve">, </w:t>
      </w:r>
      <w:r w:rsidR="00E83442" w:rsidRPr="00345310">
        <w:rPr>
          <w:rFonts w:asciiTheme="minorHAnsi" w:eastAsia="Arial" w:hAnsiTheme="minorHAnsi" w:cstheme="minorHAnsi"/>
          <w:sz w:val="20"/>
          <w:szCs w:val="20"/>
        </w:rPr>
        <w:t xml:space="preserve">identyfikacja </w:t>
      </w:r>
      <w:r w:rsidR="005B41EA" w:rsidRPr="00345310">
        <w:rPr>
          <w:rFonts w:asciiTheme="minorHAnsi" w:eastAsia="Arial" w:hAnsiTheme="minorHAnsi" w:cstheme="minorHAnsi"/>
          <w:sz w:val="20"/>
          <w:szCs w:val="20"/>
        </w:rPr>
        <w:t xml:space="preserve">nisz oraz </w:t>
      </w:r>
      <w:r w:rsidR="00E83442" w:rsidRPr="00345310">
        <w:rPr>
          <w:rFonts w:asciiTheme="minorHAnsi" w:eastAsia="Arial" w:hAnsiTheme="minorHAnsi" w:cstheme="minorHAnsi"/>
          <w:sz w:val="20"/>
          <w:szCs w:val="20"/>
        </w:rPr>
        <w:t xml:space="preserve">trendów rozwojowych branży </w:t>
      </w:r>
      <w:r w:rsidR="005C5071" w:rsidRPr="00345310">
        <w:rPr>
          <w:rFonts w:asciiTheme="minorHAnsi" w:eastAsia="Arial" w:hAnsiTheme="minorHAnsi" w:cstheme="minorHAnsi"/>
          <w:sz w:val="20"/>
          <w:szCs w:val="20"/>
        </w:rPr>
        <w:t xml:space="preserve">elektronicznej i </w:t>
      </w:r>
      <w:proofErr w:type="spellStart"/>
      <w:r w:rsidR="00E83442" w:rsidRPr="00345310">
        <w:rPr>
          <w:rFonts w:asciiTheme="minorHAnsi" w:eastAsia="Arial" w:hAnsiTheme="minorHAnsi" w:cstheme="minorHAnsi"/>
          <w:sz w:val="20"/>
          <w:szCs w:val="20"/>
        </w:rPr>
        <w:t>fotonicznej</w:t>
      </w:r>
      <w:proofErr w:type="spellEnd"/>
      <w:r w:rsidR="00E83442" w:rsidRPr="00345310">
        <w:rPr>
          <w:rFonts w:asciiTheme="minorHAnsi" w:eastAsia="Arial" w:hAnsiTheme="minorHAnsi" w:cstheme="minorHAnsi"/>
          <w:sz w:val="20"/>
          <w:szCs w:val="20"/>
        </w:rPr>
        <w:t xml:space="preserve"> w Polsce</w:t>
      </w:r>
      <w:r w:rsidR="00272FC8" w:rsidRPr="00345310">
        <w:rPr>
          <w:rFonts w:asciiTheme="minorHAnsi" w:eastAsia="Arial" w:hAnsiTheme="minorHAnsi" w:cstheme="minorHAnsi"/>
          <w:sz w:val="20"/>
          <w:szCs w:val="20"/>
        </w:rPr>
        <w:t>, zwłaszcza</w:t>
      </w:r>
      <w:r w:rsidR="00E83442" w:rsidRPr="00345310">
        <w:rPr>
          <w:rFonts w:asciiTheme="minorHAnsi" w:eastAsia="Arial" w:hAnsiTheme="minorHAnsi" w:cstheme="minorHAnsi"/>
          <w:sz w:val="20"/>
          <w:szCs w:val="20"/>
        </w:rPr>
        <w:t xml:space="preserve"> w kontekście </w:t>
      </w:r>
      <w:r w:rsidR="00542A36" w:rsidRPr="00345310">
        <w:rPr>
          <w:rFonts w:asciiTheme="minorHAnsi" w:eastAsia="Arial" w:hAnsiTheme="minorHAnsi" w:cstheme="minorHAnsi"/>
          <w:sz w:val="20"/>
          <w:szCs w:val="20"/>
        </w:rPr>
        <w:t>k</w:t>
      </w:r>
      <w:r w:rsidR="00E83442" w:rsidRPr="00345310">
        <w:rPr>
          <w:rFonts w:asciiTheme="minorHAnsi" w:eastAsia="Arial" w:hAnsiTheme="minorHAnsi" w:cstheme="minorHAnsi"/>
          <w:sz w:val="20"/>
          <w:szCs w:val="20"/>
        </w:rPr>
        <w:t>raj</w:t>
      </w:r>
      <w:r w:rsidR="00A57E3B" w:rsidRPr="00345310">
        <w:rPr>
          <w:rFonts w:asciiTheme="minorHAnsi" w:eastAsia="Arial" w:hAnsiTheme="minorHAnsi" w:cstheme="minorHAnsi"/>
          <w:sz w:val="20"/>
          <w:szCs w:val="20"/>
        </w:rPr>
        <w:t xml:space="preserve">owych </w:t>
      </w:r>
      <w:r w:rsidR="00542A36" w:rsidRPr="00345310">
        <w:rPr>
          <w:rFonts w:asciiTheme="minorHAnsi" w:eastAsia="Arial" w:hAnsiTheme="minorHAnsi" w:cstheme="minorHAnsi"/>
          <w:sz w:val="20"/>
          <w:szCs w:val="20"/>
        </w:rPr>
        <w:t>i</w:t>
      </w:r>
      <w:r w:rsidR="00A57E3B" w:rsidRPr="00345310">
        <w:rPr>
          <w:rFonts w:asciiTheme="minorHAnsi" w:eastAsia="Arial" w:hAnsiTheme="minorHAnsi" w:cstheme="minorHAnsi"/>
          <w:sz w:val="20"/>
          <w:szCs w:val="20"/>
        </w:rPr>
        <w:t xml:space="preserve">nteligentnych </w:t>
      </w:r>
      <w:r w:rsidR="00542A36" w:rsidRPr="00345310">
        <w:rPr>
          <w:rFonts w:asciiTheme="minorHAnsi" w:eastAsia="Arial" w:hAnsiTheme="minorHAnsi" w:cstheme="minorHAnsi"/>
          <w:sz w:val="20"/>
          <w:szCs w:val="20"/>
        </w:rPr>
        <w:t>s</w:t>
      </w:r>
      <w:r w:rsidR="00397CBC" w:rsidRPr="00345310">
        <w:rPr>
          <w:rFonts w:asciiTheme="minorHAnsi" w:eastAsia="Arial" w:hAnsiTheme="minorHAnsi" w:cstheme="minorHAnsi"/>
          <w:sz w:val="20"/>
          <w:szCs w:val="20"/>
        </w:rPr>
        <w:t>pecjalizacji</w:t>
      </w:r>
      <w:r w:rsidR="00272FC8" w:rsidRPr="00345310">
        <w:rPr>
          <w:rFonts w:asciiTheme="minorHAnsi" w:eastAsia="Arial" w:hAnsiTheme="minorHAnsi" w:cstheme="minorHAnsi"/>
          <w:sz w:val="20"/>
          <w:szCs w:val="20"/>
        </w:rPr>
        <w:t xml:space="preserve"> i </w:t>
      </w:r>
      <w:r w:rsidR="00542A36" w:rsidRPr="00345310">
        <w:rPr>
          <w:rFonts w:asciiTheme="minorHAnsi" w:eastAsia="Arial" w:hAnsiTheme="minorHAnsi" w:cstheme="minorHAnsi"/>
          <w:sz w:val="20"/>
          <w:szCs w:val="20"/>
        </w:rPr>
        <w:t>r</w:t>
      </w:r>
      <w:r w:rsidR="00272FC8" w:rsidRPr="00345310">
        <w:rPr>
          <w:rFonts w:asciiTheme="minorHAnsi" w:eastAsia="Arial" w:hAnsiTheme="minorHAnsi" w:cstheme="minorHAnsi"/>
          <w:sz w:val="20"/>
          <w:szCs w:val="20"/>
        </w:rPr>
        <w:t xml:space="preserve">egionalnych </w:t>
      </w:r>
      <w:r w:rsidR="00542A36" w:rsidRPr="00345310">
        <w:rPr>
          <w:rFonts w:asciiTheme="minorHAnsi" w:eastAsia="Arial" w:hAnsiTheme="minorHAnsi" w:cstheme="minorHAnsi"/>
          <w:sz w:val="20"/>
          <w:szCs w:val="20"/>
        </w:rPr>
        <w:t>i</w:t>
      </w:r>
      <w:r w:rsidR="00272FC8" w:rsidRPr="00345310">
        <w:rPr>
          <w:rFonts w:asciiTheme="minorHAnsi" w:eastAsia="Arial" w:hAnsiTheme="minorHAnsi" w:cstheme="minorHAnsi"/>
          <w:sz w:val="20"/>
          <w:szCs w:val="20"/>
        </w:rPr>
        <w:t xml:space="preserve">nteligentnych </w:t>
      </w:r>
      <w:r w:rsidR="00542A36" w:rsidRPr="00345310">
        <w:rPr>
          <w:rFonts w:asciiTheme="minorHAnsi" w:eastAsia="Arial" w:hAnsiTheme="minorHAnsi" w:cstheme="minorHAnsi"/>
          <w:sz w:val="20"/>
          <w:szCs w:val="20"/>
        </w:rPr>
        <w:t>s</w:t>
      </w:r>
      <w:r w:rsidR="00272FC8" w:rsidRPr="00345310">
        <w:rPr>
          <w:rFonts w:asciiTheme="minorHAnsi" w:eastAsia="Arial" w:hAnsiTheme="minorHAnsi" w:cstheme="minorHAnsi"/>
          <w:sz w:val="20"/>
          <w:szCs w:val="20"/>
        </w:rPr>
        <w:t>pecjalizacji</w:t>
      </w:r>
      <w:r w:rsidR="00602C3E" w:rsidRPr="00345310">
        <w:rPr>
          <w:rFonts w:asciiTheme="minorHAnsi" w:eastAsia="Arial" w:hAnsiTheme="minorHAnsi" w:cstheme="minorHAnsi"/>
          <w:sz w:val="20"/>
          <w:szCs w:val="20"/>
        </w:rPr>
        <w:t>,</w:t>
      </w:r>
      <w:r w:rsidR="00C140E3" w:rsidRPr="0034531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631D3F">
        <w:rPr>
          <w:rFonts w:asciiTheme="minorHAnsi" w:eastAsia="Arial" w:hAnsiTheme="minorHAnsi" w:cstheme="minorHAnsi"/>
          <w:sz w:val="20"/>
          <w:szCs w:val="20"/>
        </w:rPr>
        <w:t xml:space="preserve">przedstawienie i </w:t>
      </w:r>
      <w:r w:rsidR="005B41EA" w:rsidRPr="00345310">
        <w:rPr>
          <w:rFonts w:asciiTheme="minorHAnsi" w:eastAsia="Arial" w:hAnsiTheme="minorHAnsi" w:cstheme="minorHAnsi"/>
          <w:sz w:val="20"/>
          <w:szCs w:val="20"/>
        </w:rPr>
        <w:t>analiza łańcuchów wartości polskiej branży</w:t>
      </w:r>
      <w:r w:rsidR="005C5071" w:rsidRPr="00345310">
        <w:rPr>
          <w:rFonts w:asciiTheme="minorHAnsi" w:eastAsia="Arial" w:hAnsiTheme="minorHAnsi" w:cstheme="minorHAnsi"/>
          <w:sz w:val="20"/>
          <w:szCs w:val="20"/>
        </w:rPr>
        <w:t xml:space="preserve"> elektronicznej i </w:t>
      </w:r>
      <w:r w:rsidR="005B41EA" w:rsidRPr="00345310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="005B41EA" w:rsidRPr="00345310">
        <w:rPr>
          <w:rFonts w:asciiTheme="minorHAnsi" w:eastAsia="Arial" w:hAnsiTheme="minorHAnsi" w:cstheme="minorHAnsi"/>
          <w:sz w:val="20"/>
          <w:szCs w:val="20"/>
        </w:rPr>
        <w:t>fotonicznej</w:t>
      </w:r>
      <w:proofErr w:type="spellEnd"/>
      <w:r w:rsidR="005B41EA" w:rsidRPr="00345310">
        <w:rPr>
          <w:rFonts w:asciiTheme="minorHAnsi" w:eastAsia="Arial" w:hAnsiTheme="minorHAnsi" w:cstheme="minorHAnsi"/>
          <w:sz w:val="20"/>
          <w:szCs w:val="20"/>
        </w:rPr>
        <w:t xml:space="preserve"> i </w:t>
      </w:r>
      <w:r w:rsidR="005C5071" w:rsidRPr="00345310">
        <w:rPr>
          <w:rFonts w:asciiTheme="minorHAnsi" w:eastAsia="Arial" w:hAnsiTheme="minorHAnsi" w:cstheme="minorHAnsi"/>
          <w:sz w:val="20"/>
          <w:szCs w:val="20"/>
        </w:rPr>
        <w:t>ich</w:t>
      </w:r>
      <w:r w:rsidR="005B41EA" w:rsidRPr="00345310">
        <w:rPr>
          <w:rFonts w:asciiTheme="minorHAnsi" w:eastAsia="Arial" w:hAnsiTheme="minorHAnsi" w:cstheme="minorHAnsi"/>
          <w:sz w:val="20"/>
          <w:szCs w:val="20"/>
        </w:rPr>
        <w:t xml:space="preserve"> pozycji konkurencyjn</w:t>
      </w:r>
      <w:r w:rsidR="005C5071" w:rsidRPr="00345310">
        <w:rPr>
          <w:rFonts w:asciiTheme="minorHAnsi" w:eastAsia="Arial" w:hAnsiTheme="minorHAnsi" w:cstheme="minorHAnsi"/>
          <w:sz w:val="20"/>
          <w:szCs w:val="20"/>
        </w:rPr>
        <w:t>ych</w:t>
      </w:r>
      <w:r w:rsidR="005B41EA" w:rsidRPr="00345310">
        <w:rPr>
          <w:rFonts w:asciiTheme="minorHAnsi" w:eastAsia="Arial" w:hAnsiTheme="minorHAnsi" w:cstheme="minorHAnsi"/>
          <w:sz w:val="20"/>
          <w:szCs w:val="20"/>
        </w:rPr>
        <w:t xml:space="preserve"> na rynku globalnym</w:t>
      </w:r>
      <w:r w:rsidR="00305132" w:rsidRPr="00345310">
        <w:rPr>
          <w:rFonts w:asciiTheme="minorHAnsi" w:eastAsia="Arial" w:hAnsiTheme="minorHAnsi" w:cstheme="minorHAnsi"/>
          <w:sz w:val="20"/>
          <w:szCs w:val="20"/>
        </w:rPr>
        <w:t>,</w:t>
      </w:r>
      <w:r w:rsidR="005C5071" w:rsidRPr="00345310">
        <w:rPr>
          <w:rFonts w:asciiTheme="minorHAnsi" w:eastAsia="Arial" w:hAnsiTheme="minorHAnsi" w:cstheme="minorHAnsi"/>
          <w:sz w:val="20"/>
          <w:szCs w:val="20"/>
        </w:rPr>
        <w:t xml:space="preserve"> a także zidentyfikowanie barier rozwoju</w:t>
      </w:r>
      <w:r w:rsidR="00517CC4" w:rsidRPr="00345310">
        <w:rPr>
          <w:rFonts w:asciiTheme="minorHAnsi" w:eastAsia="Arial" w:hAnsiTheme="minorHAnsi" w:cstheme="minorHAnsi"/>
          <w:sz w:val="20"/>
          <w:szCs w:val="20"/>
        </w:rPr>
        <w:t xml:space="preserve"> i potrzeb rozwojowych</w:t>
      </w:r>
      <w:r w:rsidR="005C5071" w:rsidRPr="00345310">
        <w:rPr>
          <w:rFonts w:asciiTheme="minorHAnsi" w:eastAsia="Arial" w:hAnsiTheme="minorHAnsi" w:cstheme="minorHAnsi"/>
          <w:sz w:val="20"/>
          <w:szCs w:val="20"/>
        </w:rPr>
        <w:t xml:space="preserve"> tych branż.</w:t>
      </w:r>
    </w:p>
    <w:p w14:paraId="497DD4DF" w14:textId="77777777" w:rsidR="004F40CE" w:rsidRPr="00345310" w:rsidRDefault="00793A86" w:rsidP="006D2429">
      <w:pPr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5310">
        <w:rPr>
          <w:rFonts w:asciiTheme="minorHAnsi" w:hAnsiTheme="minorHAnsi" w:cstheme="minorHAnsi"/>
          <w:b/>
          <w:sz w:val="20"/>
          <w:szCs w:val="20"/>
        </w:rPr>
        <w:t>Szczegółowy zakres zamówienia</w:t>
      </w:r>
    </w:p>
    <w:p w14:paraId="7C764A8D" w14:textId="6116EBBF" w:rsidR="009770CF" w:rsidRPr="00345310" w:rsidRDefault="009770CF" w:rsidP="0023327D">
      <w:pPr>
        <w:pStyle w:val="Akapitzlist"/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ETAP I</w:t>
      </w:r>
    </w:p>
    <w:p w14:paraId="75EA25E8" w14:textId="1F4E67D7" w:rsidR="001A40CD" w:rsidRPr="00345310" w:rsidRDefault="001A40CD" w:rsidP="006D24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Organ</w:t>
      </w:r>
      <w:r w:rsidR="00305132"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izacja prac w ramach Zamówienia</w:t>
      </w:r>
    </w:p>
    <w:p w14:paraId="7F68F47D" w14:textId="77777777" w:rsidR="00305132" w:rsidRPr="00345310" w:rsidRDefault="00305132" w:rsidP="002332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567E25F6" w14:textId="799747AE" w:rsidR="00542EE6" w:rsidRPr="00345310" w:rsidRDefault="0051597B" w:rsidP="00C66F7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terminie</w:t>
      </w:r>
      <w:r w:rsidR="005B56FC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10 dni roboczych</w:t>
      </w:r>
      <w:r w:rsidR="001B1045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od dnia podpisania U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mowy Wykonawca </w:t>
      </w:r>
      <w:r w:rsidR="005B56FC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przedstawi Zamawiającemu do akceptacji </w:t>
      </w:r>
      <w:r w:rsidR="005B56FC"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raport </w:t>
      </w:r>
      <w:r w:rsidR="00D71731"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metodologiczny </w:t>
      </w:r>
      <w:r w:rsidR="005B56FC"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zawierając</w:t>
      </w:r>
      <w:r w:rsidR="00022F94"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y</w:t>
      </w:r>
      <w:r w:rsidR="005B56FC"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szczegóły przeprowadzenia badania</w:t>
      </w:r>
      <w:r w:rsidR="00C66F7F"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.</w:t>
      </w:r>
    </w:p>
    <w:p w14:paraId="427BD722" w14:textId="77777777" w:rsidR="00D86855" w:rsidRPr="00345310" w:rsidRDefault="00542EE6" w:rsidP="00C140E3">
      <w:pPr>
        <w:pStyle w:val="Akapitzlist"/>
        <w:autoSpaceDE w:val="0"/>
        <w:autoSpaceDN w:val="0"/>
        <w:adjustRightInd w:val="0"/>
        <w:spacing w:after="0" w:line="240" w:lineRule="auto"/>
        <w:ind w:left="88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Raport metodologiczny powinien zawierać m.in.</w:t>
      </w:r>
      <w:r w:rsidR="00D86855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</w:t>
      </w:r>
    </w:p>
    <w:p w14:paraId="1471FF46" w14:textId="4A78ABB9" w:rsidR="00D86855" w:rsidRPr="00345310" w:rsidRDefault="00D86855" w:rsidP="00C140E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lastRenderedPageBreak/>
        <w:t xml:space="preserve">Sposób organizacji badania oraz opis metod </w:t>
      </w:r>
      <w:r w:rsidR="00222575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badawczych 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służących opracowaniu bazy przedsiębiorstw działających w wymienionych branżach</w:t>
      </w:r>
      <w:r w:rsidR="00EB35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FF60E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zgodnie z punktem</w:t>
      </w:r>
      <w:r w:rsidR="00FF60E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9D7B6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IV.</w:t>
      </w:r>
      <w:r w:rsidR="00FF60E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2</w:t>
      </w:r>
      <w:r w:rsidR="00EB35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660325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wraz ze wskazaniem metody szacowania przychodów z obszaru wymienionych branż w ramach działalności danego podmiotu,</w:t>
      </w:r>
    </w:p>
    <w:p w14:paraId="40507323" w14:textId="0535059E" w:rsidR="00222575" w:rsidRPr="00345310" w:rsidRDefault="00222575" w:rsidP="00C140E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Sposób organizacji badania, wskazanie wielkości oraz sposobu doboru próby, opis metod badawczych pozwalających na pełną realizację zakresu badania </w:t>
      </w:r>
      <w:r w:rsidRPr="00FF60E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określonego w punkcie</w:t>
      </w:r>
      <w:r w:rsidR="00FF60E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9D7B6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IV.</w:t>
      </w:r>
      <w:r w:rsidR="00FF60E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3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9D7B6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i osiągnięcie </w:t>
      </w:r>
      <w:r w:rsidRPr="00EB35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celów zdefiniowanych w punkcie</w:t>
      </w:r>
      <w:r w:rsidR="00EB35D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III.</w:t>
      </w:r>
    </w:p>
    <w:p w14:paraId="2F15F20B" w14:textId="2A3B44AF" w:rsidR="00C66F7F" w:rsidRPr="00345310" w:rsidRDefault="00C66F7F" w:rsidP="00C140E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Założenia dla badań ukierunkowanych na uzyskanie danych pierwotnych </w:t>
      </w:r>
      <w:r w:rsidR="00FE5393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o przedsiębiorstwach działających w branży elektronicznej i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fotonicznej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w tym propozycję narzędzi badawczych (np. kwestionariusz ankiety, scenariusz wywiadu)</w:t>
      </w:r>
      <w:r w:rsidR="00FE5393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</w:t>
      </w:r>
    </w:p>
    <w:p w14:paraId="408340C8" w14:textId="23CB0065" w:rsidR="00542EE6" w:rsidRPr="00345310" w:rsidRDefault="00FE5393" w:rsidP="00C140E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</w:t>
      </w:r>
      <w:r w:rsidR="00C66F7F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skazanie</w:t>
      </w:r>
      <w:r w:rsidR="00542EE6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C66F7F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dodatkowych</w:t>
      </w:r>
      <w:r w:rsidR="00542EE6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źród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eł</w:t>
      </w:r>
      <w:r w:rsidR="00542EE6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danych/informacji, wykraczając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ych</w:t>
      </w:r>
      <w:r w:rsidR="00542EE6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poza listę źródeł obowiązkowych do uwzględniania w raporcie wskazanych przez Zamawiającego.</w:t>
      </w:r>
    </w:p>
    <w:p w14:paraId="73987A88" w14:textId="77777777" w:rsidR="00542EE6" w:rsidRPr="00345310" w:rsidRDefault="00542EE6" w:rsidP="00C140E3">
      <w:pPr>
        <w:pStyle w:val="Akapitzlist"/>
        <w:autoSpaceDE w:val="0"/>
        <w:autoSpaceDN w:val="0"/>
        <w:adjustRightInd w:val="0"/>
        <w:spacing w:after="0" w:line="240" w:lineRule="auto"/>
        <w:ind w:left="88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13B32D51" w14:textId="6D7EE0CE" w:rsidR="00542EE6" w:rsidRPr="00345310" w:rsidRDefault="00542EE6" w:rsidP="00542EE6">
      <w:pPr>
        <w:pStyle w:val="Akapitzlist"/>
        <w:autoSpaceDE w:val="0"/>
        <w:autoSpaceDN w:val="0"/>
        <w:adjustRightInd w:val="0"/>
        <w:spacing w:after="7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Wykonawca jest zobowiązany do wykorzystania w opracowanym raporcie następując</w:t>
      </w:r>
      <w:r w:rsidR="00BB6034">
        <w:rPr>
          <w:rFonts w:asciiTheme="minorHAnsi" w:hAnsiTheme="minorHAnsi" w:cstheme="minorHAnsi"/>
          <w:sz w:val="20"/>
          <w:szCs w:val="20"/>
        </w:rPr>
        <w:t>ych</w:t>
      </w:r>
      <w:r w:rsidRPr="00345310">
        <w:rPr>
          <w:rFonts w:asciiTheme="minorHAnsi" w:hAnsiTheme="minorHAnsi" w:cstheme="minorHAnsi"/>
          <w:sz w:val="20"/>
          <w:szCs w:val="20"/>
        </w:rPr>
        <w:t xml:space="preserve"> źród</w:t>
      </w:r>
      <w:r w:rsidR="00BB6034">
        <w:rPr>
          <w:rFonts w:asciiTheme="minorHAnsi" w:hAnsiTheme="minorHAnsi" w:cstheme="minorHAnsi"/>
          <w:sz w:val="20"/>
          <w:szCs w:val="20"/>
        </w:rPr>
        <w:t>eł</w:t>
      </w:r>
      <w:r w:rsidR="00F53ABE">
        <w:rPr>
          <w:rFonts w:asciiTheme="minorHAnsi" w:hAnsiTheme="minorHAnsi" w:cstheme="minorHAnsi"/>
          <w:sz w:val="20"/>
          <w:szCs w:val="20"/>
        </w:rPr>
        <w:t>:</w:t>
      </w:r>
    </w:p>
    <w:p w14:paraId="1475C653" w14:textId="77777777" w:rsidR="00FE5393" w:rsidRPr="00345310" w:rsidRDefault="00FE5393" w:rsidP="00542EE6">
      <w:pPr>
        <w:pStyle w:val="Akapitzlist"/>
        <w:autoSpaceDE w:val="0"/>
        <w:autoSpaceDN w:val="0"/>
        <w:adjustRightInd w:val="0"/>
        <w:spacing w:after="7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BDE3931" w14:textId="77777777" w:rsidR="00542EE6" w:rsidRPr="00345310" w:rsidRDefault="00542EE6" w:rsidP="00542EE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7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>Market Research Study Photonics 2017 (</w:t>
      </w:r>
      <w:hyperlink r:id="rId9">
        <w:r w:rsidRPr="00345310">
          <w:rPr>
            <w:rFonts w:asciiTheme="minorHAnsi" w:hAnsiTheme="minorHAnsi" w:cstheme="minorHAnsi"/>
            <w:color w:val="0563C1"/>
            <w:sz w:val="20"/>
            <w:szCs w:val="20"/>
            <w:u w:val="single"/>
            <w:lang w:val="en-US"/>
          </w:rPr>
          <w:t>https://www.photonics21.org/download/ppp-services/photonics-downloads/Market-Research-Report_Photonics21_Internet.pdf</w:t>
        </w:r>
      </w:hyperlink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>)</w:t>
      </w:r>
    </w:p>
    <w:p w14:paraId="7744F28D" w14:textId="77777777" w:rsidR="00542EE6" w:rsidRPr="00345310" w:rsidRDefault="00542EE6" w:rsidP="00542EE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7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Raport z badania: Identyfikacja łańcuchów wartości w obszarach inteligentnych specjalizacji Mazowsza </w:t>
      </w:r>
      <w:hyperlink r:id="rId10">
        <w:r w:rsidRPr="00345310">
          <w:rPr>
            <w:rFonts w:asciiTheme="minorHAnsi" w:hAnsiTheme="minorHAnsi" w:cstheme="minorHAnsi"/>
            <w:color w:val="0563C1"/>
            <w:sz w:val="20"/>
            <w:szCs w:val="20"/>
            <w:u w:val="single"/>
          </w:rPr>
          <w:t>https://innowacyjni.mazovia.pl/publikacje/raport-z-badania-identyfikacja-lancuchow-wartosci-w-obszarach-inteligentnych-specjalizacji-mazowsza.html</w:t>
        </w:r>
      </w:hyperlink>
    </w:p>
    <w:p w14:paraId="2B19FEB0" w14:textId="77777777" w:rsidR="00542EE6" w:rsidRPr="00345310" w:rsidRDefault="00542EE6" w:rsidP="00542EE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7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Photonik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Forschung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DeutschlandLicht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mit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Zukunft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, wydawca: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Bundesministerium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für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Bildung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und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Forschung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(BMBF) (Federalne Ministerstwo Edukacji i Badań- Niemcy ) Referat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Photonik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Optische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Technologien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hyperlink r:id="rId11">
        <w:r w:rsidRPr="00345310">
          <w:rPr>
            <w:rFonts w:asciiTheme="minorHAnsi" w:hAnsiTheme="minorHAnsi" w:cstheme="minorHAnsi"/>
            <w:color w:val="0563C1"/>
            <w:sz w:val="20"/>
            <w:szCs w:val="20"/>
            <w:u w:val="single"/>
          </w:rPr>
          <w:t>https://www.photonikforschung.de/media/branche/pdf/BMBF_Photonik_Forschung_Deutschland_final_1.pdf</w:t>
        </w:r>
      </w:hyperlink>
      <w:r w:rsidRPr="00345310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1F4C7C55" w14:textId="77777777" w:rsidR="00542EE6" w:rsidRPr="00345310" w:rsidRDefault="00542EE6" w:rsidP="00542EE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7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</w:rPr>
        <w:t>AGENDA PHOTONIK 2020 - Update 2016, wydawca: BMBF (</w:t>
      </w:r>
      <w:hyperlink r:id="rId12">
        <w:r w:rsidRPr="00345310">
          <w:rPr>
            <w:rFonts w:asciiTheme="minorHAnsi" w:hAnsiTheme="minorHAnsi" w:cstheme="minorHAnsi"/>
            <w:color w:val="0563C1"/>
            <w:sz w:val="20"/>
            <w:szCs w:val="20"/>
            <w:u w:val="single"/>
          </w:rPr>
          <w:t>https://www.photonikforschung.de/media/branche/pdf/2016_Agenda_Photonik_2020_Update_bf_C1.pdf</w:t>
        </w:r>
      </w:hyperlink>
      <w:r w:rsidRPr="00345310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544A8CEA" w14:textId="77777777" w:rsidR="00542EE6" w:rsidRPr="00345310" w:rsidRDefault="00542EE6" w:rsidP="00542EE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7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Optics and Photonics: Essential Technologies for Our Nation (2013),s.20, The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>Natinal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Academic Press (</w:t>
      </w:r>
      <w:hyperlink r:id="rId13">
        <w:r w:rsidRPr="00345310">
          <w:rPr>
            <w:rFonts w:asciiTheme="minorHAnsi" w:hAnsiTheme="minorHAnsi" w:cstheme="minorHAnsi"/>
            <w:color w:val="0563C1"/>
            <w:sz w:val="20"/>
            <w:szCs w:val="20"/>
            <w:u w:val="single"/>
            <w:lang w:val="en-US"/>
          </w:rPr>
          <w:t>https://www.nap.edu/read/13491/chapter/1</w:t>
        </w:r>
      </w:hyperlink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>)</w:t>
      </w:r>
    </w:p>
    <w:p w14:paraId="4B0CC426" w14:textId="77777777" w:rsidR="00542EE6" w:rsidRPr="00345310" w:rsidRDefault="00542EE6" w:rsidP="00542EE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7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Ocena potencjału oraz perspektyw rozwoju (trendów rozwojowych) sektora technologii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</w:rPr>
        <w:t>fotonicznych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na Mazowszu (</w:t>
      </w:r>
      <w:hyperlink r:id="rId14">
        <w:r w:rsidRPr="00345310">
          <w:rPr>
            <w:rFonts w:asciiTheme="minorHAnsi" w:hAnsiTheme="minorHAnsi" w:cstheme="minorHAnsi"/>
            <w:color w:val="0563C1"/>
            <w:sz w:val="20"/>
            <w:szCs w:val="20"/>
            <w:u w:val="single"/>
          </w:rPr>
          <w:t>https://innowacyjni.mazovia.pl/publikacje/raport-z-badania-ocena-potencjalu-oraz-perspektyw-rozwoju-trendow-rozwojowych-sektora-technologii-fotonicznych-na-mazowszu.html</w:t>
        </w:r>
      </w:hyperlink>
      <w:r w:rsidRPr="00345310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489CFC3A" w14:textId="77777777" w:rsidR="00FE5393" w:rsidRPr="00345310" w:rsidRDefault="00542EE6" w:rsidP="00542EE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7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sz w:val="20"/>
          <w:szCs w:val="20"/>
          <w:lang w:val="en-US"/>
        </w:rPr>
        <w:t>Cluster Report Photonics: Optical Technologies and Microsystems Technology in Berlin and Brandenburg</w:t>
      </w:r>
      <w:r w:rsidR="00FE5393" w:rsidRPr="0034531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43CDC929" w14:textId="7243E164" w:rsidR="00542EE6" w:rsidRPr="00345310" w:rsidRDefault="00542EE6" w:rsidP="00FE5393">
      <w:pPr>
        <w:pStyle w:val="Akapitzlist"/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sz w:val="20"/>
          <w:szCs w:val="20"/>
          <w:lang w:val="en-US"/>
        </w:rPr>
        <w:t>(</w:t>
      </w:r>
      <w:r w:rsidRPr="00345310">
        <w:rPr>
          <w:rFonts w:asciiTheme="minorHAnsi" w:hAnsiTheme="minorHAnsi" w:cstheme="minorHAnsi"/>
          <w:color w:val="0563C1"/>
          <w:sz w:val="20"/>
          <w:szCs w:val="20"/>
          <w:u w:val="single"/>
          <w:lang w:val="en-US"/>
        </w:rPr>
        <w:t>https://www.berlin</w:t>
      </w:r>
      <w:r w:rsidR="00FE5393" w:rsidRPr="00345310">
        <w:rPr>
          <w:rFonts w:asciiTheme="minorHAnsi" w:hAnsiTheme="minorHAnsi" w:cstheme="minorHAnsi"/>
          <w:color w:val="0563C1"/>
          <w:sz w:val="20"/>
          <w:szCs w:val="20"/>
          <w:u w:val="single"/>
          <w:lang w:val="en-US"/>
        </w:rPr>
        <w:t>-</w:t>
      </w:r>
      <w:r w:rsidRPr="00345310">
        <w:rPr>
          <w:rFonts w:asciiTheme="minorHAnsi" w:hAnsiTheme="minorHAnsi" w:cstheme="minorHAnsi"/>
          <w:color w:val="0563C1"/>
          <w:sz w:val="20"/>
          <w:szCs w:val="20"/>
          <w:u w:val="single"/>
          <w:lang w:val="en-US"/>
        </w:rPr>
        <w:t>partner.de/fileadmin/user_upload/01_chefredaktion/02_pdf/publikationen/Clusterreport_Optik_en.pdf</w:t>
      </w:r>
      <w:r w:rsidRPr="00345310">
        <w:rPr>
          <w:rFonts w:asciiTheme="minorHAnsi" w:hAnsiTheme="minorHAnsi" w:cstheme="minorHAnsi"/>
          <w:sz w:val="20"/>
          <w:szCs w:val="20"/>
          <w:lang w:val="en-US"/>
        </w:rPr>
        <w:t xml:space="preserve"> )</w:t>
      </w:r>
    </w:p>
    <w:p w14:paraId="48AAFE30" w14:textId="77777777" w:rsidR="00542EE6" w:rsidRPr="00345310" w:rsidRDefault="00542EE6" w:rsidP="00542EE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>Market Data: Methodology  (</w:t>
      </w:r>
      <w:hyperlink r:id="rId15">
        <w:r w:rsidRPr="00345310">
          <w:rPr>
            <w:rFonts w:asciiTheme="minorHAnsi" w:hAnsiTheme="minorHAnsi" w:cstheme="minorHAnsi"/>
            <w:color w:val="0563C1"/>
            <w:sz w:val="20"/>
            <w:szCs w:val="20"/>
            <w:u w:val="single"/>
            <w:lang w:val="en-US"/>
          </w:rPr>
          <w:t>http://spie.org/newsroom/ers/esd16-landing/ers16-anderson</w:t>
        </w:r>
      </w:hyperlink>
      <w:r w:rsidRPr="00345310">
        <w:rPr>
          <w:rFonts w:asciiTheme="minorHAnsi" w:hAnsiTheme="minorHAnsi" w:cstheme="minorHAnsi"/>
          <w:color w:val="0563C1"/>
          <w:sz w:val="20"/>
          <w:szCs w:val="20"/>
          <w:u w:val="single"/>
          <w:lang w:val="en-US"/>
        </w:rPr>
        <w:t>)</w:t>
      </w:r>
      <w:r w:rsidRPr="00345310">
        <w:rPr>
          <w:rFonts w:asciiTheme="minorHAnsi" w:hAnsiTheme="minorHAnsi" w:cstheme="minorHAnsi"/>
          <w:sz w:val="20"/>
          <w:szCs w:val="20"/>
          <w:lang w:val="en-US"/>
        </w:rPr>
        <w:t>SPIE: Optics &amp; Photonics Industry Report 2019 (</w:t>
      </w:r>
      <w:proofErr w:type="spellStart"/>
      <w:r w:rsidRPr="00345310">
        <w:rPr>
          <w:rFonts w:asciiTheme="minorHAnsi" w:hAnsiTheme="minorHAnsi" w:cstheme="minorHAnsi"/>
          <w:sz w:val="20"/>
          <w:szCs w:val="20"/>
          <w:lang w:val="en-US"/>
        </w:rPr>
        <w:t>dostępny</w:t>
      </w:r>
      <w:proofErr w:type="spellEnd"/>
      <w:r w:rsidRPr="0034531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345310">
        <w:rPr>
          <w:rFonts w:asciiTheme="minorHAnsi" w:hAnsiTheme="minorHAnsi" w:cstheme="minorHAnsi"/>
          <w:sz w:val="20"/>
          <w:szCs w:val="20"/>
          <w:lang w:val="en-US"/>
        </w:rPr>
        <w:t>bezpłatnie</w:t>
      </w:r>
      <w:proofErr w:type="spellEnd"/>
      <w:r w:rsidRPr="00345310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345310">
        <w:rPr>
          <w:rFonts w:asciiTheme="minorHAnsi" w:hAnsiTheme="minorHAnsi" w:cstheme="minorHAnsi"/>
          <w:sz w:val="20"/>
          <w:szCs w:val="20"/>
          <w:lang w:val="en-US"/>
        </w:rPr>
        <w:t>na</w:t>
      </w:r>
      <w:proofErr w:type="spellEnd"/>
      <w:r w:rsidRPr="0034531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345310">
        <w:rPr>
          <w:rFonts w:asciiTheme="minorHAnsi" w:hAnsiTheme="minorHAnsi" w:cstheme="minorHAnsi"/>
          <w:sz w:val="20"/>
          <w:szCs w:val="20"/>
          <w:lang w:val="en-US"/>
        </w:rPr>
        <w:t>życzenie</w:t>
      </w:r>
      <w:proofErr w:type="spellEnd"/>
      <w:r w:rsidRPr="00345310">
        <w:rPr>
          <w:rFonts w:asciiTheme="minorHAnsi" w:hAnsiTheme="minorHAnsi" w:cstheme="minorHAnsi"/>
          <w:sz w:val="20"/>
          <w:szCs w:val="20"/>
          <w:lang w:val="en-US"/>
        </w:rPr>
        <w:t xml:space="preserve">, od Stephen G. Anderson, SPIE Director, Industry Development </w:t>
      </w:r>
      <w:hyperlink r:id="rId16" w:history="1">
        <w:r w:rsidRPr="00345310">
          <w:rPr>
            <w:rStyle w:val="Hipercze"/>
            <w:rFonts w:asciiTheme="minorHAnsi" w:hAnsiTheme="minorHAnsi" w:cstheme="minorHAnsi"/>
            <w:sz w:val="20"/>
            <w:szCs w:val="20"/>
            <w:lang w:val="en-GB"/>
          </w:rPr>
          <w:t>stephena@spie.org</w:t>
        </w:r>
      </w:hyperlink>
      <w:r w:rsidRPr="00345310">
        <w:rPr>
          <w:rFonts w:asciiTheme="minorHAnsi" w:hAnsiTheme="minorHAnsi" w:cstheme="minorHAnsi"/>
          <w:sz w:val="20"/>
          <w:szCs w:val="20"/>
          <w:lang w:val="en-US"/>
        </w:rPr>
        <w:t>)</w:t>
      </w:r>
    </w:p>
    <w:p w14:paraId="62E65E89" w14:textId="77777777" w:rsidR="00542EE6" w:rsidRPr="00345310" w:rsidRDefault="00542EE6" w:rsidP="000E3F05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sz w:val="20"/>
          <w:szCs w:val="20"/>
          <w:lang w:val="en-US"/>
        </w:rPr>
        <w:t>Strategic Research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and Innovation Agenda 2021 (</w:t>
      </w:r>
      <w:hyperlink r:id="rId17" w:history="1">
        <w:r w:rsidRPr="00345310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https://www.smart-systems-integration.org/system/files/document/2021-01-15_ECS-SRIA2021_final.pdf</w:t>
        </w:r>
      </w:hyperlink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) </w:t>
      </w:r>
    </w:p>
    <w:p w14:paraId="3AC5AB93" w14:textId="77777777" w:rsidR="00542EE6" w:rsidRPr="00345310" w:rsidRDefault="00542EE6" w:rsidP="00542EE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IC Insight McClean report </w:t>
      </w:r>
      <w:hyperlink r:id="rId18" w:history="1">
        <w:r w:rsidRPr="00345310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https://www.icinsights.com/services/mcclean-report/</w:t>
        </w:r>
      </w:hyperlink>
    </w:p>
    <w:p w14:paraId="4C53FF44" w14:textId="77777777" w:rsidR="00542EE6" w:rsidRPr="00345310" w:rsidRDefault="00542EE6" w:rsidP="000E3F05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IC Insight  O-S-D report </w:t>
      </w:r>
      <w:hyperlink r:id="rId19" w:history="1">
        <w:r w:rsidRPr="00345310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https://www.icinsights.com/data/reports/6/0/brochure.pdf?parm=1618577184</w:t>
        </w:r>
      </w:hyperlink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</w:p>
    <w:p w14:paraId="4D74BDE0" w14:textId="77777777" w:rsidR="00542EE6" w:rsidRPr="00345310" w:rsidRDefault="00542EE6" w:rsidP="00542EE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IC Insight Strategic Reviews 2020/2021 </w:t>
      </w:r>
      <w:hyperlink r:id="rId20" w:history="1">
        <w:r w:rsidRPr="00345310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https://www.icinsights.com/services/strategic-reviews/</w:t>
        </w:r>
      </w:hyperlink>
    </w:p>
    <w:p w14:paraId="12A522FA" w14:textId="77777777" w:rsidR="00542EE6" w:rsidRPr="00345310" w:rsidRDefault="000E3F05" w:rsidP="00542EE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hyperlink r:id="rId21" w:history="1">
        <w:r w:rsidR="00542EE6" w:rsidRPr="00345310">
          <w:rPr>
            <w:rStyle w:val="Hipercze"/>
            <w:rFonts w:asciiTheme="minorHAnsi" w:hAnsiTheme="minorHAnsi" w:cstheme="minorHAnsi"/>
            <w:sz w:val="20"/>
            <w:szCs w:val="20"/>
            <w:lang w:val="en-GB"/>
          </w:rPr>
          <w:t xml:space="preserve">Power Electronics for E-Mobility 2021 - </w:t>
        </w:r>
        <w:proofErr w:type="spellStart"/>
        <w:r w:rsidR="00542EE6" w:rsidRPr="00345310">
          <w:rPr>
            <w:rStyle w:val="Hipercze"/>
            <w:rFonts w:asciiTheme="minorHAnsi" w:hAnsiTheme="minorHAnsi" w:cstheme="minorHAnsi"/>
            <w:sz w:val="20"/>
            <w:szCs w:val="20"/>
            <w:lang w:val="en-GB"/>
          </w:rPr>
          <w:t>i-Micronews</w:t>
        </w:r>
        <w:proofErr w:type="spellEnd"/>
        <w:r w:rsidR="00542EE6" w:rsidRPr="00345310">
          <w:rPr>
            <w:rStyle w:val="Hipercze"/>
            <w:rFonts w:asciiTheme="minorHAnsi" w:hAnsiTheme="minorHAnsi" w:cstheme="minorHAnsi"/>
            <w:sz w:val="20"/>
            <w:szCs w:val="20"/>
            <w:lang w:val="en-GB"/>
          </w:rPr>
          <w:t xml:space="preserve"> (i-micronews.com)</w:t>
        </w:r>
      </w:hyperlink>
    </w:p>
    <w:p w14:paraId="643B9A2C" w14:textId="77777777" w:rsidR="00542EE6" w:rsidRPr="00345310" w:rsidRDefault="000E3F05" w:rsidP="00542EE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hyperlink r:id="rId22" w:history="1">
        <w:r w:rsidR="00542EE6" w:rsidRPr="00345310">
          <w:rPr>
            <w:rStyle w:val="Hipercze"/>
            <w:rFonts w:asciiTheme="minorHAnsi" w:hAnsiTheme="minorHAnsi" w:cstheme="minorHAnsi"/>
            <w:sz w:val="20"/>
            <w:szCs w:val="20"/>
            <w:lang w:val="en-GB"/>
          </w:rPr>
          <w:t xml:space="preserve">The recipe for a $100B wearable market - An interview with Maxim Integrated - </w:t>
        </w:r>
        <w:proofErr w:type="spellStart"/>
        <w:r w:rsidR="00542EE6" w:rsidRPr="00345310">
          <w:rPr>
            <w:rStyle w:val="Hipercze"/>
            <w:rFonts w:asciiTheme="minorHAnsi" w:hAnsiTheme="minorHAnsi" w:cstheme="minorHAnsi"/>
            <w:sz w:val="20"/>
            <w:szCs w:val="20"/>
            <w:lang w:val="en-GB"/>
          </w:rPr>
          <w:t>i-Micronews</w:t>
        </w:r>
        <w:proofErr w:type="spellEnd"/>
        <w:r w:rsidR="00542EE6" w:rsidRPr="00345310">
          <w:rPr>
            <w:rStyle w:val="Hipercze"/>
            <w:rFonts w:asciiTheme="minorHAnsi" w:hAnsiTheme="minorHAnsi" w:cstheme="minorHAnsi"/>
            <w:sz w:val="20"/>
            <w:szCs w:val="20"/>
            <w:lang w:val="en-GB"/>
          </w:rPr>
          <w:t xml:space="preserve"> (i-micronews.com)</w:t>
        </w:r>
      </w:hyperlink>
    </w:p>
    <w:p w14:paraId="5D968384" w14:textId="77777777" w:rsidR="00542EE6" w:rsidRPr="00345310" w:rsidRDefault="00542EE6" w:rsidP="00542EE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Heterogeneous Integration Roadmap </w:t>
      </w:r>
      <w:hyperlink r:id="rId23" w:history="1">
        <w:r w:rsidRPr="00345310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http://eps.ieee.org/hir</w:t>
        </w:r>
      </w:hyperlink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</w:p>
    <w:p w14:paraId="7240509E" w14:textId="77777777" w:rsidR="00542EE6" w:rsidRPr="00345310" w:rsidRDefault="00542EE6" w:rsidP="000E3F05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Study on the Electronics Ecosystem </w:t>
      </w:r>
      <w:hyperlink r:id="rId24" w:history="1">
        <w:r w:rsidRPr="00345310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http://www.decision.eu/wp-content/uploads/2020/02/DECISION_Study_Electronics_Ecosystem.pdf</w:t>
        </w:r>
      </w:hyperlink>
      <w:r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</w:p>
    <w:p w14:paraId="2861AC4B" w14:textId="77777777" w:rsidR="00542EE6" w:rsidRPr="00345310" w:rsidRDefault="000E3F05" w:rsidP="0057046E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hyperlink r:id="rId25" w:history="1">
        <w:r w:rsidR="00542EE6" w:rsidRPr="00345310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https://op.europa.eu/en/publication-detail/-/publication/8e442825-493f-11ea-b81b-01aa75ed71a1/language-en</w:t>
        </w:r>
      </w:hyperlink>
      <w:r w:rsidR="00542EE6" w:rsidRPr="00345310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</w:p>
    <w:p w14:paraId="461B8C7E" w14:textId="3882C4C2" w:rsidR="00542EE6" w:rsidRPr="0057046E" w:rsidRDefault="00542EE6" w:rsidP="0057046E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345310">
        <w:rPr>
          <w:rFonts w:asciiTheme="minorHAnsi" w:hAnsiTheme="minorHAnsi" w:cstheme="minorHAnsi"/>
          <w:sz w:val="20"/>
          <w:szCs w:val="20"/>
          <w:lang w:val="en-GB"/>
        </w:rPr>
        <w:t xml:space="preserve">Key Digital Technologies - The keys to our digital future – brochure </w:t>
      </w:r>
      <w:hyperlink r:id="rId26" w:history="1">
        <w:r w:rsidRPr="00345310">
          <w:rPr>
            <w:rStyle w:val="Hipercze"/>
            <w:rFonts w:asciiTheme="minorHAnsi" w:hAnsiTheme="minorHAnsi" w:cstheme="minorHAnsi"/>
            <w:sz w:val="20"/>
            <w:szCs w:val="20"/>
            <w:lang w:val="en-GB"/>
          </w:rPr>
          <w:t>https://digital-strategy.ec.europa.eu/en/node/347/printable/pdf</w:t>
        </w:r>
      </w:hyperlink>
      <w:r w:rsidRPr="0034531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0BC3281D" w14:textId="75FCBA1D" w:rsidR="00886916" w:rsidRDefault="00886916" w:rsidP="0057046E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European Chips Act - </w:t>
      </w:r>
      <w:hyperlink r:id="rId27" w:anchor="documents" w:history="1">
        <w:r w:rsidRPr="00297C2D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https://commission.europa.eu/strategy-and-policy/priorities-2019-2024/europe-fit-digital-age/european-chips-act_en#documents</w:t>
        </w:r>
      </w:hyperlink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hyperlink r:id="rId28" w:history="1">
        <w:r w:rsidRPr="00297C2D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https://digital-strategy.ec.europa.eu/en/library/european-chips-act-communication-regulation-joint-undertaking-and-recommendation</w:t>
        </w:r>
      </w:hyperlink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hyperlink r:id="rId29" w:history="1">
        <w:r w:rsidR="001A6261" w:rsidRPr="004D3DA5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https://eur-lex.europa.eu/legal-content/PL/TXT/HTML/?uri=CELEX:52022PC0046&amp;from=EN</w:t>
        </w:r>
      </w:hyperlink>
    </w:p>
    <w:p w14:paraId="49F532BF" w14:textId="3838B4BA" w:rsidR="001A6261" w:rsidRDefault="001A6261" w:rsidP="0057046E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Chips  Joint Undertaking act - </w:t>
      </w:r>
      <w:hyperlink r:id="rId30" w:history="1">
        <w:r w:rsidRPr="004D3DA5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https://eur-lex.europa.eu/legal-content/PL/TXT/HTML/?uri=CELEX:52022PC0047&amp;from=EN</w:t>
        </w:r>
      </w:hyperlink>
    </w:p>
    <w:p w14:paraId="6ADE8BBA" w14:textId="074B1F3E" w:rsidR="001A6261" w:rsidRPr="00345310" w:rsidRDefault="001A6261" w:rsidP="0057046E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7" w:line="240" w:lineRule="auto"/>
        <w:ind w:left="851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European Chips Act Staff Working Document - </w:t>
      </w:r>
    </w:p>
    <w:p w14:paraId="709EEF13" w14:textId="77777777" w:rsidR="005B56FC" w:rsidRPr="0057046E" w:rsidRDefault="005B56FC" w:rsidP="0023327D">
      <w:pPr>
        <w:pStyle w:val="Akapitzlist"/>
        <w:jc w:val="both"/>
        <w:rPr>
          <w:rFonts w:asciiTheme="minorHAnsi" w:hAnsiTheme="minorHAnsi" w:cstheme="minorHAnsi"/>
          <w:color w:val="000000"/>
          <w:sz w:val="20"/>
          <w:szCs w:val="20"/>
          <w:lang w:val="en-GB" w:eastAsia="pl-PL"/>
        </w:rPr>
      </w:pPr>
    </w:p>
    <w:p w14:paraId="3F7277B1" w14:textId="77777777" w:rsidR="005B56FC" w:rsidRPr="0057046E" w:rsidRDefault="005B56FC" w:rsidP="0023327D">
      <w:pPr>
        <w:pStyle w:val="Akapitzlist"/>
        <w:jc w:val="both"/>
        <w:rPr>
          <w:rFonts w:asciiTheme="minorHAnsi" w:hAnsiTheme="minorHAnsi" w:cstheme="minorHAnsi"/>
          <w:color w:val="000000"/>
          <w:sz w:val="20"/>
          <w:szCs w:val="20"/>
          <w:lang w:val="en-GB" w:eastAsia="pl-PL"/>
        </w:rPr>
      </w:pPr>
    </w:p>
    <w:p w14:paraId="31E4DEA2" w14:textId="615C1770" w:rsidR="005B56FC" w:rsidRPr="00345310" w:rsidRDefault="005B56FC" w:rsidP="0023327D">
      <w:pPr>
        <w:pStyle w:val="Akapitzlist"/>
        <w:autoSpaceDE w:val="0"/>
        <w:autoSpaceDN w:val="0"/>
        <w:adjustRightInd w:val="0"/>
        <w:spacing w:after="0" w:line="240" w:lineRule="auto"/>
        <w:ind w:left="880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b/>
          <w:color w:val="000000"/>
          <w:sz w:val="20"/>
          <w:szCs w:val="20"/>
          <w:lang w:val="en-GB" w:eastAsia="pl-PL"/>
        </w:rPr>
        <w:t xml:space="preserve">                                                            </w:t>
      </w:r>
      <w:r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ETAP II</w:t>
      </w:r>
    </w:p>
    <w:p w14:paraId="15214C5F" w14:textId="515E7C49" w:rsidR="00305132" w:rsidRPr="00345310" w:rsidRDefault="00305132" w:rsidP="0023327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5ABFC79" w14:textId="7DACBEFF" w:rsidR="00BB13AE" w:rsidRPr="00345310" w:rsidRDefault="001A40CD" w:rsidP="006D2429">
      <w:pPr>
        <w:pStyle w:val="Akapitzlist"/>
        <w:numPr>
          <w:ilvl w:val="0"/>
          <w:numId w:val="8"/>
        </w:numPr>
        <w:spacing w:before="360" w:after="24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45310">
        <w:rPr>
          <w:rFonts w:asciiTheme="minorHAnsi" w:hAnsiTheme="minorHAnsi" w:cstheme="minorHAnsi"/>
          <w:b/>
          <w:color w:val="000000"/>
          <w:sz w:val="20"/>
          <w:szCs w:val="20"/>
        </w:rPr>
        <w:t>Opracowanie bazy danych przedsiębiorstw</w:t>
      </w:r>
    </w:p>
    <w:p w14:paraId="695DF81C" w14:textId="77777777" w:rsidR="00305132" w:rsidRPr="00345310" w:rsidRDefault="00305132" w:rsidP="0023327D">
      <w:pPr>
        <w:pStyle w:val="Akapitzlist"/>
        <w:spacing w:before="360" w:after="24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E591464" w14:textId="18C9B12A" w:rsidR="005D150D" w:rsidRPr="0057046E" w:rsidRDefault="00D71731" w:rsidP="0057046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5310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Opracowanie</w:t>
      </w:r>
      <w:r w:rsidR="0051597B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660325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 terminie 4 tygodni </w:t>
      </w:r>
      <w:r w:rsidR="0051597B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baz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y</w:t>
      </w:r>
      <w:r w:rsidR="0051597B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wszystkich zidentyfikowanych aktywnych przedsiębiorstw branży </w:t>
      </w:r>
      <w:r w:rsidR="005C5071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elektronicznej, mikro-elektronicznej i </w:t>
      </w:r>
      <w:proofErr w:type="spellStart"/>
      <w:r w:rsidR="0051597B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fotonicznej</w:t>
      </w:r>
      <w:proofErr w:type="spellEnd"/>
      <w:r w:rsidR="0051597B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w Polsce</w:t>
      </w:r>
      <w:r w:rsidR="001D45EF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których zakres działalności jest w istotnym stopniu zbieżny  z zakresem tematycznym krajowej inteligentnej specjalizacji Elektronika i fotonika, określonym w opisie szczegółowym tej specjalizacji</w:t>
      </w:r>
      <w:r w:rsidR="00B77730">
        <w:rPr>
          <w:rStyle w:val="Odwoanieprzypisudolnego"/>
          <w:rFonts w:asciiTheme="minorHAnsi" w:hAnsiTheme="minorHAnsi" w:cstheme="minorHAnsi"/>
          <w:color w:val="000000"/>
          <w:sz w:val="20"/>
          <w:szCs w:val="20"/>
          <w:lang w:eastAsia="pl-PL"/>
        </w:rPr>
        <w:footnoteReference w:id="1"/>
      </w:r>
      <w:r w:rsidR="0051597B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. </w:t>
      </w:r>
      <w:r w:rsidR="00993C1C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Należy w bazie uwzględnić przedsiębiorstwa, które mają bezpośredni wpływ na tworzenie, rozwój i wdrażanie technologii oraz wytwarzanie produktów w oparciu o te</w:t>
      </w:r>
      <w:r w:rsidR="00E9064C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chnologi</w:t>
      </w:r>
      <w:r w:rsidR="00E9064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e</w:t>
      </w:r>
      <w:r w:rsidR="00E9064C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. </w:t>
      </w:r>
      <w:r w:rsidR="00993C1C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Do  tej kategorii nie zaliczają się przedsiębiorstwa, które wykorzystują te produkty do osiągania celów w swoich branżach nie powiązanych z branżą elektroniczną i </w:t>
      </w:r>
      <w:proofErr w:type="spellStart"/>
      <w:r w:rsidR="00993C1C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fotoniczną</w:t>
      </w:r>
      <w:proofErr w:type="spellEnd"/>
      <w:r w:rsidR="00993C1C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2FE6E670" w14:textId="77777777" w:rsidR="004843CB" w:rsidRPr="00345310" w:rsidRDefault="0051597B" w:rsidP="006D2429">
      <w:pPr>
        <w:pStyle w:val="Akapitzlist"/>
        <w:numPr>
          <w:ilvl w:val="1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Zakres danych umieszczonych w bazie powinien zawierać minimum: </w:t>
      </w:r>
    </w:p>
    <w:p w14:paraId="70CF5B9B" w14:textId="77777777" w:rsidR="004843CB" w:rsidRPr="00345310" w:rsidRDefault="0051597B" w:rsidP="006D2429">
      <w:pPr>
        <w:pStyle w:val="Akapitzlist"/>
        <w:numPr>
          <w:ilvl w:val="2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nazwę podmiotu;</w:t>
      </w:r>
    </w:p>
    <w:p w14:paraId="2704886A" w14:textId="77777777" w:rsidR="004843CB" w:rsidRPr="00345310" w:rsidRDefault="0051597B" w:rsidP="006D2429">
      <w:pPr>
        <w:pStyle w:val="Akapitzlist"/>
        <w:numPr>
          <w:ilvl w:val="2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formę prawną;</w:t>
      </w:r>
    </w:p>
    <w:p w14:paraId="3B7B5778" w14:textId="77777777" w:rsidR="004843CB" w:rsidRPr="00345310" w:rsidRDefault="0051597B" w:rsidP="006D2429">
      <w:pPr>
        <w:pStyle w:val="Akapitzlist"/>
        <w:numPr>
          <w:ilvl w:val="2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nr KRS/Regon/NIP;</w:t>
      </w:r>
    </w:p>
    <w:p w14:paraId="124F8D9D" w14:textId="77777777" w:rsidR="004843CB" w:rsidRPr="00345310" w:rsidRDefault="0051597B" w:rsidP="006D2429">
      <w:pPr>
        <w:pStyle w:val="Akapitzlist"/>
        <w:numPr>
          <w:ilvl w:val="2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dane kontaktowe (w tym: adres strony internetowej, e-mail, jeśli to możliwe osoby zarządzające i do kontaktów);</w:t>
      </w:r>
    </w:p>
    <w:p w14:paraId="3E76997C" w14:textId="3A8C6AA7" w:rsidR="004843CB" w:rsidRPr="00345310" w:rsidRDefault="0051597B" w:rsidP="006D2429">
      <w:pPr>
        <w:pStyle w:val="Akapitzlist"/>
        <w:numPr>
          <w:ilvl w:val="2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główne produkty/usługi</w:t>
      </w:r>
      <w:r w:rsidR="00363FCB" w:rsidRPr="000E3F05">
        <w:footnoteReference w:id="2"/>
      </w:r>
      <w:r w:rsidR="00606942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5C5071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 obszaru w/w branż 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oferowane przez przedsiębiorstwo</w:t>
      </w:r>
      <w:r w:rsidR="00C66F7F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z odniesieniem do właściwego punktu w opisie szczegółowym KIS </w:t>
      </w:r>
      <w:r w:rsidR="00DA143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9 </w:t>
      </w:r>
      <w:r w:rsidR="00C66F7F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Elektronika i fotonika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; </w:t>
      </w:r>
    </w:p>
    <w:p w14:paraId="63224551" w14:textId="6C8B0331" w:rsidR="004843CB" w:rsidRPr="00345310" w:rsidRDefault="005D150D" w:rsidP="006D2429">
      <w:pPr>
        <w:pStyle w:val="Akapitzlist"/>
        <w:numPr>
          <w:ilvl w:val="2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</w:t>
      </w:r>
      <w:r w:rsidR="006D3F21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rzychody </w:t>
      </w:r>
      <w:r w:rsidR="008552D9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 obszaru w/w branż </w:t>
      </w:r>
      <w:r w:rsidR="006D3F21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ramach działalności danego podmiotu (dopuszczalne są szacunki</w:t>
      </w:r>
      <w:r w:rsidR="00DA143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w przypadku braku danych w dostępnych bazach</w:t>
      </w:r>
      <w:r w:rsidR="006D3F21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) </w:t>
      </w:r>
    </w:p>
    <w:p w14:paraId="5FD65323" w14:textId="68581736" w:rsidR="004843CB" w:rsidRPr="00345310" w:rsidRDefault="006375F8" w:rsidP="006D2429">
      <w:pPr>
        <w:pStyle w:val="Akapitzlist"/>
        <w:numPr>
          <w:ilvl w:val="1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0E3F05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Baza nie może obejmować podmiotów takich</w:t>
      </w:r>
      <w:r w:rsidR="005D150D" w:rsidRPr="000E3F05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</w:t>
      </w:r>
      <w:r w:rsidRPr="000E3F05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jak:</w:t>
      </w:r>
    </w:p>
    <w:p w14:paraId="1F1942EA" w14:textId="77777777" w:rsidR="004843CB" w:rsidRPr="00345310" w:rsidRDefault="006375F8" w:rsidP="006D2429">
      <w:pPr>
        <w:pStyle w:val="Akapitzlist"/>
        <w:numPr>
          <w:ilvl w:val="2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0E3F05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Stowarzyszenia</w:t>
      </w:r>
    </w:p>
    <w:p w14:paraId="643644C3" w14:textId="48240654" w:rsidR="004843CB" w:rsidRPr="00345310" w:rsidRDefault="006375F8" w:rsidP="006D2429">
      <w:pPr>
        <w:pStyle w:val="Akapitzlist"/>
        <w:numPr>
          <w:ilvl w:val="2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0E3F05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Wydawcy i media</w:t>
      </w:r>
    </w:p>
    <w:p w14:paraId="44A7A01D" w14:textId="77777777" w:rsidR="004843CB" w:rsidRPr="00345310" w:rsidRDefault="006375F8" w:rsidP="006D2429">
      <w:pPr>
        <w:pStyle w:val="Akapitzlist"/>
        <w:numPr>
          <w:ilvl w:val="2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0E3F05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Firmy konsultingowe </w:t>
      </w:r>
    </w:p>
    <w:p w14:paraId="003A1C30" w14:textId="77777777" w:rsidR="004843CB" w:rsidRPr="00345310" w:rsidRDefault="006375F8" w:rsidP="006D2429">
      <w:pPr>
        <w:pStyle w:val="Akapitzlist"/>
        <w:numPr>
          <w:ilvl w:val="2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0E3F05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Kancelarie prawne</w:t>
      </w:r>
    </w:p>
    <w:p w14:paraId="5D427752" w14:textId="77777777" w:rsidR="00DA143A" w:rsidRPr="0057046E" w:rsidRDefault="00BA39E8" w:rsidP="006D2429">
      <w:pPr>
        <w:pStyle w:val="Akapitzlist"/>
        <w:numPr>
          <w:ilvl w:val="1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lastRenderedPageBreak/>
        <w:t xml:space="preserve">Wykonawca przygotuje </w:t>
      </w:r>
      <w:r w:rsidR="00BB13AE" w:rsidRPr="00345310">
        <w:rPr>
          <w:rFonts w:asciiTheme="minorHAnsi" w:hAnsiTheme="minorHAnsi" w:cstheme="minorHAnsi"/>
          <w:sz w:val="20"/>
          <w:szCs w:val="20"/>
        </w:rPr>
        <w:t>b</w:t>
      </w:r>
      <w:r w:rsidRPr="00345310">
        <w:rPr>
          <w:rFonts w:asciiTheme="minorHAnsi" w:hAnsiTheme="minorHAnsi" w:cstheme="minorHAnsi"/>
          <w:sz w:val="20"/>
          <w:szCs w:val="20"/>
        </w:rPr>
        <w:t>azę</w:t>
      </w:r>
      <w:r w:rsidR="006375F8" w:rsidRPr="00345310">
        <w:rPr>
          <w:rFonts w:asciiTheme="minorHAnsi" w:hAnsiTheme="minorHAnsi" w:cstheme="minorHAnsi"/>
          <w:sz w:val="20"/>
          <w:szCs w:val="20"/>
        </w:rPr>
        <w:t xml:space="preserve"> </w:t>
      </w:r>
      <w:r w:rsidRPr="00345310">
        <w:rPr>
          <w:rFonts w:asciiTheme="minorHAnsi" w:hAnsiTheme="minorHAnsi" w:cstheme="minorHAnsi"/>
          <w:sz w:val="20"/>
          <w:szCs w:val="20"/>
        </w:rPr>
        <w:t>w formacie zapewniającym możliwość przeszukiwania</w:t>
      </w:r>
      <w:r w:rsidR="002A6976" w:rsidRPr="00345310">
        <w:rPr>
          <w:rFonts w:asciiTheme="minorHAnsi" w:hAnsiTheme="minorHAnsi" w:cstheme="minorHAnsi"/>
          <w:sz w:val="20"/>
          <w:szCs w:val="20"/>
        </w:rPr>
        <w:t xml:space="preserve"> i przetwarzania (operacji na) danych</w:t>
      </w:r>
      <w:r w:rsidRPr="00345310">
        <w:rPr>
          <w:rFonts w:asciiTheme="minorHAnsi" w:hAnsiTheme="minorHAnsi" w:cstheme="minorHAnsi"/>
          <w:sz w:val="20"/>
          <w:szCs w:val="20"/>
        </w:rPr>
        <w:t>.</w:t>
      </w:r>
      <w:r w:rsidR="006375F8" w:rsidRPr="0034531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77D464" w14:textId="11F31562" w:rsidR="004843CB" w:rsidRPr="00345310" w:rsidRDefault="00DA143A" w:rsidP="006D2429">
      <w:pPr>
        <w:pStyle w:val="Akapitzlist"/>
        <w:numPr>
          <w:ilvl w:val="1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</w:t>
      </w:r>
      <w:r w:rsidRPr="00DA143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kreślenie populacji przedsiębiorstw w branży elektronicznej i </w:t>
      </w:r>
      <w:proofErr w:type="spellStart"/>
      <w:r w:rsidRPr="00DA143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fotonicznej</w:t>
      </w:r>
      <w:proofErr w:type="spellEnd"/>
      <w:r w:rsidRPr="00DA143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stanowi przedmiot</w:t>
      </w:r>
      <w:r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2E5D5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zamówienia i do Wykonawcy należy zidentyfikowanie podmiotów i zebranie o nich niezbędnych danych</w:t>
      </w:r>
    </w:p>
    <w:p w14:paraId="25BEFAEE" w14:textId="5667FC29" w:rsidR="006375F8" w:rsidRPr="0057046E" w:rsidRDefault="0051597B" w:rsidP="00DA143A">
      <w:pPr>
        <w:pStyle w:val="Akapitzlist"/>
        <w:numPr>
          <w:ilvl w:val="1"/>
          <w:numId w:val="8"/>
        </w:numPr>
        <w:spacing w:before="360" w:after="24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Pełna baza </w:t>
      </w:r>
      <w:r w:rsidR="00542A36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rzedsiębiorstw zebrana przez Wykonawcę zostanie przekazana </w:t>
      </w:r>
      <w:r w:rsidR="00BB13AE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do akceptacji Zamawiającemu. </w:t>
      </w:r>
    </w:p>
    <w:p w14:paraId="0ACF987B" w14:textId="77777777" w:rsidR="0051597B" w:rsidRPr="00345310" w:rsidRDefault="0051597B" w:rsidP="0023327D">
      <w:pPr>
        <w:pStyle w:val="Akapitzlist"/>
        <w:autoSpaceDE w:val="0"/>
        <w:autoSpaceDN w:val="0"/>
        <w:adjustRightInd w:val="0"/>
        <w:spacing w:after="7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3AC73917" w14:textId="16122830" w:rsidR="0051597B" w:rsidRPr="00345310" w:rsidRDefault="009770CF" w:rsidP="003A343C">
      <w:pPr>
        <w:pStyle w:val="Akapitzlist"/>
        <w:autoSpaceDE w:val="0"/>
        <w:autoSpaceDN w:val="0"/>
        <w:adjustRightInd w:val="0"/>
        <w:spacing w:after="7" w:line="240" w:lineRule="auto"/>
        <w:ind w:left="3552" w:firstLine="696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ETAP II</w:t>
      </w:r>
      <w:r w:rsidR="00B91574"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I</w:t>
      </w:r>
    </w:p>
    <w:p w14:paraId="6F811E29" w14:textId="77777777" w:rsidR="007B5133" w:rsidRPr="00345310" w:rsidRDefault="007B5133" w:rsidP="0023327D">
      <w:pPr>
        <w:pStyle w:val="Akapitzlist"/>
        <w:autoSpaceDE w:val="0"/>
        <w:autoSpaceDN w:val="0"/>
        <w:adjustRightInd w:val="0"/>
        <w:spacing w:after="7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14:paraId="320F6F35" w14:textId="45E5CD9E" w:rsidR="00BF1B84" w:rsidRPr="00345310" w:rsidRDefault="00197B25" w:rsidP="006E4F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7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W terminie </w:t>
      </w:r>
      <w:r w:rsidR="00AA53E7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1</w:t>
      </w:r>
      <w:r w:rsidR="00660325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2</w:t>
      </w:r>
      <w:r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 tygodni</w:t>
      </w:r>
      <w:r w:rsidR="008804A1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 od dnia akceptacji przez Zamawiającego </w:t>
      </w:r>
      <w:r w:rsidR="00B91574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prawidłowego wykonania Etapu II</w:t>
      </w:r>
      <w:r w:rsidR="00734640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2D4088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</w:t>
      </w:r>
      <w:r w:rsidR="00734640"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dostarczy Zamawiającemu</w:t>
      </w:r>
      <w:r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raport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1B1045" w:rsidRPr="0034531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analityczny</w:t>
      </w:r>
      <w:r w:rsidR="001B1045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uwzględniający </w:t>
      </w:r>
      <w:r w:rsidR="00397986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niżej wymienione 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zagadnienia: </w:t>
      </w:r>
    </w:p>
    <w:p w14:paraId="08D93D93" w14:textId="77777777" w:rsidR="00BF1B84" w:rsidRPr="00345310" w:rsidRDefault="00BF1B84" w:rsidP="0023327D">
      <w:pPr>
        <w:pStyle w:val="Akapitzlist"/>
        <w:autoSpaceDE w:val="0"/>
        <w:autoSpaceDN w:val="0"/>
        <w:adjustRightInd w:val="0"/>
        <w:spacing w:after="7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4D4D3B78" w14:textId="76C545EC" w:rsidR="00D52016" w:rsidRPr="00345310" w:rsidRDefault="006E4F24" w:rsidP="006E4F24">
      <w:pPr>
        <w:pStyle w:val="Akapitzlist"/>
        <w:autoSpaceDE w:val="0"/>
        <w:autoSpaceDN w:val="0"/>
        <w:adjustRightInd w:val="0"/>
        <w:spacing w:after="7" w:line="240" w:lineRule="auto"/>
        <w:ind w:left="708" w:hanging="42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3.1</w:t>
      </w:r>
      <w:r w:rsidRPr="00345310">
        <w:rPr>
          <w:rFonts w:asciiTheme="minorHAnsi" w:hAnsiTheme="minorHAnsi" w:cstheme="minorHAnsi"/>
          <w:sz w:val="20"/>
          <w:szCs w:val="20"/>
        </w:rPr>
        <w:tab/>
      </w:r>
      <w:r w:rsidR="00D52016"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Określenie obecnego potencjału rozwojowego branż elektronicznej </w:t>
      </w:r>
      <w:r w:rsidR="00D52016" w:rsidRPr="00345310">
        <w:rPr>
          <w:rFonts w:asciiTheme="minorHAnsi" w:hAnsiTheme="minorHAnsi" w:cstheme="minorHAnsi"/>
          <w:sz w:val="20"/>
          <w:szCs w:val="20"/>
        </w:rPr>
        <w:t xml:space="preserve">(w tym mikroelektroniki </w:t>
      </w:r>
      <w:r w:rsidR="00D52016" w:rsidRPr="00345310">
        <w:rPr>
          <w:rFonts w:asciiTheme="minorHAnsi" w:hAnsiTheme="minorHAnsi" w:cstheme="minorHAnsi"/>
          <w:sz w:val="20"/>
          <w:szCs w:val="20"/>
        </w:rPr>
        <w:br/>
        <w:t xml:space="preserve">i </w:t>
      </w:r>
      <w:proofErr w:type="spellStart"/>
      <w:r w:rsidR="00D52016" w:rsidRPr="00345310">
        <w:rPr>
          <w:rFonts w:asciiTheme="minorHAnsi" w:hAnsiTheme="minorHAnsi" w:cstheme="minorHAnsi"/>
          <w:sz w:val="20"/>
          <w:szCs w:val="20"/>
        </w:rPr>
        <w:t>sensoryki</w:t>
      </w:r>
      <w:proofErr w:type="spellEnd"/>
      <w:r w:rsidR="00D52016" w:rsidRPr="00345310">
        <w:rPr>
          <w:rFonts w:asciiTheme="minorHAnsi" w:hAnsiTheme="minorHAnsi" w:cstheme="minorHAnsi"/>
          <w:sz w:val="20"/>
          <w:szCs w:val="20"/>
        </w:rPr>
        <w:t xml:space="preserve">) </w:t>
      </w:r>
      <w:r w:rsidR="00D52016"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proofErr w:type="spellStart"/>
      <w:r w:rsidR="00D52016" w:rsidRPr="00345310">
        <w:rPr>
          <w:rFonts w:asciiTheme="minorHAnsi" w:hAnsiTheme="minorHAnsi" w:cstheme="minorHAnsi"/>
          <w:color w:val="000000"/>
          <w:sz w:val="20"/>
          <w:szCs w:val="20"/>
        </w:rPr>
        <w:t>fotonicznej</w:t>
      </w:r>
      <w:proofErr w:type="spellEnd"/>
      <w:r w:rsidR="00D52016"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w Polsce, w tym:</w:t>
      </w:r>
    </w:p>
    <w:p w14:paraId="091866C6" w14:textId="77777777" w:rsidR="006E4F24" w:rsidRPr="00345310" w:rsidRDefault="006E4F24" w:rsidP="006E4F24">
      <w:pPr>
        <w:pStyle w:val="Akapitzlist"/>
        <w:autoSpaceDE w:val="0"/>
        <w:autoSpaceDN w:val="0"/>
        <w:adjustRightInd w:val="0"/>
        <w:spacing w:after="7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7745DEA" w14:textId="5D46507F" w:rsidR="001F7EF6" w:rsidRPr="00345310" w:rsidRDefault="00D52016" w:rsidP="006D2429">
      <w:pPr>
        <w:pStyle w:val="Akapitzlist"/>
        <w:numPr>
          <w:ilvl w:val="7"/>
          <w:numId w:val="6"/>
        </w:numPr>
        <w:autoSpaceDE w:val="0"/>
        <w:autoSpaceDN w:val="0"/>
        <w:adjustRightInd w:val="0"/>
        <w:spacing w:after="7" w:line="240" w:lineRule="auto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ocena </w:t>
      </w:r>
      <w:r w:rsidR="000A7250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jakoś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ci</w:t>
      </w:r>
      <w:r w:rsidR="000A7250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zasobów ludz</w:t>
      </w:r>
      <w:r w:rsidR="001B1045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kich </w:t>
      </w:r>
      <w:r w:rsidR="00AD32D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(rozumianego jako stopnia dopasowania </w:t>
      </w:r>
      <w:r w:rsidR="00757CB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tych </w:t>
      </w:r>
      <w:r w:rsidR="00757CBC" w:rsidRPr="00757CB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zasobów do bieżących i przyszłych</w:t>
      </w:r>
      <w:r w:rsidR="00757CB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, </w:t>
      </w:r>
      <w:r w:rsidR="00757CBC" w:rsidRPr="00757CB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wynikających z przewidywalnego rozwoju technologicznego</w:t>
      </w:r>
      <w:r w:rsidR="00757CB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</w:t>
      </w:r>
      <w:r w:rsidR="00757CBC" w:rsidRPr="00757CB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potrzeb przedsiębiorstw i branży w kraju</w:t>
      </w:r>
      <w:r w:rsidR="00757CB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)</w:t>
      </w:r>
      <w:r w:rsidR="00757CBC" w:rsidRPr="00757CB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  <w:r w:rsidR="00757CB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1B1045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związanych z 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wymienionymi branżami</w:t>
      </w:r>
      <w:r w:rsidR="001B1045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wraz z określeniem deficytu kompetencji;</w:t>
      </w:r>
    </w:p>
    <w:p w14:paraId="2F2AD9EA" w14:textId="09F5A443" w:rsidR="001F7EF6" w:rsidRPr="00345310" w:rsidRDefault="001B1045" w:rsidP="006D2429">
      <w:pPr>
        <w:pStyle w:val="Akapitzlist"/>
        <w:numPr>
          <w:ilvl w:val="7"/>
          <w:numId w:val="6"/>
        </w:numPr>
        <w:autoSpaceDE w:val="0"/>
        <w:autoSpaceDN w:val="0"/>
        <w:adjustRightInd w:val="0"/>
        <w:spacing w:after="7" w:line="240" w:lineRule="auto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ocena potencjału </w:t>
      </w:r>
      <w:r w:rsidR="001A40CD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przedsiębiorstw oraz </w:t>
      </w:r>
      <w:r w:rsidR="00D52016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organizacji badawczych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do tworzenia i rozwijania </w:t>
      </w:r>
      <w:r w:rsidR="00A6074F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technologii</w:t>
      </w:r>
      <w:r w:rsidR="00BF1B8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kluczowych dla rozwoju wskazanych branż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;</w:t>
      </w:r>
    </w:p>
    <w:p w14:paraId="1A8E4D04" w14:textId="3F3193F8" w:rsidR="000117FC" w:rsidRPr="00345310" w:rsidRDefault="00D52016" w:rsidP="006D2429">
      <w:pPr>
        <w:pStyle w:val="Akapitzlist"/>
        <w:numPr>
          <w:ilvl w:val="7"/>
          <w:numId w:val="6"/>
        </w:numPr>
        <w:autoSpaceDE w:val="0"/>
        <w:autoSpaceDN w:val="0"/>
        <w:adjustRightInd w:val="0"/>
        <w:spacing w:after="7" w:line="240" w:lineRule="auto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wskazanie barier i potrzeb rozwojowych wymienionych branż</w:t>
      </w:r>
      <w:r w:rsidR="006E4F2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;</w:t>
      </w:r>
    </w:p>
    <w:p w14:paraId="1939C154" w14:textId="6C065DD1" w:rsidR="000117FC" w:rsidRPr="00345310" w:rsidRDefault="000117FC" w:rsidP="006D2429">
      <w:pPr>
        <w:pStyle w:val="Akapitzlist"/>
        <w:numPr>
          <w:ilvl w:val="7"/>
          <w:numId w:val="6"/>
        </w:numPr>
        <w:autoSpaceDE w:val="0"/>
        <w:autoSpaceDN w:val="0"/>
        <w:adjustRightInd w:val="0"/>
        <w:spacing w:after="7" w:line="240" w:lineRule="auto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identyfikacja procesów, mechanizmów oraz czynników kształtujących rozwój technologii </w:t>
      </w:r>
      <w:r w:rsidR="006E4F2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wymienionych branżach;</w:t>
      </w:r>
    </w:p>
    <w:p w14:paraId="08EC0E40" w14:textId="57BA809E" w:rsidR="00D52016" w:rsidRPr="00345310" w:rsidRDefault="000117FC" w:rsidP="006D2429">
      <w:pPr>
        <w:pStyle w:val="Akapitzlist"/>
        <w:numPr>
          <w:ilvl w:val="7"/>
          <w:numId w:val="6"/>
        </w:numPr>
        <w:autoSpaceDE w:val="0"/>
        <w:autoSpaceDN w:val="0"/>
        <w:adjustRightInd w:val="0"/>
        <w:spacing w:after="7" w:line="240" w:lineRule="auto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określenie znaczenia branż elektronicznej i </w:t>
      </w:r>
      <w:proofErr w:type="spellStart"/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fotonicznej</w:t>
      </w:r>
      <w:proofErr w:type="spellEnd"/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w gospodarce (w tym wskaźniki i dane ekonomiczno-finansowe);</w:t>
      </w:r>
    </w:p>
    <w:p w14:paraId="3D67DA1E" w14:textId="6D551985" w:rsidR="001B1045" w:rsidRPr="00345310" w:rsidRDefault="000A7250" w:rsidP="006D2429">
      <w:pPr>
        <w:pStyle w:val="Akapitzlist"/>
        <w:numPr>
          <w:ilvl w:val="7"/>
          <w:numId w:val="6"/>
        </w:numPr>
        <w:autoSpaceDE w:val="0"/>
        <w:autoSpaceDN w:val="0"/>
        <w:adjustRightInd w:val="0"/>
        <w:spacing w:after="7" w:line="240" w:lineRule="auto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inne niezbędne zagadnienia/aspekty do oceny potencjału </w:t>
      </w:r>
      <w:r w:rsidR="00BF1B8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innowacyjnego i 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gospodarczego </w:t>
      </w:r>
      <w:r w:rsidR="00BF1B8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wskazanych branż</w:t>
      </w: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1BF09E7F" w14:textId="77777777" w:rsidR="00E200F4" w:rsidRPr="00345310" w:rsidRDefault="00E200F4" w:rsidP="0023327D">
      <w:pPr>
        <w:pStyle w:val="Akapitzlist"/>
        <w:autoSpaceDE w:val="0"/>
        <w:autoSpaceDN w:val="0"/>
        <w:adjustRightInd w:val="0"/>
        <w:spacing w:after="7" w:line="24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</w:p>
    <w:p w14:paraId="1C653241" w14:textId="062548CF" w:rsidR="003B1CDF" w:rsidRPr="00345310" w:rsidRDefault="006E4F24" w:rsidP="0023327D">
      <w:pPr>
        <w:autoSpaceDE w:val="0"/>
        <w:autoSpaceDN w:val="0"/>
        <w:adjustRightInd w:val="0"/>
        <w:spacing w:after="7" w:line="240" w:lineRule="auto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3.2</w:t>
      </w:r>
      <w:r w:rsidRPr="00345310">
        <w:rPr>
          <w:rFonts w:asciiTheme="minorHAnsi" w:hAnsiTheme="minorHAnsi" w:cstheme="minorHAnsi"/>
          <w:sz w:val="20"/>
          <w:szCs w:val="20"/>
        </w:rPr>
        <w:tab/>
      </w:r>
      <w:r w:rsidR="001A40CD" w:rsidRPr="00345310">
        <w:rPr>
          <w:rFonts w:asciiTheme="minorHAnsi" w:hAnsiTheme="minorHAnsi" w:cstheme="minorHAnsi"/>
          <w:sz w:val="20"/>
          <w:szCs w:val="20"/>
        </w:rPr>
        <w:t>O</w:t>
      </w:r>
      <w:r w:rsidR="000117FC" w:rsidRPr="00345310">
        <w:rPr>
          <w:rFonts w:asciiTheme="minorHAnsi" w:hAnsiTheme="minorHAnsi" w:cstheme="minorHAnsi"/>
          <w:sz w:val="20"/>
          <w:szCs w:val="20"/>
        </w:rPr>
        <w:t>kreślenie</w:t>
      </w:r>
      <w:r w:rsidR="001A40CD" w:rsidRPr="00345310">
        <w:rPr>
          <w:rFonts w:asciiTheme="minorHAnsi" w:hAnsiTheme="minorHAnsi" w:cstheme="minorHAnsi"/>
          <w:sz w:val="20"/>
          <w:szCs w:val="20"/>
        </w:rPr>
        <w:t xml:space="preserve"> nisz rynkowych i trendów rozwojowych w obszarze</w:t>
      </w:r>
      <w:r w:rsidR="00A6074F" w:rsidRPr="00345310">
        <w:rPr>
          <w:rFonts w:asciiTheme="minorHAnsi" w:hAnsiTheme="minorHAnsi" w:cstheme="minorHAnsi"/>
          <w:sz w:val="20"/>
          <w:szCs w:val="20"/>
        </w:rPr>
        <w:t xml:space="preserve"> elektroniki i</w:t>
      </w:r>
      <w:r w:rsidR="001A40CD" w:rsidRPr="00345310">
        <w:rPr>
          <w:rFonts w:asciiTheme="minorHAnsi" w:hAnsiTheme="minorHAnsi" w:cstheme="minorHAnsi"/>
          <w:sz w:val="20"/>
          <w:szCs w:val="20"/>
        </w:rPr>
        <w:t xml:space="preserve"> fotoniki</w:t>
      </w:r>
      <w:r w:rsidR="009A247F" w:rsidRPr="00345310">
        <w:rPr>
          <w:rFonts w:asciiTheme="minorHAnsi" w:hAnsiTheme="minorHAnsi" w:cstheme="minorHAnsi"/>
          <w:sz w:val="20"/>
          <w:szCs w:val="20"/>
        </w:rPr>
        <w:t>:</w:t>
      </w:r>
    </w:p>
    <w:p w14:paraId="5F66E219" w14:textId="77777777" w:rsidR="006E4F24" w:rsidRPr="00345310" w:rsidRDefault="006E4F24" w:rsidP="0023327D">
      <w:pPr>
        <w:autoSpaceDE w:val="0"/>
        <w:autoSpaceDN w:val="0"/>
        <w:adjustRightInd w:val="0"/>
        <w:spacing w:after="7" w:line="240" w:lineRule="auto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5F8D5F04" w14:textId="71DC6034" w:rsidR="001F7EF6" w:rsidRPr="00345310" w:rsidRDefault="001F7EF6" w:rsidP="0023327D">
      <w:pPr>
        <w:tabs>
          <w:tab w:val="left" w:pos="1276"/>
        </w:tabs>
        <w:autoSpaceDE w:val="0"/>
        <w:autoSpaceDN w:val="0"/>
        <w:adjustRightInd w:val="0"/>
        <w:spacing w:after="7" w:line="240" w:lineRule="auto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 xml:space="preserve">a. </w:t>
      </w:r>
      <w:r w:rsidR="002D4088" w:rsidRPr="00345310">
        <w:rPr>
          <w:rFonts w:asciiTheme="minorHAnsi" w:hAnsiTheme="minorHAnsi" w:cstheme="minorHAnsi"/>
          <w:sz w:val="20"/>
          <w:szCs w:val="20"/>
        </w:rPr>
        <w:tab/>
      </w:r>
      <w:r w:rsidR="009A247F" w:rsidRPr="00345310">
        <w:rPr>
          <w:rFonts w:asciiTheme="minorHAnsi" w:hAnsiTheme="minorHAnsi" w:cstheme="minorHAnsi"/>
          <w:sz w:val="20"/>
          <w:szCs w:val="20"/>
        </w:rPr>
        <w:t xml:space="preserve">analiza zgłoszeń patentowych </w:t>
      </w:r>
      <w:r w:rsidR="00D52016" w:rsidRPr="00345310">
        <w:rPr>
          <w:rFonts w:asciiTheme="minorHAnsi" w:hAnsiTheme="minorHAnsi" w:cstheme="minorHAnsi"/>
          <w:sz w:val="20"/>
          <w:szCs w:val="20"/>
        </w:rPr>
        <w:t xml:space="preserve">zidentyfikowanych podmiotów </w:t>
      </w:r>
      <w:r w:rsidR="009A247F" w:rsidRPr="00345310">
        <w:rPr>
          <w:rFonts w:asciiTheme="minorHAnsi" w:hAnsiTheme="minorHAnsi" w:cstheme="minorHAnsi"/>
          <w:sz w:val="20"/>
          <w:szCs w:val="20"/>
        </w:rPr>
        <w:t xml:space="preserve">oraz </w:t>
      </w:r>
      <w:r w:rsidR="002D4088" w:rsidRPr="00345310">
        <w:rPr>
          <w:rFonts w:asciiTheme="minorHAnsi" w:hAnsiTheme="minorHAnsi" w:cstheme="minorHAnsi"/>
          <w:sz w:val="20"/>
          <w:szCs w:val="20"/>
        </w:rPr>
        <w:t xml:space="preserve">prowadzonych </w:t>
      </w:r>
      <w:r w:rsidR="00D52016" w:rsidRPr="00345310">
        <w:rPr>
          <w:rFonts w:asciiTheme="minorHAnsi" w:hAnsiTheme="minorHAnsi" w:cstheme="minorHAnsi"/>
          <w:sz w:val="20"/>
          <w:szCs w:val="20"/>
        </w:rPr>
        <w:t xml:space="preserve">przez nie </w:t>
      </w:r>
      <w:r w:rsidR="002D4088" w:rsidRPr="00345310">
        <w:rPr>
          <w:rFonts w:asciiTheme="minorHAnsi" w:hAnsiTheme="minorHAnsi" w:cstheme="minorHAnsi"/>
          <w:sz w:val="20"/>
          <w:szCs w:val="20"/>
        </w:rPr>
        <w:t xml:space="preserve">prac </w:t>
      </w:r>
      <w:r w:rsidR="009A247F" w:rsidRPr="00345310">
        <w:rPr>
          <w:rFonts w:asciiTheme="minorHAnsi" w:hAnsiTheme="minorHAnsi" w:cstheme="minorHAnsi"/>
          <w:sz w:val="20"/>
          <w:szCs w:val="20"/>
        </w:rPr>
        <w:t>badawczo-rozwojowych ze wskazaniem poziomu technologicznego (TRL)</w:t>
      </w:r>
      <w:r w:rsidR="00806B42" w:rsidRPr="00345310">
        <w:rPr>
          <w:rFonts w:asciiTheme="minorHAnsi" w:hAnsiTheme="minorHAnsi" w:cstheme="minorHAnsi"/>
          <w:sz w:val="20"/>
          <w:szCs w:val="20"/>
        </w:rPr>
        <w:t xml:space="preserve"> </w:t>
      </w:r>
      <w:r w:rsidR="00D52016" w:rsidRPr="00345310">
        <w:rPr>
          <w:rFonts w:asciiTheme="minorHAnsi" w:hAnsiTheme="minorHAnsi" w:cstheme="minorHAnsi"/>
          <w:sz w:val="20"/>
          <w:szCs w:val="20"/>
        </w:rPr>
        <w:t>i</w:t>
      </w:r>
      <w:r w:rsidR="00806B42" w:rsidRPr="00345310">
        <w:rPr>
          <w:rFonts w:asciiTheme="minorHAnsi" w:hAnsiTheme="minorHAnsi" w:cstheme="minorHAnsi"/>
          <w:sz w:val="20"/>
          <w:szCs w:val="20"/>
        </w:rPr>
        <w:t xml:space="preserve"> </w:t>
      </w:r>
      <w:r w:rsidR="00F274C6" w:rsidRPr="00345310">
        <w:rPr>
          <w:rFonts w:asciiTheme="minorHAnsi" w:hAnsiTheme="minorHAnsi" w:cstheme="minorHAnsi"/>
          <w:sz w:val="20"/>
          <w:szCs w:val="20"/>
        </w:rPr>
        <w:t xml:space="preserve">kierunków (branży) </w:t>
      </w:r>
      <w:r w:rsidR="00806B42" w:rsidRPr="00345310">
        <w:rPr>
          <w:rFonts w:asciiTheme="minorHAnsi" w:hAnsiTheme="minorHAnsi" w:cstheme="minorHAnsi"/>
          <w:sz w:val="20"/>
          <w:szCs w:val="20"/>
        </w:rPr>
        <w:t>pra</w:t>
      </w:r>
      <w:r w:rsidR="00F274C6" w:rsidRPr="00345310">
        <w:rPr>
          <w:rFonts w:asciiTheme="minorHAnsi" w:hAnsiTheme="minorHAnsi" w:cstheme="minorHAnsi"/>
          <w:sz w:val="20"/>
          <w:szCs w:val="20"/>
        </w:rPr>
        <w:t>ktycznych zastosowań</w:t>
      </w:r>
      <w:r w:rsidR="00D52016" w:rsidRPr="00345310">
        <w:rPr>
          <w:rFonts w:asciiTheme="minorHAnsi" w:hAnsiTheme="minorHAnsi" w:cstheme="minorHAnsi"/>
          <w:sz w:val="20"/>
          <w:szCs w:val="20"/>
        </w:rPr>
        <w:t xml:space="preserve"> określonych rozwiązań technologicznych</w:t>
      </w:r>
      <w:r w:rsidR="006E4F24" w:rsidRPr="00345310">
        <w:rPr>
          <w:rFonts w:asciiTheme="minorHAnsi" w:hAnsiTheme="minorHAnsi" w:cstheme="minorHAnsi"/>
          <w:sz w:val="20"/>
          <w:szCs w:val="20"/>
        </w:rPr>
        <w:t>;</w:t>
      </w:r>
      <w:r w:rsidR="00DA143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14:paraId="04A27DC9" w14:textId="09C752F3" w:rsidR="001F7EF6" w:rsidRPr="00345310" w:rsidRDefault="001F7EF6" w:rsidP="0023327D">
      <w:pPr>
        <w:tabs>
          <w:tab w:val="left" w:pos="1276"/>
        </w:tabs>
        <w:autoSpaceDE w:val="0"/>
        <w:autoSpaceDN w:val="0"/>
        <w:adjustRightInd w:val="0"/>
        <w:spacing w:after="7" w:line="240" w:lineRule="auto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 xml:space="preserve">b. </w:t>
      </w:r>
      <w:r w:rsidR="002D4088" w:rsidRPr="00345310">
        <w:rPr>
          <w:rFonts w:asciiTheme="minorHAnsi" w:hAnsiTheme="minorHAnsi" w:cstheme="minorHAnsi"/>
          <w:sz w:val="20"/>
          <w:szCs w:val="20"/>
        </w:rPr>
        <w:tab/>
      </w:r>
      <w:r w:rsidR="00806B42" w:rsidRPr="00345310">
        <w:rPr>
          <w:rFonts w:asciiTheme="minorHAnsi" w:hAnsiTheme="minorHAnsi" w:cstheme="minorHAnsi"/>
          <w:sz w:val="20"/>
          <w:szCs w:val="20"/>
        </w:rPr>
        <w:t xml:space="preserve">identyfikacja wyzwań społeczno-gospodarczych i globalnych trendów rozwojowych </w:t>
      </w:r>
      <w:r w:rsidR="002D4088" w:rsidRPr="00345310">
        <w:rPr>
          <w:rFonts w:asciiTheme="minorHAnsi" w:hAnsiTheme="minorHAnsi" w:cstheme="minorHAnsi"/>
          <w:sz w:val="20"/>
          <w:szCs w:val="20"/>
        </w:rPr>
        <w:br/>
      </w:r>
      <w:r w:rsidR="00806B42" w:rsidRPr="00345310">
        <w:rPr>
          <w:rFonts w:asciiTheme="minorHAnsi" w:hAnsiTheme="minorHAnsi" w:cstheme="minorHAnsi"/>
          <w:sz w:val="20"/>
          <w:szCs w:val="20"/>
        </w:rPr>
        <w:t xml:space="preserve">w obszarze </w:t>
      </w:r>
      <w:r w:rsidR="00A6074F" w:rsidRPr="00345310">
        <w:rPr>
          <w:rFonts w:asciiTheme="minorHAnsi" w:hAnsiTheme="minorHAnsi" w:cstheme="minorHAnsi"/>
          <w:sz w:val="20"/>
          <w:szCs w:val="20"/>
        </w:rPr>
        <w:t xml:space="preserve">elektroniki i </w:t>
      </w:r>
      <w:r w:rsidR="00806B42" w:rsidRPr="00345310">
        <w:rPr>
          <w:rFonts w:asciiTheme="minorHAnsi" w:hAnsiTheme="minorHAnsi" w:cstheme="minorHAnsi"/>
          <w:sz w:val="20"/>
          <w:szCs w:val="20"/>
        </w:rPr>
        <w:t>fotoniki z odniesieniem do uwarunkowań społeczno-gospodarczych Polski</w:t>
      </w:r>
      <w:r w:rsidR="006E4F24" w:rsidRPr="00345310">
        <w:rPr>
          <w:rFonts w:asciiTheme="minorHAnsi" w:hAnsiTheme="minorHAnsi" w:cstheme="minorHAnsi"/>
          <w:sz w:val="20"/>
          <w:szCs w:val="20"/>
        </w:rPr>
        <w:t>;</w:t>
      </w:r>
    </w:p>
    <w:p w14:paraId="2C0FFDC1" w14:textId="4568D055" w:rsidR="00806B42" w:rsidRPr="00345310" w:rsidRDefault="001F7EF6" w:rsidP="0023327D">
      <w:pPr>
        <w:tabs>
          <w:tab w:val="left" w:pos="1276"/>
        </w:tabs>
        <w:autoSpaceDE w:val="0"/>
        <w:autoSpaceDN w:val="0"/>
        <w:adjustRightInd w:val="0"/>
        <w:spacing w:after="7" w:line="240" w:lineRule="auto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 xml:space="preserve">c. </w:t>
      </w:r>
      <w:r w:rsidR="006E4F24" w:rsidRPr="00345310">
        <w:rPr>
          <w:rFonts w:asciiTheme="minorHAnsi" w:hAnsiTheme="minorHAnsi" w:cstheme="minorHAnsi"/>
          <w:sz w:val="20"/>
          <w:szCs w:val="20"/>
        </w:rPr>
        <w:tab/>
      </w:r>
      <w:r w:rsidR="00806B42" w:rsidRPr="00345310">
        <w:rPr>
          <w:rFonts w:asciiTheme="minorHAnsi" w:hAnsiTheme="minorHAnsi" w:cstheme="minorHAnsi"/>
          <w:sz w:val="20"/>
          <w:szCs w:val="20"/>
        </w:rPr>
        <w:t xml:space="preserve">identyfikacja nisz rynkowych w </w:t>
      </w:r>
      <w:r w:rsidR="00993C1C">
        <w:rPr>
          <w:rFonts w:asciiTheme="minorHAnsi" w:hAnsiTheme="minorHAnsi" w:cstheme="minorHAnsi"/>
          <w:sz w:val="20"/>
          <w:szCs w:val="20"/>
        </w:rPr>
        <w:t xml:space="preserve">ujęciu globalnym i krajowym </w:t>
      </w:r>
      <w:r w:rsidR="00806B42" w:rsidRPr="00345310">
        <w:rPr>
          <w:rFonts w:asciiTheme="minorHAnsi" w:hAnsiTheme="minorHAnsi" w:cstheme="minorHAnsi"/>
          <w:sz w:val="20"/>
          <w:szCs w:val="20"/>
        </w:rPr>
        <w:t xml:space="preserve">obszarze </w:t>
      </w:r>
      <w:r w:rsidR="00A6074F" w:rsidRPr="00345310">
        <w:rPr>
          <w:rFonts w:asciiTheme="minorHAnsi" w:hAnsiTheme="minorHAnsi" w:cstheme="minorHAnsi"/>
          <w:sz w:val="20"/>
          <w:szCs w:val="20"/>
        </w:rPr>
        <w:t xml:space="preserve">elektroniki i </w:t>
      </w:r>
      <w:r w:rsidR="00806B42" w:rsidRPr="00345310">
        <w:rPr>
          <w:rFonts w:asciiTheme="minorHAnsi" w:hAnsiTheme="minorHAnsi" w:cstheme="minorHAnsi"/>
          <w:sz w:val="20"/>
          <w:szCs w:val="20"/>
        </w:rPr>
        <w:t xml:space="preserve">fotoniki </w:t>
      </w:r>
      <w:r w:rsidR="000117FC" w:rsidRPr="00345310">
        <w:rPr>
          <w:rFonts w:asciiTheme="minorHAnsi" w:hAnsiTheme="minorHAnsi" w:cstheme="minorHAnsi"/>
          <w:sz w:val="20"/>
          <w:szCs w:val="20"/>
        </w:rPr>
        <w:t>i ocena możliwości ich zagospodarowania przez polskie podmioty</w:t>
      </w:r>
      <w:r w:rsidR="00DB77FE" w:rsidRPr="00345310">
        <w:rPr>
          <w:rFonts w:asciiTheme="minorHAnsi" w:hAnsiTheme="minorHAnsi" w:cstheme="minorHAnsi"/>
          <w:sz w:val="20"/>
          <w:szCs w:val="20"/>
        </w:rPr>
        <w:t>.</w:t>
      </w:r>
    </w:p>
    <w:p w14:paraId="3C220337" w14:textId="75B4A3EB" w:rsidR="001F7EF6" w:rsidRPr="00345310" w:rsidRDefault="006E4F24" w:rsidP="006E4F24">
      <w:pPr>
        <w:pStyle w:val="Akapitzlist"/>
        <w:spacing w:before="360" w:after="240"/>
        <w:ind w:left="708" w:hanging="3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3.3</w:t>
      </w:r>
      <w:r w:rsidRPr="00345310">
        <w:rPr>
          <w:rFonts w:asciiTheme="minorHAnsi" w:hAnsiTheme="minorHAnsi" w:cstheme="minorHAnsi"/>
          <w:sz w:val="20"/>
          <w:szCs w:val="20"/>
        </w:rPr>
        <w:tab/>
      </w:r>
      <w:r w:rsidR="000117FC"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Ocena międzynarodowej konkurencyjności polskich branż elektronicznej </w:t>
      </w:r>
      <w:r w:rsidR="000117FC" w:rsidRPr="00345310">
        <w:rPr>
          <w:rFonts w:asciiTheme="minorHAnsi" w:hAnsiTheme="minorHAnsi" w:cstheme="minorHAnsi"/>
          <w:sz w:val="20"/>
          <w:szCs w:val="20"/>
        </w:rPr>
        <w:t xml:space="preserve">(w tym mikroelektroniki </w:t>
      </w:r>
      <w:r w:rsidR="000117FC" w:rsidRPr="00345310">
        <w:rPr>
          <w:rFonts w:asciiTheme="minorHAnsi" w:hAnsiTheme="minorHAnsi" w:cstheme="minorHAnsi"/>
          <w:sz w:val="20"/>
          <w:szCs w:val="20"/>
        </w:rPr>
        <w:br/>
        <w:t xml:space="preserve">i </w:t>
      </w:r>
      <w:proofErr w:type="spellStart"/>
      <w:r w:rsidR="000117FC" w:rsidRPr="00345310">
        <w:rPr>
          <w:rFonts w:asciiTheme="minorHAnsi" w:hAnsiTheme="minorHAnsi" w:cstheme="minorHAnsi"/>
          <w:sz w:val="20"/>
          <w:szCs w:val="20"/>
        </w:rPr>
        <w:t>sensoryki</w:t>
      </w:r>
      <w:proofErr w:type="spellEnd"/>
      <w:r w:rsidR="000117FC" w:rsidRPr="00345310">
        <w:rPr>
          <w:rFonts w:asciiTheme="minorHAnsi" w:hAnsiTheme="minorHAnsi" w:cstheme="minorHAnsi"/>
          <w:sz w:val="20"/>
          <w:szCs w:val="20"/>
        </w:rPr>
        <w:t xml:space="preserve">) </w:t>
      </w:r>
      <w:r w:rsidR="000117FC"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proofErr w:type="spellStart"/>
      <w:r w:rsidR="000117FC" w:rsidRPr="00345310">
        <w:rPr>
          <w:rFonts w:asciiTheme="minorHAnsi" w:hAnsiTheme="minorHAnsi" w:cstheme="minorHAnsi"/>
          <w:color w:val="000000"/>
          <w:sz w:val="20"/>
          <w:szCs w:val="20"/>
        </w:rPr>
        <w:t>fotonicznej</w:t>
      </w:r>
      <w:proofErr w:type="spellEnd"/>
      <w:r w:rsidR="000117FC"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r w:rsidR="000117FC" w:rsidRPr="00345310">
        <w:rPr>
          <w:rFonts w:asciiTheme="minorHAnsi" w:hAnsiTheme="minorHAnsi" w:cstheme="minorHAnsi"/>
          <w:sz w:val="20"/>
          <w:szCs w:val="20"/>
        </w:rPr>
        <w:t>o</w:t>
      </w:r>
      <w:r w:rsidR="00447013" w:rsidRPr="00345310">
        <w:rPr>
          <w:rFonts w:asciiTheme="minorHAnsi" w:hAnsiTheme="minorHAnsi" w:cstheme="minorHAnsi"/>
          <w:sz w:val="20"/>
          <w:szCs w:val="20"/>
        </w:rPr>
        <w:t>pis</w:t>
      </w:r>
      <w:r w:rsidR="0078459F" w:rsidRPr="00345310">
        <w:rPr>
          <w:rFonts w:asciiTheme="minorHAnsi" w:hAnsiTheme="minorHAnsi" w:cstheme="minorHAnsi"/>
          <w:sz w:val="20"/>
          <w:szCs w:val="20"/>
        </w:rPr>
        <w:t xml:space="preserve"> łańcuch</w:t>
      </w:r>
      <w:r w:rsidR="00447013" w:rsidRPr="00345310">
        <w:rPr>
          <w:rFonts w:asciiTheme="minorHAnsi" w:hAnsiTheme="minorHAnsi" w:cstheme="minorHAnsi"/>
          <w:sz w:val="20"/>
          <w:szCs w:val="20"/>
        </w:rPr>
        <w:t>a</w:t>
      </w:r>
      <w:r w:rsidR="0078459F" w:rsidRPr="00345310">
        <w:rPr>
          <w:rFonts w:asciiTheme="minorHAnsi" w:hAnsiTheme="minorHAnsi" w:cstheme="minorHAnsi"/>
          <w:sz w:val="20"/>
          <w:szCs w:val="20"/>
        </w:rPr>
        <w:t xml:space="preserve"> dostaw </w:t>
      </w:r>
      <w:r w:rsidR="00DD5015" w:rsidRPr="00345310">
        <w:rPr>
          <w:rFonts w:asciiTheme="minorHAnsi" w:hAnsiTheme="minorHAnsi" w:cstheme="minorHAnsi"/>
          <w:sz w:val="20"/>
          <w:szCs w:val="20"/>
        </w:rPr>
        <w:t>w ujęciu</w:t>
      </w:r>
      <w:r w:rsidR="00447013" w:rsidRPr="00345310">
        <w:rPr>
          <w:rFonts w:asciiTheme="minorHAnsi" w:hAnsiTheme="minorHAnsi" w:cstheme="minorHAnsi"/>
          <w:sz w:val="20"/>
          <w:szCs w:val="20"/>
        </w:rPr>
        <w:t xml:space="preserve"> krajowym i</w:t>
      </w:r>
      <w:r w:rsidR="00DD5015" w:rsidRPr="00345310">
        <w:rPr>
          <w:rFonts w:asciiTheme="minorHAnsi" w:hAnsiTheme="minorHAnsi" w:cstheme="minorHAnsi"/>
          <w:sz w:val="20"/>
          <w:szCs w:val="20"/>
        </w:rPr>
        <w:t xml:space="preserve"> globalnym</w:t>
      </w:r>
      <w:r w:rsidR="00447013" w:rsidRPr="00345310">
        <w:rPr>
          <w:rFonts w:asciiTheme="minorHAnsi" w:hAnsiTheme="minorHAnsi" w:cstheme="minorHAnsi"/>
          <w:sz w:val="20"/>
          <w:szCs w:val="20"/>
        </w:rPr>
        <w:t>, w szczególności:</w:t>
      </w:r>
    </w:p>
    <w:p w14:paraId="617819D3" w14:textId="32E87926" w:rsidR="001F7EF6" w:rsidRPr="0057046E" w:rsidRDefault="002D4088" w:rsidP="0057046E">
      <w:pPr>
        <w:pStyle w:val="Akapitzlist"/>
        <w:numPr>
          <w:ilvl w:val="2"/>
          <w:numId w:val="27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sz w:val="20"/>
          <w:szCs w:val="20"/>
        </w:rPr>
        <w:t>o</w:t>
      </w:r>
      <w:r w:rsidR="00F3783C" w:rsidRPr="0057046E">
        <w:rPr>
          <w:rFonts w:asciiTheme="minorHAnsi" w:hAnsiTheme="minorHAnsi" w:cstheme="minorHAnsi"/>
          <w:sz w:val="20"/>
          <w:szCs w:val="20"/>
        </w:rPr>
        <w:t xml:space="preserve">kreślenie </w:t>
      </w:r>
      <w:proofErr w:type="spellStart"/>
      <w:r w:rsidR="00F3783C" w:rsidRPr="0057046E">
        <w:rPr>
          <w:rFonts w:asciiTheme="minorHAnsi" w:hAnsiTheme="minorHAnsi" w:cstheme="minorHAnsi"/>
          <w:sz w:val="20"/>
          <w:szCs w:val="20"/>
        </w:rPr>
        <w:t>megatrendów</w:t>
      </w:r>
      <w:proofErr w:type="spellEnd"/>
      <w:r w:rsidR="0078459F" w:rsidRPr="0057046E">
        <w:rPr>
          <w:rFonts w:asciiTheme="minorHAnsi" w:hAnsiTheme="minorHAnsi" w:cstheme="minorHAnsi"/>
          <w:sz w:val="20"/>
          <w:szCs w:val="20"/>
        </w:rPr>
        <w:t xml:space="preserve"> </w:t>
      </w:r>
      <w:r w:rsidR="00900B3F" w:rsidRPr="0057046E">
        <w:rPr>
          <w:rFonts w:asciiTheme="minorHAnsi" w:hAnsiTheme="minorHAnsi" w:cstheme="minorHAnsi"/>
          <w:sz w:val="20"/>
          <w:szCs w:val="20"/>
        </w:rPr>
        <w:t xml:space="preserve">(rozumianych jako globalne trwałe determinanty gospodarcze, społeczne, środowiskowe i technologiczne, mające wpływ na wszystkich ludzi, gospodarki światowe i środowisko </w:t>
      </w:r>
      <w:r w:rsidR="00900B3F" w:rsidRPr="0057046E">
        <w:rPr>
          <w:rFonts w:asciiTheme="minorHAnsi" w:hAnsiTheme="minorHAnsi" w:cstheme="minorHAnsi"/>
          <w:sz w:val="20"/>
          <w:szCs w:val="20"/>
        </w:rPr>
        <w:lastRenderedPageBreak/>
        <w:t xml:space="preserve">naturalne) </w:t>
      </w:r>
      <w:r w:rsidR="0078459F" w:rsidRPr="0057046E">
        <w:rPr>
          <w:rFonts w:asciiTheme="minorHAnsi" w:hAnsiTheme="minorHAnsi" w:cstheme="minorHAnsi"/>
          <w:sz w:val="20"/>
          <w:szCs w:val="20"/>
        </w:rPr>
        <w:t>charakteryzują</w:t>
      </w:r>
      <w:r w:rsidR="00F3783C" w:rsidRPr="0057046E">
        <w:rPr>
          <w:rFonts w:asciiTheme="minorHAnsi" w:hAnsiTheme="minorHAnsi" w:cstheme="minorHAnsi"/>
          <w:sz w:val="20"/>
          <w:szCs w:val="20"/>
        </w:rPr>
        <w:t>cych się silną</w:t>
      </w:r>
      <w:r w:rsidR="0078459F" w:rsidRPr="0057046E">
        <w:rPr>
          <w:rFonts w:asciiTheme="minorHAnsi" w:hAnsiTheme="minorHAnsi" w:cstheme="minorHAnsi"/>
          <w:sz w:val="20"/>
          <w:szCs w:val="20"/>
        </w:rPr>
        <w:t xml:space="preserve"> zależnoś</w:t>
      </w:r>
      <w:r w:rsidR="001B1045" w:rsidRPr="0057046E">
        <w:rPr>
          <w:rFonts w:asciiTheme="minorHAnsi" w:hAnsiTheme="minorHAnsi" w:cstheme="minorHAnsi"/>
          <w:sz w:val="20"/>
          <w:szCs w:val="20"/>
        </w:rPr>
        <w:t xml:space="preserve">cią od komponentów </w:t>
      </w:r>
      <w:r w:rsidR="00A6074F" w:rsidRPr="0057046E">
        <w:rPr>
          <w:rFonts w:asciiTheme="minorHAnsi" w:hAnsiTheme="minorHAnsi" w:cstheme="minorHAnsi"/>
          <w:sz w:val="20"/>
          <w:szCs w:val="20"/>
        </w:rPr>
        <w:t xml:space="preserve">elektronicznych i </w:t>
      </w:r>
      <w:proofErr w:type="spellStart"/>
      <w:r w:rsidR="001B1045" w:rsidRPr="0057046E">
        <w:rPr>
          <w:rFonts w:asciiTheme="minorHAnsi" w:hAnsiTheme="minorHAnsi" w:cstheme="minorHAnsi"/>
          <w:sz w:val="20"/>
          <w:szCs w:val="20"/>
        </w:rPr>
        <w:t>fotonicznych</w:t>
      </w:r>
      <w:proofErr w:type="spellEnd"/>
      <w:r w:rsidR="001B1045" w:rsidRPr="0057046E">
        <w:rPr>
          <w:rFonts w:asciiTheme="minorHAnsi" w:hAnsiTheme="minorHAnsi" w:cstheme="minorHAnsi"/>
          <w:sz w:val="20"/>
          <w:szCs w:val="20"/>
        </w:rPr>
        <w:t xml:space="preserve"> </w:t>
      </w:r>
      <w:r w:rsidR="00DD5015" w:rsidRPr="0057046E">
        <w:rPr>
          <w:rFonts w:asciiTheme="minorHAnsi" w:hAnsiTheme="minorHAnsi" w:cstheme="minorHAnsi"/>
          <w:sz w:val="20"/>
          <w:szCs w:val="20"/>
        </w:rPr>
        <w:t>– identyfikacja branż i specjalizacji;</w:t>
      </w:r>
    </w:p>
    <w:p w14:paraId="1CC4A89D" w14:textId="0DF65E71" w:rsidR="001F7EF6" w:rsidRPr="0057046E" w:rsidRDefault="002D4088" w:rsidP="0057046E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sz w:val="20"/>
          <w:szCs w:val="20"/>
        </w:rPr>
        <w:t>o</w:t>
      </w:r>
      <w:r w:rsidR="00F3783C" w:rsidRPr="0057046E">
        <w:rPr>
          <w:rFonts w:asciiTheme="minorHAnsi" w:hAnsiTheme="minorHAnsi" w:cstheme="minorHAnsi"/>
          <w:sz w:val="20"/>
          <w:szCs w:val="20"/>
        </w:rPr>
        <w:t>kreślenie technologii</w:t>
      </w:r>
      <w:r w:rsidR="0078459F" w:rsidRPr="0057046E">
        <w:rPr>
          <w:rFonts w:asciiTheme="minorHAnsi" w:hAnsiTheme="minorHAnsi" w:cstheme="minorHAnsi"/>
          <w:sz w:val="20"/>
          <w:szCs w:val="20"/>
        </w:rPr>
        <w:t xml:space="preserve"> </w:t>
      </w:r>
      <w:r w:rsidR="00A6074F" w:rsidRPr="0057046E">
        <w:rPr>
          <w:rFonts w:asciiTheme="minorHAnsi" w:hAnsiTheme="minorHAnsi" w:cstheme="minorHAnsi"/>
          <w:sz w:val="20"/>
          <w:szCs w:val="20"/>
        </w:rPr>
        <w:t xml:space="preserve">elektronicznych i </w:t>
      </w:r>
      <w:proofErr w:type="spellStart"/>
      <w:r w:rsidR="0078459F" w:rsidRPr="0057046E">
        <w:rPr>
          <w:rFonts w:asciiTheme="minorHAnsi" w:hAnsiTheme="minorHAnsi" w:cstheme="minorHAnsi"/>
          <w:sz w:val="20"/>
          <w:szCs w:val="20"/>
        </w:rPr>
        <w:t>fotonicznych</w:t>
      </w:r>
      <w:proofErr w:type="spellEnd"/>
      <w:r w:rsidR="0078459F" w:rsidRPr="0057046E">
        <w:rPr>
          <w:rFonts w:asciiTheme="minorHAnsi" w:hAnsiTheme="minorHAnsi" w:cstheme="minorHAnsi"/>
          <w:sz w:val="20"/>
          <w:szCs w:val="20"/>
        </w:rPr>
        <w:t xml:space="preserve"> </w:t>
      </w:r>
      <w:r w:rsidR="00F3783C" w:rsidRPr="0057046E">
        <w:rPr>
          <w:rFonts w:asciiTheme="minorHAnsi" w:hAnsiTheme="minorHAnsi" w:cstheme="minorHAnsi"/>
          <w:sz w:val="20"/>
          <w:szCs w:val="20"/>
        </w:rPr>
        <w:t xml:space="preserve">o </w:t>
      </w:r>
      <w:r w:rsidR="0078459F" w:rsidRPr="0057046E">
        <w:rPr>
          <w:rFonts w:asciiTheme="minorHAnsi" w:hAnsiTheme="minorHAnsi" w:cstheme="minorHAnsi"/>
          <w:sz w:val="20"/>
          <w:szCs w:val="20"/>
        </w:rPr>
        <w:t>charakter</w:t>
      </w:r>
      <w:r w:rsidR="00F3783C" w:rsidRPr="0057046E">
        <w:rPr>
          <w:rFonts w:asciiTheme="minorHAnsi" w:hAnsiTheme="minorHAnsi" w:cstheme="minorHAnsi"/>
          <w:sz w:val="20"/>
          <w:szCs w:val="20"/>
        </w:rPr>
        <w:t>ze</w:t>
      </w:r>
      <w:r w:rsidR="0078459F" w:rsidRPr="0057046E">
        <w:rPr>
          <w:rFonts w:asciiTheme="minorHAnsi" w:hAnsiTheme="minorHAnsi" w:cstheme="minorHAnsi"/>
          <w:sz w:val="20"/>
          <w:szCs w:val="20"/>
        </w:rPr>
        <w:t xml:space="preserve"> wzrostowy</w:t>
      </w:r>
      <w:r w:rsidR="00F3783C" w:rsidRPr="0057046E">
        <w:rPr>
          <w:rFonts w:asciiTheme="minorHAnsi" w:hAnsiTheme="minorHAnsi" w:cstheme="minorHAnsi"/>
          <w:sz w:val="20"/>
          <w:szCs w:val="20"/>
        </w:rPr>
        <w:t xml:space="preserve">m, </w:t>
      </w:r>
      <w:r w:rsidRPr="0057046E">
        <w:rPr>
          <w:rFonts w:asciiTheme="minorHAnsi" w:hAnsiTheme="minorHAnsi" w:cstheme="minorHAnsi"/>
          <w:sz w:val="20"/>
          <w:szCs w:val="20"/>
        </w:rPr>
        <w:br/>
      </w:r>
      <w:r w:rsidR="00F3783C" w:rsidRPr="0057046E">
        <w:rPr>
          <w:rFonts w:asciiTheme="minorHAnsi" w:hAnsiTheme="minorHAnsi" w:cstheme="minorHAnsi"/>
          <w:sz w:val="20"/>
          <w:szCs w:val="20"/>
        </w:rPr>
        <w:t xml:space="preserve">w których zaangażowanie może przynieść największe sukcesy polskim podmiotom </w:t>
      </w:r>
      <w:r w:rsidRPr="0057046E">
        <w:rPr>
          <w:rFonts w:asciiTheme="minorHAnsi" w:hAnsiTheme="minorHAnsi" w:cstheme="minorHAnsi"/>
          <w:sz w:val="20"/>
          <w:szCs w:val="20"/>
        </w:rPr>
        <w:br/>
      </w:r>
      <w:r w:rsidR="00F3783C" w:rsidRPr="0057046E">
        <w:rPr>
          <w:rFonts w:asciiTheme="minorHAnsi" w:hAnsiTheme="minorHAnsi" w:cstheme="minorHAnsi"/>
          <w:sz w:val="20"/>
          <w:szCs w:val="20"/>
        </w:rPr>
        <w:t xml:space="preserve">z branży </w:t>
      </w:r>
      <w:r w:rsidR="00A6074F" w:rsidRPr="0057046E">
        <w:rPr>
          <w:rFonts w:asciiTheme="minorHAnsi" w:hAnsiTheme="minorHAnsi" w:cstheme="minorHAnsi"/>
          <w:sz w:val="20"/>
          <w:szCs w:val="20"/>
        </w:rPr>
        <w:t xml:space="preserve">elektronicznej i </w:t>
      </w:r>
      <w:proofErr w:type="spellStart"/>
      <w:r w:rsidRPr="0057046E">
        <w:rPr>
          <w:rFonts w:asciiTheme="minorHAnsi" w:hAnsiTheme="minorHAnsi" w:cstheme="minorHAnsi"/>
          <w:sz w:val="20"/>
          <w:szCs w:val="20"/>
        </w:rPr>
        <w:t>fotonicznej</w:t>
      </w:r>
      <w:proofErr w:type="spellEnd"/>
      <w:r w:rsidRPr="0057046E">
        <w:rPr>
          <w:rFonts w:asciiTheme="minorHAnsi" w:hAnsiTheme="minorHAnsi" w:cstheme="minorHAnsi"/>
          <w:sz w:val="20"/>
          <w:szCs w:val="20"/>
        </w:rPr>
        <w:t>;</w:t>
      </w:r>
    </w:p>
    <w:p w14:paraId="2F484784" w14:textId="5AF11863" w:rsidR="00345310" w:rsidRPr="0057046E" w:rsidRDefault="002D4088" w:rsidP="0057046E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</w:t>
      </w:r>
      <w:r w:rsidR="00BD4EA2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kreślenie stopnia internacjonalizacji branży </w:t>
      </w:r>
      <w:r w:rsidR="00A6074F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elektronicznej i </w:t>
      </w:r>
      <w:proofErr w:type="spellStart"/>
      <w:r w:rsidR="00BD4EA2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fotonicznej</w:t>
      </w:r>
      <w:proofErr w:type="spellEnd"/>
      <w:r w:rsidR="00BD4EA2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(ze wskazaniem kluczowych rynków i partnerów)</w:t>
      </w:r>
      <w:r w:rsidR="00345310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;</w:t>
      </w:r>
    </w:p>
    <w:p w14:paraId="37580346" w14:textId="6E418386" w:rsidR="00BD4EA2" w:rsidRPr="0057046E" w:rsidRDefault="000117FC" w:rsidP="0057046E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określenie miejsca/pozycji polskich podmiotów </w:t>
      </w:r>
      <w:r w:rsidR="00900B3F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(w tym wskazania, czy jest wykonawcą w ramach danego etapu łańcucha, czy dostawcą komponentów niezbędnych dla wykonawców) </w:t>
      </w: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 globalnych łańcuchach wartości wykorzystujących technologie elektroniczne i </w:t>
      </w:r>
      <w:proofErr w:type="spellStart"/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fotoniczne</w:t>
      </w:r>
      <w:proofErr w:type="spellEnd"/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i ocena potencjału do zmiany lub wzmocnienia obecnej pozycji </w:t>
      </w:r>
      <w:r w:rsidR="00542EE6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/ włączenia się w dany łańcuch wartości</w:t>
      </w:r>
      <w:r w:rsidR="00993C1C">
        <w:rPr>
          <w:rStyle w:val="Odwoanieprzypisudolnego"/>
          <w:rFonts w:asciiTheme="minorHAnsi" w:hAnsiTheme="minorHAnsi" w:cstheme="minorHAnsi"/>
          <w:color w:val="000000"/>
          <w:sz w:val="20"/>
          <w:szCs w:val="20"/>
          <w:lang w:eastAsia="pl-PL"/>
        </w:rPr>
        <w:footnoteReference w:id="4"/>
      </w:r>
      <w:r w:rsidR="00BD4EA2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309982E1" w14:textId="77777777" w:rsidR="00A6074F" w:rsidRPr="00345310" w:rsidRDefault="00A6074F" w:rsidP="0023327D">
      <w:pPr>
        <w:pStyle w:val="Akapitzlist"/>
        <w:autoSpaceDE w:val="0"/>
        <w:autoSpaceDN w:val="0"/>
        <w:adjustRightInd w:val="0"/>
        <w:spacing w:after="7" w:line="240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87FA7B9" w14:textId="320E6D86" w:rsidR="00F66460" w:rsidRPr="00345310" w:rsidRDefault="001A40CD" w:rsidP="00345310">
      <w:pPr>
        <w:autoSpaceDE w:val="0"/>
        <w:autoSpaceDN w:val="0"/>
        <w:adjustRightInd w:val="0"/>
        <w:spacing w:after="7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R</w:t>
      </w:r>
      <w:r w:rsidR="00F66460" w:rsidRPr="00345310">
        <w:rPr>
          <w:rFonts w:asciiTheme="minorHAnsi" w:hAnsiTheme="minorHAnsi" w:cstheme="minorHAnsi"/>
          <w:sz w:val="20"/>
          <w:szCs w:val="20"/>
        </w:rPr>
        <w:t xml:space="preserve">aport </w:t>
      </w:r>
      <w:r w:rsidR="00350C13" w:rsidRPr="00345310">
        <w:rPr>
          <w:rFonts w:asciiTheme="minorHAnsi" w:hAnsiTheme="minorHAnsi" w:cstheme="minorHAnsi"/>
          <w:sz w:val="20"/>
          <w:szCs w:val="20"/>
        </w:rPr>
        <w:t>analityczny powinien</w:t>
      </w:r>
      <w:r w:rsidR="00F66460" w:rsidRPr="00345310">
        <w:rPr>
          <w:rFonts w:asciiTheme="minorHAnsi" w:hAnsiTheme="minorHAnsi" w:cstheme="minorHAnsi"/>
          <w:sz w:val="20"/>
          <w:szCs w:val="20"/>
        </w:rPr>
        <w:t>:</w:t>
      </w:r>
    </w:p>
    <w:p w14:paraId="6E8C7861" w14:textId="77777777" w:rsidR="00345310" w:rsidRPr="00345310" w:rsidRDefault="00345310" w:rsidP="00345310">
      <w:pPr>
        <w:autoSpaceDE w:val="0"/>
        <w:autoSpaceDN w:val="0"/>
        <w:adjustRightInd w:val="0"/>
        <w:spacing w:after="7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8CB5976" w14:textId="58310211" w:rsidR="00F66460" w:rsidRPr="00345310" w:rsidRDefault="00F66460" w:rsidP="0057046E">
      <w:pPr>
        <w:pStyle w:val="Akapitzlist"/>
        <w:numPr>
          <w:ilvl w:val="0"/>
          <w:numId w:val="25"/>
        </w:numPr>
        <w:tabs>
          <w:tab w:val="left" w:pos="1418"/>
        </w:tabs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być zgodny z ofertą Wykonawcy,</w:t>
      </w:r>
    </w:p>
    <w:p w14:paraId="2021E867" w14:textId="07013C2A" w:rsidR="00350C13" w:rsidRPr="00345310" w:rsidRDefault="00F66460" w:rsidP="0057046E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być sporządzony poprawnie pod względem stylistycznym i ortograficznym,</w:t>
      </w:r>
    </w:p>
    <w:p w14:paraId="45D5BA51" w14:textId="032F0F2C" w:rsidR="00350C13" w:rsidRPr="00345310" w:rsidRDefault="00F66460" w:rsidP="0057046E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nie stanowić jedynie zreferowania (streszczenia) uzyskanych danych i odpowiedzi respondentów,</w:t>
      </w:r>
    </w:p>
    <w:p w14:paraId="5B6AF780" w14:textId="16AB3634" w:rsidR="00EA4533" w:rsidRPr="00345310" w:rsidRDefault="00EA4533" w:rsidP="0057046E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objętość nie powinna przekraczać 150 stron,</w:t>
      </w:r>
    </w:p>
    <w:p w14:paraId="6A134B16" w14:textId="154874EF" w:rsidR="00350C13" w:rsidRPr="00345310" w:rsidRDefault="00F66460" w:rsidP="0057046E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zawierać sformułowane wnioski poparte przedstawionymi wynikami badań, stanowiący</w:t>
      </w:r>
      <w:r w:rsidR="00345310">
        <w:rPr>
          <w:rFonts w:asciiTheme="minorHAnsi" w:hAnsiTheme="minorHAnsi" w:cstheme="minorHAnsi"/>
          <w:sz w:val="20"/>
          <w:szCs w:val="20"/>
        </w:rPr>
        <w:t>mi</w:t>
      </w:r>
      <w:r w:rsidRPr="00345310">
        <w:rPr>
          <w:rFonts w:asciiTheme="minorHAnsi" w:hAnsiTheme="minorHAnsi" w:cstheme="minorHAnsi"/>
          <w:sz w:val="20"/>
          <w:szCs w:val="20"/>
        </w:rPr>
        <w:t xml:space="preserve"> rezultat analizy i interpretacji wyników badania przeprowadzon</w:t>
      </w:r>
      <w:r w:rsidR="00345310">
        <w:rPr>
          <w:rFonts w:asciiTheme="minorHAnsi" w:hAnsiTheme="minorHAnsi" w:cstheme="minorHAnsi"/>
          <w:sz w:val="20"/>
          <w:szCs w:val="20"/>
        </w:rPr>
        <w:t xml:space="preserve">ych </w:t>
      </w:r>
      <w:r w:rsidRPr="00345310">
        <w:rPr>
          <w:rFonts w:asciiTheme="minorHAnsi" w:hAnsiTheme="minorHAnsi" w:cstheme="minorHAnsi"/>
          <w:sz w:val="20"/>
          <w:szCs w:val="20"/>
        </w:rPr>
        <w:t>przez zespół badawczy,</w:t>
      </w:r>
    </w:p>
    <w:p w14:paraId="766E0DDE" w14:textId="65893D47" w:rsidR="001A40CD" w:rsidRPr="00345310" w:rsidRDefault="00EA4533" w:rsidP="0057046E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formułować</w:t>
      </w:r>
      <w:r w:rsidR="00350C13" w:rsidRPr="00345310">
        <w:rPr>
          <w:rFonts w:asciiTheme="minorHAnsi" w:hAnsiTheme="minorHAnsi" w:cstheme="minorHAnsi"/>
          <w:sz w:val="20"/>
          <w:szCs w:val="20"/>
        </w:rPr>
        <w:t xml:space="preserve"> rekomendacje</w:t>
      </w:r>
      <w:r w:rsidRPr="00345310">
        <w:rPr>
          <w:rFonts w:asciiTheme="minorHAnsi" w:hAnsiTheme="minorHAnsi" w:cstheme="minorHAnsi"/>
          <w:sz w:val="20"/>
          <w:szCs w:val="20"/>
        </w:rPr>
        <w:t xml:space="preserve"> powiązane z otrzymanymi wynikami badań</w:t>
      </w:r>
      <w:r w:rsidR="001A40CD" w:rsidRPr="00345310">
        <w:rPr>
          <w:rFonts w:asciiTheme="minorHAnsi" w:hAnsiTheme="minorHAnsi" w:cstheme="minorHAnsi"/>
          <w:sz w:val="20"/>
          <w:szCs w:val="20"/>
        </w:rPr>
        <w:t>,</w:t>
      </w:r>
    </w:p>
    <w:p w14:paraId="78652FCE" w14:textId="5D3A1F7E" w:rsidR="000F6EDA" w:rsidRPr="00345310" w:rsidRDefault="001A40CD" w:rsidP="0057046E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>być atrakcyjny wizualnie i zawierać grafiki, tabele, wykresy, prezentujące informacje, wynikające z przeprowadzonych analiz</w:t>
      </w:r>
      <w:r w:rsidR="00350C13" w:rsidRPr="00345310">
        <w:rPr>
          <w:rFonts w:asciiTheme="minorHAnsi" w:hAnsiTheme="minorHAnsi" w:cstheme="minorHAnsi"/>
          <w:sz w:val="20"/>
          <w:szCs w:val="20"/>
        </w:rPr>
        <w:t>.</w:t>
      </w:r>
    </w:p>
    <w:p w14:paraId="4FB5B645" w14:textId="77777777" w:rsidR="00EA4533" w:rsidRPr="00345310" w:rsidRDefault="00E200F4" w:rsidP="0057046E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r</w:t>
      </w:r>
      <w:r w:rsidR="00AB0A5B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aport zostanie przekazany w </w:t>
      </w:r>
      <w:r w:rsidR="003B1CDF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wersji </w:t>
      </w:r>
      <w:r w:rsidR="00AB0A5B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elektronicznej</w:t>
      </w:r>
      <w:r w:rsidR="003B1CDF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(pdf. oraz .</w:t>
      </w:r>
      <w:proofErr w:type="spellStart"/>
      <w:r w:rsidR="003B1CDF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doc</w:t>
      </w:r>
      <w:proofErr w:type="spellEnd"/>
      <w:r w:rsidR="003B1CDF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)</w:t>
      </w:r>
      <w:r w:rsidR="00EA4533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</w:t>
      </w:r>
    </w:p>
    <w:p w14:paraId="5758339F" w14:textId="4FFFB6FA" w:rsidR="002D4088" w:rsidRPr="00345310" w:rsidRDefault="00EA4533" w:rsidP="0057046E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7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zawierać streszczenie zawierające główne wyniki badania o objętości 5-10 stron w dwóch wersjach językowych – polskiej i angielskiej</w:t>
      </w:r>
    </w:p>
    <w:p w14:paraId="289003AB" w14:textId="77777777" w:rsidR="002D4088" w:rsidRPr="00345310" w:rsidRDefault="002D4088" w:rsidP="0023327D">
      <w:pPr>
        <w:pStyle w:val="Akapitzlist"/>
        <w:autoSpaceDE w:val="0"/>
        <w:autoSpaceDN w:val="0"/>
        <w:adjustRightInd w:val="0"/>
        <w:spacing w:after="7" w:line="240" w:lineRule="auto"/>
        <w:ind w:left="426" w:hanging="72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3574F5D6" w14:textId="43E3D6F3" w:rsidR="00933D64" w:rsidRPr="00345310" w:rsidRDefault="00AB0A5B" w:rsidP="002A0299">
      <w:pPr>
        <w:autoSpaceDE w:val="0"/>
        <w:autoSpaceDN w:val="0"/>
        <w:adjustRightInd w:val="0"/>
        <w:spacing w:after="7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45310">
        <w:rPr>
          <w:rFonts w:asciiTheme="minorHAnsi" w:hAnsiTheme="minorHAnsi" w:cstheme="minorHAnsi"/>
          <w:sz w:val="20"/>
          <w:szCs w:val="20"/>
        </w:rPr>
        <w:t xml:space="preserve">Wykonawca </w:t>
      </w:r>
      <w:r w:rsidR="00B91574" w:rsidRPr="00345310">
        <w:rPr>
          <w:rFonts w:asciiTheme="minorHAnsi" w:hAnsiTheme="minorHAnsi" w:cstheme="minorHAnsi"/>
          <w:sz w:val="20"/>
          <w:szCs w:val="20"/>
        </w:rPr>
        <w:t>przedłoży Zamawiającemu do akceptacji</w:t>
      </w:r>
      <w:r w:rsidR="00B91574" w:rsidRPr="00345310">
        <w:rPr>
          <w:rFonts w:asciiTheme="minorHAnsi" w:hAnsiTheme="minorHAnsi" w:cstheme="minorHAnsi"/>
          <w:b/>
          <w:sz w:val="20"/>
          <w:szCs w:val="20"/>
        </w:rPr>
        <w:t xml:space="preserve"> raport analityczny wraz z prezentacją </w:t>
      </w:r>
      <w:r w:rsidR="00933D64" w:rsidRPr="00345310">
        <w:rPr>
          <w:rFonts w:asciiTheme="minorHAnsi" w:hAnsiTheme="minorHAnsi" w:cstheme="minorHAnsi"/>
          <w:b/>
          <w:sz w:val="20"/>
          <w:szCs w:val="20"/>
        </w:rPr>
        <w:br/>
      </w:r>
      <w:r w:rsidR="00961BDE" w:rsidRPr="00345310">
        <w:rPr>
          <w:rFonts w:asciiTheme="minorHAnsi" w:hAnsiTheme="minorHAnsi" w:cstheme="minorHAnsi"/>
          <w:sz w:val="20"/>
          <w:szCs w:val="20"/>
        </w:rPr>
        <w:t>w programie PowerPoint lub równoważnym, która w przejrzysty i atrakcyjny graficznie sposób przedstawi wyniki przeprowadzonej ana</w:t>
      </w:r>
      <w:r w:rsidR="002A0299">
        <w:rPr>
          <w:rFonts w:asciiTheme="minorHAnsi" w:hAnsiTheme="minorHAnsi" w:cstheme="minorHAnsi"/>
          <w:sz w:val="20"/>
          <w:szCs w:val="20"/>
        </w:rPr>
        <w:t>l</w:t>
      </w:r>
      <w:r w:rsidR="00961BDE" w:rsidRPr="00345310">
        <w:rPr>
          <w:rFonts w:asciiTheme="minorHAnsi" w:hAnsiTheme="minorHAnsi" w:cstheme="minorHAnsi"/>
          <w:sz w:val="20"/>
          <w:szCs w:val="20"/>
        </w:rPr>
        <w:t xml:space="preserve">izy oraz </w:t>
      </w:r>
      <w:r w:rsidR="00660325" w:rsidRPr="00345310">
        <w:rPr>
          <w:rFonts w:asciiTheme="minorHAnsi" w:hAnsiTheme="minorHAnsi" w:cstheme="minorHAnsi"/>
          <w:sz w:val="20"/>
          <w:szCs w:val="20"/>
        </w:rPr>
        <w:t>o</w:t>
      </w:r>
      <w:r w:rsidR="00961BDE" w:rsidRPr="00345310">
        <w:rPr>
          <w:rFonts w:asciiTheme="minorHAnsi" w:hAnsiTheme="minorHAnsi" w:cstheme="minorHAnsi"/>
          <w:sz w:val="20"/>
          <w:szCs w:val="20"/>
        </w:rPr>
        <w:t>pracowane rekomendacje.</w:t>
      </w:r>
      <w:r w:rsidR="00B75D89" w:rsidRPr="0034531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90A8B4" w14:textId="16B243AA" w:rsidR="00933D64" w:rsidRDefault="003B1CDF" w:rsidP="002A0299">
      <w:pPr>
        <w:spacing w:before="360" w:after="240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933D64"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zobligowany jest do </w:t>
      </w:r>
      <w:r w:rsidRPr="00345310">
        <w:rPr>
          <w:rFonts w:asciiTheme="minorHAnsi" w:hAnsiTheme="minorHAnsi" w:cstheme="minorHAnsi"/>
          <w:color w:val="000000"/>
          <w:sz w:val="20"/>
          <w:szCs w:val="20"/>
        </w:rPr>
        <w:t>dokona</w:t>
      </w:r>
      <w:r w:rsidR="00933D64" w:rsidRPr="00345310">
        <w:rPr>
          <w:rFonts w:asciiTheme="minorHAnsi" w:hAnsiTheme="minorHAnsi" w:cstheme="minorHAnsi"/>
          <w:color w:val="000000"/>
          <w:sz w:val="20"/>
          <w:szCs w:val="20"/>
        </w:rPr>
        <w:t>nia</w:t>
      </w:r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prezentacji wyników przeprowadzonej analizy podczas spotkania wskazanego przez Zamawiaj</w:t>
      </w:r>
      <w:r w:rsidR="00933D64" w:rsidRPr="00345310">
        <w:rPr>
          <w:rFonts w:asciiTheme="minorHAnsi" w:hAnsiTheme="minorHAnsi" w:cstheme="minorHAnsi"/>
          <w:color w:val="000000"/>
          <w:sz w:val="20"/>
          <w:szCs w:val="20"/>
        </w:rPr>
        <w:t>ącego, nie później niż w ciągu 6</w:t>
      </w:r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miesięcy od dnia akceptacji raportu </w:t>
      </w:r>
      <w:r w:rsidR="002D056C">
        <w:rPr>
          <w:rFonts w:asciiTheme="minorHAnsi" w:hAnsiTheme="minorHAnsi" w:cstheme="minorHAnsi"/>
          <w:color w:val="000000"/>
          <w:sz w:val="20"/>
          <w:szCs w:val="20"/>
        </w:rPr>
        <w:t>analitycznego</w:t>
      </w:r>
      <w:r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. Informacja na temat organizowanego spotkania zostanie przekazana Wykonawcy nie później niż 3 tygodnie przed spotkaniem. </w:t>
      </w:r>
      <w:r w:rsidR="00933D64" w:rsidRPr="00345310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Wykonawca podczas spotkania zapewni </w:t>
      </w:r>
      <w:r w:rsidR="00933D64" w:rsidRPr="0034531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udział eksperta opracowującego raport</w:t>
      </w:r>
      <w:r w:rsidR="00933D64" w:rsidRPr="00345310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 stanowiący przedmiot zamówienia</w:t>
      </w:r>
      <w:r w:rsidR="00933D6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  <w:r w:rsidR="00933D64" w:rsidRPr="003453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3D6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Wykonawca przygotuje prezentację na spotkanie (slajdy w wersji elektronicznej oraz wydruki papierowe dla wszystkich zgłoszonych uczestników) oraz przeprowadzi minimum 45-minutowy wykład</w:t>
      </w:r>
      <w:r w:rsidR="00660325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/prezentację</w:t>
      </w:r>
      <w:r w:rsidR="00933D6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na temat potencjału sektora </w:t>
      </w:r>
      <w:r w:rsidR="0036210D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elektronicznego</w:t>
      </w:r>
      <w:r w:rsidR="00933D6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i </w:t>
      </w:r>
      <w:proofErr w:type="spellStart"/>
      <w:r w:rsidR="00933D6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fotonicznego</w:t>
      </w:r>
      <w:proofErr w:type="spellEnd"/>
      <w:r w:rsidR="00933D6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2A02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</w:r>
      <w:r w:rsidR="00933D64" w:rsidRPr="00345310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Polsce. Wersja elektroniczna prezentacji musi zostać dostarczona do wglądu Zamawiającemu w terminie do 3 dni roboczych przed organizacją spotkania.</w:t>
      </w:r>
    </w:p>
    <w:p w14:paraId="13F174A5" w14:textId="77777777" w:rsidR="00B77730" w:rsidRPr="000E3F05" w:rsidRDefault="00B77730" w:rsidP="000E3F05">
      <w:pPr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3F05">
        <w:rPr>
          <w:rFonts w:asciiTheme="minorHAnsi" w:hAnsiTheme="minorHAnsi" w:cstheme="minorHAnsi"/>
          <w:b/>
          <w:sz w:val="20"/>
          <w:szCs w:val="20"/>
        </w:rPr>
        <w:t>Warunki udziału w postępowaniu:</w:t>
      </w:r>
    </w:p>
    <w:p w14:paraId="31148953" w14:textId="77777777" w:rsidR="00B77730" w:rsidRPr="0057046E" w:rsidRDefault="00B77730" w:rsidP="00B77730">
      <w:pPr>
        <w:pStyle w:val="Akapitzlist"/>
        <w:numPr>
          <w:ilvl w:val="0"/>
          <w:numId w:val="4"/>
        </w:numPr>
        <w:tabs>
          <w:tab w:val="left" w:pos="9072"/>
        </w:tabs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 zdolności zawodowej. Zamawiający uzna warunek za spełniony, jeżeli Wykonawca w szczególności:</w:t>
      </w:r>
    </w:p>
    <w:p w14:paraId="7BE51582" w14:textId="2D48C5D5" w:rsidR="00B77730" w:rsidRPr="0057046E" w:rsidRDefault="00A85F50" w:rsidP="0057046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sz w:val="20"/>
          <w:szCs w:val="20"/>
        </w:rPr>
        <w:t>w okresie ostatnich trzech lat przed upływem terminu składania ofert (a jeżeli okres prowadzenia działalności jest krótszy – w tym okresie), wykonał należycie co najmniej dwie usługi polegające na przeprowadzeniu badań i analiz polegających na ocenie potencjału technologicznego/innowacyjnego wybranej branży lub analizie globalnych łańcuchów wartości o wartości każdej z usług co najmniej 100 000,00 zł brutto</w:t>
      </w:r>
      <w:r w:rsidR="00B77730" w:rsidRPr="0057046E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1E770CB2" w14:textId="6242E6D3" w:rsidR="00B77730" w:rsidRPr="0057046E" w:rsidRDefault="00B77730" w:rsidP="00B77730">
      <w:pPr>
        <w:pStyle w:val="Akapitzlist"/>
        <w:numPr>
          <w:ilvl w:val="1"/>
          <w:numId w:val="4"/>
        </w:numPr>
        <w:tabs>
          <w:tab w:val="lef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sz w:val="20"/>
          <w:szCs w:val="20"/>
        </w:rPr>
        <w:lastRenderedPageBreak/>
        <w:t>dysponuje</w:t>
      </w:r>
      <w:r w:rsidR="00A85F50" w:rsidRPr="0057046E">
        <w:rPr>
          <w:rFonts w:asciiTheme="minorHAnsi" w:hAnsiTheme="minorHAnsi" w:cstheme="minorHAnsi"/>
          <w:sz w:val="20"/>
          <w:szCs w:val="20"/>
        </w:rPr>
        <w:t xml:space="preserve"> lub będzie dysponował </w:t>
      </w:r>
      <w:r w:rsidRPr="0057046E">
        <w:rPr>
          <w:rFonts w:asciiTheme="minorHAnsi" w:hAnsiTheme="minorHAnsi" w:cstheme="minorHAnsi"/>
          <w:sz w:val="20"/>
          <w:szCs w:val="20"/>
        </w:rPr>
        <w:t xml:space="preserve"> osobami zdolnymi do wykonania zamówienia, w tym: </w:t>
      </w:r>
    </w:p>
    <w:p w14:paraId="0FFA7400" w14:textId="54B617FB" w:rsidR="003A0789" w:rsidRPr="0057046E" w:rsidRDefault="003A0789" w:rsidP="0057046E">
      <w:pPr>
        <w:pStyle w:val="Akapitzlist"/>
        <w:numPr>
          <w:ilvl w:val="1"/>
          <w:numId w:val="20"/>
        </w:numPr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b/>
          <w:bCs/>
          <w:sz w:val="20"/>
          <w:szCs w:val="20"/>
        </w:rPr>
        <w:t>Kierownikiem zamówienia</w:t>
      </w:r>
      <w:r w:rsidRPr="0057046E">
        <w:rPr>
          <w:rFonts w:asciiTheme="minorHAnsi" w:hAnsiTheme="minorHAnsi" w:cstheme="minorHAnsi"/>
          <w:sz w:val="20"/>
          <w:szCs w:val="20"/>
        </w:rPr>
        <w:t xml:space="preserve"> – co najmniej jedna osoba, która posiada doświadczenie w zakresie pełnienia roli kierownika 3 projektów badawczych w dziedzinie ekonomii z wykorzystaniem metod ilościowych i jakościowych o wartości każdego z projektów co najmniej 100 tys. zł brutto;</w:t>
      </w:r>
    </w:p>
    <w:p w14:paraId="3E16512B" w14:textId="1C7C3B5B" w:rsidR="003A0789" w:rsidRPr="0057046E" w:rsidRDefault="003A0789" w:rsidP="0057046E">
      <w:pPr>
        <w:pStyle w:val="Akapitzlist"/>
        <w:numPr>
          <w:ilvl w:val="1"/>
          <w:numId w:val="20"/>
        </w:numPr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b/>
          <w:bCs/>
          <w:sz w:val="20"/>
          <w:szCs w:val="20"/>
        </w:rPr>
        <w:t>Ekspertem ds. analizy danych</w:t>
      </w:r>
      <w:r w:rsidRPr="0057046E">
        <w:rPr>
          <w:rFonts w:asciiTheme="minorHAnsi" w:hAnsiTheme="minorHAnsi" w:cstheme="minorHAnsi"/>
          <w:sz w:val="20"/>
          <w:szCs w:val="20"/>
        </w:rPr>
        <w:t xml:space="preserve"> - co najmniej jedna osoba posiadająca wykształcenie wyższe statystyczne/ekonometryczne/ekonomiczne oraz doświadczenie jako ekspert lub członek zespołu badawczego w realizacji co najmniej 2 projektów badawczych z dziedziny ekonomii z wykorzystaniem badań jakościowo-ilościowych;</w:t>
      </w:r>
    </w:p>
    <w:p w14:paraId="17F9D07D" w14:textId="2D332E28" w:rsidR="003A0789" w:rsidRPr="0057046E" w:rsidRDefault="003A0789" w:rsidP="0057046E">
      <w:pPr>
        <w:pStyle w:val="Akapitzlist"/>
        <w:numPr>
          <w:ilvl w:val="1"/>
          <w:numId w:val="20"/>
        </w:numPr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b/>
          <w:bCs/>
          <w:sz w:val="20"/>
          <w:szCs w:val="20"/>
        </w:rPr>
        <w:t>Ekspertem merytorycznym</w:t>
      </w:r>
      <w:r w:rsidRPr="0057046E">
        <w:rPr>
          <w:rFonts w:asciiTheme="minorHAnsi" w:hAnsiTheme="minorHAnsi" w:cstheme="minorHAnsi"/>
          <w:sz w:val="20"/>
          <w:szCs w:val="20"/>
        </w:rPr>
        <w:t xml:space="preserve"> – co najmniej jedna osoba posiadająca następujące kwalifikacje: brał udział w charakterze eksperta lub członka zespołu badawczego w realizacji co najmniej 2 projektów badawczych z zakresu technologii, wśród których co najmniej 1 dotyczył rozwoju technologii w branży komponentów elektronicznych bądź </w:t>
      </w:r>
      <w:proofErr w:type="spellStart"/>
      <w:r w:rsidRPr="0057046E">
        <w:rPr>
          <w:rFonts w:asciiTheme="minorHAnsi" w:hAnsiTheme="minorHAnsi" w:cstheme="minorHAnsi"/>
          <w:sz w:val="20"/>
          <w:szCs w:val="20"/>
        </w:rPr>
        <w:t>fotonicznych</w:t>
      </w:r>
      <w:proofErr w:type="spellEnd"/>
      <w:r w:rsidRPr="0057046E">
        <w:rPr>
          <w:rFonts w:asciiTheme="minorHAnsi" w:hAnsiTheme="minorHAnsi" w:cstheme="minorHAnsi"/>
          <w:sz w:val="20"/>
          <w:szCs w:val="20"/>
        </w:rPr>
        <w:t>.</w:t>
      </w:r>
    </w:p>
    <w:p w14:paraId="2B14D176" w14:textId="77777777" w:rsidR="00B77730" w:rsidRPr="0057046E" w:rsidRDefault="00B77730" w:rsidP="00B77730">
      <w:pPr>
        <w:pStyle w:val="Akapitzlist"/>
        <w:tabs>
          <w:tab w:val="left" w:pos="9072"/>
        </w:tabs>
        <w:ind w:left="1224"/>
        <w:jc w:val="both"/>
        <w:rPr>
          <w:rFonts w:asciiTheme="minorHAnsi" w:hAnsiTheme="minorHAnsi" w:cstheme="minorHAnsi"/>
          <w:sz w:val="20"/>
          <w:szCs w:val="20"/>
        </w:rPr>
      </w:pPr>
    </w:p>
    <w:p w14:paraId="1A09A0FC" w14:textId="13A3173A" w:rsidR="00B77730" w:rsidRPr="0057046E" w:rsidRDefault="00B77730" w:rsidP="0057046E">
      <w:pPr>
        <w:pStyle w:val="Akapitzlist"/>
        <w:numPr>
          <w:ilvl w:val="0"/>
          <w:numId w:val="4"/>
        </w:numPr>
        <w:tabs>
          <w:tab w:val="lef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sz w:val="20"/>
          <w:szCs w:val="20"/>
        </w:rPr>
        <w:t>W postępowaniu mogą wziąć udział konsorcja. W przypadku konsorcjum wymogi dotyczące doświadczenia i potencjału kadrowego mogą być spełnione łącznie.</w:t>
      </w:r>
    </w:p>
    <w:p w14:paraId="7E71B058" w14:textId="2D343803" w:rsidR="00B77730" w:rsidRPr="000E3F05" w:rsidRDefault="00B77730" w:rsidP="000E3F05">
      <w:pPr>
        <w:pStyle w:val="1pkt"/>
        <w:numPr>
          <w:ilvl w:val="0"/>
          <w:numId w:val="3"/>
        </w:numPr>
        <w:rPr>
          <w:rFonts w:asciiTheme="minorHAnsi" w:hAnsiTheme="minorHAnsi" w:cstheme="minorHAnsi"/>
        </w:rPr>
      </w:pPr>
      <w:r w:rsidRPr="000E3F05">
        <w:rPr>
          <w:rFonts w:asciiTheme="minorHAnsi" w:hAnsiTheme="minorHAnsi" w:cstheme="minorHAnsi"/>
        </w:rPr>
        <w:t>Kryteria oceny ofert</w:t>
      </w:r>
    </w:p>
    <w:p w14:paraId="7304455A" w14:textId="77777777" w:rsidR="003C375B" w:rsidRPr="0057046E" w:rsidRDefault="003C375B" w:rsidP="0057046E">
      <w:pPr>
        <w:pStyle w:val="Akapitzlist"/>
        <w:autoSpaceDE w:val="0"/>
        <w:autoSpaceDN w:val="0"/>
        <w:adjustRightInd w:val="0"/>
        <w:spacing w:after="0" w:line="240" w:lineRule="auto"/>
        <w:ind w:left="-142"/>
        <w:rPr>
          <w:rFonts w:asciiTheme="minorHAnsi" w:hAnsiTheme="minorHAnsi" w:cstheme="minorHAnsi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sz w:val="20"/>
          <w:szCs w:val="20"/>
          <w:lang w:eastAsia="pl-PL"/>
        </w:rPr>
        <w:t>Zamawiający dokona oceny ofert na podstawie niżej zdefiniowanych kryteriów i przypisanego im</w:t>
      </w:r>
    </w:p>
    <w:p w14:paraId="1D609675" w14:textId="33E5762A" w:rsidR="00B77730" w:rsidRPr="0057046E" w:rsidRDefault="003C375B" w:rsidP="0057046E">
      <w:pPr>
        <w:pStyle w:val="Akapitzlist"/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sz w:val="20"/>
          <w:szCs w:val="20"/>
          <w:lang w:eastAsia="pl-PL"/>
        </w:rPr>
        <w:t>znaczenia (wagi). Dla dokonania oceny ofert, waga w kryteriach oceny określona w procentach, zostanie przeliczona na punkty: 1 procent odpowiada 1 punktowi. Ocenie podlegać będą oferty niepodlegające odrzuceniu.</w:t>
      </w:r>
    </w:p>
    <w:tbl>
      <w:tblPr>
        <w:tblpPr w:leftFromText="141" w:rightFromText="141" w:vertAnchor="text" w:horzAnchor="margin" w:tblpY="100"/>
        <w:tblW w:w="8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3908"/>
        <w:gridCol w:w="2253"/>
        <w:gridCol w:w="1984"/>
      </w:tblGrid>
      <w:tr w:rsidR="003C375B" w:rsidRPr="003C375B" w14:paraId="4D3723D3" w14:textId="77777777" w:rsidTr="003C375B">
        <w:trPr>
          <w:trHeight w:val="3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096F86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082726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 oceny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D28A83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b/>
                <w:sz w:val="20"/>
                <w:szCs w:val="20"/>
              </w:rPr>
              <w:t>Znaczenie kryterium w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1895C9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możliwych do uzyskania  punktów </w:t>
            </w:r>
          </w:p>
        </w:tc>
      </w:tr>
      <w:tr w:rsidR="003C375B" w:rsidRPr="003C375B" w14:paraId="5D05383B" w14:textId="77777777" w:rsidTr="003C375B">
        <w:trPr>
          <w:trHeight w:val="31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62D64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4A12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Cena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47DE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363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7046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30 pkt</w:t>
            </w:r>
          </w:p>
        </w:tc>
      </w:tr>
      <w:tr w:rsidR="003C375B" w:rsidRPr="003C375B" w14:paraId="5215F7E3" w14:textId="77777777" w:rsidTr="003C375B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2346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0739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Plan realizacji i metodyka badania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AE5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sz w:val="20"/>
                <w:szCs w:val="20"/>
              </w:rPr>
              <w:t>50 %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D054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7046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50 pkt</w:t>
            </w:r>
          </w:p>
        </w:tc>
      </w:tr>
      <w:tr w:rsidR="003C375B" w:rsidRPr="003C375B" w14:paraId="67B394D2" w14:textId="77777777" w:rsidTr="003C375B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A358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45AD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Wielkość próby badania dla pozyskania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EE77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46E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254B" w14:textId="77777777" w:rsidR="003C375B" w:rsidRPr="0057046E" w:rsidRDefault="003C375B" w:rsidP="003C375B">
            <w:pPr>
              <w:tabs>
                <w:tab w:val="left" w:pos="8789"/>
              </w:tabs>
              <w:ind w:right="28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57046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20 pkt</w:t>
            </w:r>
          </w:p>
        </w:tc>
      </w:tr>
    </w:tbl>
    <w:p w14:paraId="1D78C838" w14:textId="77777777" w:rsidR="00B77730" w:rsidRDefault="00B77730" w:rsidP="00B77730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DA5CB49" w14:textId="443FE83D" w:rsidR="00B77730" w:rsidRPr="0057046E" w:rsidRDefault="008D633E" w:rsidP="00B777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</w:t>
      </w:r>
      <w:r w:rsidR="00B77730" w:rsidRPr="0057046E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. Cena brutto </w:t>
      </w:r>
      <w:r w:rsidR="005D3F11" w:rsidRPr="0057046E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– waga 30%</w:t>
      </w:r>
    </w:p>
    <w:p w14:paraId="1C74792D" w14:textId="77777777" w:rsidR="00B77730" w:rsidRPr="0057046E" w:rsidRDefault="00B77730" w:rsidP="00B777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14:paraId="3B597C07" w14:textId="77777777" w:rsidR="00B77730" w:rsidRPr="0057046E" w:rsidRDefault="00B77730" w:rsidP="00B7773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Liczba punktów w kryterium ceny zostanie obliczona na podstawie poniższego wzoru:</w:t>
      </w: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</w:r>
    </w:p>
    <w:p w14:paraId="72F7F9B9" w14:textId="77777777" w:rsidR="00B77730" w:rsidRPr="0057046E" w:rsidRDefault="00B77730" w:rsidP="00B7773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Cena oferty najtańszej </w:t>
      </w:r>
    </w:p>
    <w:p w14:paraId="2E341E9A" w14:textId="1B7119BE" w:rsidR="00B77730" w:rsidRPr="0057046E" w:rsidRDefault="00B77730" w:rsidP="00B77730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------------------------------- x </w:t>
      </w:r>
      <w:r w:rsidR="008D633E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3</w:t>
      </w: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0 = liczba punktów </w:t>
      </w:r>
    </w:p>
    <w:p w14:paraId="2086BF1B" w14:textId="77777777" w:rsidR="00B77730" w:rsidRPr="0057046E" w:rsidRDefault="00B77730" w:rsidP="00B77730">
      <w:pPr>
        <w:tabs>
          <w:tab w:val="left" w:pos="8789"/>
        </w:tabs>
        <w:ind w:left="360" w:right="282"/>
        <w:jc w:val="both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Cena oferty badanej</w:t>
      </w:r>
    </w:p>
    <w:p w14:paraId="5EEB8818" w14:textId="77777777" w:rsidR="008D633E" w:rsidRPr="0057046E" w:rsidRDefault="00B77730" w:rsidP="0057046E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sz w:val="20"/>
          <w:szCs w:val="20"/>
        </w:rPr>
        <w:t xml:space="preserve"> </w:t>
      </w:r>
      <w:r w:rsidR="008D633E" w:rsidRPr="0057046E">
        <w:rPr>
          <w:rFonts w:asciiTheme="minorHAnsi" w:hAnsiTheme="minorHAnsi" w:cstheme="minorHAnsi"/>
          <w:sz w:val="20"/>
          <w:szCs w:val="20"/>
          <w:lang w:eastAsia="pl-PL"/>
        </w:rPr>
        <w:t>gdzie:</w:t>
      </w:r>
    </w:p>
    <w:p w14:paraId="0CD0F71C" w14:textId="77777777" w:rsidR="008D633E" w:rsidRPr="0057046E" w:rsidRDefault="008D633E" w:rsidP="0057046E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Co </w:t>
      </w:r>
      <w:r w:rsidRPr="0057046E">
        <w:rPr>
          <w:rFonts w:asciiTheme="minorHAnsi" w:hAnsiTheme="minorHAnsi" w:cstheme="minorHAnsi"/>
          <w:sz w:val="20"/>
          <w:szCs w:val="20"/>
          <w:lang w:eastAsia="pl-PL"/>
        </w:rPr>
        <w:t>– liczba uzyskanych punktów w kryterium nr 1,</w:t>
      </w:r>
    </w:p>
    <w:p w14:paraId="47A4A059" w14:textId="77777777" w:rsidR="008D633E" w:rsidRPr="0057046E" w:rsidRDefault="008D633E" w:rsidP="0057046E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Co min </w:t>
      </w:r>
      <w:r w:rsidRPr="0057046E">
        <w:rPr>
          <w:rFonts w:asciiTheme="minorHAnsi" w:hAnsiTheme="minorHAnsi" w:cstheme="minorHAnsi"/>
          <w:sz w:val="20"/>
          <w:szCs w:val="20"/>
          <w:lang w:eastAsia="pl-PL"/>
        </w:rPr>
        <w:t>– cena oferty z najniższą ceną brutto,</w:t>
      </w:r>
    </w:p>
    <w:p w14:paraId="6C5E3B62" w14:textId="11A8527F" w:rsidR="00B77730" w:rsidRPr="0057046E" w:rsidRDefault="008D633E" w:rsidP="0057046E">
      <w:pPr>
        <w:tabs>
          <w:tab w:val="left" w:pos="8789"/>
        </w:tabs>
        <w:ind w:left="284" w:right="282"/>
        <w:jc w:val="both"/>
        <w:rPr>
          <w:rFonts w:asciiTheme="minorHAnsi" w:hAnsiTheme="minorHAnsi" w:cstheme="minorHAnsi"/>
          <w:sz w:val="20"/>
          <w:szCs w:val="20"/>
        </w:rPr>
      </w:pPr>
      <w:r w:rsidRPr="0057046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Co </w:t>
      </w:r>
      <w:proofErr w:type="spellStart"/>
      <w:r w:rsidRPr="0057046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bad</w:t>
      </w:r>
      <w:proofErr w:type="spellEnd"/>
      <w:r w:rsidRPr="0057046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57046E">
        <w:rPr>
          <w:rFonts w:asciiTheme="minorHAnsi" w:hAnsiTheme="minorHAnsi" w:cstheme="minorHAnsi"/>
          <w:sz w:val="20"/>
          <w:szCs w:val="20"/>
          <w:lang w:eastAsia="pl-PL"/>
        </w:rPr>
        <w:t>– cena brutto oferty badanej.</w:t>
      </w:r>
    </w:p>
    <w:p w14:paraId="4DC15B6E" w14:textId="77777777" w:rsidR="005D3F11" w:rsidRPr="0057046E" w:rsidRDefault="005D3F11" w:rsidP="005D3F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2E541E11" w14:textId="3EEAB8D3" w:rsidR="005D3F11" w:rsidRPr="0057046E" w:rsidRDefault="005D3F11" w:rsidP="005D3F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2: Plan realizacji i metodyka badania – waga 50%</w:t>
      </w:r>
    </w:p>
    <w:p w14:paraId="6C122EA4" w14:textId="6311D73E" w:rsidR="005D3F11" w:rsidRPr="0057046E" w:rsidRDefault="005D3F11" w:rsidP="0057046E">
      <w:pPr>
        <w:pStyle w:val="Akapitzlist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993"/>
        <w:rPr>
          <w:rFonts w:asciiTheme="minorHAnsi" w:hAnsiTheme="minorHAnsi" w:cstheme="minorHAnsi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sz w:val="20"/>
          <w:szCs w:val="20"/>
          <w:lang w:eastAsia="pl-PL"/>
        </w:rPr>
        <w:t>Wykonawca w ramach kryterium może otrzymać maksymalnie 50 pkt.</w:t>
      </w:r>
    </w:p>
    <w:p w14:paraId="217B0B07" w14:textId="66C91985" w:rsidR="005D3F11" w:rsidRPr="0057046E" w:rsidRDefault="005D3F11" w:rsidP="0057046E">
      <w:pPr>
        <w:pStyle w:val="Akapitzlist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993"/>
        <w:rPr>
          <w:rFonts w:asciiTheme="minorHAnsi" w:hAnsiTheme="minorHAnsi" w:cstheme="minorHAnsi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sz w:val="20"/>
          <w:szCs w:val="20"/>
          <w:lang w:eastAsia="pl-PL"/>
        </w:rPr>
        <w:t>Zamawiający dokona oceny w ww. kryterium na podstawie złożonego wraz z ofertą „Planu</w:t>
      </w:r>
      <w:r w:rsidR="003C375B" w:rsidRPr="0057046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7046E">
        <w:rPr>
          <w:rFonts w:asciiTheme="minorHAnsi" w:hAnsiTheme="minorHAnsi" w:cstheme="minorHAnsi"/>
          <w:sz w:val="20"/>
          <w:szCs w:val="20"/>
          <w:lang w:eastAsia="pl-PL"/>
        </w:rPr>
        <w:t xml:space="preserve">realizacji i metodyki badania”, </w:t>
      </w:r>
    </w:p>
    <w:p w14:paraId="72F4C4CA" w14:textId="458F3D92" w:rsidR="005D3F11" w:rsidRPr="0057046E" w:rsidRDefault="005D3F11" w:rsidP="0057046E">
      <w:pPr>
        <w:pStyle w:val="Akapitzlist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993"/>
        <w:rPr>
          <w:rFonts w:asciiTheme="minorHAnsi" w:hAnsiTheme="minorHAnsi" w:cstheme="minorHAnsi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sz w:val="20"/>
          <w:szCs w:val="20"/>
          <w:lang w:eastAsia="pl-PL"/>
        </w:rPr>
        <w:t xml:space="preserve">Oferty zostaną ocenione w ramach </w:t>
      </w:r>
      <w:proofErr w:type="spellStart"/>
      <w:r w:rsidRPr="0057046E">
        <w:rPr>
          <w:rFonts w:asciiTheme="minorHAnsi" w:hAnsiTheme="minorHAnsi" w:cstheme="minorHAnsi"/>
          <w:sz w:val="20"/>
          <w:szCs w:val="20"/>
          <w:lang w:eastAsia="pl-PL"/>
        </w:rPr>
        <w:t>podkryteriów</w:t>
      </w:r>
      <w:proofErr w:type="spellEnd"/>
      <w:r w:rsidRPr="0057046E">
        <w:rPr>
          <w:rFonts w:asciiTheme="minorHAnsi" w:hAnsiTheme="minorHAnsi" w:cstheme="minorHAnsi"/>
          <w:sz w:val="20"/>
          <w:szCs w:val="20"/>
          <w:lang w:eastAsia="pl-PL"/>
        </w:rPr>
        <w:t xml:space="preserve"> opisanych w tabeli poniżej. Zakres</w:t>
      </w:r>
      <w:r w:rsidR="003C375B" w:rsidRPr="0057046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7046E">
        <w:rPr>
          <w:rFonts w:asciiTheme="minorHAnsi" w:hAnsiTheme="minorHAnsi" w:cstheme="minorHAnsi"/>
          <w:sz w:val="20"/>
          <w:szCs w:val="20"/>
          <w:lang w:eastAsia="pl-PL"/>
        </w:rPr>
        <w:t>wymaganych informacji oraz sposób oceny:</w:t>
      </w:r>
    </w:p>
    <w:p w14:paraId="08B43C68" w14:textId="77777777" w:rsidR="00807D9F" w:rsidRDefault="00807D9F" w:rsidP="003C37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W w:w="7933" w:type="dxa"/>
        <w:tblLook w:val="04A0" w:firstRow="1" w:lastRow="0" w:firstColumn="1" w:lastColumn="0" w:noHBand="0" w:noVBand="1"/>
      </w:tblPr>
      <w:tblGrid>
        <w:gridCol w:w="562"/>
        <w:gridCol w:w="1812"/>
        <w:gridCol w:w="2594"/>
        <w:gridCol w:w="1264"/>
        <w:gridCol w:w="1701"/>
      </w:tblGrid>
      <w:tr w:rsidR="00F41298" w14:paraId="5B78C367" w14:textId="77777777" w:rsidTr="0057046E">
        <w:tc>
          <w:tcPr>
            <w:tcW w:w="562" w:type="dxa"/>
          </w:tcPr>
          <w:p w14:paraId="009E746F" w14:textId="6EFAB0C4" w:rsidR="00807D9F" w:rsidRPr="0057046E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704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1812" w:type="dxa"/>
          </w:tcPr>
          <w:p w14:paraId="59E567BE" w14:textId="183D2998" w:rsidR="00807D9F" w:rsidRPr="0057046E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704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Rodzaj </w:t>
            </w:r>
            <w:proofErr w:type="spellStart"/>
            <w:r w:rsidRPr="005704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podkryterium</w:t>
            </w:r>
            <w:proofErr w:type="spellEnd"/>
            <w:r w:rsidRPr="005704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94" w:type="dxa"/>
          </w:tcPr>
          <w:p w14:paraId="50C9BE50" w14:textId="0DBA6FEB" w:rsidR="00807D9F" w:rsidRPr="0057046E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704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Opis </w:t>
            </w:r>
            <w:proofErr w:type="spellStart"/>
            <w:r w:rsidRPr="005704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podkryterium</w:t>
            </w:r>
            <w:proofErr w:type="spellEnd"/>
            <w:r w:rsidRPr="005704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4" w:type="dxa"/>
          </w:tcPr>
          <w:p w14:paraId="6696E3A5" w14:textId="250668B4" w:rsidR="00807D9F" w:rsidRPr="0057046E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704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Zakres punktów</w:t>
            </w:r>
          </w:p>
        </w:tc>
        <w:tc>
          <w:tcPr>
            <w:tcW w:w="1701" w:type="dxa"/>
          </w:tcPr>
          <w:p w14:paraId="45A80FF3" w14:textId="0D54A3F5" w:rsidR="00807D9F" w:rsidRPr="0057046E" w:rsidRDefault="00807D9F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704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Sposób dokonywania oceny</w:t>
            </w:r>
          </w:p>
        </w:tc>
      </w:tr>
      <w:tr w:rsidR="00F41298" w14:paraId="13466382" w14:textId="77777777" w:rsidTr="0057046E">
        <w:tc>
          <w:tcPr>
            <w:tcW w:w="562" w:type="dxa"/>
          </w:tcPr>
          <w:p w14:paraId="42ED365C" w14:textId="0CBE2006" w:rsidR="00807D9F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2" w:type="dxa"/>
          </w:tcPr>
          <w:p w14:paraId="214B4F80" w14:textId="40D4E8BD" w:rsidR="00807D9F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Plan realizacji badania </w:t>
            </w:r>
          </w:p>
        </w:tc>
        <w:tc>
          <w:tcPr>
            <w:tcW w:w="2594" w:type="dxa"/>
          </w:tcPr>
          <w:p w14:paraId="7DCDDEC6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Plan realizacji badania wraz z</w:t>
            </w:r>
          </w:p>
          <w:p w14:paraId="5DE852E1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harmonogramem, powinien spełniać</w:t>
            </w:r>
          </w:p>
          <w:p w14:paraId="34C072CE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następujące założenia:</w:t>
            </w:r>
          </w:p>
          <w:p w14:paraId="56012658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 xml:space="preserve">a) </w:t>
            </w: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Kompletność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uwzględnia</w:t>
            </w:r>
          </w:p>
          <w:p w14:paraId="0528F230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wszystkie zadania niezbędne do</w:t>
            </w:r>
          </w:p>
          <w:p w14:paraId="0EDFC45A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realizacji badania, a każde wskazane</w:t>
            </w:r>
          </w:p>
          <w:p w14:paraId="397C6AEA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zadanie jest szczegółowo</w:t>
            </w:r>
          </w:p>
          <w:p w14:paraId="751E7204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scharakteryzowane, tj. opisano</w:t>
            </w:r>
          </w:p>
          <w:p w14:paraId="2C08E995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wszystkie działania, jakie Wykonawca</w:t>
            </w:r>
          </w:p>
          <w:p w14:paraId="6CF5C2C8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planuje wykonać w ramach każdej z</w:t>
            </w:r>
          </w:p>
          <w:p w14:paraId="2B3E61B4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nich;</w:t>
            </w:r>
          </w:p>
          <w:p w14:paraId="1336F15D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 xml:space="preserve">b) </w:t>
            </w: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Logiczność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uwzględnia relacje i</w:t>
            </w:r>
          </w:p>
          <w:p w14:paraId="3DD62E63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zależności (w tym logiczną i czasową</w:t>
            </w:r>
          </w:p>
          <w:p w14:paraId="5CBE6F3E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współzależność) pomiędzy</w:t>
            </w:r>
          </w:p>
          <w:p w14:paraId="10BE9137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wskazanymi zadaniami ;</w:t>
            </w:r>
          </w:p>
          <w:p w14:paraId="79D5AFD6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 xml:space="preserve">c) </w:t>
            </w: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Wykonalność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umożliwia</w:t>
            </w:r>
          </w:p>
          <w:p w14:paraId="6135A070" w14:textId="0ED1269D" w:rsidR="00807D9F" w:rsidRPr="0057046E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realizację wszystkich etapów badania w wyznaczonych w SOPZ ramach czasowych</w:t>
            </w:r>
          </w:p>
        </w:tc>
        <w:tc>
          <w:tcPr>
            <w:tcW w:w="1264" w:type="dxa"/>
          </w:tcPr>
          <w:p w14:paraId="6158D8B4" w14:textId="5B56AAB6" w:rsidR="00807D9F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0-5-10-20</w:t>
            </w:r>
          </w:p>
        </w:tc>
        <w:tc>
          <w:tcPr>
            <w:tcW w:w="1701" w:type="dxa"/>
          </w:tcPr>
          <w:p w14:paraId="2DE4427B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0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za plan realizacji badania nie</w:t>
            </w:r>
          </w:p>
          <w:p w14:paraId="28D74658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spełniający żadnego z wymienionych założeń</w:t>
            </w:r>
          </w:p>
          <w:p w14:paraId="65B279C1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lub spełniający tylko 1 z 3 wymienionych</w:t>
            </w:r>
          </w:p>
          <w:p w14:paraId="0AF5CE83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powyżej założeń;</w:t>
            </w:r>
          </w:p>
          <w:p w14:paraId="13003290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5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za plan realizacji badania spełniający</w:t>
            </w:r>
          </w:p>
          <w:p w14:paraId="09A06FEB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2 z 3 wymienionych powyżej założeń;</w:t>
            </w:r>
          </w:p>
          <w:p w14:paraId="6AF24749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10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za plan realizacji badania spełniający</w:t>
            </w:r>
          </w:p>
          <w:p w14:paraId="6BA5AF35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wszystkie 3 z wymienionych powyżej założeń;</w:t>
            </w:r>
          </w:p>
          <w:p w14:paraId="287E6070" w14:textId="095C30F2" w:rsidR="00807D9F" w:rsidRPr="0057046E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20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za plan realizacji badania spełniający wszystkie 3 z wymienionych powyżej założeń oraz dodatkowo istotne, wyróżniające się na tle ofert innych Wykonawców pod kątem spełniania wymienionych powyżej założeń;</w:t>
            </w:r>
          </w:p>
        </w:tc>
      </w:tr>
      <w:tr w:rsidR="00F41298" w14:paraId="3057B77C" w14:textId="77777777" w:rsidTr="0057046E">
        <w:tc>
          <w:tcPr>
            <w:tcW w:w="562" w:type="dxa"/>
          </w:tcPr>
          <w:p w14:paraId="0E643C42" w14:textId="3E81DE67" w:rsidR="00807D9F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2" w:type="dxa"/>
          </w:tcPr>
          <w:p w14:paraId="36687523" w14:textId="01164C08" w:rsidR="00807D9F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Dobór i opis metod badawczych </w:t>
            </w:r>
          </w:p>
        </w:tc>
        <w:tc>
          <w:tcPr>
            <w:tcW w:w="2594" w:type="dxa"/>
          </w:tcPr>
          <w:p w14:paraId="7C425742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 doborze i opisie metod badawczych</w:t>
            </w:r>
          </w:p>
          <w:p w14:paraId="33C9D476" w14:textId="2FDF6B3D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ocenie podlegać będzie opis metod badawczych wraz z uzasadnieniem wyboru każdej z metod pod względem</w:t>
            </w:r>
          </w:p>
          <w:p w14:paraId="60E88C41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adekwatności i użyteczności</w:t>
            </w:r>
          </w:p>
          <w:p w14:paraId="54598E33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wskazanej metody do celów</w:t>
            </w:r>
          </w:p>
          <w:p w14:paraId="60628C4A" w14:textId="0AB12CA6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zamówienia</w:t>
            </w:r>
          </w:p>
        </w:tc>
        <w:tc>
          <w:tcPr>
            <w:tcW w:w="1264" w:type="dxa"/>
          </w:tcPr>
          <w:p w14:paraId="3FACE526" w14:textId="79D7A02C" w:rsidR="00807D9F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0-5-10</w:t>
            </w:r>
          </w:p>
        </w:tc>
        <w:tc>
          <w:tcPr>
            <w:tcW w:w="1701" w:type="dxa"/>
          </w:tcPr>
          <w:p w14:paraId="71C9DE0C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0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brak wskazania metod badawczych</w:t>
            </w:r>
          </w:p>
          <w:p w14:paraId="68585423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5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Wykonawca wskazał metody</w:t>
            </w:r>
          </w:p>
          <w:p w14:paraId="00D886BB" w14:textId="0EC9CE33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badawcze i uzasadnił ich dobór w sposób zbyt ogólny nie pozwalający na pełną ocenę użyteczności tych metod w kontekście celów badania</w:t>
            </w:r>
          </w:p>
          <w:p w14:paraId="0DB55F8C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10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- Wykonawca wskazał metody</w:t>
            </w:r>
          </w:p>
          <w:p w14:paraId="021F2667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badawcze i uzasadnił ich dobór, a wskazane</w:t>
            </w:r>
          </w:p>
          <w:p w14:paraId="0010E04D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metody są w ocenie Zamawiającego</w:t>
            </w:r>
          </w:p>
          <w:p w14:paraId="22799F83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użyteczne w kontekście celów badania i</w:t>
            </w:r>
          </w:p>
          <w:p w14:paraId="66DFBCB7" w14:textId="2EE939E4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lastRenderedPageBreak/>
              <w:t>wystarczające do osiągnięcia celów badania</w:t>
            </w:r>
          </w:p>
        </w:tc>
      </w:tr>
      <w:tr w:rsidR="00F41298" w14:paraId="60113EDD" w14:textId="77777777" w:rsidTr="0057046E">
        <w:tc>
          <w:tcPr>
            <w:tcW w:w="562" w:type="dxa"/>
          </w:tcPr>
          <w:p w14:paraId="3026E551" w14:textId="177F516C" w:rsidR="00807D9F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812" w:type="dxa"/>
          </w:tcPr>
          <w:p w14:paraId="5F382306" w14:textId="5A726962" w:rsidR="00807D9F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Założenia doboru prób przedsiębiorstw do badań ilościowych i jakościowych </w:t>
            </w:r>
          </w:p>
        </w:tc>
        <w:tc>
          <w:tcPr>
            <w:tcW w:w="2594" w:type="dxa"/>
          </w:tcPr>
          <w:p w14:paraId="5A6D45CE" w14:textId="77777777" w:rsidR="00807D9F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 opisie założeń doboru prób</w:t>
            </w:r>
          </w:p>
          <w:p w14:paraId="07A48BC7" w14:textId="506FA5FF" w:rsidR="00807D9F" w:rsidRPr="0057046E" w:rsidRDefault="00807D9F" w:rsidP="0080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przedsiębiorstw do badań ilościowych i jakościowych ocenie podlegać będzie sposób doboru i wielkość prób przedsiębiorstw wraz z uzasadnieniem</w:t>
            </w:r>
          </w:p>
        </w:tc>
        <w:tc>
          <w:tcPr>
            <w:tcW w:w="1264" w:type="dxa"/>
          </w:tcPr>
          <w:p w14:paraId="4E9308AA" w14:textId="61E64C12" w:rsidR="00807D9F" w:rsidRDefault="00807D9F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0-5-10</w:t>
            </w:r>
          </w:p>
        </w:tc>
        <w:tc>
          <w:tcPr>
            <w:tcW w:w="1701" w:type="dxa"/>
          </w:tcPr>
          <w:p w14:paraId="57BBBFF4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0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brak zaproponowania sposobów</w:t>
            </w:r>
          </w:p>
          <w:p w14:paraId="58BFC649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doboru prób lub brak uzasadnienia dla</w:t>
            </w:r>
          </w:p>
          <w:p w14:paraId="5026C5C5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wielkości i sposobu doboru próby;</w:t>
            </w:r>
          </w:p>
          <w:p w14:paraId="7A7DFBF1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5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wykonawca zaproponował i uzasadnił</w:t>
            </w:r>
          </w:p>
          <w:p w14:paraId="4E374389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sposób doboru i wielkość prób</w:t>
            </w:r>
          </w:p>
          <w:p w14:paraId="3926C9B1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przedsiębiorstw do badania w sposób</w:t>
            </w:r>
          </w:p>
          <w:p w14:paraId="20146CDC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adekwatny i użyteczny w kontekście celów</w:t>
            </w:r>
          </w:p>
          <w:p w14:paraId="4AA0FA6E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badania.</w:t>
            </w:r>
          </w:p>
          <w:p w14:paraId="1CB424E1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10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wykonawca zaproponował i</w:t>
            </w:r>
          </w:p>
          <w:p w14:paraId="45F79A30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uzasadnił sposób doboru i wielkość prób</w:t>
            </w:r>
          </w:p>
          <w:p w14:paraId="46E30418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przedsiębiorstw do badania w sposób</w:t>
            </w:r>
          </w:p>
          <w:p w14:paraId="0E20F2B3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adekwatny i użyteczny w kontekście celów</w:t>
            </w:r>
          </w:p>
          <w:p w14:paraId="210B78AC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badania, a wskazana wielkość próby pozwala</w:t>
            </w:r>
          </w:p>
          <w:p w14:paraId="50212870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na poprawne metodycznie wnioskowanie o</w:t>
            </w:r>
          </w:p>
          <w:p w14:paraId="79C04483" w14:textId="2319353E" w:rsidR="00807D9F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populacji.</w:t>
            </w:r>
          </w:p>
        </w:tc>
      </w:tr>
      <w:tr w:rsidR="00F41298" w14:paraId="234EAC75" w14:textId="77777777" w:rsidTr="0057046E">
        <w:tc>
          <w:tcPr>
            <w:tcW w:w="562" w:type="dxa"/>
          </w:tcPr>
          <w:p w14:paraId="10A58612" w14:textId="3E3E5A37" w:rsidR="00807D9F" w:rsidRDefault="00F41298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2" w:type="dxa"/>
          </w:tcPr>
          <w:p w14:paraId="39151597" w14:textId="22BDC2CF" w:rsidR="00807D9F" w:rsidRDefault="00F41298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Źródła danych</w:t>
            </w:r>
          </w:p>
        </w:tc>
        <w:tc>
          <w:tcPr>
            <w:tcW w:w="2594" w:type="dxa"/>
          </w:tcPr>
          <w:p w14:paraId="78EA0C68" w14:textId="4946BAC7" w:rsidR="00807D9F" w:rsidRPr="0057046E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 kryterium źródła danych ocenie podlegać będzie dobór źródeł danych wraz z uzasadnieniem</w:t>
            </w:r>
          </w:p>
        </w:tc>
        <w:tc>
          <w:tcPr>
            <w:tcW w:w="1264" w:type="dxa"/>
          </w:tcPr>
          <w:p w14:paraId="45EAE7B8" w14:textId="27711391" w:rsidR="00807D9F" w:rsidRDefault="00F41298" w:rsidP="003C3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0-5-10</w:t>
            </w:r>
          </w:p>
        </w:tc>
        <w:tc>
          <w:tcPr>
            <w:tcW w:w="1701" w:type="dxa"/>
          </w:tcPr>
          <w:p w14:paraId="7CF74B03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0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brak wskazanych dodatkowych źródeł</w:t>
            </w:r>
          </w:p>
          <w:p w14:paraId="3605B524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danych, brak uzasadnienia doboru</w:t>
            </w:r>
          </w:p>
          <w:p w14:paraId="1402F415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wskazanych źródeł danych lub uzasadnienie</w:t>
            </w:r>
          </w:p>
          <w:p w14:paraId="505A807A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nie pozwala na ocenę adekwatności i</w:t>
            </w:r>
          </w:p>
          <w:p w14:paraId="3AFFA0A9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użyteczności wskazanych źródeł danych w</w:t>
            </w:r>
          </w:p>
          <w:p w14:paraId="7BC35326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kontekście celów badania</w:t>
            </w:r>
          </w:p>
          <w:p w14:paraId="0F59DE41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5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– Wykonawca wskazał dodatkowe</w:t>
            </w:r>
          </w:p>
          <w:p w14:paraId="05B02A6D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źródła danych oraz uzasadnił ich</w:t>
            </w:r>
          </w:p>
          <w:p w14:paraId="52583DA9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adekwatność i użyteczność w kontekście</w:t>
            </w:r>
          </w:p>
          <w:p w14:paraId="1E4260BA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celów badania</w:t>
            </w:r>
          </w:p>
          <w:p w14:paraId="73857B5C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17"/>
                <w:szCs w:val="17"/>
                <w:lang w:eastAsia="pl-PL"/>
              </w:rPr>
              <w:t xml:space="preserve">10 pkt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 xml:space="preserve">- Wykonawca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lastRenderedPageBreak/>
              <w:t>wskazał źródła danych</w:t>
            </w:r>
          </w:p>
          <w:p w14:paraId="62DA76AD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ilościowych oraz uzasadnił ich adekwatność i</w:t>
            </w:r>
          </w:p>
          <w:p w14:paraId="7207A73B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użyteczność w kontekście celów badania, i</w:t>
            </w:r>
          </w:p>
          <w:p w14:paraId="2AA78137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dodatkowo jego oferta wyróżnia się na tle</w:t>
            </w:r>
          </w:p>
          <w:p w14:paraId="7714DB57" w14:textId="77777777" w:rsidR="00F41298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innych pod względem liczby wskazanych</w:t>
            </w:r>
          </w:p>
          <w:p w14:paraId="5FC85416" w14:textId="6843AB6F" w:rsidR="00807D9F" w:rsidRPr="0057046E" w:rsidRDefault="00F41298" w:rsidP="00F4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7"/>
                <w:szCs w:val="17"/>
                <w:lang w:eastAsia="pl-PL"/>
              </w:rPr>
            </w:pP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dodatkowych źródeł danych oraz zakresu i</w:t>
            </w:r>
            <w:r w:rsidR="000C4CB3">
              <w:rPr>
                <w:rFonts w:ascii="ArialMT" w:hAnsi="ArialMT" w:cs="ArialMT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ArialMT" w:hAnsi="ArialMT" w:cs="ArialMT"/>
                <w:sz w:val="17"/>
                <w:szCs w:val="17"/>
                <w:lang w:eastAsia="pl-PL"/>
              </w:rPr>
              <w:t>jakości danych pokrytych przez te źródła</w:t>
            </w:r>
          </w:p>
        </w:tc>
      </w:tr>
    </w:tbl>
    <w:p w14:paraId="76026E2B" w14:textId="56495311" w:rsidR="003C375B" w:rsidRDefault="003C375B" w:rsidP="003C37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049F4C" w14:textId="77777777" w:rsidR="003C375B" w:rsidRPr="0057046E" w:rsidRDefault="003C375B" w:rsidP="005704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E7C57A3" w14:textId="6E53F50A" w:rsidR="005D3F11" w:rsidRPr="0057046E" w:rsidRDefault="005D3F11" w:rsidP="005D3F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sz w:val="20"/>
          <w:szCs w:val="20"/>
          <w:lang w:eastAsia="pl-PL"/>
        </w:rPr>
        <w:t>Ostateczną ocenę - liczbę punktów w kryterium nr 2, stanowić będzie suma punktów uzyskanych</w:t>
      </w:r>
      <w:r w:rsidR="003C375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7046E">
        <w:rPr>
          <w:rFonts w:asciiTheme="minorHAnsi" w:hAnsiTheme="minorHAnsi" w:cstheme="minorHAnsi"/>
          <w:sz w:val="20"/>
          <w:szCs w:val="20"/>
          <w:lang w:eastAsia="pl-PL"/>
        </w:rPr>
        <w:t xml:space="preserve">w poszczególnych </w:t>
      </w:r>
      <w:proofErr w:type="spellStart"/>
      <w:r w:rsidRPr="0057046E">
        <w:rPr>
          <w:rFonts w:asciiTheme="minorHAnsi" w:hAnsiTheme="minorHAnsi" w:cstheme="minorHAnsi"/>
          <w:sz w:val="20"/>
          <w:szCs w:val="20"/>
          <w:lang w:eastAsia="pl-PL"/>
        </w:rPr>
        <w:t>podkryteriach</w:t>
      </w:r>
      <w:proofErr w:type="spellEnd"/>
      <w:r w:rsidRPr="0057046E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51780788" w14:textId="34F5E4F6" w:rsidR="005D3F11" w:rsidRPr="0057046E" w:rsidRDefault="005D3F11" w:rsidP="005D3F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sz w:val="20"/>
          <w:szCs w:val="20"/>
          <w:lang w:eastAsia="pl-PL"/>
        </w:rPr>
        <w:t xml:space="preserve">UWAGA: W przypadku gdy w kryterium nr 2 oferta </w:t>
      </w:r>
      <w:r w:rsidRPr="0057046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uzyska mniej niż 35 punktów łącznie</w:t>
      </w:r>
      <w:r w:rsidRPr="0057046E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57046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będzie podlegała odrzuceniu </w:t>
      </w:r>
      <w:r w:rsidRPr="0057046E">
        <w:rPr>
          <w:rFonts w:asciiTheme="minorHAnsi" w:hAnsiTheme="minorHAnsi" w:cstheme="minorHAnsi"/>
          <w:sz w:val="20"/>
          <w:szCs w:val="20"/>
          <w:lang w:eastAsia="pl-PL"/>
        </w:rPr>
        <w:t xml:space="preserve">na podstawie przepisu art. 226 ust. 1 pkt 5 ustawy, tj. zostanie odrzucona jako oferta, której treść jest niezgodna z warunkami zamówienia. </w:t>
      </w:r>
      <w:r w:rsidRPr="0057046E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(tj. oferta nie gwarantuje osiągnięcia w wystarczającym stopniu celu przedmiotu zamówienia określonego w SOPZ).</w:t>
      </w:r>
    </w:p>
    <w:p w14:paraId="05B2F806" w14:textId="1F7E9414" w:rsidR="005D3F11" w:rsidRDefault="005D3F11" w:rsidP="005D3F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</w:p>
    <w:p w14:paraId="33795777" w14:textId="42E8587E" w:rsidR="005D3F11" w:rsidRPr="0057046E" w:rsidRDefault="005D3F11" w:rsidP="005704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Wielkość próby badania dla pozyskania danych pierwotnych – waga 20%</w:t>
      </w:r>
    </w:p>
    <w:p w14:paraId="0B0A97BF" w14:textId="5D2B56DC" w:rsidR="005D3F11" w:rsidRPr="0057046E" w:rsidRDefault="005D3F11" w:rsidP="005704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Wykonawca w ramach kryterium może otrzymać maksymalnie 20 pkt w zależności od zadeklarowanego zwiększenia próby badania dla pozyskania danych pierwotnych powyżej</w:t>
      </w:r>
      <w:r w:rsidR="003C375B"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wymaganej próby 100 podmiotów.</w:t>
      </w:r>
    </w:p>
    <w:p w14:paraId="07ED9C68" w14:textId="00CB3709" w:rsidR="005D3F11" w:rsidRPr="0057046E" w:rsidRDefault="005D3F11" w:rsidP="005704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Zamawiający przyzna 1 pkt za każde kolejne 10% powyżej próby 100 podmiotów. W tym kryterium Wykonawca może otrzymać maksymalnie 20 pkt (przy maksymalnym zwiększeniu próby badania o 200%).</w:t>
      </w:r>
    </w:p>
    <w:p w14:paraId="45FAB5DA" w14:textId="77777777" w:rsidR="00363FCB" w:rsidRDefault="005D3F11" w:rsidP="00363F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Zamawiający przyzna 0 pkt w przypadku, gdy Wykonawca zaznaczy opcję: 0% oznaczającą brak zwiększenia próby badania. Wykonawca w takim przypadku zobowiązany będzie do wykonania badania na wymaganej minimalnej próbie stanowiącej 100 podmiotów.</w:t>
      </w:r>
    </w:p>
    <w:p w14:paraId="50DB0748" w14:textId="7EA94F78" w:rsidR="00363FCB" w:rsidRDefault="00363FCB" w:rsidP="005704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Wykonawca zobligowany jest do przeprowadzenia badania na próbie 100 podmiotów. Każde 10% powyżej próby 100 jest dodatkowo punktowane. Wykonawca składając ofertę powinien dokonać uprzedniego rozpoznania wielkości branży i oszacować na podstawie własnego doświadczenia w prowadzeniu projektów badawczych, jaką wielkość próby badania jest w stanie osiągnąć przy danej wielkości populacji i własnych zasobach.</w:t>
      </w:r>
    </w:p>
    <w:p w14:paraId="405AB0AB" w14:textId="77777777" w:rsidR="000E3F05" w:rsidRPr="0057046E" w:rsidRDefault="000E3F05" w:rsidP="000E3F0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0A1E9720" w14:textId="76837C96" w:rsidR="00B77730" w:rsidRPr="000E3F05" w:rsidRDefault="00B77730" w:rsidP="000E3F05">
      <w:pPr>
        <w:pStyle w:val="Akapitzlist"/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0E3F05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 xml:space="preserve">Zasady wyboru </w:t>
      </w:r>
      <w:r w:rsidR="000E3F05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W</w:t>
      </w:r>
      <w:r w:rsidRPr="000E3F05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ykonawcy</w:t>
      </w:r>
    </w:p>
    <w:p w14:paraId="529859CD" w14:textId="77777777" w:rsidR="00B77730" w:rsidRDefault="00B77730" w:rsidP="00B77730">
      <w:pPr>
        <w:pStyle w:val="Akapitzlist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2C44D5BA" w14:textId="455E13CD" w:rsidR="00B77730" w:rsidRPr="0057046E" w:rsidRDefault="00B77730" w:rsidP="0057046E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 celu zapewnienia porównywalności wszystkich ofert, Zamawiający zastrzega sobie prawo </w:t>
      </w: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  <w:t>do skontaktowania się z oferentami, w celu uzupełnienia lub doprecyzowania ofert.</w:t>
      </w:r>
    </w:p>
    <w:p w14:paraId="00B2F674" w14:textId="139E55ED" w:rsidR="00B77730" w:rsidRPr="0057046E" w:rsidRDefault="00B77730" w:rsidP="0057046E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kosztowym; </w:t>
      </w:r>
    </w:p>
    <w:p w14:paraId="2117F42C" w14:textId="5A4EE6B9" w:rsidR="00B77730" w:rsidRPr="0057046E" w:rsidRDefault="00B77730" w:rsidP="0057046E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Zamawiający zawiera umowy na podstawie własnych wzorów umów stosowanych przez Zamawiającego; </w:t>
      </w:r>
    </w:p>
    <w:p w14:paraId="0535538B" w14:textId="0769E66E" w:rsidR="00B77730" w:rsidRPr="0057046E" w:rsidRDefault="00B77730" w:rsidP="0057046E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oceny;</w:t>
      </w:r>
    </w:p>
    <w:p w14:paraId="527E18E7" w14:textId="48CEE325" w:rsidR="00B77730" w:rsidRPr="0057046E" w:rsidRDefault="00B77730" w:rsidP="0057046E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Zamawiający zastrzega sobie prawo do odstąpienia od wyboru Wykonawcy w przypadku, </w:t>
      </w: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  <w:t>gdy żadna z nadesłanych ofert nie uzyska co najmniej 65 punktów;</w:t>
      </w:r>
    </w:p>
    <w:p w14:paraId="4F6E4D3F" w14:textId="13BF951A" w:rsidR="00B77730" w:rsidRPr="0057046E" w:rsidRDefault="00B77730" w:rsidP="0057046E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lastRenderedPageBreak/>
        <w:t xml:space="preserve">Zamawiający zastrzega sobie prawo do rezygnacji z Zamówienia bez wyboru którejkolwiek </w:t>
      </w: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  <w:t>ze złożonych ofert;</w:t>
      </w:r>
    </w:p>
    <w:p w14:paraId="2070EDA3" w14:textId="6B150C88" w:rsidR="00B77730" w:rsidRPr="0057046E" w:rsidRDefault="00B77730" w:rsidP="0057046E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7046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Zamawiający zastrzega, że dane dotyczące zamówienia są jawne oraz stanowią informację publiczną i mogą zostać udostępnione na zasadach określonych w Ustawie z dnia 6 września 2001 roku o dostępie do informacji publicznej (Dz. U. z 2014 r., poz. 782).</w:t>
      </w:r>
    </w:p>
    <w:p w14:paraId="2759514C" w14:textId="77777777" w:rsidR="00B77730" w:rsidRPr="008B3472" w:rsidRDefault="00B77730" w:rsidP="000E3F05">
      <w:pPr>
        <w:pStyle w:val="1pkt"/>
        <w:numPr>
          <w:ilvl w:val="0"/>
          <w:numId w:val="3"/>
        </w:numPr>
      </w:pPr>
      <w:r w:rsidRPr="008B3472">
        <w:t xml:space="preserve">Termin i miejsce składania </w:t>
      </w:r>
      <w:r>
        <w:t>kalkulacji ceny</w:t>
      </w:r>
    </w:p>
    <w:p w14:paraId="28909B3D" w14:textId="77777777" w:rsidR="00B77730" w:rsidRDefault="00B77730" w:rsidP="00B77730">
      <w:pPr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4EA049B4" w14:textId="45B8BC98" w:rsidR="00B77730" w:rsidRDefault="00B77730" w:rsidP="00B7773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Kalkulację ceny</w:t>
      </w:r>
      <w:r w:rsidRPr="007E6861">
        <w:rPr>
          <w:rFonts w:ascii="Arial" w:hAnsi="Arial" w:cs="Arial"/>
          <w:sz w:val="20"/>
          <w:szCs w:val="20"/>
        </w:rPr>
        <w:t xml:space="preserve"> prosimy złożyć </w:t>
      </w:r>
      <w:r>
        <w:rPr>
          <w:rFonts w:ascii="Arial" w:hAnsi="Arial" w:cs="Arial"/>
          <w:b/>
          <w:sz w:val="20"/>
          <w:szCs w:val="20"/>
        </w:rPr>
        <w:t xml:space="preserve">do </w:t>
      </w:r>
      <w:r w:rsidR="000E3F05">
        <w:rPr>
          <w:rFonts w:ascii="Arial" w:hAnsi="Arial" w:cs="Arial"/>
          <w:b/>
          <w:sz w:val="20"/>
          <w:szCs w:val="20"/>
        </w:rPr>
        <w:t>1 marca</w:t>
      </w:r>
      <w:r>
        <w:rPr>
          <w:rFonts w:ascii="Arial" w:hAnsi="Arial" w:cs="Arial"/>
          <w:b/>
          <w:sz w:val="20"/>
          <w:szCs w:val="20"/>
        </w:rPr>
        <w:t xml:space="preserve"> 2023 r</w:t>
      </w:r>
      <w:r w:rsidRPr="007E686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D7590F">
        <w:rPr>
          <w:rFonts w:ascii="Arial" w:hAnsi="Arial" w:cs="Arial"/>
          <w:sz w:val="20"/>
          <w:szCs w:val="20"/>
        </w:rPr>
        <w:t xml:space="preserve">za pośrednictwem poczty elektronicznej na adres: </w:t>
      </w:r>
      <w:hyperlink r:id="rId31" w:history="1">
        <w:r w:rsidRPr="00B77730">
          <w:rPr>
            <w:rStyle w:val="Hipercze"/>
          </w:rPr>
          <w:t>andrzej.jarzewski@mrit.govpl</w:t>
        </w:r>
      </w:hyperlink>
      <w:r>
        <w:t xml:space="preserve"> oraz </w:t>
      </w:r>
      <w:hyperlink r:id="rId32" w:history="1">
        <w:r w:rsidR="000E3F05" w:rsidRPr="00DA112A">
          <w:rPr>
            <w:rStyle w:val="Hipercze"/>
          </w:rPr>
          <w:t>justyna.gorzoch@mrit.gov.pl</w:t>
        </w:r>
      </w:hyperlink>
      <w:r w:rsidR="000E3F05">
        <w:t xml:space="preserve"> </w:t>
      </w:r>
    </w:p>
    <w:p w14:paraId="696FCEAF" w14:textId="77777777" w:rsidR="00B77730" w:rsidRDefault="00B77730" w:rsidP="00B7773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158F3C2" w14:textId="77777777" w:rsidR="00B77730" w:rsidRPr="00A92E02" w:rsidRDefault="00B77730" w:rsidP="000E3F05">
      <w:pPr>
        <w:numPr>
          <w:ilvl w:val="0"/>
          <w:numId w:val="3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2E02">
        <w:rPr>
          <w:rFonts w:ascii="Arial" w:hAnsi="Arial" w:cs="Arial"/>
          <w:b/>
          <w:sz w:val="20"/>
          <w:szCs w:val="20"/>
        </w:rPr>
        <w:t>Kontakt</w:t>
      </w:r>
      <w:r>
        <w:rPr>
          <w:rFonts w:ascii="Arial" w:hAnsi="Arial" w:cs="Arial"/>
          <w:b/>
          <w:sz w:val="20"/>
          <w:szCs w:val="20"/>
        </w:rPr>
        <w:t>:</w:t>
      </w:r>
    </w:p>
    <w:p w14:paraId="4C8C0755" w14:textId="1F56F3F9" w:rsidR="00B77730" w:rsidRDefault="00B77730" w:rsidP="00B77730">
      <w:pPr>
        <w:pStyle w:val="List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Andrzej Jarzewski, email: andrzej.jarzewski@mrit.gov.pl</w:t>
      </w:r>
    </w:p>
    <w:p w14:paraId="33022804" w14:textId="77777777" w:rsidR="00B77730" w:rsidRPr="00E10184" w:rsidRDefault="00B77730" w:rsidP="00B77730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Departament Innowacji</w:t>
      </w:r>
      <w:r>
        <w:rPr>
          <w:rFonts w:ascii="Arial" w:hAnsi="Arial" w:cs="Arial"/>
          <w:sz w:val="20"/>
          <w:szCs w:val="20"/>
        </w:rPr>
        <w:t xml:space="preserve"> i Polityki Przemysłowej</w:t>
      </w:r>
    </w:p>
    <w:p w14:paraId="74C5E21D" w14:textId="77777777" w:rsidR="00B77730" w:rsidRPr="00E10184" w:rsidRDefault="00B77730" w:rsidP="00B77730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 xml:space="preserve">Ministerstwo </w:t>
      </w:r>
      <w:r>
        <w:rPr>
          <w:rFonts w:ascii="Arial" w:hAnsi="Arial" w:cs="Arial"/>
          <w:sz w:val="20"/>
          <w:szCs w:val="20"/>
        </w:rPr>
        <w:t>Rozwoju, Pracy i Technologii</w:t>
      </w:r>
    </w:p>
    <w:p w14:paraId="6680695F" w14:textId="77777777" w:rsidR="00B77730" w:rsidRPr="00E10184" w:rsidRDefault="00B77730" w:rsidP="00B77730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Plac Trzech Krzyży 3/5</w:t>
      </w:r>
    </w:p>
    <w:p w14:paraId="67573EA5" w14:textId="77777777" w:rsidR="00B77730" w:rsidRDefault="00B77730" w:rsidP="00B77730">
      <w:pPr>
        <w:pStyle w:val="List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00-507 Warszawa</w:t>
      </w:r>
    </w:p>
    <w:p w14:paraId="190B37AE" w14:textId="77777777" w:rsidR="00B77730" w:rsidRPr="00680FE4" w:rsidRDefault="00B77730" w:rsidP="00B77730">
      <w:pPr>
        <w:autoSpaceDE w:val="0"/>
        <w:autoSpaceDN w:val="0"/>
        <w:adjustRightInd w:val="0"/>
        <w:spacing w:after="7" w:line="240" w:lineRule="auto"/>
        <w:rPr>
          <w:rFonts w:ascii="Arial" w:hAnsi="Arial" w:cs="Arial"/>
          <w:sz w:val="20"/>
          <w:szCs w:val="20"/>
        </w:rPr>
      </w:pPr>
    </w:p>
    <w:p w14:paraId="4FDA9A43" w14:textId="77777777" w:rsidR="00B77730" w:rsidRPr="00345310" w:rsidRDefault="00B77730" w:rsidP="002A0299">
      <w:pPr>
        <w:spacing w:before="360" w:after="240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AD3210" w14:textId="77777777" w:rsidR="0003211B" w:rsidRPr="00345310" w:rsidRDefault="0003211B" w:rsidP="00B6198E">
      <w:pPr>
        <w:autoSpaceDE w:val="0"/>
        <w:autoSpaceDN w:val="0"/>
        <w:adjustRightInd w:val="0"/>
        <w:spacing w:after="7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343B2A" w14:textId="5DF19312" w:rsidR="00572668" w:rsidRPr="00345310" w:rsidRDefault="00572668" w:rsidP="0023327D">
      <w:pPr>
        <w:tabs>
          <w:tab w:val="left" w:pos="8789"/>
        </w:tabs>
        <w:ind w:right="282"/>
        <w:jc w:val="both"/>
        <w:rPr>
          <w:rFonts w:asciiTheme="minorHAnsi" w:hAnsiTheme="minorHAnsi" w:cstheme="minorHAnsi"/>
          <w:sz w:val="20"/>
          <w:szCs w:val="20"/>
        </w:rPr>
      </w:pPr>
    </w:p>
    <w:p w14:paraId="20F4AB40" w14:textId="5DD9558D" w:rsidR="0023327D" w:rsidRPr="00345310" w:rsidRDefault="0023327D" w:rsidP="0023327D">
      <w:pPr>
        <w:autoSpaceDE w:val="0"/>
        <w:autoSpaceDN w:val="0"/>
        <w:adjustRightInd w:val="0"/>
        <w:spacing w:after="7" w:line="240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bookmarkStart w:id="0" w:name="_z337ya" w:colFirst="0" w:colLast="0"/>
      <w:bookmarkEnd w:id="0"/>
    </w:p>
    <w:sectPr w:rsidR="0023327D" w:rsidRPr="00345310" w:rsidSect="0011500E">
      <w:headerReference w:type="default" r:id="rId33"/>
      <w:footerReference w:type="default" r:id="rId34"/>
      <w:pgSz w:w="11906" w:h="16838"/>
      <w:pgMar w:top="181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679B" w14:textId="77777777" w:rsidR="00497AB0" w:rsidRDefault="00497AB0" w:rsidP="00840519">
      <w:pPr>
        <w:spacing w:after="0" w:line="240" w:lineRule="auto"/>
      </w:pPr>
      <w:r>
        <w:separator/>
      </w:r>
    </w:p>
  </w:endnote>
  <w:endnote w:type="continuationSeparator" w:id="0">
    <w:p w14:paraId="21D3C390" w14:textId="77777777" w:rsidR="00497AB0" w:rsidRDefault="00497AB0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215690"/>
      <w:docPartObj>
        <w:docPartGallery w:val="Page Numbers (Bottom of Page)"/>
        <w:docPartUnique/>
      </w:docPartObj>
    </w:sdtPr>
    <w:sdtEndPr/>
    <w:sdtContent>
      <w:p w14:paraId="090F97C8" w14:textId="77777777" w:rsidR="00D86855" w:rsidRDefault="00D868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533">
          <w:rPr>
            <w:noProof/>
          </w:rPr>
          <w:t>8</w:t>
        </w:r>
        <w:r>
          <w:fldChar w:fldCharType="end"/>
        </w:r>
      </w:p>
    </w:sdtContent>
  </w:sdt>
  <w:p w14:paraId="363E98BE" w14:textId="77777777" w:rsidR="00D86855" w:rsidRPr="00AC5B69" w:rsidRDefault="00D86855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9F10" w14:textId="77777777" w:rsidR="00497AB0" w:rsidRDefault="00497AB0" w:rsidP="00840519">
      <w:pPr>
        <w:spacing w:after="0" w:line="240" w:lineRule="auto"/>
      </w:pPr>
      <w:r>
        <w:separator/>
      </w:r>
    </w:p>
  </w:footnote>
  <w:footnote w:type="continuationSeparator" w:id="0">
    <w:p w14:paraId="5CCC9FAD" w14:textId="77777777" w:rsidR="00497AB0" w:rsidRDefault="00497AB0" w:rsidP="00840519">
      <w:pPr>
        <w:spacing w:after="0" w:line="240" w:lineRule="auto"/>
      </w:pPr>
      <w:r>
        <w:continuationSeparator/>
      </w:r>
    </w:p>
  </w:footnote>
  <w:footnote w:id="1">
    <w:p w14:paraId="39A9514F" w14:textId="120B6647" w:rsidR="00B77730" w:rsidRPr="0057046E" w:rsidRDefault="00B77730">
      <w:pPr>
        <w:pStyle w:val="Tekstprzypisudolnego"/>
        <w:rPr>
          <w:sz w:val="18"/>
          <w:szCs w:val="18"/>
        </w:rPr>
      </w:pPr>
      <w:r w:rsidRPr="0057046E">
        <w:rPr>
          <w:rStyle w:val="Odwoanieprzypisudolnego"/>
          <w:sz w:val="18"/>
          <w:szCs w:val="18"/>
        </w:rPr>
        <w:footnoteRef/>
      </w:r>
      <w:r w:rsidRPr="0057046E">
        <w:rPr>
          <w:sz w:val="18"/>
          <w:szCs w:val="18"/>
        </w:rPr>
        <w:t xml:space="preserve"> Szczegółowy opis specjalizacji znajduje się na stronie smart.gov.pl</w:t>
      </w:r>
    </w:p>
  </w:footnote>
  <w:footnote w:id="2">
    <w:p w14:paraId="37E44F8D" w14:textId="125770AB" w:rsidR="00363FCB" w:rsidRDefault="00363FCB" w:rsidP="0057046E">
      <w:pPr>
        <w:jc w:val="both"/>
      </w:pPr>
      <w:r w:rsidRPr="0057046E">
        <w:rPr>
          <w:sz w:val="18"/>
          <w:szCs w:val="18"/>
        </w:rPr>
        <w:footnoteRef/>
      </w:r>
      <w:r w:rsidRPr="0057046E">
        <w:rPr>
          <w:sz w:val="18"/>
          <w:szCs w:val="18"/>
        </w:rPr>
        <w:t xml:space="preserve"> Przez pojęcie „główne produkty/usługi” należy rozumieć produkty/usługi będące w ofercie danego przedsiębiorstwa, zaś poziom złożoności produktu/usługi nie ma w tym przypadku znaczenia i zależy od tego, na jakim poziomie wartości łańcucha produkcji znajduje się dany przedsiębiorca.</w:t>
      </w:r>
    </w:p>
  </w:footnote>
  <w:footnote w:id="3">
    <w:p w14:paraId="5BC41788" w14:textId="13AD4386" w:rsidR="00DA143A" w:rsidRPr="0057046E" w:rsidRDefault="00DA143A" w:rsidP="00DA143A">
      <w:pPr>
        <w:jc w:val="both"/>
        <w:rPr>
          <w:sz w:val="18"/>
          <w:szCs w:val="18"/>
        </w:rPr>
      </w:pPr>
      <w:r w:rsidRPr="0057046E">
        <w:rPr>
          <w:rStyle w:val="Odwoanieprzypisudolnego"/>
          <w:sz w:val="18"/>
          <w:szCs w:val="18"/>
        </w:rPr>
        <w:footnoteRef/>
      </w:r>
      <w:r w:rsidRPr="0057046E">
        <w:rPr>
          <w:sz w:val="18"/>
          <w:szCs w:val="18"/>
        </w:rPr>
        <w:t xml:space="preserve"> Dane patentowe są ogólnie dostępne w różnego rodzaju bazach patentowych, natomiast dane dot. prowadzonych prac badawczo-rozwojowych można pozyskać np. z narzędzia SmartRadar, opracowanego przez </w:t>
      </w:r>
      <w:r w:rsidR="00412918" w:rsidRPr="0057046E">
        <w:rPr>
          <w:sz w:val="18"/>
          <w:szCs w:val="18"/>
        </w:rPr>
        <w:t>MRiT</w:t>
      </w:r>
      <w:r w:rsidRPr="0057046E">
        <w:rPr>
          <w:sz w:val="18"/>
          <w:szCs w:val="18"/>
        </w:rPr>
        <w:t xml:space="preserve">, stanowiącego rozbudowaną bazę danych obejmującą m.in. projekty B+R wpisujące się w poszczególne KIS. W przypadku braku dostępu do danych dla wybranych podmiotów niezbędne będzie przeprowadzenie badania w tych podmiotach.  </w:t>
      </w:r>
    </w:p>
    <w:p w14:paraId="2E63ABFE" w14:textId="0CC79CB1" w:rsidR="00DA143A" w:rsidRDefault="00DA143A">
      <w:pPr>
        <w:pStyle w:val="Tekstprzypisudolnego"/>
      </w:pPr>
    </w:p>
  </w:footnote>
  <w:footnote w:id="4">
    <w:p w14:paraId="308BE501" w14:textId="204BD7E5" w:rsidR="00993C1C" w:rsidRPr="0057046E" w:rsidRDefault="00993C1C">
      <w:pPr>
        <w:pStyle w:val="Tekstprzypisudolnego"/>
        <w:rPr>
          <w:sz w:val="18"/>
          <w:szCs w:val="18"/>
        </w:rPr>
      </w:pPr>
      <w:r w:rsidRPr="0057046E">
        <w:rPr>
          <w:rStyle w:val="Odwoanieprzypisudolnego"/>
          <w:sz w:val="18"/>
          <w:szCs w:val="18"/>
        </w:rPr>
        <w:footnoteRef/>
      </w:r>
      <w:r w:rsidRPr="0057046E">
        <w:rPr>
          <w:sz w:val="18"/>
          <w:szCs w:val="18"/>
        </w:rPr>
        <w:t xml:space="preserve"> Elementy łańcucha wartości powinny być zdefiniowane przez Wykonawcę.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D4E" w14:textId="01EC7EFB" w:rsidR="00D86855" w:rsidRDefault="00D86855" w:rsidP="0043745C">
    <w:pPr>
      <w:tabs>
        <w:tab w:val="center" w:pos="4536"/>
        <w:tab w:val="left" w:pos="5420"/>
        <w:tab w:val="right" w:pos="9072"/>
      </w:tabs>
      <w:spacing w:after="0" w:line="240" w:lineRule="auto"/>
    </w:pPr>
    <w:r w:rsidRPr="008E1B7F">
      <w:rPr>
        <w:noProof/>
        <w:lang w:eastAsia="pl-PL"/>
      </w:rPr>
      <w:drawing>
        <wp:inline distT="0" distB="0" distL="0" distR="0" wp14:anchorId="09499254" wp14:editId="3EB05760">
          <wp:extent cx="5760720" cy="567723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DF632B"/>
    <w:multiLevelType w:val="hybridMultilevel"/>
    <w:tmpl w:val="AC26BD6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42229E3C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ED068B"/>
    <w:multiLevelType w:val="hybridMultilevel"/>
    <w:tmpl w:val="69985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75C"/>
    <w:multiLevelType w:val="multilevel"/>
    <w:tmpl w:val="42869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5087704"/>
    <w:multiLevelType w:val="hybridMultilevel"/>
    <w:tmpl w:val="65DC16B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C54DEA"/>
    <w:multiLevelType w:val="hybridMultilevel"/>
    <w:tmpl w:val="C27E02C6"/>
    <w:lvl w:ilvl="0" w:tplc="9DC29BC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5C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FB6D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2C1DD9"/>
    <w:multiLevelType w:val="multilevel"/>
    <w:tmpl w:val="6A42DC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0591E09"/>
    <w:multiLevelType w:val="hybridMultilevel"/>
    <w:tmpl w:val="4800A3A6"/>
    <w:lvl w:ilvl="0" w:tplc="9B604FAE">
      <w:start w:val="1"/>
      <w:numFmt w:val="lowerLetter"/>
      <w:lvlText w:val="%1."/>
      <w:lvlJc w:val="left"/>
      <w:pPr>
        <w:ind w:left="2487" w:hanging="360"/>
      </w:pPr>
      <w:rPr>
        <w:rFonts w:asciiTheme="minorHAnsi" w:eastAsia="Calibr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258A54BA"/>
    <w:multiLevelType w:val="hybridMultilevel"/>
    <w:tmpl w:val="3836FE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74DE0"/>
    <w:multiLevelType w:val="multilevel"/>
    <w:tmpl w:val="BBD2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B0226"/>
    <w:multiLevelType w:val="hybridMultilevel"/>
    <w:tmpl w:val="216C6E82"/>
    <w:lvl w:ilvl="0" w:tplc="9B360B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177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61E8C"/>
    <w:multiLevelType w:val="multilevel"/>
    <w:tmpl w:val="BF56D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="Arial" w:eastAsia="Calibri" w:hAnsi="Arial" w:cs="Arial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DC04FFB"/>
    <w:multiLevelType w:val="multilevel"/>
    <w:tmpl w:val="7BA29A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EE937A6"/>
    <w:multiLevelType w:val="multilevel"/>
    <w:tmpl w:val="406A9852"/>
    <w:lvl w:ilvl="0">
      <w:start w:val="1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68C2AB9"/>
    <w:multiLevelType w:val="hybridMultilevel"/>
    <w:tmpl w:val="5008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E0469"/>
    <w:multiLevelType w:val="hybridMultilevel"/>
    <w:tmpl w:val="0CF20FD2"/>
    <w:lvl w:ilvl="0" w:tplc="0415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00B725F"/>
    <w:multiLevelType w:val="hybridMultilevel"/>
    <w:tmpl w:val="D7543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8440D"/>
    <w:multiLevelType w:val="hybridMultilevel"/>
    <w:tmpl w:val="500891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6491A"/>
    <w:multiLevelType w:val="hybridMultilevel"/>
    <w:tmpl w:val="4060188A"/>
    <w:lvl w:ilvl="0" w:tplc="0415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2" w15:restartNumberingAfterBreak="0">
    <w:nsid w:val="66E65672"/>
    <w:multiLevelType w:val="hybridMultilevel"/>
    <w:tmpl w:val="3D5C554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61A8E"/>
    <w:multiLevelType w:val="hybridMultilevel"/>
    <w:tmpl w:val="4BF6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2346"/>
    <w:multiLevelType w:val="hybridMultilevel"/>
    <w:tmpl w:val="B4E692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84C35"/>
    <w:multiLevelType w:val="hybridMultilevel"/>
    <w:tmpl w:val="0D5C0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7FAC"/>
    <w:multiLevelType w:val="multilevel"/>
    <w:tmpl w:val="7FAA3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FDA287D"/>
    <w:multiLevelType w:val="hybridMultilevel"/>
    <w:tmpl w:val="F888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051312">
    <w:abstractNumId w:val="1"/>
  </w:num>
  <w:num w:numId="2" w16cid:durableId="1673214155">
    <w:abstractNumId w:val="0"/>
  </w:num>
  <w:num w:numId="3" w16cid:durableId="1774399840">
    <w:abstractNumId w:val="13"/>
  </w:num>
  <w:num w:numId="4" w16cid:durableId="217589860">
    <w:abstractNumId w:val="7"/>
  </w:num>
  <w:num w:numId="5" w16cid:durableId="1018700723">
    <w:abstractNumId w:val="15"/>
  </w:num>
  <w:num w:numId="6" w16cid:durableId="592782920">
    <w:abstractNumId w:val="14"/>
  </w:num>
  <w:num w:numId="7" w16cid:durableId="968634046">
    <w:abstractNumId w:val="8"/>
  </w:num>
  <w:num w:numId="8" w16cid:durableId="1732265672">
    <w:abstractNumId w:val="26"/>
  </w:num>
  <w:num w:numId="9" w16cid:durableId="1266157069">
    <w:abstractNumId w:val="4"/>
  </w:num>
  <w:num w:numId="10" w16cid:durableId="1846742800">
    <w:abstractNumId w:val="3"/>
  </w:num>
  <w:num w:numId="11" w16cid:durableId="100998027">
    <w:abstractNumId w:val="10"/>
  </w:num>
  <w:num w:numId="12" w16cid:durableId="1609895627">
    <w:abstractNumId w:val="9"/>
  </w:num>
  <w:num w:numId="13" w16cid:durableId="1167554866">
    <w:abstractNumId w:val="16"/>
  </w:num>
  <w:num w:numId="14" w16cid:durableId="1915236934">
    <w:abstractNumId w:val="11"/>
  </w:num>
  <w:num w:numId="15" w16cid:durableId="820735723">
    <w:abstractNumId w:val="12"/>
  </w:num>
  <w:num w:numId="16" w16cid:durableId="75834003">
    <w:abstractNumId w:val="6"/>
  </w:num>
  <w:num w:numId="17" w16cid:durableId="314452464">
    <w:abstractNumId w:val="19"/>
  </w:num>
  <w:num w:numId="18" w16cid:durableId="1003509712">
    <w:abstractNumId w:val="21"/>
  </w:num>
  <w:num w:numId="19" w16cid:durableId="26297024">
    <w:abstractNumId w:val="5"/>
  </w:num>
  <w:num w:numId="20" w16cid:durableId="830101566">
    <w:abstractNumId w:val="2"/>
  </w:num>
  <w:num w:numId="21" w16cid:durableId="1016495110">
    <w:abstractNumId w:val="17"/>
  </w:num>
  <w:num w:numId="22" w16cid:durableId="1033841787">
    <w:abstractNumId w:val="23"/>
  </w:num>
  <w:num w:numId="23" w16cid:durableId="1684745134">
    <w:abstractNumId w:val="27"/>
  </w:num>
  <w:num w:numId="24" w16cid:durableId="1685205148">
    <w:abstractNumId w:val="25"/>
  </w:num>
  <w:num w:numId="25" w16cid:durableId="1911771414">
    <w:abstractNumId w:val="18"/>
  </w:num>
  <w:num w:numId="26" w16cid:durableId="11147007">
    <w:abstractNumId w:val="24"/>
  </w:num>
  <w:num w:numId="27" w16cid:durableId="418672511">
    <w:abstractNumId w:val="22"/>
  </w:num>
  <w:num w:numId="28" w16cid:durableId="156856795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E"/>
    <w:rsid w:val="000000DE"/>
    <w:rsid w:val="00002C90"/>
    <w:rsid w:val="0001061E"/>
    <w:rsid w:val="000117FC"/>
    <w:rsid w:val="00013E29"/>
    <w:rsid w:val="00022F94"/>
    <w:rsid w:val="000237EF"/>
    <w:rsid w:val="00026457"/>
    <w:rsid w:val="00026479"/>
    <w:rsid w:val="00031D0A"/>
    <w:rsid w:val="0003206D"/>
    <w:rsid w:val="0003211B"/>
    <w:rsid w:val="00032ECA"/>
    <w:rsid w:val="000346ED"/>
    <w:rsid w:val="00034CA8"/>
    <w:rsid w:val="0005031F"/>
    <w:rsid w:val="00060936"/>
    <w:rsid w:val="0006321F"/>
    <w:rsid w:val="00071FEE"/>
    <w:rsid w:val="0007728B"/>
    <w:rsid w:val="00083461"/>
    <w:rsid w:val="00085132"/>
    <w:rsid w:val="0008603B"/>
    <w:rsid w:val="0008767E"/>
    <w:rsid w:val="00091D84"/>
    <w:rsid w:val="000A634D"/>
    <w:rsid w:val="000A7250"/>
    <w:rsid w:val="000B05AA"/>
    <w:rsid w:val="000B1732"/>
    <w:rsid w:val="000B4D3A"/>
    <w:rsid w:val="000C2584"/>
    <w:rsid w:val="000C4CB3"/>
    <w:rsid w:val="000C5A83"/>
    <w:rsid w:val="000D4F26"/>
    <w:rsid w:val="000D5D75"/>
    <w:rsid w:val="000E1BE5"/>
    <w:rsid w:val="000E3F05"/>
    <w:rsid w:val="000F29F3"/>
    <w:rsid w:val="000F38A0"/>
    <w:rsid w:val="000F60C4"/>
    <w:rsid w:val="000F6E96"/>
    <w:rsid w:val="000F6EDA"/>
    <w:rsid w:val="00102403"/>
    <w:rsid w:val="0010412B"/>
    <w:rsid w:val="00104183"/>
    <w:rsid w:val="0010440F"/>
    <w:rsid w:val="00106443"/>
    <w:rsid w:val="0011500E"/>
    <w:rsid w:val="00135500"/>
    <w:rsid w:val="001613A2"/>
    <w:rsid w:val="001706A7"/>
    <w:rsid w:val="00181C86"/>
    <w:rsid w:val="00184F7A"/>
    <w:rsid w:val="00190EF9"/>
    <w:rsid w:val="00192425"/>
    <w:rsid w:val="00193FAB"/>
    <w:rsid w:val="00197B25"/>
    <w:rsid w:val="00197C8C"/>
    <w:rsid w:val="001A38AE"/>
    <w:rsid w:val="001A40CD"/>
    <w:rsid w:val="001A44E1"/>
    <w:rsid w:val="001A6261"/>
    <w:rsid w:val="001B1045"/>
    <w:rsid w:val="001B2C8B"/>
    <w:rsid w:val="001B4A79"/>
    <w:rsid w:val="001B793D"/>
    <w:rsid w:val="001C4333"/>
    <w:rsid w:val="001C597C"/>
    <w:rsid w:val="001C5B58"/>
    <w:rsid w:val="001C77C8"/>
    <w:rsid w:val="001D3E56"/>
    <w:rsid w:val="001D45EF"/>
    <w:rsid w:val="001D4C88"/>
    <w:rsid w:val="001D7AED"/>
    <w:rsid w:val="001E2E85"/>
    <w:rsid w:val="001E5356"/>
    <w:rsid w:val="001F4E70"/>
    <w:rsid w:val="001F7EF6"/>
    <w:rsid w:val="00205C6C"/>
    <w:rsid w:val="002100E7"/>
    <w:rsid w:val="00216FF7"/>
    <w:rsid w:val="00217F07"/>
    <w:rsid w:val="0022222D"/>
    <w:rsid w:val="00222575"/>
    <w:rsid w:val="00223308"/>
    <w:rsid w:val="00224FD3"/>
    <w:rsid w:val="00232E77"/>
    <w:rsid w:val="0023327D"/>
    <w:rsid w:val="00235EEB"/>
    <w:rsid w:val="00236B95"/>
    <w:rsid w:val="00246DED"/>
    <w:rsid w:val="00256368"/>
    <w:rsid w:val="00256C8B"/>
    <w:rsid w:val="00264F71"/>
    <w:rsid w:val="00272711"/>
    <w:rsid w:val="00272FC8"/>
    <w:rsid w:val="00274029"/>
    <w:rsid w:val="00290777"/>
    <w:rsid w:val="00296D1A"/>
    <w:rsid w:val="002A0299"/>
    <w:rsid w:val="002A0457"/>
    <w:rsid w:val="002A1466"/>
    <w:rsid w:val="002A204B"/>
    <w:rsid w:val="002A6976"/>
    <w:rsid w:val="002A7A1C"/>
    <w:rsid w:val="002A7ECE"/>
    <w:rsid w:val="002B2D23"/>
    <w:rsid w:val="002B460F"/>
    <w:rsid w:val="002B4F49"/>
    <w:rsid w:val="002C3D01"/>
    <w:rsid w:val="002C50B0"/>
    <w:rsid w:val="002C69EE"/>
    <w:rsid w:val="002C78A2"/>
    <w:rsid w:val="002D056C"/>
    <w:rsid w:val="002D4088"/>
    <w:rsid w:val="002D4BA1"/>
    <w:rsid w:val="002D50B5"/>
    <w:rsid w:val="002D5C7F"/>
    <w:rsid w:val="002D63BB"/>
    <w:rsid w:val="002D7201"/>
    <w:rsid w:val="002E680C"/>
    <w:rsid w:val="002F25B8"/>
    <w:rsid w:val="002F4E5F"/>
    <w:rsid w:val="002F679A"/>
    <w:rsid w:val="0030111B"/>
    <w:rsid w:val="0030415D"/>
    <w:rsid w:val="00305132"/>
    <w:rsid w:val="00310E8E"/>
    <w:rsid w:val="00312178"/>
    <w:rsid w:val="00315ED7"/>
    <w:rsid w:val="0031608C"/>
    <w:rsid w:val="003168C7"/>
    <w:rsid w:val="00322D15"/>
    <w:rsid w:val="00323434"/>
    <w:rsid w:val="003274F0"/>
    <w:rsid w:val="00332A45"/>
    <w:rsid w:val="00335A67"/>
    <w:rsid w:val="0033718D"/>
    <w:rsid w:val="00343F30"/>
    <w:rsid w:val="003448B9"/>
    <w:rsid w:val="00345310"/>
    <w:rsid w:val="00350C13"/>
    <w:rsid w:val="003559DF"/>
    <w:rsid w:val="003576D7"/>
    <w:rsid w:val="0036210D"/>
    <w:rsid w:val="003629F7"/>
    <w:rsid w:val="00363FCB"/>
    <w:rsid w:val="0036517F"/>
    <w:rsid w:val="0036545E"/>
    <w:rsid w:val="0036599E"/>
    <w:rsid w:val="003733A5"/>
    <w:rsid w:val="00374289"/>
    <w:rsid w:val="00384220"/>
    <w:rsid w:val="00392E82"/>
    <w:rsid w:val="00392EE2"/>
    <w:rsid w:val="0039539B"/>
    <w:rsid w:val="00396694"/>
    <w:rsid w:val="00397986"/>
    <w:rsid w:val="00397CBC"/>
    <w:rsid w:val="00397F3A"/>
    <w:rsid w:val="003A0789"/>
    <w:rsid w:val="003A2493"/>
    <w:rsid w:val="003A343C"/>
    <w:rsid w:val="003B1CDF"/>
    <w:rsid w:val="003B3740"/>
    <w:rsid w:val="003C1B9A"/>
    <w:rsid w:val="003C2555"/>
    <w:rsid w:val="003C316B"/>
    <w:rsid w:val="003C375B"/>
    <w:rsid w:val="003C68C9"/>
    <w:rsid w:val="003D0B30"/>
    <w:rsid w:val="003D3941"/>
    <w:rsid w:val="003E6A48"/>
    <w:rsid w:val="003F7F5A"/>
    <w:rsid w:val="00407071"/>
    <w:rsid w:val="00412918"/>
    <w:rsid w:val="004166D3"/>
    <w:rsid w:val="00423B05"/>
    <w:rsid w:val="00424953"/>
    <w:rsid w:val="0042668B"/>
    <w:rsid w:val="00426997"/>
    <w:rsid w:val="0043745C"/>
    <w:rsid w:val="00441783"/>
    <w:rsid w:val="00441D22"/>
    <w:rsid w:val="0044205D"/>
    <w:rsid w:val="00445DC2"/>
    <w:rsid w:val="00447013"/>
    <w:rsid w:val="0045079F"/>
    <w:rsid w:val="004563D9"/>
    <w:rsid w:val="00456A14"/>
    <w:rsid w:val="004603F5"/>
    <w:rsid w:val="004743E7"/>
    <w:rsid w:val="0047476C"/>
    <w:rsid w:val="004843CB"/>
    <w:rsid w:val="00486532"/>
    <w:rsid w:val="00497AB0"/>
    <w:rsid w:val="004A6317"/>
    <w:rsid w:val="004B0979"/>
    <w:rsid w:val="004C0AC1"/>
    <w:rsid w:val="004D49AD"/>
    <w:rsid w:val="004E1590"/>
    <w:rsid w:val="004F0E91"/>
    <w:rsid w:val="004F40CE"/>
    <w:rsid w:val="004F6CB5"/>
    <w:rsid w:val="00510C5C"/>
    <w:rsid w:val="00514BFE"/>
    <w:rsid w:val="0051597B"/>
    <w:rsid w:val="00517CC4"/>
    <w:rsid w:val="00525A14"/>
    <w:rsid w:val="00530005"/>
    <w:rsid w:val="005300E2"/>
    <w:rsid w:val="0053234B"/>
    <w:rsid w:val="00533F13"/>
    <w:rsid w:val="005359C8"/>
    <w:rsid w:val="00541A9D"/>
    <w:rsid w:val="00541B21"/>
    <w:rsid w:val="005425C1"/>
    <w:rsid w:val="00542A36"/>
    <w:rsid w:val="00542EE6"/>
    <w:rsid w:val="00544891"/>
    <w:rsid w:val="005510D0"/>
    <w:rsid w:val="00551DA0"/>
    <w:rsid w:val="0055202C"/>
    <w:rsid w:val="00552043"/>
    <w:rsid w:val="0055241B"/>
    <w:rsid w:val="005535FF"/>
    <w:rsid w:val="00557C3C"/>
    <w:rsid w:val="005604F2"/>
    <w:rsid w:val="00562E39"/>
    <w:rsid w:val="00563937"/>
    <w:rsid w:val="005662C3"/>
    <w:rsid w:val="0057046E"/>
    <w:rsid w:val="00572668"/>
    <w:rsid w:val="005800A6"/>
    <w:rsid w:val="00580E93"/>
    <w:rsid w:val="00581109"/>
    <w:rsid w:val="00581943"/>
    <w:rsid w:val="0058571C"/>
    <w:rsid w:val="00587A81"/>
    <w:rsid w:val="0059032E"/>
    <w:rsid w:val="0059185C"/>
    <w:rsid w:val="005A0C70"/>
    <w:rsid w:val="005A5786"/>
    <w:rsid w:val="005B3FA6"/>
    <w:rsid w:val="005B41EA"/>
    <w:rsid w:val="005B56FC"/>
    <w:rsid w:val="005C5071"/>
    <w:rsid w:val="005C519D"/>
    <w:rsid w:val="005C68C5"/>
    <w:rsid w:val="005D150D"/>
    <w:rsid w:val="005D3F11"/>
    <w:rsid w:val="005E0674"/>
    <w:rsid w:val="005E0934"/>
    <w:rsid w:val="005E1009"/>
    <w:rsid w:val="005E237B"/>
    <w:rsid w:val="005E4639"/>
    <w:rsid w:val="005F5169"/>
    <w:rsid w:val="005F5839"/>
    <w:rsid w:val="005F7D91"/>
    <w:rsid w:val="00602C3E"/>
    <w:rsid w:val="00604726"/>
    <w:rsid w:val="00606942"/>
    <w:rsid w:val="006146A2"/>
    <w:rsid w:val="006161CE"/>
    <w:rsid w:val="00620792"/>
    <w:rsid w:val="00622213"/>
    <w:rsid w:val="006232F6"/>
    <w:rsid w:val="00624AE7"/>
    <w:rsid w:val="00631D3F"/>
    <w:rsid w:val="00635DDE"/>
    <w:rsid w:val="00636853"/>
    <w:rsid w:val="006375F8"/>
    <w:rsid w:val="0064595D"/>
    <w:rsid w:val="006468AA"/>
    <w:rsid w:val="006522B3"/>
    <w:rsid w:val="006523B8"/>
    <w:rsid w:val="0065398A"/>
    <w:rsid w:val="006542FB"/>
    <w:rsid w:val="006556A2"/>
    <w:rsid w:val="006561E7"/>
    <w:rsid w:val="00660325"/>
    <w:rsid w:val="00680FE4"/>
    <w:rsid w:val="0068664C"/>
    <w:rsid w:val="0069202E"/>
    <w:rsid w:val="00692518"/>
    <w:rsid w:val="006967C4"/>
    <w:rsid w:val="006A51B4"/>
    <w:rsid w:val="006B6422"/>
    <w:rsid w:val="006C2C0B"/>
    <w:rsid w:val="006C3BE7"/>
    <w:rsid w:val="006C56ED"/>
    <w:rsid w:val="006C5848"/>
    <w:rsid w:val="006C5B9E"/>
    <w:rsid w:val="006C5CF4"/>
    <w:rsid w:val="006C756B"/>
    <w:rsid w:val="006D2429"/>
    <w:rsid w:val="006D3F21"/>
    <w:rsid w:val="006D4A91"/>
    <w:rsid w:val="006D7CFE"/>
    <w:rsid w:val="006E20C1"/>
    <w:rsid w:val="006E4F24"/>
    <w:rsid w:val="006F1EAB"/>
    <w:rsid w:val="006F379B"/>
    <w:rsid w:val="006F42AF"/>
    <w:rsid w:val="007046F7"/>
    <w:rsid w:val="0071098F"/>
    <w:rsid w:val="00711FFB"/>
    <w:rsid w:val="00713295"/>
    <w:rsid w:val="007214A3"/>
    <w:rsid w:val="00723490"/>
    <w:rsid w:val="00726A40"/>
    <w:rsid w:val="00734640"/>
    <w:rsid w:val="00734D48"/>
    <w:rsid w:val="0073510C"/>
    <w:rsid w:val="007438E8"/>
    <w:rsid w:val="0074657B"/>
    <w:rsid w:val="00750861"/>
    <w:rsid w:val="007513D2"/>
    <w:rsid w:val="00751F42"/>
    <w:rsid w:val="007543B8"/>
    <w:rsid w:val="00757072"/>
    <w:rsid w:val="00757764"/>
    <w:rsid w:val="00757CBC"/>
    <w:rsid w:val="007603D5"/>
    <w:rsid w:val="00760E06"/>
    <w:rsid w:val="00764168"/>
    <w:rsid w:val="007669E8"/>
    <w:rsid w:val="00766BCB"/>
    <w:rsid w:val="00770280"/>
    <w:rsid w:val="0078459F"/>
    <w:rsid w:val="00793A86"/>
    <w:rsid w:val="00796030"/>
    <w:rsid w:val="007B0E29"/>
    <w:rsid w:val="007B5133"/>
    <w:rsid w:val="007C28C9"/>
    <w:rsid w:val="007C5387"/>
    <w:rsid w:val="007D31F6"/>
    <w:rsid w:val="007D4FAC"/>
    <w:rsid w:val="007D6AAB"/>
    <w:rsid w:val="007D6BE8"/>
    <w:rsid w:val="007D74F3"/>
    <w:rsid w:val="007E1D56"/>
    <w:rsid w:val="007E451A"/>
    <w:rsid w:val="007E6777"/>
    <w:rsid w:val="007E6861"/>
    <w:rsid w:val="007F6271"/>
    <w:rsid w:val="00806B42"/>
    <w:rsid w:val="00807D9F"/>
    <w:rsid w:val="00807FA4"/>
    <w:rsid w:val="00811F7E"/>
    <w:rsid w:val="00816C2C"/>
    <w:rsid w:val="00826B8E"/>
    <w:rsid w:val="00827E54"/>
    <w:rsid w:val="0083456C"/>
    <w:rsid w:val="00837B3F"/>
    <w:rsid w:val="00840519"/>
    <w:rsid w:val="00841162"/>
    <w:rsid w:val="00845E21"/>
    <w:rsid w:val="00851FF7"/>
    <w:rsid w:val="008547DB"/>
    <w:rsid w:val="00854F8C"/>
    <w:rsid w:val="008552D9"/>
    <w:rsid w:val="008564A8"/>
    <w:rsid w:val="00861254"/>
    <w:rsid w:val="00877E46"/>
    <w:rsid w:val="008804A1"/>
    <w:rsid w:val="00882C0E"/>
    <w:rsid w:val="008868CF"/>
    <w:rsid w:val="00886916"/>
    <w:rsid w:val="008903AE"/>
    <w:rsid w:val="00894C17"/>
    <w:rsid w:val="00896E8E"/>
    <w:rsid w:val="00897A2A"/>
    <w:rsid w:val="00897BA6"/>
    <w:rsid w:val="008C0E78"/>
    <w:rsid w:val="008C410D"/>
    <w:rsid w:val="008C4E2F"/>
    <w:rsid w:val="008D24B3"/>
    <w:rsid w:val="008D5381"/>
    <w:rsid w:val="008D633E"/>
    <w:rsid w:val="008E0F05"/>
    <w:rsid w:val="008E1B7F"/>
    <w:rsid w:val="00900B3F"/>
    <w:rsid w:val="00904E26"/>
    <w:rsid w:val="0090580D"/>
    <w:rsid w:val="00907078"/>
    <w:rsid w:val="0091206B"/>
    <w:rsid w:val="0091502B"/>
    <w:rsid w:val="009153B1"/>
    <w:rsid w:val="0091763B"/>
    <w:rsid w:val="00924690"/>
    <w:rsid w:val="00930CA4"/>
    <w:rsid w:val="00933D64"/>
    <w:rsid w:val="00934C8C"/>
    <w:rsid w:val="00940E0D"/>
    <w:rsid w:val="0094316F"/>
    <w:rsid w:val="00951C2C"/>
    <w:rsid w:val="00960712"/>
    <w:rsid w:val="00960AE3"/>
    <w:rsid w:val="00961BDE"/>
    <w:rsid w:val="00971746"/>
    <w:rsid w:val="00973657"/>
    <w:rsid w:val="009752A3"/>
    <w:rsid w:val="009770CF"/>
    <w:rsid w:val="00981C13"/>
    <w:rsid w:val="00981EF8"/>
    <w:rsid w:val="00983D23"/>
    <w:rsid w:val="00990460"/>
    <w:rsid w:val="009921F6"/>
    <w:rsid w:val="00993C1C"/>
    <w:rsid w:val="0099685D"/>
    <w:rsid w:val="009A084D"/>
    <w:rsid w:val="009A0CD7"/>
    <w:rsid w:val="009A247F"/>
    <w:rsid w:val="009A2EFD"/>
    <w:rsid w:val="009A7FF8"/>
    <w:rsid w:val="009B0E16"/>
    <w:rsid w:val="009B1261"/>
    <w:rsid w:val="009B19AA"/>
    <w:rsid w:val="009B49B2"/>
    <w:rsid w:val="009B6A7C"/>
    <w:rsid w:val="009C1D24"/>
    <w:rsid w:val="009C223D"/>
    <w:rsid w:val="009D3D7F"/>
    <w:rsid w:val="009D682C"/>
    <w:rsid w:val="009D7B6A"/>
    <w:rsid w:val="009E745F"/>
    <w:rsid w:val="009F05A3"/>
    <w:rsid w:val="00A01382"/>
    <w:rsid w:val="00A0163F"/>
    <w:rsid w:val="00A05F64"/>
    <w:rsid w:val="00A132AA"/>
    <w:rsid w:val="00A23161"/>
    <w:rsid w:val="00A27454"/>
    <w:rsid w:val="00A2748F"/>
    <w:rsid w:val="00A33205"/>
    <w:rsid w:val="00A34758"/>
    <w:rsid w:val="00A463EC"/>
    <w:rsid w:val="00A46630"/>
    <w:rsid w:val="00A47E4E"/>
    <w:rsid w:val="00A575F1"/>
    <w:rsid w:val="00A57E3B"/>
    <w:rsid w:val="00A6074F"/>
    <w:rsid w:val="00A60FD1"/>
    <w:rsid w:val="00A65CA0"/>
    <w:rsid w:val="00A77020"/>
    <w:rsid w:val="00A77766"/>
    <w:rsid w:val="00A80692"/>
    <w:rsid w:val="00A826EB"/>
    <w:rsid w:val="00A827C3"/>
    <w:rsid w:val="00A85F50"/>
    <w:rsid w:val="00A865E8"/>
    <w:rsid w:val="00A92E02"/>
    <w:rsid w:val="00AA53E7"/>
    <w:rsid w:val="00AA7C82"/>
    <w:rsid w:val="00AA7EEE"/>
    <w:rsid w:val="00AB0A5B"/>
    <w:rsid w:val="00AB6AC2"/>
    <w:rsid w:val="00AC2EF8"/>
    <w:rsid w:val="00AC4419"/>
    <w:rsid w:val="00AC5B69"/>
    <w:rsid w:val="00AD32D4"/>
    <w:rsid w:val="00AE356A"/>
    <w:rsid w:val="00AE4650"/>
    <w:rsid w:val="00AE5D58"/>
    <w:rsid w:val="00AE7341"/>
    <w:rsid w:val="00AF3313"/>
    <w:rsid w:val="00B0059C"/>
    <w:rsid w:val="00B02E31"/>
    <w:rsid w:val="00B05F4C"/>
    <w:rsid w:val="00B12060"/>
    <w:rsid w:val="00B16EF2"/>
    <w:rsid w:val="00B1720F"/>
    <w:rsid w:val="00B210EC"/>
    <w:rsid w:val="00B22C26"/>
    <w:rsid w:val="00B25BB9"/>
    <w:rsid w:val="00B26A00"/>
    <w:rsid w:val="00B27E15"/>
    <w:rsid w:val="00B319C9"/>
    <w:rsid w:val="00B36AD8"/>
    <w:rsid w:val="00B43D80"/>
    <w:rsid w:val="00B47BFE"/>
    <w:rsid w:val="00B50B82"/>
    <w:rsid w:val="00B51CAE"/>
    <w:rsid w:val="00B52736"/>
    <w:rsid w:val="00B56578"/>
    <w:rsid w:val="00B60CE2"/>
    <w:rsid w:val="00B61418"/>
    <w:rsid w:val="00B615F6"/>
    <w:rsid w:val="00B6198E"/>
    <w:rsid w:val="00B62F91"/>
    <w:rsid w:val="00B75867"/>
    <w:rsid w:val="00B75D89"/>
    <w:rsid w:val="00B77730"/>
    <w:rsid w:val="00B91574"/>
    <w:rsid w:val="00B9627F"/>
    <w:rsid w:val="00B97B56"/>
    <w:rsid w:val="00BA02A6"/>
    <w:rsid w:val="00BA2353"/>
    <w:rsid w:val="00BA39E8"/>
    <w:rsid w:val="00BB13AE"/>
    <w:rsid w:val="00BB3EFC"/>
    <w:rsid w:val="00BB414A"/>
    <w:rsid w:val="00BB6034"/>
    <w:rsid w:val="00BC09A7"/>
    <w:rsid w:val="00BC101F"/>
    <w:rsid w:val="00BC4773"/>
    <w:rsid w:val="00BD402A"/>
    <w:rsid w:val="00BD4EA2"/>
    <w:rsid w:val="00BE24D9"/>
    <w:rsid w:val="00BE39F8"/>
    <w:rsid w:val="00BE65C0"/>
    <w:rsid w:val="00BE7F8E"/>
    <w:rsid w:val="00BF1B84"/>
    <w:rsid w:val="00BF36D5"/>
    <w:rsid w:val="00BF53E0"/>
    <w:rsid w:val="00BF5FC1"/>
    <w:rsid w:val="00C1402F"/>
    <w:rsid w:val="00C140E3"/>
    <w:rsid w:val="00C209AC"/>
    <w:rsid w:val="00C22822"/>
    <w:rsid w:val="00C247A7"/>
    <w:rsid w:val="00C2486D"/>
    <w:rsid w:val="00C32B72"/>
    <w:rsid w:val="00C34450"/>
    <w:rsid w:val="00C404D9"/>
    <w:rsid w:val="00C41A96"/>
    <w:rsid w:val="00C45D6B"/>
    <w:rsid w:val="00C46BEB"/>
    <w:rsid w:val="00C508A1"/>
    <w:rsid w:val="00C50B81"/>
    <w:rsid w:val="00C528B3"/>
    <w:rsid w:val="00C549D6"/>
    <w:rsid w:val="00C55E5D"/>
    <w:rsid w:val="00C605A9"/>
    <w:rsid w:val="00C66F7F"/>
    <w:rsid w:val="00C756CF"/>
    <w:rsid w:val="00C75EAF"/>
    <w:rsid w:val="00C83620"/>
    <w:rsid w:val="00C864B7"/>
    <w:rsid w:val="00C87501"/>
    <w:rsid w:val="00C925D6"/>
    <w:rsid w:val="00CA15D7"/>
    <w:rsid w:val="00CA34FC"/>
    <w:rsid w:val="00CB0A12"/>
    <w:rsid w:val="00CC105C"/>
    <w:rsid w:val="00CC224A"/>
    <w:rsid w:val="00CC342F"/>
    <w:rsid w:val="00CC4656"/>
    <w:rsid w:val="00CC4AFF"/>
    <w:rsid w:val="00CD2CE5"/>
    <w:rsid w:val="00CD4B15"/>
    <w:rsid w:val="00CE5AD0"/>
    <w:rsid w:val="00CE7339"/>
    <w:rsid w:val="00CF05E9"/>
    <w:rsid w:val="00CF2B15"/>
    <w:rsid w:val="00CF3DA8"/>
    <w:rsid w:val="00D02B75"/>
    <w:rsid w:val="00D041A6"/>
    <w:rsid w:val="00D14C0A"/>
    <w:rsid w:val="00D14C3B"/>
    <w:rsid w:val="00D17816"/>
    <w:rsid w:val="00D20D9A"/>
    <w:rsid w:val="00D264B3"/>
    <w:rsid w:val="00D30059"/>
    <w:rsid w:val="00D41FB1"/>
    <w:rsid w:val="00D4230A"/>
    <w:rsid w:val="00D52016"/>
    <w:rsid w:val="00D54A05"/>
    <w:rsid w:val="00D54E45"/>
    <w:rsid w:val="00D6305F"/>
    <w:rsid w:val="00D645AE"/>
    <w:rsid w:val="00D70732"/>
    <w:rsid w:val="00D71731"/>
    <w:rsid w:val="00D73F99"/>
    <w:rsid w:val="00D7590F"/>
    <w:rsid w:val="00D86855"/>
    <w:rsid w:val="00D93A1F"/>
    <w:rsid w:val="00D9460F"/>
    <w:rsid w:val="00DA143A"/>
    <w:rsid w:val="00DA4D26"/>
    <w:rsid w:val="00DB06E1"/>
    <w:rsid w:val="00DB71ED"/>
    <w:rsid w:val="00DB77FE"/>
    <w:rsid w:val="00DB7D35"/>
    <w:rsid w:val="00DC2D3E"/>
    <w:rsid w:val="00DC47C2"/>
    <w:rsid w:val="00DC5B74"/>
    <w:rsid w:val="00DD43B8"/>
    <w:rsid w:val="00DD5015"/>
    <w:rsid w:val="00DD7681"/>
    <w:rsid w:val="00DE4A37"/>
    <w:rsid w:val="00DE4B88"/>
    <w:rsid w:val="00DF5061"/>
    <w:rsid w:val="00DF5ED3"/>
    <w:rsid w:val="00E02168"/>
    <w:rsid w:val="00E04EBF"/>
    <w:rsid w:val="00E05A04"/>
    <w:rsid w:val="00E10184"/>
    <w:rsid w:val="00E1589C"/>
    <w:rsid w:val="00E15EC7"/>
    <w:rsid w:val="00E200F4"/>
    <w:rsid w:val="00E20A5E"/>
    <w:rsid w:val="00E20B4F"/>
    <w:rsid w:val="00E21593"/>
    <w:rsid w:val="00E260D3"/>
    <w:rsid w:val="00E27AD2"/>
    <w:rsid w:val="00E30831"/>
    <w:rsid w:val="00E315A0"/>
    <w:rsid w:val="00E32A1B"/>
    <w:rsid w:val="00E53B35"/>
    <w:rsid w:val="00E55ACB"/>
    <w:rsid w:val="00E575C3"/>
    <w:rsid w:val="00E57F5D"/>
    <w:rsid w:val="00E619A3"/>
    <w:rsid w:val="00E61E7C"/>
    <w:rsid w:val="00E665AE"/>
    <w:rsid w:val="00E73B69"/>
    <w:rsid w:val="00E74037"/>
    <w:rsid w:val="00E752E7"/>
    <w:rsid w:val="00E75999"/>
    <w:rsid w:val="00E82BB0"/>
    <w:rsid w:val="00E83442"/>
    <w:rsid w:val="00E8499D"/>
    <w:rsid w:val="00E9064C"/>
    <w:rsid w:val="00E94192"/>
    <w:rsid w:val="00E974B6"/>
    <w:rsid w:val="00EA2A78"/>
    <w:rsid w:val="00EA4533"/>
    <w:rsid w:val="00EA4CF8"/>
    <w:rsid w:val="00EB03D4"/>
    <w:rsid w:val="00EB35DB"/>
    <w:rsid w:val="00EB45F4"/>
    <w:rsid w:val="00EB5CAC"/>
    <w:rsid w:val="00EB69D6"/>
    <w:rsid w:val="00EC4B68"/>
    <w:rsid w:val="00EC6851"/>
    <w:rsid w:val="00ED23FD"/>
    <w:rsid w:val="00ED43D3"/>
    <w:rsid w:val="00ED7DA4"/>
    <w:rsid w:val="00EF1439"/>
    <w:rsid w:val="00EF2655"/>
    <w:rsid w:val="00EF3F2C"/>
    <w:rsid w:val="00F045F1"/>
    <w:rsid w:val="00F04D01"/>
    <w:rsid w:val="00F21FA3"/>
    <w:rsid w:val="00F2254B"/>
    <w:rsid w:val="00F22E08"/>
    <w:rsid w:val="00F271DB"/>
    <w:rsid w:val="00F274C6"/>
    <w:rsid w:val="00F27A2C"/>
    <w:rsid w:val="00F30A7C"/>
    <w:rsid w:val="00F3783C"/>
    <w:rsid w:val="00F4097A"/>
    <w:rsid w:val="00F41298"/>
    <w:rsid w:val="00F41D0A"/>
    <w:rsid w:val="00F4213C"/>
    <w:rsid w:val="00F421AD"/>
    <w:rsid w:val="00F53ABE"/>
    <w:rsid w:val="00F545C1"/>
    <w:rsid w:val="00F66460"/>
    <w:rsid w:val="00F67B68"/>
    <w:rsid w:val="00F71C57"/>
    <w:rsid w:val="00F82381"/>
    <w:rsid w:val="00F83CAA"/>
    <w:rsid w:val="00F8570A"/>
    <w:rsid w:val="00F93094"/>
    <w:rsid w:val="00F93A17"/>
    <w:rsid w:val="00FA35EA"/>
    <w:rsid w:val="00FA4CC6"/>
    <w:rsid w:val="00FA5AB8"/>
    <w:rsid w:val="00FA6994"/>
    <w:rsid w:val="00FB3649"/>
    <w:rsid w:val="00FB391A"/>
    <w:rsid w:val="00FB724D"/>
    <w:rsid w:val="00FD13FD"/>
    <w:rsid w:val="00FD390C"/>
    <w:rsid w:val="00FD46FF"/>
    <w:rsid w:val="00FD5C36"/>
    <w:rsid w:val="00FD6DD9"/>
    <w:rsid w:val="00FE3D48"/>
    <w:rsid w:val="00FE5393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C1503"/>
  <w15:docId w15:val="{8D09B5BC-264A-4560-9500-F345995E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5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List Paragraph,L1,T_SZ_List Paragraph,Preambuła,BulletC,Wyliczanie,Obiekt,normalny tekst,Akapit z listą31,Bullets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ist Paragraph Znak,L1 Znak,T_SZ_List Paragraph Znak,Preambuła Znak,BulletC Znak"/>
    <w:link w:val="Akapitzlist"/>
    <w:uiPriority w:val="99"/>
    <w:qFormat/>
    <w:locked/>
    <w:rsid w:val="00F4097A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C87501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397CBC"/>
  </w:style>
  <w:style w:type="character" w:styleId="UyteHipercze">
    <w:name w:val="FollowedHyperlink"/>
    <w:basedOn w:val="Domylnaczcionkaakapitu"/>
    <w:uiPriority w:val="99"/>
    <w:semiHidden/>
    <w:unhideWhenUsed/>
    <w:rsid w:val="00A05F6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3327D"/>
    <w:rPr>
      <w:b/>
      <w:bCs/>
    </w:rPr>
  </w:style>
  <w:style w:type="table" w:customStyle="1" w:styleId="Tabela-Siatka3">
    <w:name w:val="Tabela - Siatka3"/>
    <w:basedOn w:val="Standardowy"/>
    <w:next w:val="Tabela-Siatka"/>
    <w:uiPriority w:val="39"/>
    <w:rsid w:val="00F823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p.edu/read/13491/chapter/1" TargetMode="External"/><Relationship Id="rId18" Type="http://schemas.openxmlformats.org/officeDocument/2006/relationships/hyperlink" Target="https://www.icinsights.com/services/mcclean-report/" TargetMode="External"/><Relationship Id="rId26" Type="http://schemas.openxmlformats.org/officeDocument/2006/relationships/hyperlink" Target="https://digital-strategy.ec.europa.eu/en/node/347/printable/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-micronews.com/products/power-electronics-for-e-mobility-2021/?cn-reloaded=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hotonikforschung.de/media/branche/pdf/2016_Agenda_Photonik_2020_Update_bf_C1.pdf" TargetMode="External"/><Relationship Id="rId17" Type="http://schemas.openxmlformats.org/officeDocument/2006/relationships/hyperlink" Target="https://www.smart-systems-integration.org/system/files/document/2021-01-15_ECS-SRIA2021_final.pdf" TargetMode="External"/><Relationship Id="rId25" Type="http://schemas.openxmlformats.org/officeDocument/2006/relationships/hyperlink" Target="https://op.europa.eu/en/publication-detail/-/publication/8e442825-493f-11ea-b81b-01aa75ed71a1/language-e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tephena@spie.org" TargetMode="External"/><Relationship Id="rId20" Type="http://schemas.openxmlformats.org/officeDocument/2006/relationships/hyperlink" Target="https://www.icinsights.com/services/strategic-reviews/" TargetMode="External"/><Relationship Id="rId29" Type="http://schemas.openxmlformats.org/officeDocument/2006/relationships/hyperlink" Target="https://eur-lex.europa.eu/legal-content/PL/TXT/HTML/?uri=CELEX:52022PC0046&amp;from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hotonikforschung.de/media/branche/pdf/BMBF_Photonik_Forschung_Deutschland_final_1.pdf" TargetMode="External"/><Relationship Id="rId24" Type="http://schemas.openxmlformats.org/officeDocument/2006/relationships/hyperlink" Target="http://www.decision.eu/wp-content/uploads/2020/02/DECISION_Study_Electronics_Ecosystem.pdf" TargetMode="External"/><Relationship Id="rId32" Type="http://schemas.openxmlformats.org/officeDocument/2006/relationships/hyperlink" Target="mailto:justyna.gorzoch@mrit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ie.org/newsroom/ers/esd16-landing/ers16-anderson" TargetMode="External"/><Relationship Id="rId23" Type="http://schemas.openxmlformats.org/officeDocument/2006/relationships/hyperlink" Target="http://eps.ieee.org/hir" TargetMode="External"/><Relationship Id="rId28" Type="http://schemas.openxmlformats.org/officeDocument/2006/relationships/hyperlink" Target="https://digital-strategy.ec.europa.eu/en/library/european-chips-act-communication-regulation-joint-undertaking-and-recommendatio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nowacyjni.mazovia.pl/publikacje/raport-z-badania-identyfikacja-lancuchow-wartosci-w-obszarach-inteligentnych-specjalizacji-mazowsza.html" TargetMode="External"/><Relationship Id="rId19" Type="http://schemas.openxmlformats.org/officeDocument/2006/relationships/hyperlink" Target="https://www.icinsights.com/data/reports/6/0/brochure.pdf?parm=1618577184" TargetMode="External"/><Relationship Id="rId31" Type="http://schemas.openxmlformats.org/officeDocument/2006/relationships/hyperlink" Target="mailto:andrzej.jarzewski@mrit.gov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otonics21.org/download/ppp-services/photonics-downloads/Market-Research-Report_Photonics21_Internet.pdf" TargetMode="External"/><Relationship Id="rId14" Type="http://schemas.openxmlformats.org/officeDocument/2006/relationships/hyperlink" Target="https://innowacyjni.mazovia.pl/publikacje/raport-z-badania-ocena-potencjalu-oraz-perspektyw-rozwoju-trendow-rozwojowych-sektora-technologii-fotonicznych-na-mazowszu.html" TargetMode="External"/><Relationship Id="rId22" Type="http://schemas.openxmlformats.org/officeDocument/2006/relationships/hyperlink" Target="https://www.i-micronews.com/the-recipe-for-a-100b-wearable-market-an-interview-with-maxim-integrated/" TargetMode="External"/><Relationship Id="rId27" Type="http://schemas.openxmlformats.org/officeDocument/2006/relationships/hyperlink" Target="https://commission.europa.eu/strategy-and-policy/priorities-2019-2024/europe-fit-digital-age/european-chips-act_en" TargetMode="External"/><Relationship Id="rId30" Type="http://schemas.openxmlformats.org/officeDocument/2006/relationships/hyperlink" Target="https://eur-lex.europa.eu/legal-content/PL/TXT/HTML/?uri=CELEX:52022PC0047&amp;from=EN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5BD0-6B2D-43AE-8578-1AC80FEC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4343</Words>
  <Characters>26060</Characters>
  <Application>Microsoft Office Word</Application>
  <DocSecurity>4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Bajorek</dc:creator>
  <cp:lastModifiedBy>Gorzoch Justyna</cp:lastModifiedBy>
  <cp:revision>2</cp:revision>
  <cp:lastPrinted>2019-10-15T10:10:00Z</cp:lastPrinted>
  <dcterms:created xsi:type="dcterms:W3CDTF">2023-02-23T11:12:00Z</dcterms:created>
  <dcterms:modified xsi:type="dcterms:W3CDTF">2023-02-23T11:12:00Z</dcterms:modified>
</cp:coreProperties>
</file>