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14650" w14:textId="77777777" w:rsidR="0092036C" w:rsidRDefault="0092036C" w:rsidP="0092036C">
      <w:pPr>
        <w:spacing w:before="240"/>
        <w:jc w:val="center"/>
        <w:rPr>
          <w:rFonts w:cs="Verdana"/>
        </w:rPr>
      </w:pPr>
      <w:r>
        <w:rPr>
          <w:b/>
          <w:lang w:bidi="uk-UA"/>
        </w:rPr>
        <w:t>ЗРАЗОК РОЗ’ЯСНЕННЯ ПРО ЗМІСТ СТ. 1135</w:t>
      </w:r>
      <w:r>
        <w:rPr>
          <w:b/>
          <w:vertAlign w:val="superscript"/>
          <w:lang w:bidi="uk-UA"/>
        </w:rPr>
        <w:t xml:space="preserve">5 </w:t>
      </w:r>
      <w:r>
        <w:rPr>
          <w:b/>
          <w:lang w:bidi="uk-UA"/>
        </w:rPr>
        <w:t>ЦПК</w:t>
      </w:r>
    </w:p>
    <w:p w14:paraId="05E325A9" w14:textId="77777777" w:rsidR="0092036C" w:rsidRDefault="0092036C" w:rsidP="0092036C">
      <w:pPr>
        <w:spacing w:after="240"/>
        <w:jc w:val="center"/>
        <w:rPr>
          <w:rFonts w:cs="Verdana"/>
        </w:rPr>
      </w:pPr>
      <w:r>
        <w:rPr>
          <w:b/>
          <w:lang w:bidi="uk-UA"/>
        </w:rPr>
        <w:t>Роз’яснення</w:t>
      </w:r>
      <w:r>
        <w:rPr>
          <w:lang w:bidi="uk-UA"/>
        </w:rPr>
        <w:t>(*)</w:t>
      </w:r>
    </w:p>
    <w:p w14:paraId="76287984" w14:textId="77777777" w:rsidR="0092036C" w:rsidRDefault="0092036C" w:rsidP="0092036C">
      <w:pPr>
        <w:ind w:firstLine="431"/>
        <w:jc w:val="both"/>
        <w:rPr>
          <w:rFonts w:cs="Verdana"/>
        </w:rPr>
      </w:pPr>
      <w:r>
        <w:rPr>
          <w:lang w:bidi="uk-UA"/>
        </w:rPr>
        <w:t>1. Сторони або учасники процесу, які не мають постійного місця проживання, звичайного місця перебування або юридичної адреси в Республіці Польща або в іншій державі-члені Європейського Союзу, якщо вони не призначили представника у справі, який проживає в Республіці Польща, повинні впродовж ... днів вказати адвоката для ведення справи в Республіці Польща. Після закінчення зазначеного терміну листи, призначені для сторін або учасників процесу, відповідно до ст. 11355 Цивільного процесуального кодексу, будуть долучені до матеріалів справи за фактом вручення.</w:t>
      </w:r>
    </w:p>
    <w:p w14:paraId="09CAB4D8" w14:textId="77777777" w:rsidR="0092036C" w:rsidRDefault="0092036C" w:rsidP="0092036C">
      <w:pPr>
        <w:ind w:firstLine="431"/>
        <w:jc w:val="both"/>
        <w:rPr>
          <w:rFonts w:cs="Verdana"/>
        </w:rPr>
      </w:pPr>
      <w:r>
        <w:rPr>
          <w:lang w:bidi="uk-UA"/>
        </w:rPr>
        <w:t>2. Сторони або учасники процесу, які не мають достатніх матеріальних засобів для покриття судових витрат, можуть подати заяву про звільнення від сплати судових витрат та про призначення безоплатного процесуального представника.</w:t>
      </w:r>
    </w:p>
    <w:p w14:paraId="4088678F" w14:textId="77777777" w:rsidR="0092036C" w:rsidRDefault="0092036C" w:rsidP="0092036C">
      <w:pPr>
        <w:jc w:val="both"/>
        <w:rPr>
          <w:rFonts w:cs="Verdana"/>
        </w:rPr>
      </w:pPr>
      <w:r>
        <w:rPr>
          <w:lang w:bidi="uk-UA"/>
        </w:rPr>
        <w:t>Якщо стороною або учасником провадження є фізична особа, до заяви необхідно додати заяву про те, що вона не в змозі нести судові витрати без шкоди для утримання, необхідного для себе та своєї сім'ї. Заява повинна містити докладні дані про сімейний стан, майно, доходи та джерела для утримання особи, яка подає клопотання про звільнення від сплати судових витрат.</w:t>
      </w:r>
    </w:p>
    <w:p w14:paraId="4BF9AF6B" w14:textId="77777777" w:rsidR="0092036C" w:rsidRDefault="0092036C" w:rsidP="0092036C">
      <w:pPr>
        <w:jc w:val="both"/>
        <w:rPr>
          <w:rFonts w:cs="Verdana"/>
        </w:rPr>
      </w:pPr>
      <w:r>
        <w:rPr>
          <w:lang w:bidi="uk-UA"/>
        </w:rPr>
        <w:t>Юридична особа, а також організаційна одиниця, яка не є юридичною особою і якій закон надає правоздатність, може бути звільнена судом від сплати судових витрат, якщо вона доведе, що не має достатніх коштів для їх оплати.</w:t>
      </w:r>
    </w:p>
    <w:p w14:paraId="44CB66E0" w14:textId="77777777" w:rsidR="0092036C" w:rsidRDefault="0092036C" w:rsidP="0092036C">
      <w:pPr>
        <w:jc w:val="both"/>
        <w:rPr>
          <w:rFonts w:cs="Verdana"/>
        </w:rPr>
      </w:pPr>
      <w:r>
        <w:rPr>
          <w:lang w:bidi="uk-UA"/>
        </w:rPr>
        <w:t>Комерційна компанія повинна також довести, що її компаньйони або акціонери не мають достатніх коштів для збільшення активів компанії або надання компанії кредиту. Вищезазначене не поширюється на комерційну компанію, єдиним компаньйоном або акціонером якої є Державне казначейство.</w:t>
      </w:r>
    </w:p>
    <w:p w14:paraId="4A367265" w14:textId="19247C1E" w:rsidR="0092036C" w:rsidRDefault="0092036C" w:rsidP="0092036C">
      <w:pPr>
        <w:ind w:firstLine="431"/>
        <w:jc w:val="both"/>
        <w:rPr>
          <w:rFonts w:cs="Verdana"/>
        </w:rPr>
      </w:pPr>
      <w:r>
        <w:rPr>
          <w:lang w:bidi="uk-UA"/>
        </w:rPr>
        <w:t>3. Представником може бути адвокат або юрисконсульт, у справах промислової власності - також патентний повірений, у справах реструктуризації та банкрутства - особа, яка має ліцензію радника з реструктуризації, а також особа, яка управляє майном або інтересами сторони, та особа, яка перебуває зі стороною в постійних відносинах доручення, якщо предмет справи підпадає під сферу дії цього доручення, співучасник спору, а також чоловік або дружина, рідні брати і сестри, родичі низхідної та висхідної лінії спорідненості та особи, що залишаються зі стороною у відносинах усиновлення.</w:t>
      </w:r>
    </w:p>
    <w:p w14:paraId="25CF706C" w14:textId="77777777" w:rsidR="0092036C" w:rsidRDefault="0092036C" w:rsidP="0092036C">
      <w:pPr>
        <w:jc w:val="both"/>
        <w:rPr>
          <w:rFonts w:cs="Verdana"/>
        </w:rPr>
      </w:pPr>
      <w:r>
        <w:rPr>
          <w:lang w:bidi="uk-UA"/>
        </w:rPr>
        <w:t>Представником юридичної особи або підприємця, в тому числі без статусу юридичної особи, може бути також працівник цієї одиниці або її вищого органу. Юридична особа, яка на підставі окремих положень здійснює юридичне обслуговування підприємця, юридичної особи або іншої організаційної одиниці, може видати процесуальну довіреність адвокату або юрисконсульту від імені суб’єкта, юридичне обслуговування якого вона здійснює, якщо вона була уповноважена на це цим суб’єктом.</w:t>
      </w:r>
    </w:p>
    <w:p w14:paraId="2218B002" w14:textId="77777777" w:rsidR="0092036C" w:rsidRDefault="0092036C" w:rsidP="0092036C">
      <w:pPr>
        <w:jc w:val="both"/>
        <w:rPr>
          <w:rFonts w:cs="Verdana"/>
        </w:rPr>
      </w:pPr>
      <w:r>
        <w:rPr>
          <w:lang w:bidi="uk-UA"/>
        </w:rPr>
        <w:t>У справах про встановлення та заперечення походження дитини, а також у справах про стягнення аліментів представником в суді може бути також представник органу місцевого самоврядування, до компетенції якого належать питання соціальної допомоги, та громадської організації, метою діяльності якої є надання допомоги сім'ї.</w:t>
      </w:r>
    </w:p>
    <w:p w14:paraId="28250F39" w14:textId="77777777" w:rsidR="0092036C" w:rsidRDefault="0092036C" w:rsidP="0092036C">
      <w:pPr>
        <w:jc w:val="both"/>
        <w:rPr>
          <w:rFonts w:cs="Verdana"/>
        </w:rPr>
      </w:pPr>
      <w:r>
        <w:rPr>
          <w:lang w:bidi="uk-UA"/>
        </w:rPr>
        <w:t>У справах, пов'язаних з управлінням фермерським господарством, представником в суді може бути також представник асоціації індивідуальних фермерів, членом якої є фермер.</w:t>
      </w:r>
    </w:p>
    <w:p w14:paraId="30C5D706" w14:textId="77777777" w:rsidR="0092036C" w:rsidRDefault="0092036C" w:rsidP="0092036C">
      <w:pPr>
        <w:jc w:val="both"/>
        <w:rPr>
          <w:rFonts w:cs="Verdana"/>
        </w:rPr>
      </w:pPr>
      <w:r>
        <w:rPr>
          <w:lang w:bidi="uk-UA"/>
        </w:rPr>
        <w:t>У справах, пов'язаних із захистом прав споживачів, представником в суді може бути представник організації, до статутних завдань якої входить захист прав споживачів.</w:t>
      </w:r>
    </w:p>
    <w:p w14:paraId="30D6C870" w14:textId="2BC3BCA8" w:rsidR="0092036C" w:rsidRDefault="0092036C" w:rsidP="0092036C">
      <w:pPr>
        <w:jc w:val="both"/>
        <w:rPr>
          <w:rFonts w:cs="Verdana"/>
        </w:rPr>
      </w:pPr>
      <w:r>
        <w:rPr>
          <w:lang w:bidi="uk-UA"/>
        </w:rPr>
        <w:t>У справах, пов'язаних з охороною промислової власності, представником в суді автора винахідницького про</w:t>
      </w:r>
      <w:r w:rsidR="003D18AC">
        <w:rPr>
          <w:lang w:bidi="uk-UA"/>
        </w:rPr>
        <w:t>є</w:t>
      </w:r>
      <w:r>
        <w:rPr>
          <w:lang w:bidi="uk-UA"/>
        </w:rPr>
        <w:t>кту може бути також представник організації, до статутних завдань якої входить сприяння розвитку промислової власності та надання допомоги авторам винахідницьких про</w:t>
      </w:r>
      <w:r w:rsidR="003D18AC">
        <w:rPr>
          <w:lang w:bidi="uk-UA"/>
        </w:rPr>
        <w:t>є</w:t>
      </w:r>
      <w:r>
        <w:rPr>
          <w:lang w:bidi="uk-UA"/>
        </w:rPr>
        <w:t>ктів.</w:t>
      </w:r>
    </w:p>
    <w:p w14:paraId="3AD44090" w14:textId="77777777" w:rsidR="0092036C" w:rsidRDefault="0092036C" w:rsidP="0092036C">
      <w:pPr>
        <w:rPr>
          <w:rFonts w:cs="Verdana"/>
        </w:rPr>
      </w:pPr>
      <w:r>
        <w:rPr>
          <w:lang w:bidi="uk-UA"/>
        </w:rPr>
        <w:t xml:space="preserve">У разі призначення процесуального представника він повинен під час вчинення першої процесуальної дії подати до місцевого Суду довіреність, засвідчену підписом довірителя, або засвідчену копію довіреності. </w:t>
      </w:r>
    </w:p>
    <w:p w14:paraId="7D0972A0" w14:textId="77777777" w:rsidR="00AC2258" w:rsidRDefault="00AC2258"/>
    <w:sectPr w:rsidR="00AC22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FE018" w14:textId="77777777" w:rsidR="00BE406A" w:rsidRDefault="00BE406A" w:rsidP="00856890">
      <w:r>
        <w:separator/>
      </w:r>
    </w:p>
  </w:endnote>
  <w:endnote w:type="continuationSeparator" w:id="0">
    <w:p w14:paraId="759FB84A" w14:textId="77777777" w:rsidR="00BE406A" w:rsidRDefault="00BE406A" w:rsidP="0085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85A6A" w14:textId="77777777" w:rsidR="00BE406A" w:rsidRDefault="00BE406A" w:rsidP="00856890">
      <w:r>
        <w:separator/>
      </w:r>
    </w:p>
  </w:footnote>
  <w:footnote w:type="continuationSeparator" w:id="0">
    <w:p w14:paraId="4514A7F2" w14:textId="77777777" w:rsidR="00BE406A" w:rsidRDefault="00BE406A" w:rsidP="00856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2036C"/>
    <w:rsid w:val="00014CA2"/>
    <w:rsid w:val="000224DA"/>
    <w:rsid w:val="00044D35"/>
    <w:rsid w:val="00052C93"/>
    <w:rsid w:val="000D2852"/>
    <w:rsid w:val="00175BDA"/>
    <w:rsid w:val="001D3C9D"/>
    <w:rsid w:val="00200877"/>
    <w:rsid w:val="002B764C"/>
    <w:rsid w:val="002D23B8"/>
    <w:rsid w:val="002E5318"/>
    <w:rsid w:val="002F2467"/>
    <w:rsid w:val="002F6539"/>
    <w:rsid w:val="00312EFF"/>
    <w:rsid w:val="003315D1"/>
    <w:rsid w:val="00350E37"/>
    <w:rsid w:val="00376634"/>
    <w:rsid w:val="0039496B"/>
    <w:rsid w:val="003C1E90"/>
    <w:rsid w:val="003C7C7A"/>
    <w:rsid w:val="003D18AC"/>
    <w:rsid w:val="003D64F4"/>
    <w:rsid w:val="00410EC5"/>
    <w:rsid w:val="00412020"/>
    <w:rsid w:val="0044713E"/>
    <w:rsid w:val="004A3BBD"/>
    <w:rsid w:val="004B70A3"/>
    <w:rsid w:val="004C1FC3"/>
    <w:rsid w:val="00506851"/>
    <w:rsid w:val="0056395A"/>
    <w:rsid w:val="00570648"/>
    <w:rsid w:val="00696E74"/>
    <w:rsid w:val="006C4793"/>
    <w:rsid w:val="006D5E8B"/>
    <w:rsid w:val="007209CD"/>
    <w:rsid w:val="00730B66"/>
    <w:rsid w:val="00795627"/>
    <w:rsid w:val="007A0E3D"/>
    <w:rsid w:val="0083026A"/>
    <w:rsid w:val="00835766"/>
    <w:rsid w:val="00856890"/>
    <w:rsid w:val="00867AEF"/>
    <w:rsid w:val="008869B9"/>
    <w:rsid w:val="00894054"/>
    <w:rsid w:val="008D2ADD"/>
    <w:rsid w:val="0092036C"/>
    <w:rsid w:val="00966669"/>
    <w:rsid w:val="009861CC"/>
    <w:rsid w:val="009A6F1F"/>
    <w:rsid w:val="009E7561"/>
    <w:rsid w:val="00A8385A"/>
    <w:rsid w:val="00AC2258"/>
    <w:rsid w:val="00AE4A19"/>
    <w:rsid w:val="00B0667F"/>
    <w:rsid w:val="00B220D5"/>
    <w:rsid w:val="00B25DA8"/>
    <w:rsid w:val="00B516A9"/>
    <w:rsid w:val="00B62BD7"/>
    <w:rsid w:val="00B75D81"/>
    <w:rsid w:val="00B76F64"/>
    <w:rsid w:val="00B827B2"/>
    <w:rsid w:val="00B94215"/>
    <w:rsid w:val="00BB22DA"/>
    <w:rsid w:val="00BD69A7"/>
    <w:rsid w:val="00BE406A"/>
    <w:rsid w:val="00C02810"/>
    <w:rsid w:val="00CF218C"/>
    <w:rsid w:val="00D26B5C"/>
    <w:rsid w:val="00D4422A"/>
    <w:rsid w:val="00D70985"/>
    <w:rsid w:val="00D71E91"/>
    <w:rsid w:val="00D96BB2"/>
    <w:rsid w:val="00DA328D"/>
    <w:rsid w:val="00DC3934"/>
    <w:rsid w:val="00DE76A4"/>
    <w:rsid w:val="00E163ED"/>
    <w:rsid w:val="00E6069D"/>
    <w:rsid w:val="00E67D79"/>
    <w:rsid w:val="00ED77BA"/>
    <w:rsid w:val="00F3751D"/>
    <w:rsid w:val="00FA2DB5"/>
    <w:rsid w:val="00FE70C6"/>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6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036C"/>
    <w:pPr>
      <w:widowControl w:val="0"/>
      <w:autoSpaceDE w:val="0"/>
      <w:autoSpaceDN w:val="0"/>
      <w:adjustRightInd w:val="0"/>
      <w:spacing w:after="0" w:line="240" w:lineRule="auto"/>
    </w:pPr>
    <w:rPr>
      <w:rFonts w:ascii="Verdana" w:eastAsiaTheme="minorEastAsia"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6890"/>
    <w:pPr>
      <w:tabs>
        <w:tab w:val="center" w:pos="4536"/>
        <w:tab w:val="right" w:pos="9072"/>
      </w:tabs>
    </w:pPr>
  </w:style>
  <w:style w:type="character" w:customStyle="1" w:styleId="NagwekZnak">
    <w:name w:val="Nagłówek Znak"/>
    <w:basedOn w:val="Domylnaczcionkaakapitu"/>
    <w:link w:val="Nagwek"/>
    <w:uiPriority w:val="99"/>
    <w:rsid w:val="00856890"/>
    <w:rPr>
      <w:rFonts w:ascii="Verdana" w:eastAsiaTheme="minorEastAsia" w:hAnsi="Verdana" w:cs="Times New Roman"/>
      <w:sz w:val="20"/>
      <w:szCs w:val="20"/>
      <w:lang w:eastAsia="pl-PL"/>
    </w:rPr>
  </w:style>
  <w:style w:type="paragraph" w:styleId="Stopka">
    <w:name w:val="footer"/>
    <w:basedOn w:val="Normalny"/>
    <w:link w:val="StopkaZnak"/>
    <w:uiPriority w:val="99"/>
    <w:unhideWhenUsed/>
    <w:rsid w:val="00856890"/>
    <w:pPr>
      <w:tabs>
        <w:tab w:val="center" w:pos="4536"/>
        <w:tab w:val="right" w:pos="9072"/>
      </w:tabs>
    </w:pPr>
  </w:style>
  <w:style w:type="character" w:customStyle="1" w:styleId="StopkaZnak">
    <w:name w:val="Stopka Znak"/>
    <w:basedOn w:val="Domylnaczcionkaakapitu"/>
    <w:link w:val="Stopka"/>
    <w:uiPriority w:val="99"/>
    <w:rsid w:val="00856890"/>
    <w:rPr>
      <w:rFonts w:ascii="Verdana" w:eastAsiaTheme="minorEastAsia" w:hAnsi="Verdan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3346</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2024-12-30T06:46:00Z</dcterms:created>
  <dcterms:modified xsi:type="dcterms:W3CDTF">2024-12-30T06:46:00Z</dcterms:modified>
</cp:coreProperties>
</file>