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3B435" w14:textId="5DAD1BDE" w:rsidR="00723B96" w:rsidRPr="00E66064" w:rsidRDefault="00723B96" w:rsidP="00E66064">
      <w:pPr>
        <w:spacing w:before="0" w:after="120"/>
        <w:contextualSpacing/>
        <w:jc w:val="center"/>
        <w:rPr>
          <w:rFonts w:cs="Arial"/>
          <w:b/>
          <w:sz w:val="20"/>
          <w:szCs w:val="20"/>
        </w:rPr>
      </w:pPr>
      <w:r w:rsidRPr="00E66064">
        <w:rPr>
          <w:rFonts w:cs="Arial"/>
          <w:b/>
          <w:sz w:val="20"/>
          <w:szCs w:val="20"/>
        </w:rPr>
        <w:t xml:space="preserve">Uwagi do projektu </w:t>
      </w:r>
      <w:r w:rsidR="007D03CC" w:rsidRPr="00E66064">
        <w:rPr>
          <w:rFonts w:cs="Arial"/>
          <w:b/>
          <w:sz w:val="20"/>
          <w:szCs w:val="20"/>
        </w:rPr>
        <w:t>ustawy o zmianie ustawy – Prawo budowlane oraz niektórych innych ustaw (UD427) – uwagi zgłoszone na etapie KRMC</w:t>
      </w:r>
    </w:p>
    <w:p w14:paraId="1C0FFFCD" w14:textId="77777777" w:rsidR="001728C2" w:rsidRPr="00E66064" w:rsidRDefault="001728C2" w:rsidP="00E66064">
      <w:pPr>
        <w:spacing w:before="0" w:after="120"/>
        <w:contextualSpacing/>
        <w:rPr>
          <w:rFonts w:cs="Arial"/>
          <w:sz w:val="20"/>
          <w:szCs w:val="20"/>
        </w:rPr>
      </w:pPr>
    </w:p>
    <w:tbl>
      <w:tblPr>
        <w:tblStyle w:val="Tabela-Siatka"/>
        <w:tblW w:w="0" w:type="auto"/>
        <w:tblLayout w:type="fixed"/>
        <w:tblLook w:val="04A0" w:firstRow="1" w:lastRow="0" w:firstColumn="1" w:lastColumn="0" w:noHBand="0" w:noVBand="1"/>
      </w:tblPr>
      <w:tblGrid>
        <w:gridCol w:w="559"/>
        <w:gridCol w:w="1563"/>
        <w:gridCol w:w="1955"/>
        <w:gridCol w:w="5812"/>
        <w:gridCol w:w="3998"/>
      </w:tblGrid>
      <w:tr w:rsidR="00A5195E" w:rsidRPr="00E66064" w14:paraId="1CC2336A" w14:textId="77777777" w:rsidTr="004F4CF5">
        <w:tc>
          <w:tcPr>
            <w:tcW w:w="559" w:type="dxa"/>
            <w:shd w:val="clear" w:color="auto" w:fill="8EAADB" w:themeFill="accent1" w:themeFillTint="99"/>
          </w:tcPr>
          <w:p w14:paraId="2CD52906" w14:textId="77777777" w:rsidR="00A5195E" w:rsidRPr="00E66064" w:rsidRDefault="00A5195E" w:rsidP="00E66064">
            <w:pPr>
              <w:spacing w:before="0" w:after="120"/>
              <w:contextualSpacing/>
              <w:jc w:val="center"/>
              <w:rPr>
                <w:rFonts w:cs="Arial"/>
                <w:b/>
                <w:sz w:val="20"/>
                <w:szCs w:val="20"/>
              </w:rPr>
            </w:pPr>
            <w:r w:rsidRPr="00E66064">
              <w:rPr>
                <w:rFonts w:cs="Arial"/>
                <w:b/>
                <w:sz w:val="20"/>
                <w:szCs w:val="20"/>
              </w:rPr>
              <w:t>Lp.</w:t>
            </w:r>
          </w:p>
        </w:tc>
        <w:tc>
          <w:tcPr>
            <w:tcW w:w="1563" w:type="dxa"/>
            <w:shd w:val="clear" w:color="auto" w:fill="8EAADB" w:themeFill="accent1" w:themeFillTint="99"/>
          </w:tcPr>
          <w:p w14:paraId="0893A4F3" w14:textId="77777777" w:rsidR="00A5195E" w:rsidRPr="00E66064" w:rsidRDefault="00A5195E" w:rsidP="00E66064">
            <w:pPr>
              <w:spacing w:before="0" w:after="120"/>
              <w:contextualSpacing/>
              <w:jc w:val="center"/>
              <w:rPr>
                <w:rFonts w:cs="Arial"/>
                <w:b/>
                <w:sz w:val="20"/>
                <w:szCs w:val="20"/>
              </w:rPr>
            </w:pPr>
            <w:r w:rsidRPr="00E66064">
              <w:rPr>
                <w:rFonts w:cs="Arial"/>
                <w:b/>
                <w:sz w:val="20"/>
                <w:szCs w:val="20"/>
              </w:rPr>
              <w:t>Jednostka redakcyjna</w:t>
            </w:r>
          </w:p>
        </w:tc>
        <w:tc>
          <w:tcPr>
            <w:tcW w:w="1955" w:type="dxa"/>
            <w:shd w:val="clear" w:color="auto" w:fill="8EAADB" w:themeFill="accent1" w:themeFillTint="99"/>
          </w:tcPr>
          <w:p w14:paraId="232BA29F" w14:textId="77777777" w:rsidR="00A5195E" w:rsidRPr="00E66064" w:rsidRDefault="00A5195E" w:rsidP="00E66064">
            <w:pPr>
              <w:spacing w:before="0" w:after="120"/>
              <w:contextualSpacing/>
              <w:jc w:val="center"/>
              <w:rPr>
                <w:rFonts w:cs="Arial"/>
                <w:b/>
                <w:sz w:val="20"/>
                <w:szCs w:val="20"/>
              </w:rPr>
            </w:pPr>
            <w:r w:rsidRPr="00E66064">
              <w:rPr>
                <w:rFonts w:cs="Arial"/>
                <w:b/>
                <w:sz w:val="20"/>
                <w:szCs w:val="20"/>
              </w:rPr>
              <w:t>Organ/Podmiot</w:t>
            </w:r>
          </w:p>
        </w:tc>
        <w:tc>
          <w:tcPr>
            <w:tcW w:w="5812" w:type="dxa"/>
            <w:shd w:val="clear" w:color="auto" w:fill="8EAADB" w:themeFill="accent1" w:themeFillTint="99"/>
          </w:tcPr>
          <w:p w14:paraId="5C0A64E8" w14:textId="77777777" w:rsidR="00A5195E" w:rsidRPr="00E66064" w:rsidRDefault="00A5195E" w:rsidP="00E66064">
            <w:pPr>
              <w:spacing w:before="0" w:after="120"/>
              <w:contextualSpacing/>
              <w:jc w:val="center"/>
              <w:rPr>
                <w:rFonts w:cs="Arial"/>
                <w:b/>
                <w:sz w:val="20"/>
                <w:szCs w:val="20"/>
              </w:rPr>
            </w:pPr>
            <w:r w:rsidRPr="00E66064">
              <w:rPr>
                <w:rFonts w:cs="Arial"/>
                <w:b/>
                <w:sz w:val="20"/>
                <w:szCs w:val="20"/>
              </w:rPr>
              <w:t>Treść uwagi</w:t>
            </w:r>
          </w:p>
        </w:tc>
        <w:tc>
          <w:tcPr>
            <w:tcW w:w="3998" w:type="dxa"/>
            <w:shd w:val="clear" w:color="auto" w:fill="8EAADB" w:themeFill="accent1" w:themeFillTint="99"/>
          </w:tcPr>
          <w:p w14:paraId="15CE0C7F" w14:textId="7052D019" w:rsidR="00A5195E" w:rsidRPr="00E66064" w:rsidRDefault="00A5195E" w:rsidP="00E66064">
            <w:pPr>
              <w:spacing w:before="0" w:after="120"/>
              <w:contextualSpacing/>
              <w:jc w:val="center"/>
              <w:rPr>
                <w:rFonts w:cs="Arial"/>
                <w:b/>
                <w:sz w:val="20"/>
                <w:szCs w:val="20"/>
              </w:rPr>
            </w:pPr>
            <w:r w:rsidRPr="00E66064">
              <w:rPr>
                <w:rFonts w:cs="Arial"/>
                <w:b/>
                <w:sz w:val="20"/>
                <w:szCs w:val="20"/>
              </w:rPr>
              <w:t>Stanowisko</w:t>
            </w:r>
            <w:r w:rsidR="00C9413F" w:rsidRPr="00E66064">
              <w:rPr>
                <w:rFonts w:cs="Arial"/>
                <w:b/>
                <w:sz w:val="20"/>
                <w:szCs w:val="20"/>
              </w:rPr>
              <w:t xml:space="preserve"> projektodawcy</w:t>
            </w:r>
          </w:p>
        </w:tc>
      </w:tr>
      <w:tr w:rsidR="007D03CC" w:rsidRPr="00E66064" w14:paraId="41B76BB9" w14:textId="77777777" w:rsidTr="004F4CF5">
        <w:tc>
          <w:tcPr>
            <w:tcW w:w="559" w:type="dxa"/>
            <w:shd w:val="clear" w:color="auto" w:fill="auto"/>
          </w:tcPr>
          <w:p w14:paraId="220477D0" w14:textId="53AD1BF3" w:rsidR="007D03CC" w:rsidRPr="00E66064" w:rsidRDefault="007D03CC" w:rsidP="00E66064">
            <w:pPr>
              <w:spacing w:before="0" w:after="120"/>
              <w:contextualSpacing/>
              <w:jc w:val="center"/>
              <w:rPr>
                <w:rFonts w:cs="Arial"/>
                <w:sz w:val="20"/>
                <w:szCs w:val="20"/>
              </w:rPr>
            </w:pPr>
            <w:r w:rsidRPr="00E66064">
              <w:rPr>
                <w:rFonts w:cs="Arial"/>
                <w:sz w:val="20"/>
                <w:szCs w:val="20"/>
              </w:rPr>
              <w:t>1</w:t>
            </w:r>
            <w:r w:rsidR="006E4EB4" w:rsidRPr="00E66064">
              <w:rPr>
                <w:rFonts w:cs="Arial"/>
                <w:sz w:val="20"/>
                <w:szCs w:val="20"/>
              </w:rPr>
              <w:t>.</w:t>
            </w:r>
          </w:p>
        </w:tc>
        <w:tc>
          <w:tcPr>
            <w:tcW w:w="1563" w:type="dxa"/>
          </w:tcPr>
          <w:p w14:paraId="207537DD" w14:textId="0AA57C79" w:rsidR="007D03CC" w:rsidRPr="00E66064" w:rsidRDefault="007D03CC" w:rsidP="00E66064">
            <w:pPr>
              <w:spacing w:before="0" w:after="120"/>
              <w:contextualSpacing/>
              <w:jc w:val="center"/>
              <w:rPr>
                <w:rFonts w:cs="Arial"/>
                <w:sz w:val="20"/>
                <w:szCs w:val="20"/>
              </w:rPr>
            </w:pPr>
            <w:r w:rsidRPr="00E66064">
              <w:rPr>
                <w:rFonts w:cs="Arial"/>
                <w:sz w:val="20"/>
                <w:szCs w:val="20"/>
              </w:rPr>
              <w:t>Uwaga ogólna</w:t>
            </w:r>
          </w:p>
        </w:tc>
        <w:tc>
          <w:tcPr>
            <w:tcW w:w="1955" w:type="dxa"/>
          </w:tcPr>
          <w:p w14:paraId="4BECCFD5" w14:textId="01968B16" w:rsidR="007D03CC" w:rsidRPr="00E66064" w:rsidRDefault="00651DCE" w:rsidP="00E66064">
            <w:pPr>
              <w:spacing w:before="0" w:after="120"/>
              <w:contextualSpacing/>
              <w:jc w:val="center"/>
              <w:rPr>
                <w:rFonts w:cs="Arial"/>
                <w:sz w:val="20"/>
                <w:szCs w:val="20"/>
              </w:rPr>
            </w:pPr>
            <w:r w:rsidRPr="00E66064">
              <w:rPr>
                <w:rFonts w:cs="Arial"/>
                <w:sz w:val="20"/>
                <w:szCs w:val="20"/>
              </w:rPr>
              <w:t>MSWiA</w:t>
            </w:r>
            <w:r w:rsidR="007D03CC" w:rsidRPr="00E66064">
              <w:rPr>
                <w:rFonts w:cs="Arial"/>
                <w:sz w:val="20"/>
                <w:szCs w:val="20"/>
              </w:rPr>
              <w:t xml:space="preserve"> – KG PSP</w:t>
            </w:r>
          </w:p>
        </w:tc>
        <w:tc>
          <w:tcPr>
            <w:tcW w:w="5812" w:type="dxa"/>
          </w:tcPr>
          <w:p w14:paraId="39C0B828" w14:textId="34063416" w:rsidR="007D03CC" w:rsidRPr="00E66064" w:rsidRDefault="007D03CC" w:rsidP="00E66064">
            <w:pPr>
              <w:spacing w:before="0" w:after="120"/>
              <w:contextualSpacing/>
              <w:rPr>
                <w:rFonts w:cs="Arial"/>
                <w:sz w:val="20"/>
                <w:szCs w:val="20"/>
              </w:rPr>
            </w:pPr>
            <w:r w:rsidRPr="00E66064">
              <w:rPr>
                <w:rFonts w:cs="Arial"/>
                <w:sz w:val="20"/>
                <w:szCs w:val="20"/>
              </w:rPr>
              <w:t xml:space="preserve">Komenda Główna Państwowej Straży Pożarnej, jako zasadne, podtrzymuje uwagi Lp.: 16, 26, 27, 47, 59, 64 i 71 uwzględnione w zamieszczonym na portalu RCL zestawieniu „Uwagi do projektu ustawy o zmianie ustawy – Prawo budowlane oraz niektórych innych ustaw (UD427) – opiniowanie” (załącznik nr 2 do niniejszego pisma), które nie zostały uwzględnione na wcześniejszym etapie opiniowania projektu. </w:t>
            </w:r>
          </w:p>
          <w:p w14:paraId="56EE0135" w14:textId="6D090422" w:rsidR="007D03CC" w:rsidRPr="00E66064" w:rsidRDefault="007D03CC" w:rsidP="00E66064">
            <w:pPr>
              <w:spacing w:before="0" w:after="120"/>
              <w:contextualSpacing/>
              <w:rPr>
                <w:rFonts w:cs="Arial"/>
                <w:sz w:val="20"/>
                <w:szCs w:val="20"/>
              </w:rPr>
            </w:pPr>
            <w:r w:rsidRPr="00E66064">
              <w:rPr>
                <w:rFonts w:cs="Arial"/>
                <w:sz w:val="20"/>
                <w:szCs w:val="20"/>
              </w:rPr>
              <w:t>W uzupełnieniu do przedstawianego dotychczas uzasadnienia do postulowanych zmian wskazać należy, że zasadność argumentacji KG PSP w zakresie sprawowania samodzielnych funkcji technicznych w budownictwie przez rzeczoznawców do spraw zabezpieczeń przeciwpożarowych potwierdza m.in. orzeczenie Wojewódzkiego Sądu Administracyjnego w Warszawie z dnia 13 lutego 2007 r., sygn. akt VII SA/Wa 1597/06.</w:t>
            </w:r>
          </w:p>
        </w:tc>
        <w:tc>
          <w:tcPr>
            <w:tcW w:w="3998" w:type="dxa"/>
          </w:tcPr>
          <w:p w14:paraId="64CB3A5E" w14:textId="6BE06C37" w:rsidR="007D03CC" w:rsidRPr="00E66064" w:rsidRDefault="00E66064" w:rsidP="00E66064">
            <w:pPr>
              <w:spacing w:before="0" w:after="120"/>
              <w:contextualSpacing/>
              <w:jc w:val="left"/>
              <w:rPr>
                <w:rFonts w:cs="Arial"/>
                <w:b/>
                <w:sz w:val="20"/>
                <w:szCs w:val="20"/>
              </w:rPr>
            </w:pPr>
            <w:r w:rsidRPr="00E66064">
              <w:rPr>
                <w:rFonts w:cs="Arial"/>
                <w:b/>
                <w:sz w:val="20"/>
                <w:szCs w:val="20"/>
              </w:rPr>
              <w:t>Uwaga znajduje się poza zakresem właściwości KRMC</w:t>
            </w:r>
            <w:r w:rsidR="009A4219" w:rsidRPr="00E66064">
              <w:rPr>
                <w:rFonts w:cs="Arial"/>
                <w:b/>
                <w:sz w:val="20"/>
                <w:szCs w:val="20"/>
              </w:rPr>
              <w:t>.</w:t>
            </w:r>
          </w:p>
          <w:p w14:paraId="03B13E80" w14:textId="50A18C16" w:rsidR="009A4219" w:rsidRPr="00E66064" w:rsidRDefault="009A4219" w:rsidP="00E66064">
            <w:pPr>
              <w:spacing w:before="0" w:after="120"/>
              <w:contextualSpacing/>
              <w:jc w:val="left"/>
              <w:rPr>
                <w:rFonts w:cs="Arial"/>
                <w:bCs/>
                <w:sz w:val="20"/>
                <w:szCs w:val="20"/>
              </w:rPr>
            </w:pPr>
            <w:r w:rsidRPr="00E66064">
              <w:rPr>
                <w:rFonts w:cs="Arial"/>
                <w:bCs/>
                <w:sz w:val="20"/>
                <w:szCs w:val="20"/>
              </w:rPr>
              <w:t>MRiT podtrzymuje stanowiska przedstawione w zestawieniu uwag zamieszczonym na stronie RPL.</w:t>
            </w:r>
          </w:p>
        </w:tc>
      </w:tr>
      <w:tr w:rsidR="001B30C4" w:rsidRPr="00E66064" w14:paraId="2176917E" w14:textId="77777777" w:rsidTr="004F4CF5">
        <w:tc>
          <w:tcPr>
            <w:tcW w:w="559" w:type="dxa"/>
            <w:shd w:val="clear" w:color="auto" w:fill="auto"/>
          </w:tcPr>
          <w:p w14:paraId="6B390A35" w14:textId="33161D4F" w:rsidR="001B30C4" w:rsidRPr="00E66064" w:rsidRDefault="007D03CC" w:rsidP="00E66064">
            <w:pPr>
              <w:spacing w:before="0" w:after="120"/>
              <w:contextualSpacing/>
              <w:jc w:val="center"/>
              <w:rPr>
                <w:rFonts w:cs="Arial"/>
                <w:sz w:val="20"/>
                <w:szCs w:val="20"/>
              </w:rPr>
            </w:pPr>
            <w:r w:rsidRPr="00E66064">
              <w:rPr>
                <w:rFonts w:cs="Arial"/>
                <w:sz w:val="20"/>
                <w:szCs w:val="20"/>
              </w:rPr>
              <w:t>2</w:t>
            </w:r>
            <w:r w:rsidR="006E4EB4" w:rsidRPr="00E66064">
              <w:rPr>
                <w:rFonts w:cs="Arial"/>
                <w:sz w:val="20"/>
                <w:szCs w:val="20"/>
              </w:rPr>
              <w:t>.</w:t>
            </w:r>
          </w:p>
        </w:tc>
        <w:tc>
          <w:tcPr>
            <w:tcW w:w="1563" w:type="dxa"/>
          </w:tcPr>
          <w:p w14:paraId="064996AF" w14:textId="2104F0D8" w:rsidR="001B30C4" w:rsidRPr="00E66064" w:rsidRDefault="001B30C4" w:rsidP="00E66064">
            <w:pPr>
              <w:spacing w:before="0" w:after="120"/>
              <w:contextualSpacing/>
              <w:jc w:val="center"/>
              <w:rPr>
                <w:rFonts w:cs="Arial"/>
                <w:sz w:val="20"/>
                <w:szCs w:val="20"/>
              </w:rPr>
            </w:pPr>
            <w:r w:rsidRPr="00E66064">
              <w:rPr>
                <w:rFonts w:cs="Arial"/>
                <w:sz w:val="20"/>
                <w:szCs w:val="20"/>
              </w:rPr>
              <w:t>Uwaga ogólna</w:t>
            </w:r>
          </w:p>
        </w:tc>
        <w:tc>
          <w:tcPr>
            <w:tcW w:w="1955" w:type="dxa"/>
          </w:tcPr>
          <w:p w14:paraId="50265BC4" w14:textId="7ECC0EC5" w:rsidR="001B30C4" w:rsidRPr="00E66064" w:rsidRDefault="007D03CC" w:rsidP="00E66064">
            <w:pPr>
              <w:spacing w:before="0" w:after="120"/>
              <w:contextualSpacing/>
              <w:jc w:val="center"/>
              <w:rPr>
                <w:rFonts w:cs="Arial"/>
                <w:sz w:val="20"/>
                <w:szCs w:val="20"/>
              </w:rPr>
            </w:pPr>
            <w:r w:rsidRPr="00E66064">
              <w:rPr>
                <w:rFonts w:cs="Arial"/>
                <w:sz w:val="20"/>
                <w:szCs w:val="20"/>
              </w:rPr>
              <w:t>KPRM</w:t>
            </w:r>
            <w:r w:rsidR="001B30C4" w:rsidRPr="00E66064">
              <w:rPr>
                <w:rFonts w:cs="Arial"/>
                <w:sz w:val="20"/>
                <w:szCs w:val="20"/>
              </w:rPr>
              <w:t xml:space="preserve"> – Minister Cyfryzacji</w:t>
            </w:r>
          </w:p>
        </w:tc>
        <w:tc>
          <w:tcPr>
            <w:tcW w:w="5812" w:type="dxa"/>
          </w:tcPr>
          <w:p w14:paraId="6A9B3DC6" w14:textId="2E4043E7" w:rsidR="001B30C4" w:rsidRPr="00E66064" w:rsidRDefault="00C9413F" w:rsidP="00E66064">
            <w:pPr>
              <w:spacing w:before="0" w:after="120"/>
              <w:contextualSpacing/>
              <w:rPr>
                <w:rFonts w:cs="Arial"/>
                <w:sz w:val="20"/>
                <w:szCs w:val="20"/>
              </w:rPr>
            </w:pPr>
            <w:r w:rsidRPr="00E66064">
              <w:rPr>
                <w:rFonts w:cs="Arial"/>
                <w:sz w:val="20"/>
                <w:szCs w:val="20"/>
              </w:rPr>
              <w:t>P</w:t>
            </w:r>
            <w:r w:rsidR="00A63688" w:rsidRPr="00E66064">
              <w:rPr>
                <w:rFonts w:cs="Arial"/>
                <w:sz w:val="20"/>
                <w:szCs w:val="20"/>
              </w:rPr>
              <w:t>odtrzymuję uwagi zgłoszone projektodawcy na etapie uzgodnień (pismo z dnia 18 października br.) – gdyż mimo deklaracji projektodawcy nie zostały one w większości uwzględnione.</w:t>
            </w:r>
          </w:p>
        </w:tc>
        <w:tc>
          <w:tcPr>
            <w:tcW w:w="3998" w:type="dxa"/>
          </w:tcPr>
          <w:p w14:paraId="3467679B" w14:textId="77777777" w:rsidR="00C9413F" w:rsidRPr="00E66064" w:rsidRDefault="00C9413F" w:rsidP="00E66064">
            <w:pPr>
              <w:spacing w:before="0" w:after="120"/>
              <w:contextualSpacing/>
              <w:jc w:val="left"/>
              <w:rPr>
                <w:rFonts w:cs="Arial"/>
                <w:b/>
                <w:sz w:val="20"/>
                <w:szCs w:val="20"/>
              </w:rPr>
            </w:pPr>
            <w:r w:rsidRPr="00E66064">
              <w:rPr>
                <w:rFonts w:cs="Arial"/>
                <w:b/>
                <w:sz w:val="20"/>
                <w:szCs w:val="20"/>
              </w:rPr>
              <w:t xml:space="preserve">Uwaga nieuwzględniona. </w:t>
            </w:r>
          </w:p>
          <w:p w14:paraId="609DD162" w14:textId="278635C2" w:rsidR="001B30C4" w:rsidRPr="00E66064" w:rsidRDefault="009A4219" w:rsidP="00E66064">
            <w:pPr>
              <w:spacing w:before="0" w:after="120"/>
              <w:contextualSpacing/>
              <w:rPr>
                <w:rFonts w:cs="Arial"/>
                <w:sz w:val="20"/>
                <w:szCs w:val="20"/>
              </w:rPr>
            </w:pPr>
            <w:r w:rsidRPr="00E66064">
              <w:rPr>
                <w:rFonts w:cs="Arial"/>
                <w:sz w:val="20"/>
                <w:szCs w:val="20"/>
              </w:rPr>
              <w:t>MRiT</w:t>
            </w:r>
            <w:r w:rsidR="00C9413F" w:rsidRPr="00E66064">
              <w:rPr>
                <w:rFonts w:cs="Arial"/>
                <w:sz w:val="20"/>
                <w:szCs w:val="20"/>
              </w:rPr>
              <w:t xml:space="preserve"> podtrzymuje stanowisk</w:t>
            </w:r>
            <w:r w:rsidR="00532FAD" w:rsidRPr="00E66064">
              <w:rPr>
                <w:rFonts w:cs="Arial"/>
                <w:sz w:val="20"/>
                <w:szCs w:val="20"/>
              </w:rPr>
              <w:t>a</w:t>
            </w:r>
            <w:r w:rsidR="00C9413F" w:rsidRPr="00E66064">
              <w:rPr>
                <w:rFonts w:cs="Arial"/>
                <w:sz w:val="20"/>
                <w:szCs w:val="20"/>
              </w:rPr>
              <w:t xml:space="preserve"> przedstawione w zestawieniu uwag zamieszczon</w:t>
            </w:r>
            <w:r w:rsidR="000E2104" w:rsidRPr="00E66064">
              <w:rPr>
                <w:rFonts w:cs="Arial"/>
                <w:sz w:val="20"/>
                <w:szCs w:val="20"/>
              </w:rPr>
              <w:t>ym</w:t>
            </w:r>
            <w:r w:rsidR="00C9413F" w:rsidRPr="00E66064">
              <w:rPr>
                <w:rFonts w:cs="Arial"/>
                <w:sz w:val="20"/>
                <w:szCs w:val="20"/>
              </w:rPr>
              <w:t xml:space="preserve"> na stronie RPL.</w:t>
            </w:r>
          </w:p>
        </w:tc>
      </w:tr>
      <w:tr w:rsidR="00087B7E" w:rsidRPr="00E66064" w14:paraId="7E134217" w14:textId="77777777" w:rsidTr="004F4CF5">
        <w:tc>
          <w:tcPr>
            <w:tcW w:w="559" w:type="dxa"/>
            <w:shd w:val="clear" w:color="auto" w:fill="auto"/>
          </w:tcPr>
          <w:p w14:paraId="499DBD44" w14:textId="726F25FB" w:rsidR="00087B7E" w:rsidRPr="00E66064" w:rsidRDefault="009C6649" w:rsidP="00E66064">
            <w:pPr>
              <w:spacing w:before="0" w:after="120"/>
              <w:contextualSpacing/>
              <w:jc w:val="center"/>
              <w:rPr>
                <w:rFonts w:cs="Arial"/>
                <w:sz w:val="20"/>
                <w:szCs w:val="20"/>
              </w:rPr>
            </w:pPr>
            <w:r w:rsidRPr="00E66064">
              <w:rPr>
                <w:rFonts w:cs="Arial"/>
                <w:sz w:val="20"/>
                <w:szCs w:val="20"/>
              </w:rPr>
              <w:t>3</w:t>
            </w:r>
            <w:r w:rsidR="006E4EB4" w:rsidRPr="00E66064">
              <w:rPr>
                <w:rFonts w:cs="Arial"/>
                <w:sz w:val="20"/>
                <w:szCs w:val="20"/>
              </w:rPr>
              <w:t>.</w:t>
            </w:r>
          </w:p>
        </w:tc>
        <w:tc>
          <w:tcPr>
            <w:tcW w:w="1563" w:type="dxa"/>
            <w:tcBorders>
              <w:top w:val="single" w:sz="4" w:space="0" w:color="auto"/>
              <w:left w:val="single" w:sz="4" w:space="0" w:color="auto"/>
              <w:bottom w:val="single" w:sz="4" w:space="0" w:color="auto"/>
              <w:right w:val="single" w:sz="4" w:space="0" w:color="auto"/>
            </w:tcBorders>
          </w:tcPr>
          <w:p w14:paraId="4372B62A" w14:textId="54BC879C" w:rsidR="00087B7E" w:rsidRPr="00E66064" w:rsidRDefault="007D03CC" w:rsidP="00E66064">
            <w:pPr>
              <w:spacing w:before="0" w:after="120"/>
              <w:contextualSpacing/>
              <w:jc w:val="center"/>
              <w:rPr>
                <w:rFonts w:cs="Arial"/>
                <w:sz w:val="20"/>
                <w:szCs w:val="20"/>
              </w:rPr>
            </w:pPr>
            <w:r w:rsidRPr="00E66064">
              <w:rPr>
                <w:rFonts w:cs="Arial"/>
                <w:sz w:val="20"/>
                <w:szCs w:val="20"/>
              </w:rPr>
              <w:t>Uwaga ogólna</w:t>
            </w:r>
          </w:p>
        </w:tc>
        <w:tc>
          <w:tcPr>
            <w:tcW w:w="1955" w:type="dxa"/>
            <w:tcBorders>
              <w:top w:val="single" w:sz="4" w:space="0" w:color="auto"/>
              <w:left w:val="single" w:sz="4" w:space="0" w:color="auto"/>
              <w:bottom w:val="single" w:sz="4" w:space="0" w:color="auto"/>
              <w:right w:val="single" w:sz="4" w:space="0" w:color="auto"/>
            </w:tcBorders>
          </w:tcPr>
          <w:p w14:paraId="22C348A5" w14:textId="2BA57021" w:rsidR="00087B7E" w:rsidRPr="00E66064" w:rsidRDefault="007D03CC" w:rsidP="00E66064">
            <w:pPr>
              <w:spacing w:before="0" w:after="120"/>
              <w:contextualSpacing/>
              <w:jc w:val="center"/>
              <w:rPr>
                <w:rFonts w:cs="Arial"/>
                <w:sz w:val="20"/>
                <w:szCs w:val="20"/>
              </w:rPr>
            </w:pPr>
            <w:r w:rsidRPr="00E66064">
              <w:rPr>
                <w:rFonts w:cs="Arial"/>
                <w:sz w:val="20"/>
                <w:szCs w:val="20"/>
              </w:rPr>
              <w:t>RCL</w:t>
            </w:r>
          </w:p>
        </w:tc>
        <w:tc>
          <w:tcPr>
            <w:tcW w:w="5812" w:type="dxa"/>
            <w:tcBorders>
              <w:top w:val="single" w:sz="4" w:space="0" w:color="auto"/>
              <w:left w:val="single" w:sz="4" w:space="0" w:color="auto"/>
              <w:bottom w:val="single" w:sz="4" w:space="0" w:color="auto"/>
              <w:right w:val="single" w:sz="4" w:space="0" w:color="auto"/>
            </w:tcBorders>
          </w:tcPr>
          <w:p w14:paraId="0FC43CCA" w14:textId="2B5CC9B2" w:rsidR="00087B7E" w:rsidRPr="00E66064" w:rsidRDefault="00087B7E" w:rsidP="00E66064">
            <w:pPr>
              <w:spacing w:before="0" w:after="120"/>
              <w:contextualSpacing/>
              <w:rPr>
                <w:rFonts w:cs="Arial"/>
                <w:sz w:val="20"/>
                <w:szCs w:val="20"/>
              </w:rPr>
            </w:pPr>
            <w:r w:rsidRPr="00E66064">
              <w:rPr>
                <w:rFonts w:cs="Arial"/>
                <w:sz w:val="20"/>
                <w:szCs w:val="20"/>
              </w:rPr>
              <w:t>Projekt zawiera regulacje dotyczące pełnej elektronizacji postępowań regulowanych</w:t>
            </w:r>
            <w:r w:rsidR="005F3F09" w:rsidRPr="00E66064">
              <w:rPr>
                <w:rFonts w:cs="Arial"/>
                <w:sz w:val="20"/>
                <w:szCs w:val="20"/>
              </w:rPr>
              <w:t xml:space="preserve"> </w:t>
            </w:r>
            <w:r w:rsidRPr="00E66064">
              <w:rPr>
                <w:rFonts w:cs="Arial"/>
                <w:sz w:val="20"/>
                <w:szCs w:val="20"/>
              </w:rPr>
              <w:t>ustawą – Prawo budowlane, w tym wprowadzające zasadę składania wniosków,</w:t>
            </w:r>
            <w:r w:rsidR="005F3F09" w:rsidRPr="00E66064">
              <w:rPr>
                <w:rFonts w:cs="Arial"/>
                <w:sz w:val="20"/>
                <w:szCs w:val="20"/>
              </w:rPr>
              <w:t xml:space="preserve"> </w:t>
            </w:r>
            <w:r w:rsidRPr="00E66064">
              <w:rPr>
                <w:rFonts w:cs="Arial"/>
                <w:sz w:val="20"/>
                <w:szCs w:val="20"/>
              </w:rPr>
              <w:t>zawiadomień i zgłoszeń, o których mowa w tej ustawie, wyłącznie w formie dokumentu</w:t>
            </w:r>
            <w:r w:rsidR="005F3F09" w:rsidRPr="00E66064">
              <w:rPr>
                <w:rFonts w:cs="Arial"/>
                <w:sz w:val="20"/>
                <w:szCs w:val="20"/>
              </w:rPr>
              <w:t xml:space="preserve"> </w:t>
            </w:r>
            <w:r w:rsidRPr="00E66064">
              <w:rPr>
                <w:rFonts w:cs="Arial"/>
                <w:sz w:val="20"/>
                <w:szCs w:val="20"/>
              </w:rPr>
              <w:t>elektronicznego opatrzonego kwalifikowanym podpisem elektronicznym, podpisem</w:t>
            </w:r>
            <w:r w:rsidR="005F3F09" w:rsidRPr="00E66064">
              <w:rPr>
                <w:rFonts w:cs="Arial"/>
                <w:sz w:val="20"/>
                <w:szCs w:val="20"/>
              </w:rPr>
              <w:t xml:space="preserve"> </w:t>
            </w:r>
            <w:r w:rsidRPr="00E66064">
              <w:rPr>
                <w:rFonts w:cs="Arial"/>
                <w:sz w:val="20"/>
                <w:szCs w:val="20"/>
              </w:rPr>
              <w:t>zaufanym albo podpisem osobistym (art. 10c ust. 1 ustawy – Prawo budowlane).</w:t>
            </w:r>
          </w:p>
          <w:p w14:paraId="508626C3" w14:textId="5D9D13BC" w:rsidR="00087B7E" w:rsidRPr="00E66064" w:rsidRDefault="00087B7E" w:rsidP="00E66064">
            <w:pPr>
              <w:spacing w:before="0" w:after="120"/>
              <w:contextualSpacing/>
              <w:rPr>
                <w:rFonts w:cs="Arial"/>
                <w:sz w:val="20"/>
                <w:szCs w:val="20"/>
              </w:rPr>
            </w:pPr>
            <w:r w:rsidRPr="00E66064">
              <w:rPr>
                <w:rFonts w:cs="Arial"/>
                <w:sz w:val="20"/>
                <w:szCs w:val="20"/>
              </w:rPr>
              <w:t>Z projektowanego rozwiązania wyłączone zostały obecnie zamierzenia budowlane lub</w:t>
            </w:r>
            <w:r w:rsidR="005F3F09" w:rsidRPr="00E66064">
              <w:rPr>
                <w:rFonts w:cs="Arial"/>
                <w:sz w:val="20"/>
                <w:szCs w:val="20"/>
              </w:rPr>
              <w:t xml:space="preserve"> </w:t>
            </w:r>
            <w:r w:rsidRPr="00E66064">
              <w:rPr>
                <w:rFonts w:cs="Arial"/>
                <w:sz w:val="20"/>
                <w:szCs w:val="20"/>
              </w:rPr>
              <w:t>roboty budowlane na terenach zamkniętych (art. 10c ust. 4 ustawy – Prawo budowlane)</w:t>
            </w:r>
            <w:r w:rsidR="005F3F09" w:rsidRPr="00E66064">
              <w:rPr>
                <w:rFonts w:cs="Arial"/>
                <w:sz w:val="20"/>
                <w:szCs w:val="20"/>
              </w:rPr>
              <w:t xml:space="preserve"> </w:t>
            </w:r>
            <w:r w:rsidRPr="00E66064">
              <w:rPr>
                <w:rFonts w:cs="Arial"/>
                <w:sz w:val="20"/>
                <w:szCs w:val="20"/>
              </w:rPr>
              <w:t>– uzasadnienie projektu nie wyjaśnia wyłączenia elektronizacji w tym zakresie.</w:t>
            </w:r>
          </w:p>
          <w:p w14:paraId="789DD7AA" w14:textId="5E3D9ED0" w:rsidR="00087B7E" w:rsidRPr="00E66064" w:rsidRDefault="00087B7E" w:rsidP="00E66064">
            <w:pPr>
              <w:spacing w:before="0" w:after="120"/>
              <w:contextualSpacing/>
              <w:rPr>
                <w:rFonts w:cs="Arial"/>
                <w:sz w:val="20"/>
                <w:szCs w:val="20"/>
              </w:rPr>
            </w:pPr>
            <w:r w:rsidRPr="00E66064">
              <w:rPr>
                <w:rFonts w:cs="Arial"/>
                <w:sz w:val="20"/>
                <w:szCs w:val="20"/>
              </w:rPr>
              <w:t>Analogiczne rozwiązania projekt wprowadza w szeregu ustaw zmienianych (np. dla</w:t>
            </w:r>
            <w:r w:rsidR="005F3F09" w:rsidRPr="00E66064">
              <w:rPr>
                <w:rFonts w:cs="Arial"/>
                <w:sz w:val="20"/>
                <w:szCs w:val="20"/>
              </w:rPr>
              <w:t xml:space="preserve"> </w:t>
            </w:r>
            <w:r w:rsidRPr="00E66064">
              <w:rPr>
                <w:rFonts w:cs="Arial"/>
                <w:sz w:val="20"/>
                <w:szCs w:val="20"/>
              </w:rPr>
              <w:t>wniosku o ustalenie warunków zabudowy w art. 64b ustawy o planowaniu</w:t>
            </w:r>
            <w:r w:rsidR="009C6649" w:rsidRPr="00E66064">
              <w:rPr>
                <w:rFonts w:cs="Arial"/>
                <w:sz w:val="20"/>
                <w:szCs w:val="20"/>
              </w:rPr>
              <w:t xml:space="preserve"> </w:t>
            </w:r>
            <w:r w:rsidRPr="00E66064">
              <w:rPr>
                <w:rFonts w:cs="Arial"/>
                <w:sz w:val="20"/>
                <w:szCs w:val="20"/>
              </w:rPr>
              <w:t>i zagospodarowaniu przestrzennym).</w:t>
            </w:r>
          </w:p>
          <w:p w14:paraId="5473DFF9" w14:textId="25D1249F" w:rsidR="00087B7E" w:rsidRPr="00E66064" w:rsidRDefault="00087B7E" w:rsidP="00E66064">
            <w:pPr>
              <w:spacing w:before="0" w:after="120"/>
              <w:contextualSpacing/>
              <w:rPr>
                <w:rFonts w:cs="Arial"/>
                <w:sz w:val="20"/>
                <w:szCs w:val="20"/>
              </w:rPr>
            </w:pPr>
            <w:r w:rsidRPr="00E66064">
              <w:rPr>
                <w:rFonts w:cs="Arial"/>
                <w:sz w:val="20"/>
                <w:szCs w:val="20"/>
              </w:rPr>
              <w:lastRenderedPageBreak/>
              <w:t>Zniesienie możliwości składania pism wszczynających daną sprawę w postaci</w:t>
            </w:r>
            <w:r w:rsidR="005F3F09" w:rsidRPr="00E66064">
              <w:rPr>
                <w:rFonts w:cs="Arial"/>
                <w:sz w:val="20"/>
                <w:szCs w:val="20"/>
              </w:rPr>
              <w:t xml:space="preserve"> </w:t>
            </w:r>
            <w:r w:rsidRPr="00E66064">
              <w:rPr>
                <w:rFonts w:cs="Arial"/>
                <w:sz w:val="20"/>
                <w:szCs w:val="20"/>
              </w:rPr>
              <w:t>papierowej budzi wątpliwości i wymaga szczególnego uzasadnienia w kontekście:</w:t>
            </w:r>
          </w:p>
          <w:p w14:paraId="1DDCB86D" w14:textId="4CCB5508" w:rsidR="00087B7E" w:rsidRPr="00E66064" w:rsidRDefault="00087B7E" w:rsidP="00E66064">
            <w:pPr>
              <w:spacing w:before="0" w:after="120"/>
              <w:contextualSpacing/>
              <w:rPr>
                <w:rFonts w:cs="Arial"/>
                <w:sz w:val="20"/>
                <w:szCs w:val="20"/>
              </w:rPr>
            </w:pPr>
            <w:r w:rsidRPr="00E66064">
              <w:rPr>
                <w:rFonts w:cs="Arial"/>
                <w:sz w:val="20"/>
                <w:szCs w:val="20"/>
              </w:rPr>
              <w:t>– ogólnej regulacji art. 14 § 1d KPA, zgodnie z którą pisma kierowane do organów</w:t>
            </w:r>
            <w:r w:rsidR="005F3F09" w:rsidRPr="00E66064">
              <w:rPr>
                <w:rFonts w:cs="Arial"/>
                <w:sz w:val="20"/>
                <w:szCs w:val="20"/>
              </w:rPr>
              <w:t xml:space="preserve"> </w:t>
            </w:r>
            <w:r w:rsidRPr="00E66064">
              <w:rPr>
                <w:rFonts w:cs="Arial"/>
                <w:sz w:val="20"/>
                <w:szCs w:val="20"/>
              </w:rPr>
              <w:t>administracji publicznej mogą być sporządzane na piśmie utrwalonym w postaci</w:t>
            </w:r>
            <w:r w:rsidR="009C6649" w:rsidRPr="00E66064">
              <w:rPr>
                <w:rFonts w:cs="Arial"/>
                <w:sz w:val="20"/>
                <w:szCs w:val="20"/>
              </w:rPr>
              <w:t xml:space="preserve"> </w:t>
            </w:r>
            <w:r w:rsidRPr="00E66064">
              <w:rPr>
                <w:rFonts w:cs="Arial"/>
                <w:sz w:val="20"/>
                <w:szCs w:val="20"/>
              </w:rPr>
              <w:t>papierowej lub elektronicznej;</w:t>
            </w:r>
          </w:p>
          <w:p w14:paraId="54113FAC" w14:textId="3ECA79FF" w:rsidR="00087B7E" w:rsidRPr="00E66064" w:rsidRDefault="00087B7E" w:rsidP="00E66064">
            <w:pPr>
              <w:spacing w:before="0" w:after="120"/>
              <w:contextualSpacing/>
              <w:rPr>
                <w:rFonts w:cs="Arial"/>
                <w:sz w:val="20"/>
                <w:szCs w:val="20"/>
              </w:rPr>
            </w:pPr>
            <w:r w:rsidRPr="00E66064">
              <w:rPr>
                <w:rFonts w:cs="Arial"/>
                <w:sz w:val="20"/>
                <w:szCs w:val="20"/>
              </w:rPr>
              <w:t>– problemu wykluczenia – przez wyłączenie formy papierowej niektóre osoby (np.</w:t>
            </w:r>
            <w:r w:rsidR="005F3F09" w:rsidRPr="00E66064">
              <w:rPr>
                <w:rFonts w:cs="Arial"/>
                <w:sz w:val="20"/>
                <w:szCs w:val="20"/>
              </w:rPr>
              <w:t xml:space="preserve"> </w:t>
            </w:r>
            <w:r w:rsidRPr="00E66064">
              <w:rPr>
                <w:rFonts w:cs="Arial"/>
                <w:sz w:val="20"/>
                <w:szCs w:val="20"/>
              </w:rPr>
              <w:t>osoby starsze, które nie dysponują wiedzą i możliwościami technicznymi do złożenia</w:t>
            </w:r>
            <w:r w:rsidR="005F3F09" w:rsidRPr="00E66064">
              <w:rPr>
                <w:rFonts w:cs="Arial"/>
                <w:sz w:val="20"/>
                <w:szCs w:val="20"/>
              </w:rPr>
              <w:t xml:space="preserve"> </w:t>
            </w:r>
            <w:r w:rsidRPr="00E66064">
              <w:rPr>
                <w:rFonts w:cs="Arial"/>
                <w:sz w:val="20"/>
                <w:szCs w:val="20"/>
              </w:rPr>
              <w:t>dokumentu w kwalifikowanej postaci elektronicznej) mogą zostać pozbawione</w:t>
            </w:r>
            <w:r w:rsidR="005F3F09" w:rsidRPr="00E66064">
              <w:rPr>
                <w:rFonts w:cs="Arial"/>
                <w:sz w:val="20"/>
                <w:szCs w:val="20"/>
              </w:rPr>
              <w:t xml:space="preserve"> </w:t>
            </w:r>
            <w:r w:rsidRPr="00E66064">
              <w:rPr>
                <w:rFonts w:cs="Arial"/>
                <w:sz w:val="20"/>
                <w:szCs w:val="20"/>
              </w:rPr>
              <w:t>możliwości składania pism do organu administracji, a tym samym – załatwiania</w:t>
            </w:r>
            <w:r w:rsidR="005F3F09" w:rsidRPr="00E66064">
              <w:rPr>
                <w:rFonts w:cs="Arial"/>
                <w:sz w:val="20"/>
                <w:szCs w:val="20"/>
              </w:rPr>
              <w:t xml:space="preserve"> </w:t>
            </w:r>
            <w:r w:rsidRPr="00E66064">
              <w:rPr>
                <w:rFonts w:cs="Arial"/>
                <w:sz w:val="20"/>
                <w:szCs w:val="20"/>
              </w:rPr>
              <w:t>określonych spraw urzędowych.</w:t>
            </w:r>
          </w:p>
          <w:p w14:paraId="38C69E2F" w14:textId="12EB48B6" w:rsidR="00087B7E" w:rsidRPr="00E66064" w:rsidRDefault="00087B7E" w:rsidP="00E66064">
            <w:pPr>
              <w:spacing w:before="0" w:after="120"/>
              <w:contextualSpacing/>
              <w:rPr>
                <w:rFonts w:cs="Arial"/>
                <w:sz w:val="20"/>
                <w:szCs w:val="20"/>
              </w:rPr>
            </w:pPr>
            <w:r w:rsidRPr="00E66064">
              <w:rPr>
                <w:rFonts w:cs="Arial"/>
                <w:sz w:val="20"/>
                <w:szCs w:val="20"/>
              </w:rPr>
              <w:t>Takie rozwiązanie może wpłynąć również na sposób komunikowania się organu ze</w:t>
            </w:r>
            <w:r w:rsidR="005F3F09" w:rsidRPr="00E66064">
              <w:rPr>
                <w:rFonts w:cs="Arial"/>
                <w:sz w:val="20"/>
                <w:szCs w:val="20"/>
              </w:rPr>
              <w:t xml:space="preserve"> </w:t>
            </w:r>
            <w:r w:rsidRPr="00E66064">
              <w:rPr>
                <w:rFonts w:cs="Arial"/>
                <w:sz w:val="20"/>
                <w:szCs w:val="20"/>
              </w:rPr>
              <w:t>stroną postępowania (uczestnikiem postępowania) i wywołuje skutki w zakresie</w:t>
            </w:r>
            <w:r w:rsidR="005F3F09" w:rsidRPr="00E66064">
              <w:rPr>
                <w:rFonts w:cs="Arial"/>
                <w:sz w:val="20"/>
                <w:szCs w:val="20"/>
              </w:rPr>
              <w:t xml:space="preserve"> </w:t>
            </w:r>
            <w:r w:rsidRPr="00E66064">
              <w:rPr>
                <w:rFonts w:cs="Arial"/>
                <w:sz w:val="20"/>
                <w:szCs w:val="20"/>
              </w:rPr>
              <w:t>podejmowania czynności w postępowaniu za pomocą środków komunikacji</w:t>
            </w:r>
            <w:r w:rsidR="005F3F09" w:rsidRPr="00E66064">
              <w:rPr>
                <w:rFonts w:cs="Arial"/>
                <w:sz w:val="20"/>
                <w:szCs w:val="20"/>
              </w:rPr>
              <w:t xml:space="preserve"> </w:t>
            </w:r>
            <w:r w:rsidRPr="00E66064">
              <w:rPr>
                <w:rFonts w:cs="Arial"/>
                <w:sz w:val="20"/>
                <w:szCs w:val="20"/>
              </w:rPr>
              <w:t>elektronicznej – co może prowadzić do wyłączenia z udziału w postępowaniu osób</w:t>
            </w:r>
            <w:r w:rsidR="005F3F09" w:rsidRPr="00E66064">
              <w:rPr>
                <w:rFonts w:cs="Arial"/>
                <w:sz w:val="20"/>
                <w:szCs w:val="20"/>
              </w:rPr>
              <w:t xml:space="preserve"> </w:t>
            </w:r>
            <w:r w:rsidRPr="00E66064">
              <w:rPr>
                <w:rFonts w:cs="Arial"/>
                <w:sz w:val="20"/>
                <w:szCs w:val="20"/>
              </w:rPr>
              <w:t>niemających dostępu do takich środków</w:t>
            </w:r>
          </w:p>
        </w:tc>
        <w:tc>
          <w:tcPr>
            <w:tcW w:w="3998" w:type="dxa"/>
          </w:tcPr>
          <w:p w14:paraId="7EF18E03" w14:textId="52DF09D2" w:rsidR="00C9413F" w:rsidRPr="00E66064" w:rsidRDefault="00C9413F" w:rsidP="00E66064">
            <w:pPr>
              <w:spacing w:before="0" w:after="120"/>
              <w:contextualSpacing/>
              <w:jc w:val="left"/>
              <w:rPr>
                <w:rFonts w:cs="Arial"/>
                <w:b/>
                <w:sz w:val="20"/>
                <w:szCs w:val="20"/>
              </w:rPr>
            </w:pPr>
            <w:r w:rsidRPr="00E66064">
              <w:rPr>
                <w:rFonts w:cs="Arial"/>
                <w:b/>
                <w:sz w:val="20"/>
                <w:szCs w:val="20"/>
              </w:rPr>
              <w:lastRenderedPageBreak/>
              <w:t xml:space="preserve">Uwaga uwzględniona. </w:t>
            </w:r>
          </w:p>
          <w:p w14:paraId="25F25508" w14:textId="17CB7280" w:rsidR="00087B7E" w:rsidRPr="00E66064" w:rsidRDefault="009C6649" w:rsidP="00E66064">
            <w:pPr>
              <w:spacing w:before="0" w:after="120"/>
              <w:contextualSpacing/>
              <w:rPr>
                <w:rFonts w:cs="Arial"/>
                <w:sz w:val="20"/>
                <w:szCs w:val="20"/>
              </w:rPr>
            </w:pPr>
            <w:r w:rsidRPr="00E66064">
              <w:rPr>
                <w:rFonts w:cs="Arial"/>
                <w:sz w:val="20"/>
                <w:szCs w:val="20"/>
              </w:rPr>
              <w:t>Uzupełnione zostanie uzasadnienie w zakresie wyłączenia z elektronizacji inwestycji realizowanych na terenach zamkniętych. Uwaga w zakresie składania pism wyłącznie elektronicznie również zostanie szczerzej opisana w</w:t>
            </w:r>
            <w:r w:rsidR="001D1E8C" w:rsidRPr="00E66064">
              <w:rPr>
                <w:rFonts w:cs="Arial"/>
                <w:sz w:val="20"/>
                <w:szCs w:val="20"/>
              </w:rPr>
              <w:t xml:space="preserve"> </w:t>
            </w:r>
            <w:r w:rsidRPr="00E66064">
              <w:rPr>
                <w:rFonts w:cs="Arial"/>
                <w:sz w:val="20"/>
                <w:szCs w:val="20"/>
              </w:rPr>
              <w:t xml:space="preserve">uzasadnieniu. </w:t>
            </w:r>
          </w:p>
          <w:p w14:paraId="36AF4C6A" w14:textId="5AD1F300" w:rsidR="00532FAD" w:rsidRPr="00E66064" w:rsidRDefault="00532FAD" w:rsidP="00E66064">
            <w:pPr>
              <w:spacing w:before="0" w:after="120"/>
              <w:contextualSpacing/>
              <w:rPr>
                <w:rFonts w:cs="Arial"/>
                <w:sz w:val="20"/>
                <w:szCs w:val="20"/>
              </w:rPr>
            </w:pPr>
            <w:r w:rsidRPr="00E66064">
              <w:rPr>
                <w:rFonts w:cs="Arial"/>
                <w:sz w:val="20"/>
                <w:szCs w:val="20"/>
              </w:rPr>
              <w:t xml:space="preserve">Niezależnie od powyższego należy wskazać, że procedowany projekt ustawy nie reguluje formy komunikowania się z organem innych niż inwestor stron postępowania. Z projektowanych przepisów nie wynika, aby organ z innymi uczestnikami postępowania musiał się </w:t>
            </w:r>
            <w:r w:rsidRPr="00E66064">
              <w:rPr>
                <w:rFonts w:cs="Arial"/>
                <w:sz w:val="20"/>
                <w:szCs w:val="20"/>
              </w:rPr>
              <w:lastRenderedPageBreak/>
              <w:t>kontaktować za pomocą środków komunikacji elektronicznej.</w:t>
            </w:r>
          </w:p>
        </w:tc>
      </w:tr>
      <w:tr w:rsidR="002502CE" w:rsidRPr="00E66064" w14:paraId="7F5EFCF3" w14:textId="77777777" w:rsidTr="004F4CF5">
        <w:tc>
          <w:tcPr>
            <w:tcW w:w="559" w:type="dxa"/>
            <w:shd w:val="clear" w:color="auto" w:fill="auto"/>
          </w:tcPr>
          <w:p w14:paraId="5C4C13A4" w14:textId="2D10F68F" w:rsidR="002502CE" w:rsidRPr="00E66064" w:rsidRDefault="009C6649" w:rsidP="00E66064">
            <w:pPr>
              <w:spacing w:before="0" w:after="120"/>
              <w:contextualSpacing/>
              <w:jc w:val="center"/>
              <w:rPr>
                <w:rFonts w:cs="Arial"/>
                <w:sz w:val="20"/>
                <w:szCs w:val="20"/>
              </w:rPr>
            </w:pPr>
            <w:r w:rsidRPr="00E66064">
              <w:rPr>
                <w:rFonts w:cs="Arial"/>
                <w:sz w:val="20"/>
                <w:szCs w:val="20"/>
              </w:rPr>
              <w:lastRenderedPageBreak/>
              <w:t>4</w:t>
            </w:r>
            <w:r w:rsidR="006E4EB4" w:rsidRPr="00E66064">
              <w:rPr>
                <w:rFonts w:cs="Arial"/>
                <w:sz w:val="20"/>
                <w:szCs w:val="20"/>
              </w:rPr>
              <w:t>.</w:t>
            </w:r>
          </w:p>
        </w:tc>
        <w:tc>
          <w:tcPr>
            <w:tcW w:w="1563" w:type="dxa"/>
            <w:tcBorders>
              <w:top w:val="single" w:sz="4" w:space="0" w:color="auto"/>
              <w:left w:val="single" w:sz="4" w:space="0" w:color="auto"/>
              <w:bottom w:val="single" w:sz="4" w:space="0" w:color="auto"/>
              <w:right w:val="single" w:sz="4" w:space="0" w:color="auto"/>
            </w:tcBorders>
          </w:tcPr>
          <w:p w14:paraId="6F70A507" w14:textId="186C632F" w:rsidR="002502CE" w:rsidRPr="00E66064" w:rsidRDefault="00651DCE" w:rsidP="00E66064">
            <w:pPr>
              <w:spacing w:before="0" w:after="120"/>
              <w:contextualSpacing/>
              <w:jc w:val="center"/>
              <w:rPr>
                <w:rFonts w:cs="Arial"/>
                <w:sz w:val="20"/>
                <w:szCs w:val="20"/>
              </w:rPr>
            </w:pPr>
            <w:r w:rsidRPr="00E66064">
              <w:rPr>
                <w:rFonts w:cs="Arial"/>
                <w:sz w:val="20"/>
                <w:szCs w:val="20"/>
              </w:rPr>
              <w:t>A</w:t>
            </w:r>
            <w:r w:rsidR="007D03CC" w:rsidRPr="00E66064">
              <w:rPr>
                <w:rFonts w:cs="Arial"/>
                <w:sz w:val="20"/>
                <w:szCs w:val="20"/>
              </w:rPr>
              <w:t>rt. 1 pkt 3</w:t>
            </w:r>
          </w:p>
          <w:p w14:paraId="6D9A5FE1" w14:textId="379CBE03" w:rsidR="002502CE" w:rsidRPr="00E66064" w:rsidRDefault="002502CE" w:rsidP="00E66064">
            <w:pPr>
              <w:spacing w:before="0" w:after="120"/>
              <w:contextualSpacing/>
              <w:jc w:val="center"/>
              <w:rPr>
                <w:rFonts w:cs="Arial"/>
                <w:sz w:val="20"/>
                <w:szCs w:val="20"/>
              </w:rPr>
            </w:pPr>
          </w:p>
        </w:tc>
        <w:tc>
          <w:tcPr>
            <w:tcW w:w="1955" w:type="dxa"/>
            <w:tcBorders>
              <w:top w:val="single" w:sz="4" w:space="0" w:color="auto"/>
              <w:left w:val="single" w:sz="4" w:space="0" w:color="auto"/>
              <w:bottom w:val="single" w:sz="4" w:space="0" w:color="auto"/>
              <w:right w:val="single" w:sz="4" w:space="0" w:color="auto"/>
            </w:tcBorders>
          </w:tcPr>
          <w:p w14:paraId="565D2AC1" w14:textId="05DD9984" w:rsidR="002502CE" w:rsidRPr="00E66064" w:rsidRDefault="007D03CC" w:rsidP="00E66064">
            <w:pPr>
              <w:spacing w:before="0" w:after="120"/>
              <w:contextualSpacing/>
              <w:jc w:val="center"/>
              <w:rPr>
                <w:rFonts w:cs="Arial"/>
                <w:sz w:val="20"/>
                <w:szCs w:val="20"/>
              </w:rPr>
            </w:pPr>
            <w:r w:rsidRPr="00E66064">
              <w:rPr>
                <w:rFonts w:cs="Arial"/>
                <w:sz w:val="20"/>
                <w:szCs w:val="20"/>
              </w:rPr>
              <w:t xml:space="preserve">MSWiA </w:t>
            </w:r>
            <w:r w:rsidR="00651DCE" w:rsidRPr="00E66064">
              <w:rPr>
                <w:rFonts w:cs="Arial"/>
                <w:sz w:val="20"/>
                <w:szCs w:val="20"/>
              </w:rPr>
              <w:t>–</w:t>
            </w:r>
            <w:r w:rsidRPr="00E66064">
              <w:rPr>
                <w:rFonts w:cs="Arial"/>
                <w:sz w:val="20"/>
                <w:szCs w:val="20"/>
              </w:rPr>
              <w:t xml:space="preserve"> KG PSP</w:t>
            </w:r>
          </w:p>
        </w:tc>
        <w:tc>
          <w:tcPr>
            <w:tcW w:w="5812" w:type="dxa"/>
            <w:tcBorders>
              <w:top w:val="single" w:sz="4" w:space="0" w:color="auto"/>
              <w:left w:val="single" w:sz="4" w:space="0" w:color="auto"/>
              <w:bottom w:val="single" w:sz="4" w:space="0" w:color="auto"/>
              <w:right w:val="single" w:sz="4" w:space="0" w:color="auto"/>
            </w:tcBorders>
          </w:tcPr>
          <w:p w14:paraId="47EFA9E9" w14:textId="2BA857A1" w:rsidR="002502CE" w:rsidRPr="00E66064" w:rsidRDefault="002502CE" w:rsidP="00E66064">
            <w:pPr>
              <w:spacing w:before="0" w:after="120"/>
              <w:contextualSpacing/>
              <w:rPr>
                <w:rFonts w:cs="Arial"/>
                <w:sz w:val="20"/>
                <w:szCs w:val="20"/>
              </w:rPr>
            </w:pPr>
            <w:r w:rsidRPr="00E66064">
              <w:rPr>
                <w:rFonts w:cs="Arial"/>
                <w:sz w:val="20"/>
                <w:szCs w:val="20"/>
              </w:rPr>
              <w:t>W art. 1 pkt 3 projektu ustawy w lit. a) proponuje się w</w:t>
            </w:r>
            <w:r w:rsidR="007D03CC" w:rsidRPr="00E66064">
              <w:rPr>
                <w:rFonts w:cs="Arial"/>
                <w:sz w:val="20"/>
                <w:szCs w:val="20"/>
              </w:rPr>
              <w:t xml:space="preserve"> </w:t>
            </w:r>
            <w:r w:rsidRPr="00E66064">
              <w:rPr>
                <w:rFonts w:cs="Arial"/>
                <w:sz w:val="20"/>
                <w:szCs w:val="20"/>
              </w:rPr>
              <w:t xml:space="preserve">brzmieniu ust. 3 pkt 5 lit. a) zmienianego art. 9 </w:t>
            </w:r>
            <w:r w:rsidRPr="00E66064">
              <w:rPr>
                <w:rFonts w:cs="Arial"/>
                <w:i/>
                <w:sz w:val="20"/>
                <w:szCs w:val="20"/>
              </w:rPr>
              <w:t>ustawy – Prawo budowlane</w:t>
            </w:r>
            <w:r w:rsidRPr="00E66064">
              <w:rPr>
                <w:rFonts w:cs="Arial"/>
                <w:sz w:val="20"/>
                <w:szCs w:val="20"/>
              </w:rPr>
              <w:t xml:space="preserve"> zastąpić wyrazy „ekspertyzę z</w:t>
            </w:r>
            <w:r w:rsidR="00EE1EAE" w:rsidRPr="00E66064">
              <w:rPr>
                <w:rFonts w:cs="Arial"/>
                <w:sz w:val="20"/>
                <w:szCs w:val="20"/>
              </w:rPr>
              <w:t xml:space="preserve"> </w:t>
            </w:r>
            <w:r w:rsidRPr="00E66064">
              <w:rPr>
                <w:rFonts w:cs="Arial"/>
                <w:sz w:val="20"/>
                <w:szCs w:val="20"/>
              </w:rPr>
              <w:t>zakresu ochrony przeciwpożarowej” wyrazami „ekspertyzę rzeczoznawcy do spraw zabezpieczeń przeciwpożarowych”.</w:t>
            </w:r>
          </w:p>
          <w:p w14:paraId="1617997D" w14:textId="77777777" w:rsidR="002502CE" w:rsidRPr="00E66064" w:rsidRDefault="002502CE" w:rsidP="00E66064">
            <w:pPr>
              <w:spacing w:before="0" w:after="120"/>
              <w:contextualSpacing/>
              <w:rPr>
                <w:rFonts w:cs="Arial"/>
                <w:sz w:val="20"/>
                <w:szCs w:val="20"/>
                <w:u w:val="single"/>
              </w:rPr>
            </w:pPr>
            <w:r w:rsidRPr="00E66064">
              <w:rPr>
                <w:rFonts w:cs="Arial"/>
                <w:sz w:val="20"/>
                <w:szCs w:val="20"/>
                <w:u w:val="single"/>
              </w:rPr>
              <w:t>Uzasadnienie:</w:t>
            </w:r>
          </w:p>
          <w:p w14:paraId="4F3E1D3B" w14:textId="74368524" w:rsidR="002502CE" w:rsidRPr="00E66064" w:rsidRDefault="002502CE" w:rsidP="00E66064">
            <w:pPr>
              <w:spacing w:before="0" w:after="120"/>
              <w:contextualSpacing/>
              <w:rPr>
                <w:rFonts w:cs="Arial"/>
                <w:sz w:val="20"/>
                <w:szCs w:val="20"/>
              </w:rPr>
            </w:pPr>
            <w:r w:rsidRPr="00E66064">
              <w:rPr>
                <w:rFonts w:cs="Arial"/>
                <w:sz w:val="20"/>
                <w:szCs w:val="20"/>
              </w:rPr>
              <w:t>W związku z nieuwzględnieniem uwag dotyczących określenia definicji „</w:t>
            </w:r>
            <w:r w:rsidRPr="00E66064">
              <w:rPr>
                <w:rFonts w:cs="Arial"/>
                <w:i/>
                <w:sz w:val="20"/>
                <w:szCs w:val="20"/>
              </w:rPr>
              <w:t>ekspertyzy z zakresu ochrony przeciwpożarowej</w:t>
            </w:r>
            <w:r w:rsidRPr="00E66064">
              <w:rPr>
                <w:rFonts w:cs="Arial"/>
                <w:sz w:val="20"/>
                <w:szCs w:val="20"/>
              </w:rPr>
              <w:t>” oraz uznania działalności rzeczoznawcy do spraw zabezpieczeń przeciwpożarowych polegającej na sporządzeniu takiej ekspertyzy za samodzielną funkcję techniczną w budownictwie, konieczne jest określenia autora ekspertyzy w przepisie art. 9 ust. 3 pkt 5 lit.</w:t>
            </w:r>
            <w:r w:rsidR="007D03CC" w:rsidRPr="00E66064">
              <w:rPr>
                <w:rFonts w:cs="Arial"/>
                <w:sz w:val="20"/>
                <w:szCs w:val="20"/>
              </w:rPr>
              <w:t xml:space="preserve"> </w:t>
            </w:r>
            <w:r w:rsidRPr="00E66064">
              <w:rPr>
                <w:rFonts w:cs="Arial"/>
                <w:sz w:val="20"/>
                <w:szCs w:val="20"/>
              </w:rPr>
              <w:t xml:space="preserve">a </w:t>
            </w:r>
            <w:r w:rsidRPr="00E66064">
              <w:rPr>
                <w:rFonts w:cs="Arial"/>
                <w:i/>
                <w:sz w:val="20"/>
                <w:szCs w:val="20"/>
              </w:rPr>
              <w:t>ustawy - Prawo budowalne</w:t>
            </w:r>
            <w:r w:rsidRPr="00E66064">
              <w:rPr>
                <w:rFonts w:cs="Arial"/>
                <w:sz w:val="20"/>
                <w:szCs w:val="20"/>
              </w:rPr>
              <w:t>, tak jak ma to miejsce obecnie.</w:t>
            </w:r>
          </w:p>
        </w:tc>
        <w:tc>
          <w:tcPr>
            <w:tcW w:w="3998" w:type="dxa"/>
          </w:tcPr>
          <w:p w14:paraId="62916866" w14:textId="61FFB8FC" w:rsidR="002502CE" w:rsidRPr="00E66064" w:rsidRDefault="00E66064" w:rsidP="00E66064">
            <w:pPr>
              <w:spacing w:before="0" w:after="120"/>
              <w:contextualSpacing/>
              <w:jc w:val="left"/>
              <w:rPr>
                <w:rFonts w:cs="Arial"/>
                <w:b/>
                <w:sz w:val="20"/>
                <w:szCs w:val="20"/>
              </w:rPr>
            </w:pPr>
            <w:r w:rsidRPr="00E66064">
              <w:rPr>
                <w:rFonts w:cs="Arial"/>
                <w:b/>
                <w:sz w:val="20"/>
                <w:szCs w:val="20"/>
              </w:rPr>
              <w:t>Uwaga znajduje się poza zakresem właściwości KRMC</w:t>
            </w:r>
            <w:r w:rsidR="00FB2400" w:rsidRPr="00E66064">
              <w:rPr>
                <w:rFonts w:cs="Arial"/>
                <w:b/>
                <w:sz w:val="20"/>
                <w:szCs w:val="20"/>
              </w:rPr>
              <w:t>.</w:t>
            </w:r>
          </w:p>
        </w:tc>
      </w:tr>
      <w:tr w:rsidR="008867A2" w:rsidRPr="00E66064" w14:paraId="6EFE7307" w14:textId="77777777" w:rsidTr="004F4CF5">
        <w:tc>
          <w:tcPr>
            <w:tcW w:w="559" w:type="dxa"/>
            <w:shd w:val="clear" w:color="auto" w:fill="auto"/>
          </w:tcPr>
          <w:p w14:paraId="09ED5279" w14:textId="7ECFA6D5" w:rsidR="008867A2" w:rsidRPr="00E66064" w:rsidRDefault="004F4CF5" w:rsidP="00E66064">
            <w:pPr>
              <w:spacing w:before="0" w:after="120"/>
              <w:contextualSpacing/>
              <w:jc w:val="center"/>
              <w:rPr>
                <w:rFonts w:cs="Arial"/>
                <w:sz w:val="20"/>
                <w:szCs w:val="20"/>
              </w:rPr>
            </w:pPr>
            <w:r w:rsidRPr="00E66064">
              <w:rPr>
                <w:rFonts w:cs="Arial"/>
                <w:sz w:val="20"/>
                <w:szCs w:val="20"/>
              </w:rPr>
              <w:t>5</w:t>
            </w:r>
            <w:r w:rsidR="006E4EB4" w:rsidRPr="00E66064">
              <w:rPr>
                <w:rFonts w:cs="Arial"/>
                <w:sz w:val="20"/>
                <w:szCs w:val="20"/>
              </w:rPr>
              <w:t>.</w:t>
            </w:r>
          </w:p>
        </w:tc>
        <w:tc>
          <w:tcPr>
            <w:tcW w:w="1563" w:type="dxa"/>
            <w:shd w:val="clear" w:color="auto" w:fill="auto"/>
          </w:tcPr>
          <w:p w14:paraId="7081A340" w14:textId="65203BD9" w:rsidR="008867A2" w:rsidRPr="00E66064" w:rsidRDefault="001014E5" w:rsidP="00E66064">
            <w:pPr>
              <w:spacing w:before="0" w:after="120"/>
              <w:contextualSpacing/>
              <w:jc w:val="center"/>
              <w:rPr>
                <w:rFonts w:cs="Arial"/>
                <w:sz w:val="20"/>
                <w:szCs w:val="20"/>
              </w:rPr>
            </w:pPr>
            <w:r w:rsidRPr="00E66064">
              <w:rPr>
                <w:rFonts w:cs="Arial"/>
                <w:sz w:val="20"/>
                <w:szCs w:val="20"/>
              </w:rPr>
              <w:t>Art. 1 pkt 6 lit. a tiret pierwsze</w:t>
            </w:r>
          </w:p>
        </w:tc>
        <w:tc>
          <w:tcPr>
            <w:tcW w:w="1955" w:type="dxa"/>
            <w:shd w:val="clear" w:color="auto" w:fill="auto"/>
          </w:tcPr>
          <w:p w14:paraId="3860D067" w14:textId="43870706" w:rsidR="008867A2" w:rsidRPr="00E66064" w:rsidRDefault="001014E5" w:rsidP="00E66064">
            <w:pPr>
              <w:spacing w:before="0" w:after="120"/>
              <w:contextualSpacing/>
              <w:jc w:val="center"/>
              <w:rPr>
                <w:rFonts w:cs="Arial"/>
                <w:sz w:val="20"/>
                <w:szCs w:val="20"/>
              </w:rPr>
            </w:pPr>
            <w:r w:rsidRPr="00E66064">
              <w:rPr>
                <w:rFonts w:cs="Arial"/>
                <w:sz w:val="20"/>
                <w:szCs w:val="20"/>
              </w:rPr>
              <w:t>MEiN</w:t>
            </w:r>
          </w:p>
        </w:tc>
        <w:tc>
          <w:tcPr>
            <w:tcW w:w="5812" w:type="dxa"/>
            <w:shd w:val="clear" w:color="auto" w:fill="auto"/>
          </w:tcPr>
          <w:p w14:paraId="110F70DE" w14:textId="77777777" w:rsidR="008867A2" w:rsidRPr="00E66064" w:rsidRDefault="008867A2" w:rsidP="00E66064">
            <w:pPr>
              <w:spacing w:before="0" w:after="120"/>
              <w:contextualSpacing/>
              <w:rPr>
                <w:rFonts w:cs="Arial"/>
                <w:sz w:val="20"/>
                <w:szCs w:val="20"/>
              </w:rPr>
            </w:pPr>
            <w:r w:rsidRPr="00E66064">
              <w:rPr>
                <w:rFonts w:cs="Arial"/>
                <w:sz w:val="20"/>
                <w:szCs w:val="20"/>
              </w:rPr>
              <w:t xml:space="preserve">Po wyrazie „technikum” należy dodać wyrazy „lub branżowej szkoły II stopnia”. </w:t>
            </w:r>
          </w:p>
          <w:p w14:paraId="01EBE454" w14:textId="77777777" w:rsidR="004F4CF5" w:rsidRPr="00E66064" w:rsidRDefault="008867A2" w:rsidP="00E66064">
            <w:pPr>
              <w:spacing w:before="0" w:after="120"/>
              <w:contextualSpacing/>
              <w:rPr>
                <w:rFonts w:cs="Arial"/>
                <w:sz w:val="20"/>
                <w:szCs w:val="20"/>
              </w:rPr>
            </w:pPr>
            <w:r w:rsidRPr="00E66064">
              <w:rPr>
                <w:rFonts w:cs="Arial"/>
                <w:sz w:val="20"/>
                <w:szCs w:val="20"/>
                <w:u w:val="single"/>
              </w:rPr>
              <w:t>Uzasadnienie:</w:t>
            </w:r>
            <w:r w:rsidRPr="00E66064">
              <w:rPr>
                <w:rFonts w:cs="Arial"/>
                <w:sz w:val="20"/>
                <w:szCs w:val="20"/>
              </w:rPr>
              <w:t xml:space="preserve"> </w:t>
            </w:r>
          </w:p>
          <w:p w14:paraId="1869A1AF" w14:textId="025B417C" w:rsidR="008867A2" w:rsidRPr="00E66064" w:rsidRDefault="008867A2" w:rsidP="00E66064">
            <w:pPr>
              <w:spacing w:before="0" w:after="120"/>
              <w:contextualSpacing/>
              <w:rPr>
                <w:rFonts w:cs="Arial"/>
                <w:sz w:val="20"/>
                <w:szCs w:val="20"/>
              </w:rPr>
            </w:pPr>
            <w:r w:rsidRPr="00E66064">
              <w:rPr>
                <w:rFonts w:cs="Arial"/>
                <w:sz w:val="20"/>
                <w:szCs w:val="20"/>
              </w:rPr>
              <w:lastRenderedPageBreak/>
              <w:t xml:space="preserve">Absolwenci trzyletniej branżowej szkoły I stopnia (BS I) mogą kontynuować kształcenie w dwuletniej branżowej szkole II stopnia (BS II) w zawodach nauczanych na poziomie technika. </w:t>
            </w:r>
          </w:p>
          <w:p w14:paraId="7527C686" w14:textId="19A85943" w:rsidR="008867A2" w:rsidRPr="00E66064" w:rsidRDefault="008867A2" w:rsidP="00E66064">
            <w:pPr>
              <w:spacing w:before="0" w:after="120"/>
              <w:contextualSpacing/>
              <w:rPr>
                <w:rFonts w:cs="Arial"/>
                <w:sz w:val="20"/>
                <w:szCs w:val="20"/>
              </w:rPr>
            </w:pPr>
            <w:r w:rsidRPr="00E66064">
              <w:rPr>
                <w:rFonts w:cs="Arial"/>
                <w:sz w:val="20"/>
                <w:szCs w:val="20"/>
              </w:rPr>
              <w:t xml:space="preserve">Na przykład absolwenci BS I kształcącej w zawodzie </w:t>
            </w:r>
            <w:r w:rsidRPr="00E66064">
              <w:rPr>
                <w:rFonts w:cs="Arial"/>
                <w:i/>
                <w:sz w:val="20"/>
                <w:szCs w:val="20"/>
              </w:rPr>
              <w:t>monter konstrukcji budowlanych</w:t>
            </w:r>
            <w:r w:rsidRPr="00E66064">
              <w:rPr>
                <w:rFonts w:cs="Arial"/>
                <w:sz w:val="20"/>
                <w:szCs w:val="20"/>
              </w:rPr>
              <w:t xml:space="preserve"> może kontynuować naukę w BS II w zawodzie </w:t>
            </w:r>
            <w:r w:rsidRPr="00E66064">
              <w:rPr>
                <w:rFonts w:cs="Arial"/>
                <w:i/>
                <w:sz w:val="20"/>
                <w:szCs w:val="20"/>
              </w:rPr>
              <w:t>technik budownictwa</w:t>
            </w:r>
            <w:r w:rsidRPr="00E66064">
              <w:rPr>
                <w:rFonts w:cs="Arial"/>
                <w:sz w:val="20"/>
                <w:szCs w:val="20"/>
              </w:rPr>
              <w:t xml:space="preserve"> i po ukończeniu nauki w BS II uzyskać wykształcenie średnie branżowe, po zdaniu egzaminu zawodowego </w:t>
            </w:r>
            <w:r w:rsidR="004F4CF5" w:rsidRPr="00E66064">
              <w:rPr>
                <w:rFonts w:cs="Arial"/>
                <w:sz w:val="20"/>
                <w:szCs w:val="20"/>
              </w:rPr>
              <w:t>–</w:t>
            </w:r>
            <w:r w:rsidRPr="00E66064">
              <w:rPr>
                <w:rFonts w:cs="Arial"/>
                <w:sz w:val="20"/>
                <w:szCs w:val="20"/>
              </w:rPr>
              <w:t xml:space="preserve"> dyplom zawodowy w zawodzie </w:t>
            </w:r>
            <w:r w:rsidRPr="00E66064">
              <w:rPr>
                <w:rFonts w:cs="Arial"/>
                <w:i/>
                <w:sz w:val="20"/>
                <w:szCs w:val="20"/>
              </w:rPr>
              <w:t>technik budownictwa</w:t>
            </w:r>
            <w:r w:rsidRPr="00E66064">
              <w:rPr>
                <w:rFonts w:cs="Arial"/>
                <w:sz w:val="20"/>
                <w:szCs w:val="20"/>
              </w:rPr>
              <w:t>, a</w:t>
            </w:r>
            <w:r w:rsidR="004F4CF5" w:rsidRPr="00E66064">
              <w:rPr>
                <w:rFonts w:cs="Arial"/>
                <w:sz w:val="20"/>
                <w:szCs w:val="20"/>
              </w:rPr>
              <w:t xml:space="preserve"> </w:t>
            </w:r>
            <w:r w:rsidRPr="00E66064">
              <w:rPr>
                <w:rFonts w:cs="Arial"/>
                <w:sz w:val="20"/>
                <w:szCs w:val="20"/>
              </w:rPr>
              <w:t>po zdaniu matury – kontynuować naukę na studiach.</w:t>
            </w:r>
          </w:p>
        </w:tc>
        <w:tc>
          <w:tcPr>
            <w:tcW w:w="3998" w:type="dxa"/>
          </w:tcPr>
          <w:p w14:paraId="4541EB6D" w14:textId="77777777" w:rsidR="008867A2" w:rsidRDefault="00E66064" w:rsidP="00E66064">
            <w:pPr>
              <w:spacing w:before="0" w:after="120"/>
              <w:contextualSpacing/>
              <w:jc w:val="left"/>
              <w:rPr>
                <w:rFonts w:cs="Arial"/>
                <w:b/>
                <w:sz w:val="20"/>
                <w:szCs w:val="20"/>
              </w:rPr>
            </w:pPr>
            <w:r w:rsidRPr="00E66064">
              <w:rPr>
                <w:rFonts w:cs="Arial"/>
                <w:b/>
                <w:sz w:val="20"/>
                <w:szCs w:val="20"/>
              </w:rPr>
              <w:lastRenderedPageBreak/>
              <w:t>Uwaga znajduje się poza zakresem właściwości KRMC</w:t>
            </w:r>
            <w:r w:rsidR="00FB2400" w:rsidRPr="00E66064">
              <w:rPr>
                <w:rFonts w:cs="Arial"/>
                <w:b/>
                <w:sz w:val="20"/>
                <w:szCs w:val="20"/>
              </w:rPr>
              <w:t>.</w:t>
            </w:r>
          </w:p>
          <w:p w14:paraId="11F7EAFC" w14:textId="4D787E42" w:rsidR="00E66064" w:rsidRPr="00E66064" w:rsidRDefault="00E66064" w:rsidP="00E66064">
            <w:pPr>
              <w:spacing w:before="0" w:after="120"/>
              <w:contextualSpacing/>
              <w:jc w:val="left"/>
              <w:rPr>
                <w:rFonts w:cs="Arial"/>
                <w:b/>
                <w:sz w:val="20"/>
                <w:szCs w:val="20"/>
              </w:rPr>
            </w:pPr>
          </w:p>
        </w:tc>
      </w:tr>
      <w:tr w:rsidR="009E705B" w:rsidRPr="00E66064" w14:paraId="34831F62" w14:textId="77777777" w:rsidTr="004F4CF5">
        <w:tc>
          <w:tcPr>
            <w:tcW w:w="559" w:type="dxa"/>
            <w:shd w:val="clear" w:color="auto" w:fill="auto"/>
          </w:tcPr>
          <w:p w14:paraId="1CADBF4E" w14:textId="7F40463E" w:rsidR="009E705B" w:rsidRPr="00E66064" w:rsidRDefault="000E2104" w:rsidP="00E66064">
            <w:pPr>
              <w:spacing w:before="0" w:after="120"/>
              <w:contextualSpacing/>
              <w:jc w:val="center"/>
              <w:rPr>
                <w:rFonts w:cs="Arial"/>
                <w:sz w:val="20"/>
                <w:szCs w:val="20"/>
              </w:rPr>
            </w:pPr>
            <w:r w:rsidRPr="00E66064">
              <w:rPr>
                <w:rFonts w:cs="Arial"/>
                <w:sz w:val="20"/>
                <w:szCs w:val="20"/>
              </w:rPr>
              <w:t>6</w:t>
            </w:r>
            <w:r w:rsidR="006E4EB4" w:rsidRPr="00E66064">
              <w:rPr>
                <w:rFonts w:cs="Arial"/>
                <w:sz w:val="20"/>
                <w:szCs w:val="20"/>
              </w:rPr>
              <w:t>.</w:t>
            </w:r>
          </w:p>
        </w:tc>
        <w:tc>
          <w:tcPr>
            <w:tcW w:w="1563" w:type="dxa"/>
            <w:tcBorders>
              <w:top w:val="single" w:sz="4" w:space="0" w:color="auto"/>
              <w:left w:val="single" w:sz="4" w:space="0" w:color="auto"/>
              <w:bottom w:val="single" w:sz="4" w:space="0" w:color="auto"/>
              <w:right w:val="single" w:sz="4" w:space="0" w:color="auto"/>
            </w:tcBorders>
          </w:tcPr>
          <w:p w14:paraId="5090E60E" w14:textId="74C2CEFD" w:rsidR="009E705B" w:rsidRPr="00E66064" w:rsidRDefault="00841053" w:rsidP="00E66064">
            <w:pPr>
              <w:spacing w:before="0" w:after="120"/>
              <w:contextualSpacing/>
              <w:jc w:val="center"/>
              <w:rPr>
                <w:rFonts w:cs="Arial"/>
                <w:sz w:val="20"/>
                <w:szCs w:val="20"/>
              </w:rPr>
            </w:pPr>
            <w:r w:rsidRPr="00E66064">
              <w:rPr>
                <w:rFonts w:cs="Arial"/>
                <w:sz w:val="20"/>
                <w:szCs w:val="20"/>
              </w:rPr>
              <w:t>Art. 1 pkt 10</w:t>
            </w:r>
          </w:p>
        </w:tc>
        <w:tc>
          <w:tcPr>
            <w:tcW w:w="1955" w:type="dxa"/>
            <w:tcBorders>
              <w:top w:val="single" w:sz="4" w:space="0" w:color="auto"/>
              <w:left w:val="single" w:sz="4" w:space="0" w:color="auto"/>
              <w:bottom w:val="single" w:sz="4" w:space="0" w:color="auto"/>
              <w:right w:val="single" w:sz="4" w:space="0" w:color="auto"/>
            </w:tcBorders>
          </w:tcPr>
          <w:p w14:paraId="61D6954E" w14:textId="3F5B2FAA" w:rsidR="009E705B" w:rsidRPr="00E66064" w:rsidRDefault="004B7E26" w:rsidP="00E66064">
            <w:pPr>
              <w:spacing w:before="0" w:after="120"/>
              <w:contextualSpacing/>
              <w:jc w:val="center"/>
              <w:rPr>
                <w:rFonts w:cs="Arial"/>
                <w:sz w:val="20"/>
                <w:szCs w:val="20"/>
              </w:rPr>
            </w:pPr>
            <w:r w:rsidRPr="00E66064">
              <w:rPr>
                <w:rFonts w:cs="Arial"/>
                <w:sz w:val="20"/>
                <w:szCs w:val="20"/>
              </w:rPr>
              <w:t>MKiŚ</w:t>
            </w:r>
          </w:p>
        </w:tc>
        <w:tc>
          <w:tcPr>
            <w:tcW w:w="5812" w:type="dxa"/>
            <w:tcBorders>
              <w:top w:val="single" w:sz="4" w:space="0" w:color="auto"/>
              <w:left w:val="single" w:sz="4" w:space="0" w:color="auto"/>
              <w:bottom w:val="single" w:sz="4" w:space="0" w:color="auto"/>
              <w:right w:val="single" w:sz="4" w:space="0" w:color="auto"/>
            </w:tcBorders>
          </w:tcPr>
          <w:p w14:paraId="1303C0B7" w14:textId="1D2A5DF6" w:rsidR="009E705B" w:rsidRPr="00E66064" w:rsidRDefault="009E705B" w:rsidP="00E66064">
            <w:pPr>
              <w:spacing w:before="0" w:after="120"/>
              <w:contextualSpacing/>
              <w:rPr>
                <w:rFonts w:cs="Arial"/>
                <w:sz w:val="20"/>
                <w:szCs w:val="20"/>
              </w:rPr>
            </w:pPr>
            <w:r w:rsidRPr="00E66064">
              <w:rPr>
                <w:rFonts w:cs="Arial"/>
                <w:sz w:val="20"/>
                <w:szCs w:val="20"/>
              </w:rPr>
              <w:t>MKIŚ podtrzymuje uwagę zgłoszoną na etapie</w:t>
            </w:r>
            <w:r w:rsidR="00B96C91" w:rsidRPr="00E66064">
              <w:rPr>
                <w:rFonts w:cs="Arial"/>
                <w:sz w:val="20"/>
                <w:szCs w:val="20"/>
              </w:rPr>
              <w:t xml:space="preserve"> </w:t>
            </w:r>
            <w:r w:rsidRPr="00E66064">
              <w:rPr>
                <w:rFonts w:cs="Arial"/>
                <w:sz w:val="20"/>
                <w:szCs w:val="20"/>
              </w:rPr>
              <w:t>uzgodnień międzyresortowych (uwagę</w:t>
            </w:r>
            <w:r w:rsidR="00B96C91" w:rsidRPr="00E66064">
              <w:rPr>
                <w:rFonts w:cs="Arial"/>
                <w:sz w:val="20"/>
                <w:szCs w:val="20"/>
              </w:rPr>
              <w:t xml:space="preserve"> </w:t>
            </w:r>
            <w:r w:rsidRPr="00E66064">
              <w:rPr>
                <w:rFonts w:cs="Arial"/>
                <w:sz w:val="20"/>
                <w:szCs w:val="20"/>
              </w:rPr>
              <w:t>niebezpośrednią) - nie dotyczy ona</w:t>
            </w:r>
            <w:r w:rsidR="00B96C91" w:rsidRPr="00E66064">
              <w:rPr>
                <w:rFonts w:cs="Arial"/>
                <w:sz w:val="20"/>
                <w:szCs w:val="20"/>
              </w:rPr>
              <w:t xml:space="preserve"> </w:t>
            </w:r>
            <w:r w:rsidRPr="00E66064">
              <w:rPr>
                <w:rFonts w:cs="Arial"/>
                <w:sz w:val="20"/>
                <w:szCs w:val="20"/>
              </w:rPr>
              <w:t>tekstu</w:t>
            </w:r>
            <w:r w:rsidR="00B96C91" w:rsidRPr="00E66064">
              <w:rPr>
                <w:rFonts w:cs="Arial"/>
                <w:sz w:val="20"/>
                <w:szCs w:val="20"/>
              </w:rPr>
              <w:t xml:space="preserve"> </w:t>
            </w:r>
            <w:r w:rsidRPr="00E66064">
              <w:rPr>
                <w:rFonts w:cs="Arial"/>
                <w:sz w:val="20"/>
                <w:szCs w:val="20"/>
              </w:rPr>
              <w:t>nowelizowanych przepisów, niemniej dotyczy</w:t>
            </w:r>
            <w:r w:rsidR="00B96C91" w:rsidRPr="00E66064">
              <w:rPr>
                <w:rFonts w:cs="Arial"/>
                <w:sz w:val="20"/>
                <w:szCs w:val="20"/>
              </w:rPr>
              <w:t xml:space="preserve"> </w:t>
            </w:r>
            <w:r w:rsidRPr="00E66064">
              <w:rPr>
                <w:rFonts w:cs="Arial"/>
                <w:sz w:val="20"/>
                <w:szCs w:val="20"/>
              </w:rPr>
              <w:t>jednostki redakcyjnej przepisu zmienianego.</w:t>
            </w:r>
          </w:p>
          <w:p w14:paraId="3894BF1D" w14:textId="4C791B81" w:rsidR="009E705B" w:rsidRPr="00E66064" w:rsidRDefault="009E705B" w:rsidP="00E66064">
            <w:pPr>
              <w:spacing w:before="0" w:after="120"/>
              <w:contextualSpacing/>
              <w:rPr>
                <w:rFonts w:cs="Arial"/>
                <w:sz w:val="20"/>
                <w:szCs w:val="20"/>
              </w:rPr>
            </w:pPr>
            <w:r w:rsidRPr="00E66064">
              <w:rPr>
                <w:rFonts w:cs="Arial"/>
                <w:sz w:val="20"/>
                <w:szCs w:val="20"/>
              </w:rPr>
              <w:t>Przepisy deregulacje doprowadzają na obszarze</w:t>
            </w:r>
            <w:r w:rsidR="00B96C91" w:rsidRPr="00E66064">
              <w:rPr>
                <w:rFonts w:cs="Arial"/>
                <w:sz w:val="20"/>
                <w:szCs w:val="20"/>
              </w:rPr>
              <w:t xml:space="preserve"> </w:t>
            </w:r>
            <w:r w:rsidRPr="00E66064">
              <w:rPr>
                <w:rFonts w:cs="Arial"/>
                <w:sz w:val="20"/>
                <w:szCs w:val="20"/>
              </w:rPr>
              <w:t>parków narodowych do coraz częstszego</w:t>
            </w:r>
            <w:r w:rsidR="00B96C91" w:rsidRPr="00E66064">
              <w:rPr>
                <w:rFonts w:cs="Arial"/>
                <w:sz w:val="20"/>
                <w:szCs w:val="20"/>
              </w:rPr>
              <w:t xml:space="preserve"> </w:t>
            </w:r>
            <w:r w:rsidRPr="00E66064">
              <w:rPr>
                <w:rFonts w:cs="Arial"/>
                <w:sz w:val="20"/>
                <w:szCs w:val="20"/>
              </w:rPr>
              <w:t>wprowadzenia zabudowy lub</w:t>
            </w:r>
            <w:r w:rsidR="000E2104" w:rsidRPr="00E66064">
              <w:rPr>
                <w:rFonts w:cs="Arial"/>
                <w:sz w:val="20"/>
                <w:szCs w:val="20"/>
              </w:rPr>
              <w:t xml:space="preserve"> </w:t>
            </w:r>
            <w:r w:rsidRPr="00E66064">
              <w:rPr>
                <w:rFonts w:cs="Arial"/>
                <w:sz w:val="20"/>
                <w:szCs w:val="20"/>
              </w:rPr>
              <w:t>zagospodarowania terenu z naruszeniem</w:t>
            </w:r>
            <w:r w:rsidR="00B96C91" w:rsidRPr="00E66064">
              <w:rPr>
                <w:rFonts w:cs="Arial"/>
                <w:sz w:val="20"/>
                <w:szCs w:val="20"/>
              </w:rPr>
              <w:t xml:space="preserve"> </w:t>
            </w:r>
            <w:r w:rsidRPr="00E66064">
              <w:rPr>
                <w:rFonts w:cs="Arial"/>
                <w:sz w:val="20"/>
                <w:szCs w:val="20"/>
              </w:rPr>
              <w:t>przepisów o ochronie przyrody. Interwencja</w:t>
            </w:r>
            <w:r w:rsidR="00B96C91" w:rsidRPr="00E66064">
              <w:rPr>
                <w:rFonts w:cs="Arial"/>
                <w:sz w:val="20"/>
                <w:szCs w:val="20"/>
              </w:rPr>
              <w:t xml:space="preserve"> </w:t>
            </w:r>
            <w:r w:rsidRPr="00E66064">
              <w:rPr>
                <w:rFonts w:cs="Arial"/>
                <w:sz w:val="20"/>
                <w:szCs w:val="20"/>
              </w:rPr>
              <w:t>organów ochrony przyrody u PINB, ewentualnie</w:t>
            </w:r>
            <w:r w:rsidR="00B96C91" w:rsidRPr="00E66064">
              <w:rPr>
                <w:rFonts w:cs="Arial"/>
                <w:sz w:val="20"/>
                <w:szCs w:val="20"/>
              </w:rPr>
              <w:t xml:space="preserve"> </w:t>
            </w:r>
            <w:r w:rsidRPr="00E66064">
              <w:rPr>
                <w:rFonts w:cs="Arial"/>
                <w:sz w:val="20"/>
                <w:szCs w:val="20"/>
              </w:rPr>
              <w:t>właściwych starostów po zrealizowanej</w:t>
            </w:r>
            <w:r w:rsidR="00B96C91" w:rsidRPr="00E66064">
              <w:rPr>
                <w:rFonts w:cs="Arial"/>
                <w:sz w:val="20"/>
                <w:szCs w:val="20"/>
              </w:rPr>
              <w:t xml:space="preserve"> </w:t>
            </w:r>
            <w:r w:rsidRPr="00E66064">
              <w:rPr>
                <w:rFonts w:cs="Arial"/>
                <w:sz w:val="20"/>
                <w:szCs w:val="20"/>
              </w:rPr>
              <w:t>zabudowie, odnosi nierzadko niezadowalające</w:t>
            </w:r>
            <w:r w:rsidR="00B96C91" w:rsidRPr="00E66064">
              <w:rPr>
                <w:rFonts w:cs="Arial"/>
                <w:sz w:val="20"/>
                <w:szCs w:val="20"/>
              </w:rPr>
              <w:t xml:space="preserve"> </w:t>
            </w:r>
            <w:r w:rsidRPr="00E66064">
              <w:rPr>
                <w:rFonts w:cs="Arial"/>
                <w:sz w:val="20"/>
                <w:szCs w:val="20"/>
              </w:rPr>
              <w:t>rezultaty w zakresie usuwania stanu naruszenia</w:t>
            </w:r>
            <w:r w:rsidR="00B96C91" w:rsidRPr="00E66064">
              <w:rPr>
                <w:rFonts w:cs="Arial"/>
                <w:sz w:val="20"/>
                <w:szCs w:val="20"/>
              </w:rPr>
              <w:t xml:space="preserve"> </w:t>
            </w:r>
            <w:r w:rsidRPr="00E66064">
              <w:rPr>
                <w:rFonts w:cs="Arial"/>
                <w:sz w:val="20"/>
                <w:szCs w:val="20"/>
              </w:rPr>
              <w:t>prawa. Stąd propozycja ograniczenia w zakresie</w:t>
            </w:r>
            <w:r w:rsidR="00B96C91" w:rsidRPr="00E66064">
              <w:rPr>
                <w:rFonts w:cs="Arial"/>
                <w:sz w:val="20"/>
                <w:szCs w:val="20"/>
              </w:rPr>
              <w:t xml:space="preserve"> </w:t>
            </w:r>
            <w:r w:rsidRPr="00E66064">
              <w:rPr>
                <w:rFonts w:cs="Arial"/>
                <w:sz w:val="20"/>
                <w:szCs w:val="20"/>
              </w:rPr>
              <w:t>możliwości uzyskiwania pozwolenia za pomocą</w:t>
            </w:r>
            <w:r w:rsidR="00B96C91" w:rsidRPr="00E66064">
              <w:rPr>
                <w:rFonts w:cs="Arial"/>
                <w:sz w:val="20"/>
                <w:szCs w:val="20"/>
              </w:rPr>
              <w:t xml:space="preserve"> </w:t>
            </w:r>
            <w:r w:rsidRPr="00E66064">
              <w:rPr>
                <w:rFonts w:cs="Arial"/>
                <w:sz w:val="20"/>
                <w:szCs w:val="20"/>
              </w:rPr>
              <w:t>formuły zgłoszenia w odniesieniu do</w:t>
            </w:r>
            <w:r w:rsidR="00B96C91" w:rsidRPr="00E66064">
              <w:rPr>
                <w:rFonts w:cs="Arial"/>
                <w:sz w:val="20"/>
                <w:szCs w:val="20"/>
              </w:rPr>
              <w:t xml:space="preserve"> </w:t>
            </w:r>
            <w:r w:rsidRPr="00E66064">
              <w:rPr>
                <w:rFonts w:cs="Arial"/>
                <w:sz w:val="20"/>
                <w:szCs w:val="20"/>
              </w:rPr>
              <w:t>nieruchomości położonych na obszarze parków</w:t>
            </w:r>
            <w:r w:rsidR="00B96C91" w:rsidRPr="00E66064">
              <w:rPr>
                <w:rFonts w:cs="Arial"/>
                <w:sz w:val="20"/>
                <w:szCs w:val="20"/>
              </w:rPr>
              <w:t xml:space="preserve"> </w:t>
            </w:r>
            <w:r w:rsidRPr="00E66064">
              <w:rPr>
                <w:rFonts w:cs="Arial"/>
                <w:sz w:val="20"/>
                <w:szCs w:val="20"/>
              </w:rPr>
              <w:t>narodowych - obszarowej formy ochrony</w:t>
            </w:r>
            <w:r w:rsidR="00B96C91" w:rsidRPr="00E66064">
              <w:rPr>
                <w:rFonts w:cs="Arial"/>
                <w:sz w:val="20"/>
                <w:szCs w:val="20"/>
              </w:rPr>
              <w:t xml:space="preserve"> </w:t>
            </w:r>
            <w:r w:rsidRPr="00E66064">
              <w:rPr>
                <w:rFonts w:cs="Arial"/>
                <w:sz w:val="20"/>
                <w:szCs w:val="20"/>
              </w:rPr>
              <w:t>przyrody o najsurowszym reżimie ochronnym.</w:t>
            </w:r>
          </w:p>
          <w:p w14:paraId="30EEC921" w14:textId="0F9DF066" w:rsidR="009E705B" w:rsidRPr="00E66064" w:rsidRDefault="009E705B" w:rsidP="00E66064">
            <w:pPr>
              <w:spacing w:before="0" w:after="120"/>
              <w:contextualSpacing/>
              <w:rPr>
                <w:rFonts w:cs="Arial"/>
                <w:sz w:val="20"/>
                <w:szCs w:val="20"/>
              </w:rPr>
            </w:pPr>
            <w:r w:rsidRPr="00E66064">
              <w:rPr>
                <w:rFonts w:cs="Arial"/>
                <w:sz w:val="20"/>
                <w:szCs w:val="20"/>
              </w:rPr>
              <w:t>W art. 1 projektu nowelizacji w pkt 10 po literze d proponuje</w:t>
            </w:r>
            <w:r w:rsidR="00B96C91" w:rsidRPr="00E66064">
              <w:rPr>
                <w:rFonts w:cs="Arial"/>
                <w:sz w:val="20"/>
                <w:szCs w:val="20"/>
              </w:rPr>
              <w:t xml:space="preserve"> </w:t>
            </w:r>
            <w:r w:rsidRPr="00E66064">
              <w:rPr>
                <w:rFonts w:cs="Arial"/>
                <w:sz w:val="20"/>
                <w:szCs w:val="20"/>
              </w:rPr>
              <w:t>się dodać lit. e w brzmieniu: „e) dodaje się ustęp 9</w:t>
            </w:r>
            <w:r w:rsidR="00B96C91" w:rsidRPr="00E66064">
              <w:rPr>
                <w:rFonts w:cs="Arial"/>
                <w:sz w:val="20"/>
                <w:szCs w:val="20"/>
              </w:rPr>
              <w:t xml:space="preserve"> </w:t>
            </w:r>
            <w:r w:rsidRPr="00E66064">
              <w:rPr>
                <w:rFonts w:cs="Arial"/>
                <w:sz w:val="20"/>
                <w:szCs w:val="20"/>
              </w:rPr>
              <w:t>w następującym brzmieniu:</w:t>
            </w:r>
          </w:p>
          <w:p w14:paraId="53A6BF12" w14:textId="77777777" w:rsidR="009E705B" w:rsidRPr="00E66064" w:rsidRDefault="009E705B" w:rsidP="00E66064">
            <w:pPr>
              <w:spacing w:before="0" w:after="120"/>
              <w:contextualSpacing/>
              <w:rPr>
                <w:rFonts w:cs="Arial"/>
                <w:sz w:val="20"/>
                <w:szCs w:val="20"/>
              </w:rPr>
            </w:pPr>
            <w:r w:rsidRPr="00E66064">
              <w:rPr>
                <w:rFonts w:cs="Arial"/>
                <w:sz w:val="20"/>
                <w:szCs w:val="20"/>
              </w:rPr>
              <w:t>9. Przepisów ust. 1 pkt 1, 1a, 3, 8, 14, 15, 16 i 21 nie stosuje się</w:t>
            </w:r>
          </w:p>
          <w:p w14:paraId="002AB299" w14:textId="3EFCE557" w:rsidR="009E705B" w:rsidRPr="00E66064" w:rsidRDefault="009E705B" w:rsidP="00E66064">
            <w:pPr>
              <w:spacing w:before="0" w:after="120"/>
              <w:contextualSpacing/>
              <w:rPr>
                <w:rFonts w:cs="Arial"/>
                <w:sz w:val="20"/>
                <w:szCs w:val="20"/>
              </w:rPr>
            </w:pPr>
            <w:r w:rsidRPr="00E66064">
              <w:rPr>
                <w:rFonts w:cs="Arial"/>
                <w:sz w:val="20"/>
                <w:szCs w:val="20"/>
              </w:rPr>
              <w:t>do nieruchomości na obszarze parków narodowych.”.</w:t>
            </w:r>
          </w:p>
        </w:tc>
        <w:tc>
          <w:tcPr>
            <w:tcW w:w="3998" w:type="dxa"/>
          </w:tcPr>
          <w:p w14:paraId="1C1EF4C7" w14:textId="77777777" w:rsidR="00E66064" w:rsidRDefault="00E66064" w:rsidP="00E66064">
            <w:pPr>
              <w:spacing w:before="0" w:after="120"/>
              <w:contextualSpacing/>
              <w:jc w:val="left"/>
              <w:rPr>
                <w:rFonts w:cs="Arial"/>
                <w:b/>
                <w:sz w:val="20"/>
                <w:szCs w:val="20"/>
              </w:rPr>
            </w:pPr>
            <w:r w:rsidRPr="00E66064">
              <w:rPr>
                <w:rFonts w:cs="Arial"/>
                <w:b/>
                <w:sz w:val="20"/>
                <w:szCs w:val="20"/>
              </w:rPr>
              <w:t xml:space="preserve">Uwaga znajduje się poza zakresem właściwości KRMC. </w:t>
            </w:r>
          </w:p>
          <w:p w14:paraId="01124238" w14:textId="24CB08D7" w:rsidR="000E2104" w:rsidRPr="00E66064" w:rsidRDefault="00C40C5D" w:rsidP="00E66064">
            <w:pPr>
              <w:spacing w:before="0" w:after="120"/>
              <w:contextualSpacing/>
              <w:jc w:val="left"/>
              <w:rPr>
                <w:rFonts w:cs="Arial"/>
                <w:sz w:val="20"/>
                <w:szCs w:val="20"/>
              </w:rPr>
            </w:pPr>
            <w:r w:rsidRPr="00E66064">
              <w:rPr>
                <w:rFonts w:cs="Arial"/>
                <w:sz w:val="20"/>
                <w:szCs w:val="20"/>
              </w:rPr>
              <w:t>MRIT</w:t>
            </w:r>
            <w:r w:rsidR="000E2104" w:rsidRPr="00E66064">
              <w:rPr>
                <w:rFonts w:cs="Arial"/>
                <w:sz w:val="20"/>
                <w:szCs w:val="20"/>
              </w:rPr>
              <w:t xml:space="preserve"> podtrzymuje stanowisko przedstawione w zestawieniu uwag zamieszczonych na stronie RPL.</w:t>
            </w:r>
          </w:p>
        </w:tc>
      </w:tr>
      <w:tr w:rsidR="00347549" w:rsidRPr="00E66064" w14:paraId="2E22999C" w14:textId="77777777" w:rsidTr="004F4CF5">
        <w:tc>
          <w:tcPr>
            <w:tcW w:w="559" w:type="dxa"/>
            <w:shd w:val="clear" w:color="auto" w:fill="auto"/>
          </w:tcPr>
          <w:p w14:paraId="7BB6CB83" w14:textId="5FD3A4F1" w:rsidR="00347549" w:rsidRPr="00E66064" w:rsidRDefault="00CC16FE" w:rsidP="00E66064">
            <w:pPr>
              <w:spacing w:before="0" w:after="120"/>
              <w:contextualSpacing/>
              <w:jc w:val="center"/>
              <w:rPr>
                <w:rFonts w:cs="Arial"/>
                <w:sz w:val="20"/>
                <w:szCs w:val="20"/>
              </w:rPr>
            </w:pPr>
            <w:r w:rsidRPr="00E66064">
              <w:rPr>
                <w:rFonts w:cs="Arial"/>
                <w:sz w:val="20"/>
                <w:szCs w:val="20"/>
              </w:rPr>
              <w:t>7</w:t>
            </w:r>
            <w:r w:rsidR="006E4EB4" w:rsidRPr="00E66064">
              <w:rPr>
                <w:rFonts w:cs="Arial"/>
                <w:sz w:val="20"/>
                <w:szCs w:val="20"/>
              </w:rPr>
              <w:t>.</w:t>
            </w:r>
          </w:p>
        </w:tc>
        <w:tc>
          <w:tcPr>
            <w:tcW w:w="1563" w:type="dxa"/>
            <w:tcBorders>
              <w:top w:val="single" w:sz="4" w:space="0" w:color="auto"/>
              <w:left w:val="single" w:sz="4" w:space="0" w:color="auto"/>
              <w:bottom w:val="single" w:sz="4" w:space="0" w:color="auto"/>
              <w:right w:val="single" w:sz="4" w:space="0" w:color="auto"/>
            </w:tcBorders>
          </w:tcPr>
          <w:p w14:paraId="2EAA5EEC" w14:textId="27954439" w:rsidR="00347549" w:rsidRPr="00E66064" w:rsidRDefault="00B96C91" w:rsidP="00E66064">
            <w:pPr>
              <w:spacing w:before="0" w:after="120"/>
              <w:contextualSpacing/>
              <w:jc w:val="center"/>
              <w:rPr>
                <w:rFonts w:cs="Arial"/>
                <w:sz w:val="20"/>
                <w:szCs w:val="20"/>
                <w:lang w:val="en-GB"/>
              </w:rPr>
            </w:pPr>
            <w:r w:rsidRPr="00E66064">
              <w:rPr>
                <w:rFonts w:cs="Arial"/>
                <w:sz w:val="20"/>
                <w:szCs w:val="20"/>
                <w:lang w:val="en-GB"/>
              </w:rPr>
              <w:t>Art. 1 pkt 10</w:t>
            </w:r>
            <w:r w:rsidR="00CC16FE" w:rsidRPr="00E66064">
              <w:rPr>
                <w:rFonts w:cs="Arial"/>
                <w:sz w:val="20"/>
                <w:szCs w:val="20"/>
                <w:lang w:val="en-GB"/>
              </w:rPr>
              <w:t xml:space="preserve"> lit. c tiret drugie</w:t>
            </w:r>
          </w:p>
        </w:tc>
        <w:tc>
          <w:tcPr>
            <w:tcW w:w="1955" w:type="dxa"/>
            <w:tcBorders>
              <w:top w:val="single" w:sz="4" w:space="0" w:color="auto"/>
              <w:left w:val="single" w:sz="4" w:space="0" w:color="auto"/>
              <w:bottom w:val="single" w:sz="4" w:space="0" w:color="auto"/>
              <w:right w:val="single" w:sz="4" w:space="0" w:color="auto"/>
            </w:tcBorders>
          </w:tcPr>
          <w:p w14:paraId="590840CD" w14:textId="3916D2B3" w:rsidR="00347549" w:rsidRPr="00E66064" w:rsidRDefault="00CC16FE" w:rsidP="00E66064">
            <w:pPr>
              <w:spacing w:before="0" w:after="120"/>
              <w:contextualSpacing/>
              <w:jc w:val="center"/>
              <w:rPr>
                <w:rFonts w:cs="Arial"/>
                <w:sz w:val="20"/>
                <w:szCs w:val="20"/>
              </w:rPr>
            </w:pPr>
            <w:r w:rsidRPr="00E66064">
              <w:rPr>
                <w:rFonts w:cs="Arial"/>
                <w:sz w:val="20"/>
                <w:szCs w:val="20"/>
              </w:rPr>
              <w:t>KPRM – Minister Cyfryzacji</w:t>
            </w:r>
          </w:p>
        </w:tc>
        <w:tc>
          <w:tcPr>
            <w:tcW w:w="5812" w:type="dxa"/>
            <w:tcBorders>
              <w:top w:val="single" w:sz="4" w:space="0" w:color="auto"/>
              <w:left w:val="single" w:sz="4" w:space="0" w:color="auto"/>
              <w:bottom w:val="single" w:sz="4" w:space="0" w:color="auto"/>
              <w:right w:val="single" w:sz="4" w:space="0" w:color="auto"/>
            </w:tcBorders>
          </w:tcPr>
          <w:p w14:paraId="2CAAD3BD" w14:textId="505C4701" w:rsidR="00347549" w:rsidRPr="00E66064" w:rsidRDefault="00347549" w:rsidP="00E66064">
            <w:pPr>
              <w:spacing w:before="0" w:after="120"/>
              <w:contextualSpacing/>
              <w:rPr>
                <w:rFonts w:cs="Arial"/>
                <w:sz w:val="20"/>
                <w:szCs w:val="20"/>
              </w:rPr>
            </w:pPr>
            <w:r w:rsidRPr="00E66064">
              <w:rPr>
                <w:rFonts w:cs="Arial"/>
                <w:sz w:val="20"/>
                <w:szCs w:val="20"/>
              </w:rPr>
              <w:t>Jednocześnie zgłaszam uwagę do art. 1 pkt 10 lit. c tiret drugie, w ramach którego</w:t>
            </w:r>
            <w:r w:rsidR="00841053" w:rsidRPr="00E66064">
              <w:rPr>
                <w:rFonts w:cs="Arial"/>
                <w:sz w:val="20"/>
                <w:szCs w:val="20"/>
              </w:rPr>
              <w:t xml:space="preserve"> </w:t>
            </w:r>
            <w:r w:rsidRPr="00E66064">
              <w:rPr>
                <w:rFonts w:cs="Arial"/>
                <w:sz w:val="20"/>
                <w:szCs w:val="20"/>
              </w:rPr>
              <w:t>wprowadza się nowe brzmienie w pkt 3 lit. a. Proponowana zmiana może utrudnić działanie</w:t>
            </w:r>
            <w:r w:rsidR="00841053" w:rsidRPr="00E66064">
              <w:rPr>
                <w:rFonts w:cs="Arial"/>
                <w:sz w:val="20"/>
                <w:szCs w:val="20"/>
              </w:rPr>
              <w:t xml:space="preserve"> </w:t>
            </w:r>
            <w:r w:rsidRPr="00E66064">
              <w:rPr>
                <w:rFonts w:cs="Arial"/>
                <w:sz w:val="20"/>
                <w:szCs w:val="20"/>
              </w:rPr>
              <w:t>operatorów telekomunikacyjnych używających systemów</w:t>
            </w:r>
            <w:r w:rsidR="00841053" w:rsidRPr="00E66064">
              <w:rPr>
                <w:rFonts w:cs="Arial"/>
                <w:sz w:val="20"/>
                <w:szCs w:val="20"/>
              </w:rPr>
              <w:t xml:space="preserve"> </w:t>
            </w:r>
            <w:r w:rsidRPr="00E66064">
              <w:rPr>
                <w:rFonts w:cs="Arial"/>
                <w:sz w:val="20"/>
                <w:szCs w:val="20"/>
              </w:rPr>
              <w:t>radiokomunikacyjnych innych niż</w:t>
            </w:r>
            <w:r w:rsidR="00841053" w:rsidRPr="00E66064">
              <w:rPr>
                <w:rFonts w:cs="Arial"/>
                <w:sz w:val="20"/>
                <w:szCs w:val="20"/>
              </w:rPr>
              <w:t xml:space="preserve"> </w:t>
            </w:r>
            <w:r w:rsidRPr="00E66064">
              <w:rPr>
                <w:rFonts w:cs="Arial"/>
                <w:sz w:val="20"/>
                <w:szCs w:val="20"/>
              </w:rPr>
              <w:t>telefonia komórkowa oraz w sytuacji wejścia w życie przepisu w proponowanym brzmieniu</w:t>
            </w:r>
            <w:r w:rsidR="00841053" w:rsidRPr="00E66064">
              <w:rPr>
                <w:rFonts w:cs="Arial"/>
                <w:sz w:val="20"/>
                <w:szCs w:val="20"/>
              </w:rPr>
              <w:t xml:space="preserve"> </w:t>
            </w:r>
            <w:r w:rsidRPr="00E66064">
              <w:rPr>
                <w:rFonts w:cs="Arial"/>
                <w:sz w:val="20"/>
                <w:szCs w:val="20"/>
              </w:rPr>
              <w:t>mogą wystąpić trudności w funkcjonowaniu systemów alarmowych/systemów</w:t>
            </w:r>
            <w:r w:rsidR="00841053" w:rsidRPr="00E66064">
              <w:rPr>
                <w:rFonts w:cs="Arial"/>
                <w:sz w:val="20"/>
                <w:szCs w:val="20"/>
              </w:rPr>
              <w:t xml:space="preserve"> </w:t>
            </w:r>
            <w:r w:rsidRPr="00E66064">
              <w:rPr>
                <w:rFonts w:cs="Arial"/>
                <w:sz w:val="20"/>
                <w:szCs w:val="20"/>
              </w:rPr>
              <w:t xml:space="preserve">telekomunikacyjnych służb (policji, </w:t>
            </w:r>
            <w:r w:rsidRPr="00E66064">
              <w:rPr>
                <w:rFonts w:cs="Arial"/>
                <w:sz w:val="20"/>
                <w:szCs w:val="20"/>
              </w:rPr>
              <w:lastRenderedPageBreak/>
              <w:t>straży pożarnej itp.). Korzystniejszym rozwiązaniem</w:t>
            </w:r>
            <w:r w:rsidR="00841053" w:rsidRPr="00E66064">
              <w:rPr>
                <w:rFonts w:cs="Arial"/>
                <w:sz w:val="20"/>
                <w:szCs w:val="20"/>
              </w:rPr>
              <w:t xml:space="preserve"> </w:t>
            </w:r>
            <w:r w:rsidRPr="00E66064">
              <w:rPr>
                <w:rFonts w:cs="Arial"/>
                <w:sz w:val="20"/>
                <w:szCs w:val="20"/>
              </w:rPr>
              <w:t>byłoby pozostawienie dotychczasowego brzmienia przepisu.</w:t>
            </w:r>
          </w:p>
        </w:tc>
        <w:tc>
          <w:tcPr>
            <w:tcW w:w="3998" w:type="dxa"/>
          </w:tcPr>
          <w:p w14:paraId="506F194D" w14:textId="77777777" w:rsidR="001D1E8C" w:rsidRPr="00E66064" w:rsidRDefault="00BF77D9" w:rsidP="00E66064">
            <w:pPr>
              <w:spacing w:before="0" w:after="120"/>
              <w:contextualSpacing/>
              <w:jc w:val="left"/>
              <w:rPr>
                <w:rFonts w:cs="Arial"/>
                <w:b/>
                <w:sz w:val="20"/>
                <w:szCs w:val="20"/>
              </w:rPr>
            </w:pPr>
            <w:r w:rsidRPr="00E66064">
              <w:rPr>
                <w:rFonts w:cs="Arial"/>
                <w:b/>
                <w:sz w:val="20"/>
                <w:szCs w:val="20"/>
              </w:rPr>
              <w:lastRenderedPageBreak/>
              <w:t>Uwaga nie</w:t>
            </w:r>
            <w:r w:rsidR="001D1E8C" w:rsidRPr="00E66064">
              <w:rPr>
                <w:rFonts w:cs="Arial"/>
                <w:b/>
                <w:sz w:val="20"/>
                <w:szCs w:val="20"/>
              </w:rPr>
              <w:t>uwzględniona</w:t>
            </w:r>
            <w:r w:rsidRPr="00E66064">
              <w:rPr>
                <w:rFonts w:cs="Arial"/>
                <w:b/>
                <w:sz w:val="20"/>
                <w:szCs w:val="20"/>
              </w:rPr>
              <w:t xml:space="preserve">. </w:t>
            </w:r>
          </w:p>
          <w:p w14:paraId="26D91074" w14:textId="18F7900F" w:rsidR="00BF77D9" w:rsidRPr="00E66064" w:rsidRDefault="00BF77D9" w:rsidP="00E66064">
            <w:pPr>
              <w:spacing w:before="0" w:after="120"/>
              <w:contextualSpacing/>
              <w:jc w:val="left"/>
              <w:rPr>
                <w:rFonts w:cs="Arial"/>
                <w:b/>
                <w:sz w:val="20"/>
                <w:szCs w:val="20"/>
              </w:rPr>
            </w:pPr>
            <w:r w:rsidRPr="00E66064">
              <w:rPr>
                <w:rFonts w:cs="Arial"/>
                <w:bCs/>
                <w:sz w:val="20"/>
                <w:szCs w:val="20"/>
              </w:rPr>
              <w:t>Przepis co do istoty nie zmieni się</w:t>
            </w:r>
            <w:r w:rsidR="001D1E8C" w:rsidRPr="00E66064">
              <w:rPr>
                <w:rFonts w:cs="Arial"/>
                <w:bCs/>
                <w:sz w:val="20"/>
                <w:szCs w:val="20"/>
              </w:rPr>
              <w:t>,</w:t>
            </w:r>
            <w:r w:rsidRPr="00E66064">
              <w:rPr>
                <w:rFonts w:cs="Arial"/>
                <w:bCs/>
                <w:sz w:val="20"/>
                <w:szCs w:val="20"/>
              </w:rPr>
              <w:t xml:space="preserve">  </w:t>
            </w:r>
            <w:r w:rsidR="001D1E8C" w:rsidRPr="00E66064">
              <w:rPr>
                <w:rFonts w:cs="Arial"/>
                <w:bCs/>
                <w:sz w:val="20"/>
                <w:szCs w:val="20"/>
              </w:rPr>
              <w:t>zmiana stanowi</w:t>
            </w:r>
            <w:r w:rsidRPr="00E66064">
              <w:rPr>
                <w:rFonts w:cs="Arial"/>
                <w:bCs/>
                <w:sz w:val="20"/>
                <w:szCs w:val="20"/>
              </w:rPr>
              <w:t xml:space="preserve"> doprecyzowanie</w:t>
            </w:r>
            <w:r w:rsidR="001D1E8C" w:rsidRPr="00E66064">
              <w:rPr>
                <w:rFonts w:cs="Arial"/>
                <w:bCs/>
                <w:sz w:val="20"/>
                <w:szCs w:val="20"/>
              </w:rPr>
              <w:t xml:space="preserve"> i ma na celu uniknięcie wątpliwości przy stosowaniu przepisu</w:t>
            </w:r>
            <w:r w:rsidRPr="00E66064">
              <w:rPr>
                <w:rFonts w:cs="Arial"/>
                <w:bCs/>
                <w:sz w:val="20"/>
                <w:szCs w:val="20"/>
              </w:rPr>
              <w:t>.</w:t>
            </w:r>
          </w:p>
          <w:p w14:paraId="3089B647" w14:textId="3AAB8B83" w:rsidR="00CC16FE" w:rsidRPr="00E66064" w:rsidRDefault="00CC16FE" w:rsidP="00E66064">
            <w:pPr>
              <w:spacing w:before="0" w:after="120"/>
              <w:contextualSpacing/>
              <w:rPr>
                <w:rFonts w:cs="Arial"/>
                <w:sz w:val="20"/>
                <w:szCs w:val="20"/>
              </w:rPr>
            </w:pPr>
          </w:p>
        </w:tc>
      </w:tr>
      <w:tr w:rsidR="002502CE" w:rsidRPr="00E66064" w14:paraId="2111BC08" w14:textId="77777777" w:rsidTr="004F4CF5">
        <w:tc>
          <w:tcPr>
            <w:tcW w:w="559" w:type="dxa"/>
            <w:shd w:val="clear" w:color="auto" w:fill="auto"/>
          </w:tcPr>
          <w:p w14:paraId="7A1AE5B1" w14:textId="556BAB75" w:rsidR="002502CE" w:rsidRPr="00E66064" w:rsidRDefault="00746CFC" w:rsidP="00E66064">
            <w:pPr>
              <w:spacing w:before="0" w:after="120"/>
              <w:contextualSpacing/>
              <w:jc w:val="center"/>
              <w:rPr>
                <w:rFonts w:cs="Arial"/>
                <w:sz w:val="20"/>
                <w:szCs w:val="20"/>
              </w:rPr>
            </w:pPr>
            <w:r w:rsidRPr="00E66064">
              <w:rPr>
                <w:rFonts w:cs="Arial"/>
                <w:sz w:val="20"/>
                <w:szCs w:val="20"/>
              </w:rPr>
              <w:t>8</w:t>
            </w:r>
            <w:r w:rsidR="006E4EB4" w:rsidRPr="00E66064">
              <w:rPr>
                <w:rFonts w:cs="Arial"/>
                <w:sz w:val="20"/>
                <w:szCs w:val="20"/>
              </w:rPr>
              <w:t>.</w:t>
            </w:r>
          </w:p>
        </w:tc>
        <w:tc>
          <w:tcPr>
            <w:tcW w:w="1563" w:type="dxa"/>
          </w:tcPr>
          <w:p w14:paraId="1573AFF7" w14:textId="46580829" w:rsidR="002502CE" w:rsidRPr="00E66064" w:rsidRDefault="00746CFC" w:rsidP="00E66064">
            <w:pPr>
              <w:spacing w:before="0" w:after="120"/>
              <w:contextualSpacing/>
              <w:jc w:val="center"/>
              <w:rPr>
                <w:rFonts w:cs="Arial"/>
                <w:sz w:val="20"/>
                <w:szCs w:val="20"/>
              </w:rPr>
            </w:pPr>
            <w:r w:rsidRPr="00E66064">
              <w:rPr>
                <w:rFonts w:cs="Arial"/>
                <w:sz w:val="20"/>
                <w:szCs w:val="20"/>
              </w:rPr>
              <w:t>A</w:t>
            </w:r>
            <w:r w:rsidR="00AD3ED0" w:rsidRPr="00E66064">
              <w:rPr>
                <w:rFonts w:cs="Arial"/>
                <w:sz w:val="20"/>
                <w:szCs w:val="20"/>
              </w:rPr>
              <w:t>rt. 1 pkt 44</w:t>
            </w:r>
          </w:p>
          <w:p w14:paraId="74EABB65" w14:textId="51BC15CA" w:rsidR="002502CE" w:rsidRPr="00E66064" w:rsidRDefault="002502CE" w:rsidP="00E66064">
            <w:pPr>
              <w:spacing w:before="0" w:after="120"/>
              <w:contextualSpacing/>
              <w:jc w:val="center"/>
              <w:rPr>
                <w:rFonts w:cs="Arial"/>
                <w:sz w:val="20"/>
                <w:szCs w:val="20"/>
              </w:rPr>
            </w:pPr>
          </w:p>
        </w:tc>
        <w:tc>
          <w:tcPr>
            <w:tcW w:w="1955" w:type="dxa"/>
          </w:tcPr>
          <w:p w14:paraId="6C241AE2" w14:textId="18C595DD" w:rsidR="002502CE" w:rsidRPr="00E66064" w:rsidRDefault="00AD3ED0" w:rsidP="00E66064">
            <w:pPr>
              <w:spacing w:before="0" w:after="120"/>
              <w:contextualSpacing/>
              <w:jc w:val="center"/>
              <w:rPr>
                <w:rFonts w:cs="Arial"/>
                <w:sz w:val="20"/>
                <w:szCs w:val="20"/>
              </w:rPr>
            </w:pPr>
            <w:r w:rsidRPr="00E66064">
              <w:rPr>
                <w:rFonts w:cs="Arial"/>
                <w:sz w:val="20"/>
                <w:szCs w:val="20"/>
              </w:rPr>
              <w:t>MSWiA – KG PSP</w:t>
            </w:r>
          </w:p>
        </w:tc>
        <w:tc>
          <w:tcPr>
            <w:tcW w:w="5812" w:type="dxa"/>
          </w:tcPr>
          <w:p w14:paraId="2DCBAB23" w14:textId="77777777" w:rsidR="002502CE" w:rsidRPr="00E66064" w:rsidRDefault="002502CE" w:rsidP="00E66064">
            <w:pPr>
              <w:spacing w:before="0" w:after="120"/>
              <w:contextualSpacing/>
              <w:rPr>
                <w:rFonts w:cs="Arial"/>
                <w:i/>
                <w:sz w:val="20"/>
                <w:szCs w:val="20"/>
              </w:rPr>
            </w:pPr>
            <w:r w:rsidRPr="00E66064">
              <w:rPr>
                <w:rFonts w:cs="Arial"/>
                <w:sz w:val="20"/>
                <w:szCs w:val="20"/>
              </w:rPr>
              <w:t xml:space="preserve">W art. 1 pkt 44 projektu ustawy proponuje się usunąć lit. b), pozostawiając dotychczasowe brzmienie art. 71 ust. 2a </w:t>
            </w:r>
            <w:r w:rsidRPr="00E66064">
              <w:rPr>
                <w:rFonts w:cs="Arial"/>
                <w:i/>
                <w:sz w:val="20"/>
                <w:szCs w:val="20"/>
              </w:rPr>
              <w:t>ustawy - Prawo budowlane.</w:t>
            </w:r>
          </w:p>
          <w:p w14:paraId="5235D541" w14:textId="77777777" w:rsidR="002502CE" w:rsidRPr="00E66064" w:rsidRDefault="002502CE" w:rsidP="00E66064">
            <w:pPr>
              <w:spacing w:before="0" w:after="120"/>
              <w:contextualSpacing/>
              <w:rPr>
                <w:rFonts w:cs="Arial"/>
                <w:sz w:val="20"/>
                <w:szCs w:val="20"/>
                <w:u w:val="single"/>
              </w:rPr>
            </w:pPr>
            <w:r w:rsidRPr="00E66064">
              <w:rPr>
                <w:rFonts w:cs="Arial"/>
                <w:sz w:val="20"/>
                <w:szCs w:val="20"/>
                <w:u w:val="single"/>
              </w:rPr>
              <w:t>Uzasadnienie:</w:t>
            </w:r>
          </w:p>
          <w:p w14:paraId="76430890" w14:textId="77777777" w:rsidR="002502CE" w:rsidRPr="00E66064" w:rsidRDefault="002502CE" w:rsidP="00E66064">
            <w:pPr>
              <w:spacing w:before="0" w:after="120"/>
              <w:contextualSpacing/>
              <w:rPr>
                <w:rFonts w:cs="Arial"/>
                <w:sz w:val="20"/>
                <w:szCs w:val="20"/>
              </w:rPr>
            </w:pPr>
            <w:r w:rsidRPr="00E66064">
              <w:rPr>
                <w:rFonts w:cs="Arial"/>
                <w:sz w:val="20"/>
                <w:szCs w:val="20"/>
              </w:rPr>
              <w:t xml:space="preserve">Przepisy o ochronie przeciwpożarowej </w:t>
            </w:r>
            <w:r w:rsidRPr="00E66064">
              <w:rPr>
                <w:rFonts w:cs="Arial"/>
                <w:b/>
                <w:sz w:val="20"/>
                <w:szCs w:val="20"/>
              </w:rPr>
              <w:t>nie określają obowiązku dołączenia ekspertyzy</w:t>
            </w:r>
            <w:r w:rsidRPr="00E66064">
              <w:rPr>
                <w:rFonts w:cs="Arial"/>
                <w:sz w:val="20"/>
                <w:szCs w:val="20"/>
              </w:rPr>
              <w:t xml:space="preserve"> rzeczoznawcy do spraw zabezpieczeń przeciwpożarowych do zgłoszenia zmiany sposobu użytkowania obiektu budowlanego. </w:t>
            </w:r>
          </w:p>
          <w:p w14:paraId="04AC6704" w14:textId="77777777" w:rsidR="002502CE" w:rsidRPr="00E66064" w:rsidRDefault="002502CE" w:rsidP="00E66064">
            <w:pPr>
              <w:spacing w:before="0" w:after="120"/>
              <w:contextualSpacing/>
              <w:rPr>
                <w:rFonts w:cs="Arial"/>
                <w:sz w:val="20"/>
                <w:szCs w:val="20"/>
              </w:rPr>
            </w:pPr>
            <w:r w:rsidRPr="00E66064">
              <w:rPr>
                <w:rFonts w:cs="Arial"/>
                <w:sz w:val="20"/>
                <w:szCs w:val="20"/>
              </w:rPr>
              <w:t xml:space="preserve">Z tego powodu dodanie do obowiązującego brzmienia art. 71 ust. 2a wyrazów </w:t>
            </w:r>
            <w:r w:rsidRPr="00E66064">
              <w:rPr>
                <w:rFonts w:cs="Arial"/>
                <w:b/>
                <w:i/>
                <w:sz w:val="20"/>
                <w:szCs w:val="20"/>
              </w:rPr>
              <w:t>„jeżeli obowiązek jej dołączenia wynika z przepisów o ochronie przeciwpożarowej”</w:t>
            </w:r>
            <w:r w:rsidRPr="00E66064">
              <w:rPr>
                <w:rFonts w:cs="Arial"/>
                <w:sz w:val="20"/>
                <w:szCs w:val="20"/>
              </w:rPr>
              <w:t xml:space="preserve"> jest nieuzasadnione i będzie powodowało, że w żadnym przypadku taka ekspertyza nie będzie sporządzana (przepis będzie przepisem martwym). </w:t>
            </w:r>
          </w:p>
          <w:p w14:paraId="64F8AABD" w14:textId="77777777" w:rsidR="002502CE" w:rsidRPr="00E66064" w:rsidRDefault="002502CE" w:rsidP="00E66064">
            <w:pPr>
              <w:spacing w:before="0" w:after="120"/>
              <w:contextualSpacing/>
              <w:rPr>
                <w:rFonts w:cs="Arial"/>
                <w:sz w:val="20"/>
                <w:szCs w:val="20"/>
              </w:rPr>
            </w:pPr>
            <w:r w:rsidRPr="00E66064">
              <w:rPr>
                <w:rFonts w:cs="Arial"/>
                <w:sz w:val="20"/>
                <w:szCs w:val="20"/>
              </w:rPr>
              <w:t xml:space="preserve">Należy podkreślić, że wprowadzenie omawianego przepisu miało związek z tragedią, jaka miała miejsce w „escape room” w Koszalinie w 2019 r. (pożar w którym zginęło 5 młodych osób), a jego celem jest zapobieganie naruszeniom wymagań ochrony przeciwpożarowej podczas zmian sposobu użytkowania obiektów budowlanych, dokonywanych zwykle bez udziału osób z uprawnieniami budowlanymi. </w:t>
            </w:r>
          </w:p>
          <w:p w14:paraId="4028406B" w14:textId="59279E6D" w:rsidR="002502CE" w:rsidRPr="00E66064" w:rsidRDefault="002502CE" w:rsidP="00E66064">
            <w:pPr>
              <w:autoSpaceDE w:val="0"/>
              <w:autoSpaceDN w:val="0"/>
              <w:adjustRightInd w:val="0"/>
              <w:spacing w:before="0" w:after="120"/>
              <w:contextualSpacing/>
              <w:rPr>
                <w:rFonts w:cs="Arial"/>
                <w:sz w:val="20"/>
                <w:szCs w:val="20"/>
              </w:rPr>
            </w:pPr>
            <w:r w:rsidRPr="00E66064">
              <w:rPr>
                <w:rFonts w:cs="Arial"/>
                <w:sz w:val="20"/>
                <w:szCs w:val="20"/>
              </w:rPr>
              <w:t>Niezależnie od powyższego należy wskazać, że istnieje</w:t>
            </w:r>
            <w:r w:rsidR="00AD3ED0" w:rsidRPr="00E66064">
              <w:rPr>
                <w:rFonts w:cs="Arial"/>
                <w:sz w:val="20"/>
                <w:szCs w:val="20"/>
              </w:rPr>
              <w:t xml:space="preserve"> </w:t>
            </w:r>
            <w:r w:rsidRPr="00E66064">
              <w:rPr>
                <w:rFonts w:cs="Arial"/>
                <w:sz w:val="20"/>
                <w:szCs w:val="20"/>
              </w:rPr>
              <w:t xml:space="preserve">przestrzeń do ograniczenia funkcjonowania tego przepisu do wybranych grup obiektów budowlanych i jeżeli projektodawca wyrazi chęć podjęcia działań w tym kierunku, Komenda Główna PSP deklaruje gotowość do współpracy w przedmiotowym zakresie. </w:t>
            </w:r>
          </w:p>
        </w:tc>
        <w:tc>
          <w:tcPr>
            <w:tcW w:w="3998" w:type="dxa"/>
          </w:tcPr>
          <w:p w14:paraId="79A04EDD" w14:textId="03EE7F06" w:rsidR="00585599" w:rsidRPr="00E66064" w:rsidRDefault="00E66064" w:rsidP="00E66064">
            <w:pPr>
              <w:spacing w:before="0" w:after="120"/>
              <w:contextualSpacing/>
              <w:jc w:val="left"/>
              <w:rPr>
                <w:rFonts w:cs="Arial"/>
                <w:b/>
                <w:sz w:val="20"/>
                <w:szCs w:val="20"/>
              </w:rPr>
            </w:pPr>
            <w:r w:rsidRPr="00E66064">
              <w:rPr>
                <w:rFonts w:cs="Arial"/>
                <w:b/>
                <w:sz w:val="20"/>
                <w:szCs w:val="20"/>
              </w:rPr>
              <w:t xml:space="preserve">Uwaga znajduje się poza zakresem właściwości KRMC. </w:t>
            </w:r>
          </w:p>
          <w:p w14:paraId="77D005A8" w14:textId="77777777" w:rsidR="00585599" w:rsidRPr="00E66064" w:rsidRDefault="00585599" w:rsidP="00E66064">
            <w:pPr>
              <w:spacing w:before="0" w:after="120"/>
              <w:contextualSpacing/>
              <w:jc w:val="left"/>
              <w:rPr>
                <w:rFonts w:cs="Arial"/>
                <w:b/>
                <w:sz w:val="20"/>
                <w:szCs w:val="20"/>
              </w:rPr>
            </w:pPr>
          </w:p>
          <w:p w14:paraId="16AA5F2B" w14:textId="0D20FC54" w:rsidR="00585599" w:rsidRPr="00E66064" w:rsidRDefault="00585599" w:rsidP="00E66064">
            <w:pPr>
              <w:spacing w:before="0" w:after="120"/>
              <w:contextualSpacing/>
              <w:jc w:val="left"/>
              <w:rPr>
                <w:rFonts w:cs="Arial"/>
                <w:b/>
                <w:sz w:val="20"/>
                <w:szCs w:val="20"/>
              </w:rPr>
            </w:pPr>
          </w:p>
        </w:tc>
      </w:tr>
      <w:tr w:rsidR="00145417" w:rsidRPr="00E66064" w14:paraId="71FD8D02" w14:textId="77777777" w:rsidTr="004F4CF5">
        <w:tc>
          <w:tcPr>
            <w:tcW w:w="559" w:type="dxa"/>
            <w:shd w:val="clear" w:color="auto" w:fill="auto"/>
          </w:tcPr>
          <w:p w14:paraId="32BA3A1C" w14:textId="1E9D95A7" w:rsidR="00145417" w:rsidRPr="00E66064" w:rsidRDefault="00746CFC" w:rsidP="00E66064">
            <w:pPr>
              <w:spacing w:before="0" w:after="120"/>
              <w:contextualSpacing/>
              <w:jc w:val="center"/>
              <w:rPr>
                <w:rFonts w:cs="Arial"/>
                <w:sz w:val="20"/>
                <w:szCs w:val="20"/>
              </w:rPr>
            </w:pPr>
            <w:r w:rsidRPr="00E66064">
              <w:rPr>
                <w:rFonts w:cs="Arial"/>
                <w:sz w:val="20"/>
                <w:szCs w:val="20"/>
              </w:rPr>
              <w:t>9</w:t>
            </w:r>
            <w:r w:rsidR="006E4EB4" w:rsidRPr="00E66064">
              <w:rPr>
                <w:rFonts w:cs="Arial"/>
                <w:sz w:val="20"/>
                <w:szCs w:val="20"/>
              </w:rPr>
              <w:t>.</w:t>
            </w:r>
          </w:p>
        </w:tc>
        <w:tc>
          <w:tcPr>
            <w:tcW w:w="1563" w:type="dxa"/>
            <w:shd w:val="clear" w:color="auto" w:fill="auto"/>
          </w:tcPr>
          <w:p w14:paraId="2D540536" w14:textId="61BD2C3B" w:rsidR="00145417" w:rsidRPr="00E66064" w:rsidRDefault="00EF7D88" w:rsidP="00E66064">
            <w:pPr>
              <w:spacing w:before="0" w:after="120"/>
              <w:contextualSpacing/>
              <w:jc w:val="center"/>
              <w:rPr>
                <w:rFonts w:cs="Arial"/>
                <w:sz w:val="20"/>
                <w:szCs w:val="20"/>
              </w:rPr>
            </w:pPr>
            <w:r w:rsidRPr="00E66064">
              <w:rPr>
                <w:rFonts w:cs="Arial"/>
                <w:sz w:val="20"/>
                <w:szCs w:val="20"/>
              </w:rPr>
              <w:t>A</w:t>
            </w:r>
            <w:r w:rsidR="00746CFC" w:rsidRPr="00E66064">
              <w:rPr>
                <w:rFonts w:cs="Arial"/>
                <w:sz w:val="20"/>
                <w:szCs w:val="20"/>
              </w:rPr>
              <w:t>rt. 1 pkt 46</w:t>
            </w:r>
          </w:p>
        </w:tc>
        <w:tc>
          <w:tcPr>
            <w:tcW w:w="1955" w:type="dxa"/>
            <w:shd w:val="clear" w:color="auto" w:fill="auto"/>
          </w:tcPr>
          <w:p w14:paraId="0B58B592" w14:textId="1A9635EC" w:rsidR="00145417" w:rsidRPr="00E66064" w:rsidRDefault="00746CFC" w:rsidP="00E66064">
            <w:pPr>
              <w:spacing w:before="0" w:after="120"/>
              <w:contextualSpacing/>
              <w:jc w:val="center"/>
              <w:rPr>
                <w:rFonts w:cs="Arial"/>
                <w:sz w:val="20"/>
                <w:szCs w:val="20"/>
              </w:rPr>
            </w:pPr>
            <w:r w:rsidRPr="00E66064">
              <w:rPr>
                <w:rFonts w:cs="Arial"/>
                <w:sz w:val="20"/>
                <w:szCs w:val="20"/>
              </w:rPr>
              <w:t>NDAP</w:t>
            </w:r>
          </w:p>
        </w:tc>
        <w:tc>
          <w:tcPr>
            <w:tcW w:w="5812" w:type="dxa"/>
            <w:shd w:val="clear" w:color="auto" w:fill="auto"/>
          </w:tcPr>
          <w:p w14:paraId="653A6A6B" w14:textId="5CAE78F9" w:rsidR="00145417" w:rsidRPr="00E66064" w:rsidRDefault="00145417" w:rsidP="00E66064">
            <w:pPr>
              <w:spacing w:before="0" w:after="120"/>
              <w:contextualSpacing/>
              <w:rPr>
                <w:rFonts w:cs="Arial"/>
                <w:sz w:val="20"/>
                <w:szCs w:val="20"/>
              </w:rPr>
            </w:pPr>
            <w:r w:rsidRPr="00E66064">
              <w:rPr>
                <w:rFonts w:cs="Arial"/>
                <w:sz w:val="20"/>
                <w:szCs w:val="20"/>
              </w:rPr>
              <w:t>W dodawanym art. 79r w ustawie z</w:t>
            </w:r>
            <w:r w:rsidR="00746CFC" w:rsidRPr="00E66064">
              <w:rPr>
                <w:rFonts w:cs="Arial"/>
                <w:sz w:val="20"/>
                <w:szCs w:val="20"/>
              </w:rPr>
              <w:t xml:space="preserve"> </w:t>
            </w:r>
            <w:r w:rsidRPr="00E66064">
              <w:rPr>
                <w:rFonts w:cs="Arial"/>
                <w:sz w:val="20"/>
                <w:szCs w:val="20"/>
              </w:rPr>
              <w:t>dnia 7</w:t>
            </w:r>
            <w:r w:rsidR="00746CFC" w:rsidRPr="00E66064">
              <w:rPr>
                <w:rFonts w:cs="Arial"/>
                <w:sz w:val="20"/>
                <w:szCs w:val="20"/>
              </w:rPr>
              <w:t xml:space="preserve"> </w:t>
            </w:r>
            <w:r w:rsidRPr="00E66064">
              <w:rPr>
                <w:rFonts w:cs="Arial"/>
                <w:sz w:val="20"/>
                <w:szCs w:val="20"/>
              </w:rPr>
              <w:t>lipca 1994</w:t>
            </w:r>
            <w:r w:rsidR="00746CFC" w:rsidRPr="00E66064">
              <w:rPr>
                <w:rFonts w:cs="Arial"/>
                <w:sz w:val="20"/>
                <w:szCs w:val="20"/>
              </w:rPr>
              <w:t xml:space="preserve"> </w:t>
            </w:r>
            <w:r w:rsidRPr="00E66064">
              <w:rPr>
                <w:rFonts w:cs="Arial"/>
                <w:sz w:val="20"/>
                <w:szCs w:val="20"/>
              </w:rPr>
              <w:t>r. – Prawo budowlane (Dz.</w:t>
            </w:r>
            <w:r w:rsidR="00746CFC" w:rsidRPr="00E66064">
              <w:rPr>
                <w:rFonts w:cs="Arial"/>
                <w:sz w:val="20"/>
                <w:szCs w:val="20"/>
              </w:rPr>
              <w:t xml:space="preserve"> </w:t>
            </w:r>
            <w:r w:rsidRPr="00E66064">
              <w:rPr>
                <w:rFonts w:cs="Arial"/>
                <w:sz w:val="20"/>
                <w:szCs w:val="20"/>
              </w:rPr>
              <w:t>U. z</w:t>
            </w:r>
            <w:r w:rsidR="00746CFC" w:rsidRPr="00E66064">
              <w:rPr>
                <w:rFonts w:cs="Arial"/>
                <w:sz w:val="20"/>
                <w:szCs w:val="20"/>
              </w:rPr>
              <w:t xml:space="preserve"> </w:t>
            </w:r>
            <w:r w:rsidRPr="00E66064">
              <w:rPr>
                <w:rFonts w:cs="Arial"/>
                <w:sz w:val="20"/>
                <w:szCs w:val="20"/>
              </w:rPr>
              <w:t>2021</w:t>
            </w:r>
            <w:r w:rsidR="00746CFC" w:rsidRPr="00E66064">
              <w:rPr>
                <w:rFonts w:cs="Arial"/>
                <w:sz w:val="20"/>
                <w:szCs w:val="20"/>
              </w:rPr>
              <w:t xml:space="preserve"> </w:t>
            </w:r>
            <w:r w:rsidRPr="00E66064">
              <w:rPr>
                <w:rFonts w:cs="Arial"/>
                <w:sz w:val="20"/>
                <w:szCs w:val="20"/>
              </w:rPr>
              <w:t>r. poz.</w:t>
            </w:r>
            <w:r w:rsidR="00746CFC" w:rsidRPr="00E66064">
              <w:rPr>
                <w:rFonts w:cs="Arial"/>
                <w:sz w:val="20"/>
                <w:szCs w:val="20"/>
              </w:rPr>
              <w:t xml:space="preserve"> </w:t>
            </w:r>
            <w:r w:rsidRPr="00E66064">
              <w:rPr>
                <w:rFonts w:cs="Arial"/>
                <w:sz w:val="20"/>
                <w:szCs w:val="20"/>
              </w:rPr>
              <w:t>2351, z późn. zm.) umieszczono niejasne, nieużywane dotąd w ustawie o narodowym zasobie archiwalnym – określenie „obowiązek archiwizacyjny”</w:t>
            </w:r>
            <w:r w:rsidR="00EF7D88" w:rsidRPr="00E66064">
              <w:rPr>
                <w:rFonts w:cs="Arial"/>
                <w:sz w:val="20"/>
                <w:szCs w:val="20"/>
              </w:rPr>
              <w:t>.</w:t>
            </w:r>
          </w:p>
        </w:tc>
        <w:tc>
          <w:tcPr>
            <w:tcW w:w="3998" w:type="dxa"/>
          </w:tcPr>
          <w:p w14:paraId="0D11768C" w14:textId="1AE4C219" w:rsidR="00746CFC" w:rsidRPr="00E66064" w:rsidRDefault="00600490" w:rsidP="00E66064">
            <w:pPr>
              <w:spacing w:before="0" w:after="120"/>
              <w:contextualSpacing/>
              <w:jc w:val="left"/>
              <w:rPr>
                <w:rFonts w:cs="Arial"/>
                <w:sz w:val="20"/>
                <w:szCs w:val="20"/>
              </w:rPr>
            </w:pPr>
            <w:r w:rsidRPr="00E66064">
              <w:rPr>
                <w:rFonts w:cs="Arial"/>
                <w:b/>
                <w:sz w:val="20"/>
                <w:szCs w:val="20"/>
              </w:rPr>
              <w:t>U</w:t>
            </w:r>
            <w:r w:rsidR="00746CFC" w:rsidRPr="00E66064">
              <w:rPr>
                <w:rFonts w:cs="Arial"/>
                <w:b/>
                <w:sz w:val="20"/>
                <w:szCs w:val="20"/>
              </w:rPr>
              <w:t>waga częściowo uwzględniona.</w:t>
            </w:r>
            <w:r w:rsidRPr="00E66064">
              <w:rPr>
                <w:rFonts w:cs="Arial"/>
                <w:b/>
                <w:sz w:val="20"/>
                <w:szCs w:val="20"/>
              </w:rPr>
              <w:t xml:space="preserve"> </w:t>
            </w:r>
            <w:r w:rsidR="00746CFC" w:rsidRPr="00E66064">
              <w:rPr>
                <w:rFonts w:cs="Arial"/>
                <w:sz w:val="20"/>
                <w:szCs w:val="20"/>
              </w:rPr>
              <w:t>Sformułowanie zostanie usunięte.</w:t>
            </w:r>
          </w:p>
        </w:tc>
      </w:tr>
      <w:tr w:rsidR="00076EBE" w:rsidRPr="00E66064" w14:paraId="1C2C3F6E" w14:textId="77777777" w:rsidTr="004F4CF5">
        <w:tc>
          <w:tcPr>
            <w:tcW w:w="559" w:type="dxa"/>
            <w:shd w:val="clear" w:color="auto" w:fill="auto"/>
          </w:tcPr>
          <w:p w14:paraId="7412337B" w14:textId="1E82DB98" w:rsidR="00076EBE" w:rsidRPr="00E66064" w:rsidRDefault="00746CFC" w:rsidP="00E66064">
            <w:pPr>
              <w:spacing w:before="0" w:after="120"/>
              <w:contextualSpacing/>
              <w:jc w:val="center"/>
              <w:rPr>
                <w:rFonts w:cs="Arial"/>
                <w:sz w:val="20"/>
                <w:szCs w:val="20"/>
              </w:rPr>
            </w:pPr>
            <w:r w:rsidRPr="00E66064">
              <w:rPr>
                <w:rFonts w:cs="Arial"/>
                <w:sz w:val="20"/>
                <w:szCs w:val="20"/>
              </w:rPr>
              <w:t>10</w:t>
            </w:r>
            <w:r w:rsidR="006E4EB4" w:rsidRPr="00E66064">
              <w:rPr>
                <w:rFonts w:cs="Arial"/>
                <w:sz w:val="20"/>
                <w:szCs w:val="20"/>
              </w:rPr>
              <w:t>.</w:t>
            </w:r>
          </w:p>
        </w:tc>
        <w:tc>
          <w:tcPr>
            <w:tcW w:w="1563" w:type="dxa"/>
            <w:shd w:val="clear" w:color="auto" w:fill="auto"/>
          </w:tcPr>
          <w:p w14:paraId="794DDAE9" w14:textId="7A65B985" w:rsidR="00076EBE" w:rsidRPr="00E66064" w:rsidRDefault="00746CFC" w:rsidP="00E66064">
            <w:pPr>
              <w:spacing w:before="0" w:after="120"/>
              <w:contextualSpacing/>
              <w:jc w:val="center"/>
              <w:rPr>
                <w:rFonts w:cs="Arial"/>
                <w:b/>
                <w:sz w:val="20"/>
                <w:szCs w:val="20"/>
              </w:rPr>
            </w:pPr>
            <w:r w:rsidRPr="00E66064">
              <w:rPr>
                <w:rFonts w:cs="Arial"/>
                <w:sz w:val="20"/>
                <w:szCs w:val="20"/>
              </w:rPr>
              <w:t>Art. 4 pkt 2 lit. j</w:t>
            </w:r>
          </w:p>
        </w:tc>
        <w:tc>
          <w:tcPr>
            <w:tcW w:w="1955" w:type="dxa"/>
            <w:shd w:val="clear" w:color="auto" w:fill="auto"/>
          </w:tcPr>
          <w:p w14:paraId="3AD405C5" w14:textId="28443BBB" w:rsidR="00076EBE" w:rsidRPr="00E66064" w:rsidRDefault="00746CFC" w:rsidP="00E66064">
            <w:pPr>
              <w:spacing w:before="0" w:after="120"/>
              <w:contextualSpacing/>
              <w:jc w:val="center"/>
              <w:rPr>
                <w:rFonts w:cs="Arial"/>
                <w:sz w:val="20"/>
                <w:szCs w:val="20"/>
              </w:rPr>
            </w:pPr>
            <w:r w:rsidRPr="00E66064">
              <w:rPr>
                <w:rFonts w:cs="Arial"/>
                <w:sz w:val="20"/>
                <w:szCs w:val="20"/>
              </w:rPr>
              <w:t xml:space="preserve">NDAP </w:t>
            </w:r>
          </w:p>
        </w:tc>
        <w:tc>
          <w:tcPr>
            <w:tcW w:w="5812" w:type="dxa"/>
            <w:shd w:val="clear" w:color="auto" w:fill="auto"/>
          </w:tcPr>
          <w:p w14:paraId="72EE2A69" w14:textId="4D70358A" w:rsidR="00076EBE" w:rsidRPr="00E66064" w:rsidRDefault="00076EBE" w:rsidP="00E66064">
            <w:pPr>
              <w:spacing w:before="0" w:after="120"/>
              <w:contextualSpacing/>
              <w:rPr>
                <w:rFonts w:cs="Arial"/>
                <w:sz w:val="20"/>
                <w:szCs w:val="20"/>
              </w:rPr>
            </w:pPr>
            <w:r w:rsidRPr="00E66064">
              <w:rPr>
                <w:rFonts w:cs="Arial"/>
                <w:sz w:val="20"/>
                <w:szCs w:val="20"/>
              </w:rPr>
              <w:t>W art. 28b ustawy z</w:t>
            </w:r>
            <w:r w:rsidR="00075155" w:rsidRPr="00E66064">
              <w:rPr>
                <w:rFonts w:cs="Arial"/>
                <w:sz w:val="20"/>
                <w:szCs w:val="20"/>
              </w:rPr>
              <w:t xml:space="preserve"> </w:t>
            </w:r>
            <w:r w:rsidRPr="00E66064">
              <w:rPr>
                <w:rFonts w:cs="Arial"/>
                <w:sz w:val="20"/>
                <w:szCs w:val="20"/>
              </w:rPr>
              <w:t>dnia 17</w:t>
            </w:r>
            <w:r w:rsidR="00B136EF" w:rsidRPr="00E66064">
              <w:rPr>
                <w:rFonts w:cs="Arial"/>
                <w:sz w:val="20"/>
                <w:szCs w:val="20"/>
              </w:rPr>
              <w:t xml:space="preserve"> </w:t>
            </w:r>
            <w:r w:rsidRPr="00E66064">
              <w:rPr>
                <w:rFonts w:cs="Arial"/>
                <w:sz w:val="20"/>
                <w:szCs w:val="20"/>
              </w:rPr>
              <w:t>maja 1989</w:t>
            </w:r>
            <w:r w:rsidR="00075155" w:rsidRPr="00E66064">
              <w:rPr>
                <w:rFonts w:cs="Arial"/>
                <w:sz w:val="20"/>
                <w:szCs w:val="20"/>
              </w:rPr>
              <w:t xml:space="preserve"> </w:t>
            </w:r>
            <w:r w:rsidRPr="00E66064">
              <w:rPr>
                <w:rFonts w:cs="Arial"/>
                <w:sz w:val="20"/>
                <w:szCs w:val="20"/>
              </w:rPr>
              <w:t>r. – Prawo geodezyjne i</w:t>
            </w:r>
            <w:r w:rsidR="00075155" w:rsidRPr="00E66064">
              <w:rPr>
                <w:rFonts w:cs="Arial"/>
                <w:sz w:val="20"/>
                <w:szCs w:val="20"/>
              </w:rPr>
              <w:t xml:space="preserve"> </w:t>
            </w:r>
            <w:r w:rsidRPr="00E66064">
              <w:rPr>
                <w:rFonts w:cs="Arial"/>
                <w:sz w:val="20"/>
                <w:szCs w:val="20"/>
              </w:rPr>
              <w:t>kartograficzne (Dz.</w:t>
            </w:r>
            <w:r w:rsidR="00075155" w:rsidRPr="00E66064">
              <w:rPr>
                <w:rFonts w:cs="Arial"/>
                <w:sz w:val="20"/>
                <w:szCs w:val="20"/>
              </w:rPr>
              <w:t xml:space="preserve"> </w:t>
            </w:r>
            <w:r w:rsidRPr="00E66064">
              <w:rPr>
                <w:rFonts w:cs="Arial"/>
                <w:sz w:val="20"/>
                <w:szCs w:val="20"/>
              </w:rPr>
              <w:t>U. z</w:t>
            </w:r>
            <w:r w:rsidR="00075155" w:rsidRPr="00E66064">
              <w:rPr>
                <w:rFonts w:cs="Arial"/>
                <w:sz w:val="20"/>
                <w:szCs w:val="20"/>
              </w:rPr>
              <w:t xml:space="preserve"> </w:t>
            </w:r>
            <w:r w:rsidRPr="00E66064">
              <w:rPr>
                <w:rFonts w:cs="Arial"/>
                <w:sz w:val="20"/>
                <w:szCs w:val="20"/>
              </w:rPr>
              <w:t>2021</w:t>
            </w:r>
            <w:r w:rsidR="00075155" w:rsidRPr="00E66064">
              <w:rPr>
                <w:rFonts w:cs="Arial"/>
                <w:sz w:val="20"/>
                <w:szCs w:val="20"/>
              </w:rPr>
              <w:t xml:space="preserve"> </w:t>
            </w:r>
            <w:r w:rsidRPr="00E66064">
              <w:rPr>
                <w:rFonts w:cs="Arial"/>
                <w:sz w:val="20"/>
                <w:szCs w:val="20"/>
              </w:rPr>
              <w:t>r. poz.</w:t>
            </w:r>
            <w:r w:rsidR="00075155" w:rsidRPr="00E66064">
              <w:rPr>
                <w:rFonts w:cs="Arial"/>
                <w:sz w:val="20"/>
                <w:szCs w:val="20"/>
              </w:rPr>
              <w:t xml:space="preserve"> </w:t>
            </w:r>
            <w:r w:rsidRPr="00E66064">
              <w:rPr>
                <w:rFonts w:cs="Arial"/>
                <w:sz w:val="20"/>
                <w:szCs w:val="20"/>
              </w:rPr>
              <w:t>1990 oraz z 2022 r. poz. 1846 i 2185) dodano ust. 9c, który zawiera nieprecyzyjne określenie „podlegają archiwizacji”.</w:t>
            </w:r>
          </w:p>
        </w:tc>
        <w:tc>
          <w:tcPr>
            <w:tcW w:w="3998" w:type="dxa"/>
          </w:tcPr>
          <w:p w14:paraId="5F866B1D" w14:textId="6F46675B" w:rsidR="001D1E8C" w:rsidRPr="00E66064" w:rsidRDefault="001D1E8C" w:rsidP="00E66064">
            <w:pPr>
              <w:spacing w:before="0" w:after="120"/>
              <w:contextualSpacing/>
              <w:jc w:val="left"/>
              <w:rPr>
                <w:rFonts w:cs="Arial"/>
                <w:b/>
                <w:sz w:val="20"/>
                <w:szCs w:val="20"/>
              </w:rPr>
            </w:pPr>
            <w:r w:rsidRPr="00E66064">
              <w:rPr>
                <w:rFonts w:cs="Arial"/>
                <w:b/>
                <w:sz w:val="20"/>
                <w:szCs w:val="20"/>
              </w:rPr>
              <w:t>U</w:t>
            </w:r>
            <w:r w:rsidR="00311510" w:rsidRPr="00E66064">
              <w:rPr>
                <w:rFonts w:cs="Arial"/>
                <w:b/>
                <w:sz w:val="20"/>
                <w:szCs w:val="20"/>
              </w:rPr>
              <w:t xml:space="preserve">waga znajduje się poza zakresem właściwości </w:t>
            </w:r>
            <w:r w:rsidR="00600490" w:rsidRPr="00E66064">
              <w:rPr>
                <w:rFonts w:cs="Arial"/>
                <w:b/>
                <w:sz w:val="20"/>
                <w:szCs w:val="20"/>
              </w:rPr>
              <w:t>KRMC</w:t>
            </w:r>
            <w:r w:rsidRPr="00E66064">
              <w:rPr>
                <w:rFonts w:cs="Arial"/>
                <w:b/>
                <w:sz w:val="20"/>
                <w:szCs w:val="20"/>
              </w:rPr>
              <w:t xml:space="preserve">. </w:t>
            </w:r>
          </w:p>
          <w:p w14:paraId="02C8BA8C" w14:textId="5244F550" w:rsidR="00311510" w:rsidRPr="00E66064" w:rsidRDefault="001D1E8C" w:rsidP="00E66064">
            <w:pPr>
              <w:spacing w:before="0" w:after="120"/>
              <w:contextualSpacing/>
              <w:jc w:val="left"/>
              <w:rPr>
                <w:rFonts w:cs="Arial"/>
                <w:bCs/>
                <w:sz w:val="20"/>
                <w:szCs w:val="20"/>
              </w:rPr>
            </w:pPr>
            <w:r w:rsidRPr="00E66064">
              <w:rPr>
                <w:rFonts w:cs="Arial"/>
                <w:bCs/>
                <w:sz w:val="20"/>
                <w:szCs w:val="20"/>
              </w:rPr>
              <w:t>N</w:t>
            </w:r>
            <w:r w:rsidR="00311510" w:rsidRPr="00E66064">
              <w:rPr>
                <w:rFonts w:cs="Arial"/>
                <w:bCs/>
                <w:sz w:val="20"/>
                <w:szCs w:val="20"/>
              </w:rPr>
              <w:t xml:space="preserve">iemniej jednak proponujemy poniższą modyfikację przepisu: </w:t>
            </w:r>
          </w:p>
          <w:p w14:paraId="35DDE1CD" w14:textId="1E4F46D2" w:rsidR="00076EBE" w:rsidRPr="00E66064" w:rsidRDefault="00311510" w:rsidP="00E66064">
            <w:pPr>
              <w:spacing w:before="0" w:after="120"/>
              <w:contextualSpacing/>
              <w:jc w:val="left"/>
              <w:rPr>
                <w:rFonts w:cs="Arial"/>
                <w:b/>
                <w:sz w:val="20"/>
                <w:szCs w:val="20"/>
              </w:rPr>
            </w:pPr>
            <w:r w:rsidRPr="00E66064">
              <w:rPr>
                <w:rFonts w:cs="Arial"/>
                <w:bCs/>
                <w:sz w:val="20"/>
                <w:szCs w:val="20"/>
              </w:rPr>
              <w:lastRenderedPageBreak/>
              <w:t>„9c. Po upływie terminu, o którym mowa w ust. 9b, lub w przypadku uzyskania od inwestora informacji o niezrealizowaniu projektowanych sieci uzbrojenia terenu, których usytuowanie było przedmiotem narady koordynacyjnej, dane dotyczące projektowanych sieci zawarte w zbiorze danych, o którym mowa w art. 4 ust. 1a pkt 3, podlegają przeniesieniu do archiwum bazy danych.”</w:t>
            </w:r>
          </w:p>
        </w:tc>
      </w:tr>
      <w:tr w:rsidR="009E705B" w:rsidRPr="00E66064" w14:paraId="6E0E3059" w14:textId="77777777" w:rsidTr="004F4CF5">
        <w:tc>
          <w:tcPr>
            <w:tcW w:w="559" w:type="dxa"/>
            <w:shd w:val="clear" w:color="auto" w:fill="auto"/>
          </w:tcPr>
          <w:p w14:paraId="1284E049" w14:textId="1D2F2B57" w:rsidR="009E705B" w:rsidRPr="00E66064" w:rsidRDefault="00075155" w:rsidP="00E66064">
            <w:pPr>
              <w:spacing w:before="0" w:after="120"/>
              <w:contextualSpacing/>
              <w:jc w:val="center"/>
              <w:rPr>
                <w:rFonts w:cs="Arial"/>
                <w:sz w:val="20"/>
                <w:szCs w:val="20"/>
              </w:rPr>
            </w:pPr>
            <w:r w:rsidRPr="00E66064">
              <w:rPr>
                <w:rFonts w:cs="Arial"/>
                <w:sz w:val="20"/>
                <w:szCs w:val="20"/>
              </w:rPr>
              <w:lastRenderedPageBreak/>
              <w:t>11</w:t>
            </w:r>
            <w:r w:rsidR="006E4EB4" w:rsidRPr="00E66064">
              <w:rPr>
                <w:rFonts w:cs="Arial"/>
                <w:sz w:val="20"/>
                <w:szCs w:val="20"/>
              </w:rPr>
              <w:t>.</w:t>
            </w:r>
          </w:p>
        </w:tc>
        <w:tc>
          <w:tcPr>
            <w:tcW w:w="1563" w:type="dxa"/>
          </w:tcPr>
          <w:p w14:paraId="0E9D1EE6" w14:textId="76C11E13" w:rsidR="009E705B" w:rsidRPr="00E66064" w:rsidRDefault="00AD3ED0" w:rsidP="00E66064">
            <w:pPr>
              <w:spacing w:before="0" w:after="120"/>
              <w:contextualSpacing/>
              <w:jc w:val="center"/>
              <w:rPr>
                <w:rFonts w:cs="Arial"/>
                <w:sz w:val="20"/>
                <w:szCs w:val="20"/>
              </w:rPr>
            </w:pPr>
            <w:r w:rsidRPr="00E66064">
              <w:rPr>
                <w:rFonts w:cs="Arial"/>
                <w:sz w:val="20"/>
                <w:szCs w:val="20"/>
              </w:rPr>
              <w:t>Art. 7</w:t>
            </w:r>
          </w:p>
        </w:tc>
        <w:tc>
          <w:tcPr>
            <w:tcW w:w="1955" w:type="dxa"/>
          </w:tcPr>
          <w:p w14:paraId="3CB710E2" w14:textId="634740D0" w:rsidR="009E705B" w:rsidRPr="00E66064" w:rsidRDefault="00AD3ED0" w:rsidP="00E66064">
            <w:pPr>
              <w:spacing w:before="0" w:after="120"/>
              <w:contextualSpacing/>
              <w:jc w:val="center"/>
              <w:rPr>
                <w:rFonts w:cs="Arial"/>
                <w:sz w:val="20"/>
                <w:szCs w:val="20"/>
              </w:rPr>
            </w:pPr>
            <w:r w:rsidRPr="00E66064">
              <w:rPr>
                <w:rFonts w:cs="Arial"/>
                <w:sz w:val="20"/>
                <w:szCs w:val="20"/>
              </w:rPr>
              <w:t>MKiŚ</w:t>
            </w:r>
          </w:p>
        </w:tc>
        <w:tc>
          <w:tcPr>
            <w:tcW w:w="5812" w:type="dxa"/>
          </w:tcPr>
          <w:p w14:paraId="6A66A751" w14:textId="6D5CF8FF" w:rsidR="009E705B" w:rsidRPr="00E66064" w:rsidRDefault="002776D4" w:rsidP="00E66064">
            <w:pPr>
              <w:spacing w:before="0" w:after="120"/>
              <w:contextualSpacing/>
              <w:rPr>
                <w:rFonts w:cs="Arial"/>
                <w:sz w:val="20"/>
                <w:szCs w:val="20"/>
              </w:rPr>
            </w:pPr>
            <w:r w:rsidRPr="00E66064">
              <w:rPr>
                <w:rFonts w:cs="Arial"/>
                <w:sz w:val="20"/>
                <w:szCs w:val="20"/>
              </w:rPr>
              <w:t>P</w:t>
            </w:r>
            <w:r w:rsidR="009E705B" w:rsidRPr="00E66064">
              <w:rPr>
                <w:rFonts w:cs="Arial"/>
                <w:sz w:val="20"/>
                <w:szCs w:val="20"/>
              </w:rPr>
              <w:t>ostuluje się wykreślenie art. 7</w:t>
            </w:r>
            <w:r w:rsidR="00AD3ED0" w:rsidRPr="00E66064">
              <w:rPr>
                <w:rFonts w:cs="Arial"/>
                <w:sz w:val="20"/>
                <w:szCs w:val="20"/>
              </w:rPr>
              <w:t xml:space="preserve"> </w:t>
            </w:r>
            <w:r w:rsidR="009E705B" w:rsidRPr="00E66064">
              <w:rPr>
                <w:rFonts w:cs="Arial"/>
                <w:sz w:val="20"/>
                <w:szCs w:val="20"/>
              </w:rPr>
              <w:t>ustawy zmieniającej, dotyczącego</w:t>
            </w:r>
            <w:r w:rsidR="00AD3ED0" w:rsidRPr="00E66064">
              <w:rPr>
                <w:rFonts w:cs="Arial"/>
                <w:sz w:val="20"/>
                <w:szCs w:val="20"/>
              </w:rPr>
              <w:t xml:space="preserve"> </w:t>
            </w:r>
            <w:r w:rsidR="009E705B" w:rsidRPr="00E66064">
              <w:rPr>
                <w:rFonts w:cs="Arial"/>
                <w:sz w:val="20"/>
                <w:szCs w:val="20"/>
              </w:rPr>
              <w:t>wprowadzenia zmian w ustawie z dnia 3 lutego</w:t>
            </w:r>
            <w:r w:rsidR="00AD3ED0" w:rsidRPr="00E66064">
              <w:rPr>
                <w:rFonts w:cs="Arial"/>
                <w:sz w:val="20"/>
                <w:szCs w:val="20"/>
              </w:rPr>
              <w:t xml:space="preserve"> </w:t>
            </w:r>
            <w:r w:rsidR="009E705B" w:rsidRPr="00E66064">
              <w:rPr>
                <w:rFonts w:cs="Arial"/>
                <w:sz w:val="20"/>
                <w:szCs w:val="20"/>
              </w:rPr>
              <w:t>1995 r. o ochronie gruntów rolnych i leśnych,</w:t>
            </w:r>
            <w:r w:rsidR="00AD3ED0" w:rsidRPr="00E66064">
              <w:rPr>
                <w:rFonts w:cs="Arial"/>
                <w:sz w:val="20"/>
                <w:szCs w:val="20"/>
              </w:rPr>
              <w:t xml:space="preserve"> </w:t>
            </w:r>
            <w:r w:rsidR="009E705B" w:rsidRPr="00E66064">
              <w:rPr>
                <w:rFonts w:cs="Arial"/>
                <w:sz w:val="20"/>
                <w:szCs w:val="20"/>
              </w:rPr>
              <w:t>z uwagi na fakt, że MKiŚ wraz z MRiRW obecnie</w:t>
            </w:r>
            <w:r w:rsidR="00AD3ED0" w:rsidRPr="00E66064">
              <w:rPr>
                <w:rFonts w:cs="Arial"/>
                <w:sz w:val="20"/>
                <w:szCs w:val="20"/>
              </w:rPr>
              <w:t xml:space="preserve"> </w:t>
            </w:r>
            <w:r w:rsidR="009E705B" w:rsidRPr="00E66064">
              <w:rPr>
                <w:rFonts w:cs="Arial"/>
                <w:sz w:val="20"/>
                <w:szCs w:val="20"/>
              </w:rPr>
              <w:t>pracują nad nowelizacją ustawy o ochronie</w:t>
            </w:r>
            <w:r w:rsidR="00AD3ED0" w:rsidRPr="00E66064">
              <w:rPr>
                <w:rFonts w:cs="Arial"/>
                <w:sz w:val="20"/>
                <w:szCs w:val="20"/>
              </w:rPr>
              <w:t xml:space="preserve"> </w:t>
            </w:r>
            <w:r w:rsidR="009E705B" w:rsidRPr="00E66064">
              <w:rPr>
                <w:rFonts w:cs="Arial"/>
                <w:sz w:val="20"/>
                <w:szCs w:val="20"/>
              </w:rPr>
              <w:t>gruntów leśnych i rolnych. Jedną z</w:t>
            </w:r>
            <w:r w:rsidR="00AD3ED0" w:rsidRPr="00E66064">
              <w:rPr>
                <w:rFonts w:cs="Arial"/>
                <w:sz w:val="20"/>
                <w:szCs w:val="20"/>
              </w:rPr>
              <w:t xml:space="preserve"> </w:t>
            </w:r>
            <w:r w:rsidR="009E705B" w:rsidRPr="00E66064">
              <w:rPr>
                <w:rFonts w:cs="Arial"/>
                <w:sz w:val="20"/>
                <w:szCs w:val="20"/>
              </w:rPr>
              <w:t>projektowanych zmian w ww. ustawie będzie</w:t>
            </w:r>
            <w:r w:rsidR="00AD3ED0" w:rsidRPr="00E66064">
              <w:rPr>
                <w:rFonts w:cs="Arial"/>
                <w:sz w:val="20"/>
                <w:szCs w:val="20"/>
              </w:rPr>
              <w:t xml:space="preserve"> </w:t>
            </w:r>
            <w:r w:rsidR="009E705B" w:rsidRPr="00E66064">
              <w:rPr>
                <w:rFonts w:cs="Arial"/>
                <w:sz w:val="20"/>
                <w:szCs w:val="20"/>
              </w:rPr>
              <w:t>przyznanie Ministrowi Klimatu i Środowiska</w:t>
            </w:r>
            <w:r w:rsidR="00AD3ED0" w:rsidRPr="00E66064">
              <w:rPr>
                <w:rFonts w:cs="Arial"/>
                <w:sz w:val="20"/>
                <w:szCs w:val="20"/>
              </w:rPr>
              <w:t xml:space="preserve"> </w:t>
            </w:r>
            <w:r w:rsidR="009E705B" w:rsidRPr="00E66064">
              <w:rPr>
                <w:rFonts w:cs="Arial"/>
                <w:sz w:val="20"/>
                <w:szCs w:val="20"/>
              </w:rPr>
              <w:t>w zakresie gruntów leśnych oraz Ministrowi</w:t>
            </w:r>
            <w:r w:rsidR="00AD3ED0" w:rsidRPr="00E66064">
              <w:rPr>
                <w:rFonts w:cs="Arial"/>
                <w:sz w:val="20"/>
                <w:szCs w:val="20"/>
              </w:rPr>
              <w:t xml:space="preserve"> </w:t>
            </w:r>
            <w:r w:rsidR="009E705B" w:rsidRPr="00E66064">
              <w:rPr>
                <w:rFonts w:cs="Arial"/>
                <w:sz w:val="20"/>
                <w:szCs w:val="20"/>
              </w:rPr>
              <w:t>Rolnictwa i Rozwoju Wsi w zakresie gruntów</w:t>
            </w:r>
            <w:r w:rsidR="00AD3ED0" w:rsidRPr="00E66064">
              <w:rPr>
                <w:rFonts w:cs="Arial"/>
                <w:sz w:val="20"/>
                <w:szCs w:val="20"/>
              </w:rPr>
              <w:t xml:space="preserve"> </w:t>
            </w:r>
            <w:r w:rsidR="009E705B" w:rsidRPr="00E66064">
              <w:rPr>
                <w:rFonts w:cs="Arial"/>
                <w:sz w:val="20"/>
                <w:szCs w:val="20"/>
              </w:rPr>
              <w:t>rolnych delegacji ustawowej do wydania</w:t>
            </w:r>
            <w:r w:rsidR="00AD3ED0" w:rsidRPr="00E66064">
              <w:rPr>
                <w:rFonts w:cs="Arial"/>
                <w:sz w:val="20"/>
                <w:szCs w:val="20"/>
              </w:rPr>
              <w:t xml:space="preserve"> </w:t>
            </w:r>
            <w:r w:rsidR="009E705B" w:rsidRPr="00E66064">
              <w:rPr>
                <w:rFonts w:cs="Arial"/>
                <w:sz w:val="20"/>
                <w:szCs w:val="20"/>
              </w:rPr>
              <w:t>rozporządzenia w sprawie szczegółowych</w:t>
            </w:r>
            <w:r w:rsidR="00AD3ED0" w:rsidRPr="00E66064">
              <w:rPr>
                <w:rFonts w:cs="Arial"/>
                <w:sz w:val="20"/>
                <w:szCs w:val="20"/>
              </w:rPr>
              <w:t xml:space="preserve"> </w:t>
            </w:r>
            <w:r w:rsidR="009E705B" w:rsidRPr="00E66064">
              <w:rPr>
                <w:rFonts w:cs="Arial"/>
                <w:sz w:val="20"/>
                <w:szCs w:val="20"/>
              </w:rPr>
              <w:t>wymagań dotyczących wniosku o wyłączenie</w:t>
            </w:r>
            <w:r w:rsidR="00AD3ED0" w:rsidRPr="00E66064">
              <w:rPr>
                <w:rFonts w:cs="Arial"/>
                <w:sz w:val="20"/>
                <w:szCs w:val="20"/>
              </w:rPr>
              <w:t xml:space="preserve"> </w:t>
            </w:r>
            <w:r w:rsidR="009E705B" w:rsidRPr="00E66064">
              <w:rPr>
                <w:rFonts w:cs="Arial"/>
                <w:sz w:val="20"/>
                <w:szCs w:val="20"/>
              </w:rPr>
              <w:t>z produkcji gruntów</w:t>
            </w:r>
          </w:p>
          <w:p w14:paraId="560F71D6" w14:textId="10166AE9" w:rsidR="009E705B" w:rsidRPr="00E66064" w:rsidRDefault="009E705B" w:rsidP="00E66064">
            <w:pPr>
              <w:spacing w:before="0" w:after="120"/>
              <w:contextualSpacing/>
              <w:rPr>
                <w:rFonts w:cs="Arial"/>
                <w:sz w:val="20"/>
                <w:szCs w:val="20"/>
              </w:rPr>
            </w:pPr>
            <w:r w:rsidRPr="00E66064">
              <w:rPr>
                <w:rFonts w:cs="Arial"/>
                <w:sz w:val="20"/>
                <w:szCs w:val="20"/>
              </w:rPr>
              <w:t>Postuluje się wykreślenie art. 7 ustawy zmieniającej.</w:t>
            </w:r>
            <w:r w:rsidR="00AD3ED0" w:rsidRPr="00E66064">
              <w:rPr>
                <w:rFonts w:cs="Arial"/>
                <w:sz w:val="20"/>
                <w:szCs w:val="20"/>
              </w:rPr>
              <w:t xml:space="preserve"> </w:t>
            </w:r>
            <w:r w:rsidRPr="00E66064">
              <w:rPr>
                <w:rFonts w:cs="Arial"/>
                <w:sz w:val="20"/>
                <w:szCs w:val="20"/>
              </w:rPr>
              <w:t>W przypadku uwzględnienia niniejszej propozycji uwagi z</w:t>
            </w:r>
            <w:r w:rsidR="00AD3ED0" w:rsidRPr="00E66064">
              <w:rPr>
                <w:rFonts w:cs="Arial"/>
                <w:sz w:val="20"/>
                <w:szCs w:val="20"/>
              </w:rPr>
              <w:t xml:space="preserve"> </w:t>
            </w:r>
            <w:r w:rsidRPr="00E66064">
              <w:rPr>
                <w:rFonts w:cs="Arial"/>
                <w:sz w:val="20"/>
                <w:szCs w:val="20"/>
              </w:rPr>
              <w:t>punktów 2-5 tabeli należy uznać za nieaktualne.</w:t>
            </w:r>
          </w:p>
        </w:tc>
        <w:tc>
          <w:tcPr>
            <w:tcW w:w="3998" w:type="dxa"/>
          </w:tcPr>
          <w:p w14:paraId="6AE3A391" w14:textId="77777777" w:rsidR="001D1E8C" w:rsidRPr="00E66064" w:rsidRDefault="001D1E8C" w:rsidP="00E66064">
            <w:pPr>
              <w:spacing w:before="0" w:after="120"/>
              <w:contextualSpacing/>
              <w:rPr>
                <w:rFonts w:cs="Arial"/>
                <w:b/>
                <w:sz w:val="20"/>
                <w:szCs w:val="20"/>
              </w:rPr>
            </w:pPr>
            <w:r w:rsidRPr="00E66064">
              <w:rPr>
                <w:rFonts w:cs="Arial"/>
                <w:b/>
                <w:sz w:val="20"/>
                <w:szCs w:val="20"/>
              </w:rPr>
              <w:t>U</w:t>
            </w:r>
            <w:r w:rsidR="00600490" w:rsidRPr="00E66064">
              <w:rPr>
                <w:rFonts w:cs="Arial"/>
                <w:b/>
                <w:sz w:val="20"/>
                <w:szCs w:val="20"/>
              </w:rPr>
              <w:t>waga znajduje się poza zakresem właściwości KRMC</w:t>
            </w:r>
            <w:r w:rsidRPr="00E66064">
              <w:rPr>
                <w:rFonts w:cs="Arial"/>
                <w:b/>
                <w:sz w:val="20"/>
                <w:szCs w:val="20"/>
              </w:rPr>
              <w:t>.</w:t>
            </w:r>
            <w:r w:rsidR="00600490" w:rsidRPr="00E66064">
              <w:rPr>
                <w:rFonts w:cs="Arial"/>
                <w:b/>
                <w:sz w:val="20"/>
                <w:szCs w:val="20"/>
              </w:rPr>
              <w:t xml:space="preserve"> </w:t>
            </w:r>
          </w:p>
          <w:p w14:paraId="298F0060" w14:textId="3A06E8E3" w:rsidR="00B136EF" w:rsidRPr="00E66064" w:rsidRDefault="001D1E8C" w:rsidP="00E66064">
            <w:pPr>
              <w:spacing w:before="0" w:after="120"/>
              <w:contextualSpacing/>
              <w:rPr>
                <w:rFonts w:cs="Arial"/>
                <w:sz w:val="20"/>
                <w:szCs w:val="20"/>
              </w:rPr>
            </w:pPr>
            <w:r w:rsidRPr="00E66064">
              <w:rPr>
                <w:rFonts w:cs="Arial"/>
                <w:bCs/>
                <w:sz w:val="20"/>
                <w:szCs w:val="20"/>
              </w:rPr>
              <w:t>N</w:t>
            </w:r>
            <w:r w:rsidR="00600490" w:rsidRPr="00E66064">
              <w:rPr>
                <w:rFonts w:cs="Arial"/>
                <w:bCs/>
                <w:sz w:val="20"/>
                <w:szCs w:val="20"/>
              </w:rPr>
              <w:t>iemniej jednak p</w:t>
            </w:r>
            <w:r w:rsidR="00B136EF" w:rsidRPr="00E66064">
              <w:rPr>
                <w:rFonts w:cs="Arial"/>
                <w:bCs/>
                <w:sz w:val="20"/>
                <w:szCs w:val="20"/>
              </w:rPr>
              <w:t xml:space="preserve">ropozycja wymaga wyjaśnienia z MRiRW. </w:t>
            </w:r>
            <w:r w:rsidR="00B136EF" w:rsidRPr="00E66064">
              <w:rPr>
                <w:rFonts w:cs="Arial"/>
                <w:sz w:val="20"/>
                <w:szCs w:val="20"/>
              </w:rPr>
              <w:t>Zmiany w ustawie o ochronie gruntów rolnych i leśnych zostały wprowadzone na wniosek</w:t>
            </w:r>
            <w:r w:rsidR="003428D0" w:rsidRPr="00E66064">
              <w:rPr>
                <w:rFonts w:cs="Arial"/>
                <w:sz w:val="20"/>
                <w:szCs w:val="20"/>
              </w:rPr>
              <w:t xml:space="preserve"> MRiRW</w:t>
            </w:r>
            <w:r w:rsidR="00B136EF" w:rsidRPr="00E66064">
              <w:rPr>
                <w:rFonts w:cs="Arial"/>
                <w:sz w:val="20"/>
                <w:szCs w:val="20"/>
              </w:rPr>
              <w:t>.</w:t>
            </w:r>
          </w:p>
        </w:tc>
      </w:tr>
      <w:tr w:rsidR="00AD3ED0" w:rsidRPr="00E66064" w14:paraId="6E6C8964" w14:textId="77777777" w:rsidTr="004F4CF5">
        <w:tc>
          <w:tcPr>
            <w:tcW w:w="559" w:type="dxa"/>
            <w:shd w:val="clear" w:color="auto" w:fill="auto"/>
          </w:tcPr>
          <w:p w14:paraId="74896FEA" w14:textId="359E6945" w:rsidR="00AD3ED0" w:rsidRPr="00E66064" w:rsidRDefault="00075155" w:rsidP="00E66064">
            <w:pPr>
              <w:spacing w:before="0" w:after="120"/>
              <w:contextualSpacing/>
              <w:jc w:val="center"/>
              <w:rPr>
                <w:rFonts w:cs="Arial"/>
                <w:sz w:val="20"/>
                <w:szCs w:val="20"/>
              </w:rPr>
            </w:pPr>
            <w:r w:rsidRPr="00E66064">
              <w:rPr>
                <w:rFonts w:cs="Arial"/>
                <w:sz w:val="20"/>
                <w:szCs w:val="20"/>
              </w:rPr>
              <w:t>12</w:t>
            </w:r>
            <w:r w:rsidR="006E4EB4" w:rsidRPr="00E66064">
              <w:rPr>
                <w:rFonts w:cs="Arial"/>
                <w:sz w:val="20"/>
                <w:szCs w:val="20"/>
              </w:rPr>
              <w:t>.</w:t>
            </w:r>
          </w:p>
        </w:tc>
        <w:tc>
          <w:tcPr>
            <w:tcW w:w="1563" w:type="dxa"/>
          </w:tcPr>
          <w:p w14:paraId="5797633C" w14:textId="44237E6C" w:rsidR="00AD3ED0" w:rsidRPr="00E66064" w:rsidRDefault="00AD3ED0" w:rsidP="00E66064">
            <w:pPr>
              <w:spacing w:before="0" w:after="120"/>
              <w:contextualSpacing/>
              <w:jc w:val="center"/>
              <w:rPr>
                <w:rFonts w:cs="Arial"/>
                <w:sz w:val="20"/>
                <w:szCs w:val="20"/>
              </w:rPr>
            </w:pPr>
            <w:r w:rsidRPr="00E66064">
              <w:rPr>
                <w:rFonts w:cs="Arial"/>
                <w:sz w:val="20"/>
                <w:szCs w:val="20"/>
              </w:rPr>
              <w:t>Art. 7</w:t>
            </w:r>
          </w:p>
        </w:tc>
        <w:tc>
          <w:tcPr>
            <w:tcW w:w="1955" w:type="dxa"/>
          </w:tcPr>
          <w:p w14:paraId="65C6DF1E" w14:textId="20B5C4BC" w:rsidR="00AD3ED0" w:rsidRPr="00E66064" w:rsidRDefault="00AD3ED0" w:rsidP="00E66064">
            <w:pPr>
              <w:spacing w:before="0" w:after="120"/>
              <w:contextualSpacing/>
              <w:jc w:val="center"/>
              <w:rPr>
                <w:rFonts w:cs="Arial"/>
                <w:sz w:val="20"/>
                <w:szCs w:val="20"/>
              </w:rPr>
            </w:pPr>
            <w:r w:rsidRPr="00E66064">
              <w:rPr>
                <w:rFonts w:cs="Arial"/>
                <w:sz w:val="20"/>
                <w:szCs w:val="20"/>
              </w:rPr>
              <w:t>MKiŚ</w:t>
            </w:r>
          </w:p>
        </w:tc>
        <w:tc>
          <w:tcPr>
            <w:tcW w:w="5812" w:type="dxa"/>
          </w:tcPr>
          <w:p w14:paraId="7A7403B3" w14:textId="22C94507" w:rsidR="00AD3ED0" w:rsidRPr="00E66064" w:rsidRDefault="00AD3ED0" w:rsidP="00E66064">
            <w:pPr>
              <w:spacing w:before="0" w:after="120"/>
              <w:contextualSpacing/>
              <w:rPr>
                <w:rFonts w:cs="Arial"/>
                <w:sz w:val="20"/>
                <w:szCs w:val="20"/>
              </w:rPr>
            </w:pPr>
            <w:r w:rsidRPr="00E66064">
              <w:rPr>
                <w:rFonts w:cs="Arial"/>
                <w:sz w:val="20"/>
                <w:szCs w:val="20"/>
              </w:rPr>
              <w:t>Naniesienie projektu zagospodarowania działki lub terenu albo planu sytuacyjnego, w rozumieniu ustawy z dnia 7 lipca 1994 r. – Prawo budowlane lub w przypadku gdy nie jest sporządzany projekt zagospodarowania działki lub terenu albo plan sytuacyjny, szkicu zagospodarowania działki lub terenu na mapę zasadniczą pozwoli uzyskać pełen obraz obiektów podlegających wyłączeniu oraz umożliwi szczegółową weryfikację wniosku pod względem obszaru przeznaczonego do faktycznego wyłączenia</w:t>
            </w:r>
            <w:r w:rsidR="002776D4" w:rsidRPr="00E66064">
              <w:rPr>
                <w:rFonts w:cs="Arial"/>
                <w:sz w:val="20"/>
                <w:szCs w:val="20"/>
              </w:rPr>
              <w:t>.</w:t>
            </w:r>
          </w:p>
          <w:p w14:paraId="12AD1B00" w14:textId="194F5D06" w:rsidR="00AD3ED0" w:rsidRPr="00E66064" w:rsidRDefault="00AD3ED0" w:rsidP="00E66064">
            <w:pPr>
              <w:spacing w:before="0" w:after="120"/>
              <w:contextualSpacing/>
              <w:rPr>
                <w:rFonts w:cs="Arial"/>
                <w:sz w:val="20"/>
                <w:szCs w:val="20"/>
              </w:rPr>
            </w:pPr>
            <w:r w:rsidRPr="00E66064">
              <w:rPr>
                <w:rFonts w:cs="Arial"/>
                <w:sz w:val="20"/>
                <w:szCs w:val="20"/>
              </w:rPr>
              <w:t>Postuluje się art. 11 ust. 4c pkt 1 ustawy o ochronie gruntów rolnych i leśnych nadać następujące brzmienie:</w:t>
            </w:r>
          </w:p>
          <w:p w14:paraId="196A7870" w14:textId="1C0C0AE4" w:rsidR="00AD3ED0" w:rsidRPr="00E66064" w:rsidRDefault="00AD3ED0" w:rsidP="00E66064">
            <w:pPr>
              <w:spacing w:before="0" w:after="120"/>
              <w:contextualSpacing/>
              <w:rPr>
                <w:rFonts w:cs="Arial"/>
                <w:sz w:val="20"/>
                <w:szCs w:val="20"/>
              </w:rPr>
            </w:pPr>
            <w:r w:rsidRPr="00E66064">
              <w:rPr>
                <w:rFonts w:cs="Arial"/>
                <w:sz w:val="20"/>
                <w:szCs w:val="20"/>
              </w:rPr>
              <w:t xml:space="preserve">„1) w przypadku inwestycji realizowanych na podstawie przepisów ustawy z dnia 7 lipca 1994 r. – Prawo budowlane: szczegółowy projekt zagospodarowania działki lub terenu albo plan sytuacyjny, w rozumieniu ustawy z dnia 7 lipca 1994 r. – </w:t>
            </w:r>
            <w:r w:rsidRPr="00E66064">
              <w:rPr>
                <w:rFonts w:cs="Arial"/>
                <w:sz w:val="20"/>
                <w:szCs w:val="20"/>
              </w:rPr>
              <w:lastRenderedPageBreak/>
              <w:t>Prawo budowlane lub w przypadku gdy nie jest sporządzany projekt zagospodarowania działki lub terenu albo plan sytuacyjny, szkic zagospodarowania działki lub terenu naniesiony na mapę zasadniczą, obejmujący określenie granic działki lub terenu, usytuowanie, obrys i układy istniejących i projektowanych obiektów budowlanych, w tym sieci uzbrojenia terenu, oraz urządzeń budowlanych sytuowanych poza obiektami budowlanymi, układ komunikacyjny i układ zieleni, ze wskazaniem charakterystycznych elementów, wymiarów, rzędnych i wzajemnych odległości obiektów, w nawiązaniu do istniejącej i projektowanej zabudowy terenów sąsiednich, informację o obszarze oddziaływania obiektu;”</w:t>
            </w:r>
            <w:r w:rsidR="00DC765A" w:rsidRPr="00E66064">
              <w:rPr>
                <w:rFonts w:cs="Arial"/>
                <w:sz w:val="20"/>
                <w:szCs w:val="20"/>
              </w:rPr>
              <w:t>.</w:t>
            </w:r>
          </w:p>
        </w:tc>
        <w:tc>
          <w:tcPr>
            <w:tcW w:w="3998" w:type="dxa"/>
          </w:tcPr>
          <w:p w14:paraId="1D6CD36E" w14:textId="6BFE000A" w:rsidR="001D1E8C" w:rsidRPr="00E66064" w:rsidRDefault="001D1E8C" w:rsidP="00E66064">
            <w:pPr>
              <w:spacing w:before="0" w:after="120"/>
              <w:contextualSpacing/>
              <w:rPr>
                <w:rFonts w:cs="Arial"/>
                <w:b/>
                <w:sz w:val="20"/>
                <w:szCs w:val="20"/>
              </w:rPr>
            </w:pPr>
            <w:r w:rsidRPr="00E66064">
              <w:rPr>
                <w:rFonts w:cs="Arial"/>
                <w:b/>
                <w:sz w:val="20"/>
                <w:szCs w:val="20"/>
              </w:rPr>
              <w:lastRenderedPageBreak/>
              <w:t>U</w:t>
            </w:r>
            <w:r w:rsidR="003428D0" w:rsidRPr="00E66064">
              <w:rPr>
                <w:rFonts w:cs="Arial"/>
                <w:b/>
                <w:sz w:val="20"/>
                <w:szCs w:val="20"/>
              </w:rPr>
              <w:t>waga znajduje się poza zakresem właściwości KRMC</w:t>
            </w:r>
            <w:r w:rsidRPr="00E66064">
              <w:rPr>
                <w:rFonts w:cs="Arial"/>
                <w:b/>
                <w:sz w:val="20"/>
                <w:szCs w:val="20"/>
              </w:rPr>
              <w:t>.</w:t>
            </w:r>
          </w:p>
          <w:p w14:paraId="249B21CD" w14:textId="72F7EFAF" w:rsidR="007F25B7" w:rsidRPr="00E66064" w:rsidRDefault="001D1E8C" w:rsidP="00E66064">
            <w:pPr>
              <w:spacing w:before="0" w:after="120"/>
              <w:contextualSpacing/>
              <w:rPr>
                <w:rFonts w:cs="Arial"/>
                <w:bCs/>
                <w:sz w:val="20"/>
                <w:szCs w:val="20"/>
              </w:rPr>
            </w:pPr>
            <w:r w:rsidRPr="00E66064">
              <w:rPr>
                <w:rFonts w:cs="Arial"/>
                <w:bCs/>
                <w:sz w:val="20"/>
                <w:szCs w:val="20"/>
              </w:rPr>
              <w:t>Niemniej jednak propozycja wymaga wyjaśnienia z MRiRW. Zmiany w ustawie o ochronie gruntów rolnych i leśnych zostały wprowadzone na wniosek MRiRW</w:t>
            </w:r>
          </w:p>
        </w:tc>
      </w:tr>
      <w:tr w:rsidR="00AD3ED0" w:rsidRPr="00E66064" w14:paraId="3E87F3F5" w14:textId="77777777" w:rsidTr="004F4CF5">
        <w:tc>
          <w:tcPr>
            <w:tcW w:w="559" w:type="dxa"/>
            <w:shd w:val="clear" w:color="auto" w:fill="auto"/>
          </w:tcPr>
          <w:p w14:paraId="15304F33" w14:textId="19394C8B" w:rsidR="00AD3ED0" w:rsidRPr="00E66064" w:rsidRDefault="00B136EF" w:rsidP="00E66064">
            <w:pPr>
              <w:spacing w:before="0" w:after="120"/>
              <w:contextualSpacing/>
              <w:jc w:val="center"/>
              <w:rPr>
                <w:rFonts w:cs="Arial"/>
                <w:sz w:val="20"/>
                <w:szCs w:val="20"/>
              </w:rPr>
            </w:pPr>
            <w:r w:rsidRPr="00E66064">
              <w:rPr>
                <w:rFonts w:cs="Arial"/>
                <w:sz w:val="20"/>
                <w:szCs w:val="20"/>
              </w:rPr>
              <w:t>13</w:t>
            </w:r>
            <w:r w:rsidR="006E4EB4" w:rsidRPr="00E66064">
              <w:rPr>
                <w:rFonts w:cs="Arial"/>
                <w:sz w:val="20"/>
                <w:szCs w:val="20"/>
              </w:rPr>
              <w:t>.</w:t>
            </w:r>
          </w:p>
        </w:tc>
        <w:tc>
          <w:tcPr>
            <w:tcW w:w="1563" w:type="dxa"/>
          </w:tcPr>
          <w:p w14:paraId="795B236D" w14:textId="1AEA957B" w:rsidR="00AD3ED0" w:rsidRPr="00E66064" w:rsidRDefault="00AD3ED0" w:rsidP="00E66064">
            <w:pPr>
              <w:spacing w:before="0" w:after="120"/>
              <w:contextualSpacing/>
              <w:jc w:val="center"/>
              <w:rPr>
                <w:rFonts w:cs="Arial"/>
                <w:sz w:val="20"/>
                <w:szCs w:val="20"/>
              </w:rPr>
            </w:pPr>
            <w:r w:rsidRPr="00E66064">
              <w:rPr>
                <w:rFonts w:cs="Arial"/>
                <w:sz w:val="20"/>
                <w:szCs w:val="20"/>
              </w:rPr>
              <w:t>Art. 7</w:t>
            </w:r>
          </w:p>
        </w:tc>
        <w:tc>
          <w:tcPr>
            <w:tcW w:w="1955" w:type="dxa"/>
          </w:tcPr>
          <w:p w14:paraId="386B0CE0" w14:textId="3475512C" w:rsidR="00AD3ED0" w:rsidRPr="00E66064" w:rsidRDefault="00AD3ED0" w:rsidP="00E66064">
            <w:pPr>
              <w:spacing w:before="0" w:after="120"/>
              <w:contextualSpacing/>
              <w:jc w:val="center"/>
              <w:rPr>
                <w:rFonts w:cs="Arial"/>
                <w:sz w:val="20"/>
                <w:szCs w:val="20"/>
              </w:rPr>
            </w:pPr>
            <w:r w:rsidRPr="00E66064">
              <w:rPr>
                <w:rFonts w:cs="Arial"/>
                <w:sz w:val="20"/>
                <w:szCs w:val="20"/>
              </w:rPr>
              <w:t>MKiŚ</w:t>
            </w:r>
          </w:p>
        </w:tc>
        <w:tc>
          <w:tcPr>
            <w:tcW w:w="5812" w:type="dxa"/>
          </w:tcPr>
          <w:p w14:paraId="7EA1F24C" w14:textId="0D512C76" w:rsidR="00AD3ED0" w:rsidRPr="00E66064" w:rsidRDefault="00AD3ED0" w:rsidP="00E66064">
            <w:pPr>
              <w:spacing w:before="0" w:after="120"/>
              <w:contextualSpacing/>
              <w:rPr>
                <w:rFonts w:cs="Arial"/>
                <w:sz w:val="20"/>
                <w:szCs w:val="20"/>
              </w:rPr>
            </w:pPr>
            <w:r w:rsidRPr="00E66064">
              <w:rPr>
                <w:rFonts w:cs="Arial"/>
                <w:sz w:val="20"/>
                <w:szCs w:val="20"/>
              </w:rPr>
              <w:t>Informacje zawarte w planie urządzania lasu,</w:t>
            </w:r>
            <w:r w:rsidR="00942B29" w:rsidRPr="00E66064">
              <w:rPr>
                <w:rFonts w:cs="Arial"/>
                <w:sz w:val="20"/>
                <w:szCs w:val="20"/>
              </w:rPr>
              <w:t xml:space="preserve"> </w:t>
            </w:r>
            <w:r w:rsidRPr="00E66064">
              <w:rPr>
                <w:rFonts w:cs="Arial"/>
                <w:sz w:val="20"/>
                <w:szCs w:val="20"/>
              </w:rPr>
              <w:t>uproszczonym planie urządzania lasu albo</w:t>
            </w:r>
            <w:r w:rsidR="00942B29" w:rsidRPr="00E66064">
              <w:rPr>
                <w:rFonts w:cs="Arial"/>
                <w:sz w:val="20"/>
                <w:szCs w:val="20"/>
              </w:rPr>
              <w:t xml:space="preserve"> </w:t>
            </w:r>
            <w:r w:rsidRPr="00E66064">
              <w:rPr>
                <w:rFonts w:cs="Arial"/>
                <w:sz w:val="20"/>
                <w:szCs w:val="20"/>
              </w:rPr>
              <w:t>decyzji, o której mowa w art. 19 ust. 3 ustawy</w:t>
            </w:r>
            <w:r w:rsidR="00942B29" w:rsidRPr="00E66064">
              <w:rPr>
                <w:rFonts w:cs="Arial"/>
                <w:sz w:val="20"/>
                <w:szCs w:val="20"/>
              </w:rPr>
              <w:t xml:space="preserve"> </w:t>
            </w:r>
            <w:r w:rsidRPr="00E66064">
              <w:rPr>
                <w:rFonts w:cs="Arial"/>
                <w:sz w:val="20"/>
                <w:szCs w:val="20"/>
              </w:rPr>
              <w:t>o lasach, a w przypadku ich braku w opisie</w:t>
            </w:r>
            <w:r w:rsidR="00942B29" w:rsidRPr="00E66064">
              <w:rPr>
                <w:rFonts w:cs="Arial"/>
                <w:sz w:val="20"/>
                <w:szCs w:val="20"/>
              </w:rPr>
              <w:t xml:space="preserve"> </w:t>
            </w:r>
            <w:r w:rsidRPr="00E66064">
              <w:rPr>
                <w:rFonts w:cs="Arial"/>
                <w:sz w:val="20"/>
                <w:szCs w:val="20"/>
              </w:rPr>
              <w:t>taksacyjnym, wraz z informacją o ochronności,</w:t>
            </w:r>
            <w:r w:rsidR="00942B29" w:rsidRPr="00E66064">
              <w:rPr>
                <w:rFonts w:cs="Arial"/>
                <w:sz w:val="20"/>
                <w:szCs w:val="20"/>
              </w:rPr>
              <w:t xml:space="preserve"> </w:t>
            </w:r>
            <w:r w:rsidRPr="00E66064">
              <w:rPr>
                <w:rFonts w:cs="Arial"/>
                <w:sz w:val="20"/>
                <w:szCs w:val="20"/>
              </w:rPr>
              <w:t>są niezbędne w celu naliczenia należności</w:t>
            </w:r>
            <w:r w:rsidR="00942B29" w:rsidRPr="00E66064">
              <w:rPr>
                <w:rFonts w:cs="Arial"/>
                <w:sz w:val="20"/>
                <w:szCs w:val="20"/>
              </w:rPr>
              <w:t xml:space="preserve"> </w:t>
            </w:r>
            <w:r w:rsidRPr="00E66064">
              <w:rPr>
                <w:rFonts w:cs="Arial"/>
                <w:sz w:val="20"/>
                <w:szCs w:val="20"/>
              </w:rPr>
              <w:t>i opłat z tytułu wyłączenia gruntów z produkcji</w:t>
            </w:r>
            <w:r w:rsidR="00942B29" w:rsidRPr="00E66064">
              <w:rPr>
                <w:rFonts w:cs="Arial"/>
                <w:sz w:val="20"/>
                <w:szCs w:val="20"/>
              </w:rPr>
              <w:t xml:space="preserve"> </w:t>
            </w:r>
            <w:r w:rsidRPr="00E66064">
              <w:rPr>
                <w:rFonts w:cs="Arial"/>
                <w:sz w:val="20"/>
                <w:szCs w:val="20"/>
              </w:rPr>
              <w:t>oraz jednorazowego odszkodowania za</w:t>
            </w:r>
            <w:r w:rsidR="00942B29" w:rsidRPr="00E66064">
              <w:rPr>
                <w:rFonts w:cs="Arial"/>
                <w:sz w:val="20"/>
                <w:szCs w:val="20"/>
              </w:rPr>
              <w:t xml:space="preserve"> </w:t>
            </w:r>
            <w:r w:rsidRPr="00E66064">
              <w:rPr>
                <w:rFonts w:cs="Arial"/>
                <w:sz w:val="20"/>
                <w:szCs w:val="20"/>
              </w:rPr>
              <w:t>przedwczesny wyrąb drzewostanu.</w:t>
            </w:r>
          </w:p>
          <w:p w14:paraId="7DD9C603" w14:textId="029426C2" w:rsidR="00AD3ED0" w:rsidRPr="00E66064" w:rsidRDefault="00AD3ED0" w:rsidP="00E66064">
            <w:pPr>
              <w:spacing w:before="0" w:after="120"/>
              <w:contextualSpacing/>
              <w:rPr>
                <w:rFonts w:cs="Arial"/>
                <w:sz w:val="20"/>
                <w:szCs w:val="20"/>
              </w:rPr>
            </w:pPr>
            <w:r w:rsidRPr="00E66064">
              <w:rPr>
                <w:rFonts w:cs="Arial"/>
                <w:sz w:val="20"/>
                <w:szCs w:val="20"/>
              </w:rPr>
              <w:t>Postuluje się w art. 11 ust. 4c pkt 4 ustawy o ochronie</w:t>
            </w:r>
            <w:r w:rsidR="00942B29" w:rsidRPr="00E66064">
              <w:rPr>
                <w:rFonts w:cs="Arial"/>
                <w:sz w:val="20"/>
                <w:szCs w:val="20"/>
              </w:rPr>
              <w:t xml:space="preserve"> </w:t>
            </w:r>
            <w:r w:rsidRPr="00E66064">
              <w:rPr>
                <w:rFonts w:cs="Arial"/>
                <w:sz w:val="20"/>
                <w:szCs w:val="20"/>
              </w:rPr>
              <w:t>gruntów rolnych i leśnych kropkę zastąpić średnikiem</w:t>
            </w:r>
            <w:r w:rsidR="00942B29" w:rsidRPr="00E66064">
              <w:rPr>
                <w:rFonts w:cs="Arial"/>
                <w:sz w:val="20"/>
                <w:szCs w:val="20"/>
              </w:rPr>
              <w:t xml:space="preserve"> </w:t>
            </w:r>
            <w:r w:rsidRPr="00E66064">
              <w:rPr>
                <w:rFonts w:cs="Arial"/>
                <w:sz w:val="20"/>
                <w:szCs w:val="20"/>
              </w:rPr>
              <w:t>i dodanie pkt 5 w brzmieniu: „5) plan urządzania lasu,</w:t>
            </w:r>
            <w:r w:rsidR="00942B29" w:rsidRPr="00E66064">
              <w:rPr>
                <w:rFonts w:cs="Arial"/>
                <w:sz w:val="20"/>
                <w:szCs w:val="20"/>
              </w:rPr>
              <w:t xml:space="preserve"> </w:t>
            </w:r>
            <w:r w:rsidRPr="00E66064">
              <w:rPr>
                <w:rFonts w:cs="Arial"/>
                <w:sz w:val="20"/>
                <w:szCs w:val="20"/>
              </w:rPr>
              <w:t>uproszczony plan urządzania lasu albo decyzja, o której mowa</w:t>
            </w:r>
            <w:r w:rsidR="00942B29" w:rsidRPr="00E66064">
              <w:rPr>
                <w:rFonts w:cs="Arial"/>
                <w:sz w:val="20"/>
                <w:szCs w:val="20"/>
              </w:rPr>
              <w:t xml:space="preserve"> </w:t>
            </w:r>
            <w:r w:rsidRPr="00E66064">
              <w:rPr>
                <w:rFonts w:cs="Arial"/>
                <w:sz w:val="20"/>
                <w:szCs w:val="20"/>
              </w:rPr>
              <w:t>w art. 19 ust. 3 ustawy o lasach w zakresie działki lub terenu</w:t>
            </w:r>
            <w:r w:rsidR="00942B29" w:rsidRPr="00E66064">
              <w:rPr>
                <w:rFonts w:cs="Arial"/>
                <w:sz w:val="20"/>
                <w:szCs w:val="20"/>
              </w:rPr>
              <w:t xml:space="preserve"> </w:t>
            </w:r>
            <w:r w:rsidRPr="00E66064">
              <w:rPr>
                <w:rFonts w:cs="Arial"/>
                <w:sz w:val="20"/>
                <w:szCs w:val="20"/>
              </w:rPr>
              <w:t>objętego wnioskiem, a w przypadku ich braku opis taksacyjny</w:t>
            </w:r>
            <w:r w:rsidR="00942B29" w:rsidRPr="00E66064">
              <w:rPr>
                <w:rFonts w:cs="Arial"/>
                <w:sz w:val="20"/>
                <w:szCs w:val="20"/>
              </w:rPr>
              <w:t xml:space="preserve"> </w:t>
            </w:r>
            <w:r w:rsidRPr="00E66064">
              <w:rPr>
                <w:rFonts w:cs="Arial"/>
                <w:sz w:val="20"/>
                <w:szCs w:val="20"/>
              </w:rPr>
              <w:t>wraz z informacją o ochronności;”</w:t>
            </w:r>
            <w:r w:rsidR="002776D4" w:rsidRPr="00E66064">
              <w:rPr>
                <w:rFonts w:cs="Arial"/>
                <w:sz w:val="20"/>
                <w:szCs w:val="20"/>
              </w:rPr>
              <w:t>.</w:t>
            </w:r>
          </w:p>
        </w:tc>
        <w:tc>
          <w:tcPr>
            <w:tcW w:w="3998" w:type="dxa"/>
          </w:tcPr>
          <w:p w14:paraId="50751FF3" w14:textId="77777777" w:rsidR="001D1E8C" w:rsidRPr="00E66064" w:rsidRDefault="001D1E8C" w:rsidP="00E66064">
            <w:pPr>
              <w:spacing w:before="0" w:after="120"/>
              <w:contextualSpacing/>
              <w:rPr>
                <w:rFonts w:cs="Arial"/>
                <w:b/>
                <w:sz w:val="20"/>
                <w:szCs w:val="20"/>
              </w:rPr>
            </w:pPr>
            <w:r w:rsidRPr="00E66064">
              <w:rPr>
                <w:rFonts w:cs="Arial"/>
                <w:b/>
                <w:sz w:val="20"/>
                <w:szCs w:val="20"/>
              </w:rPr>
              <w:t>U</w:t>
            </w:r>
            <w:r w:rsidR="003428D0" w:rsidRPr="00E66064">
              <w:rPr>
                <w:rFonts w:cs="Arial"/>
                <w:b/>
                <w:sz w:val="20"/>
                <w:szCs w:val="20"/>
              </w:rPr>
              <w:t>waga znajduje się poza zakresem właściwości KRMC</w:t>
            </w:r>
            <w:r w:rsidRPr="00E66064">
              <w:rPr>
                <w:rFonts w:cs="Arial"/>
                <w:b/>
                <w:sz w:val="20"/>
                <w:szCs w:val="20"/>
              </w:rPr>
              <w:t>.</w:t>
            </w:r>
            <w:r w:rsidR="003428D0" w:rsidRPr="00E66064">
              <w:rPr>
                <w:rFonts w:cs="Arial"/>
                <w:b/>
                <w:sz w:val="20"/>
                <w:szCs w:val="20"/>
              </w:rPr>
              <w:t xml:space="preserve"> </w:t>
            </w:r>
          </w:p>
          <w:p w14:paraId="268E5CB9" w14:textId="385793C8" w:rsidR="007F25B7" w:rsidRPr="00E66064" w:rsidRDefault="001D1E8C" w:rsidP="00E66064">
            <w:pPr>
              <w:spacing w:before="0" w:after="120"/>
              <w:contextualSpacing/>
              <w:rPr>
                <w:rFonts w:cs="Arial"/>
                <w:sz w:val="20"/>
                <w:szCs w:val="20"/>
              </w:rPr>
            </w:pPr>
            <w:r w:rsidRPr="00E66064">
              <w:rPr>
                <w:rFonts w:cs="Arial"/>
                <w:bCs/>
                <w:sz w:val="20"/>
                <w:szCs w:val="20"/>
              </w:rPr>
              <w:t>N</w:t>
            </w:r>
            <w:r w:rsidR="003428D0" w:rsidRPr="00E66064">
              <w:rPr>
                <w:rFonts w:cs="Arial"/>
                <w:bCs/>
                <w:sz w:val="20"/>
                <w:szCs w:val="20"/>
              </w:rPr>
              <w:t>iemniej jednak propozycja wymaga wyjaśnienia z MRiRW. Zmiany w ustawie o ochronie gruntów rolnych i leśnych zostały wprowadzone na wniosek MRiRW</w:t>
            </w:r>
            <w:r w:rsidR="003428D0" w:rsidRPr="00E66064">
              <w:rPr>
                <w:rFonts w:cs="Arial"/>
                <w:b/>
                <w:sz w:val="20"/>
                <w:szCs w:val="20"/>
              </w:rPr>
              <w:t>.</w:t>
            </w:r>
          </w:p>
        </w:tc>
      </w:tr>
      <w:tr w:rsidR="00942B29" w:rsidRPr="00E66064" w14:paraId="437EDA88" w14:textId="77777777" w:rsidTr="004F4CF5">
        <w:tc>
          <w:tcPr>
            <w:tcW w:w="559" w:type="dxa"/>
            <w:shd w:val="clear" w:color="auto" w:fill="auto"/>
          </w:tcPr>
          <w:p w14:paraId="0D1989FE" w14:textId="463A271E" w:rsidR="00942B29" w:rsidRPr="00E66064" w:rsidRDefault="00B136EF" w:rsidP="00E66064">
            <w:pPr>
              <w:spacing w:before="0" w:after="120"/>
              <w:contextualSpacing/>
              <w:jc w:val="center"/>
              <w:rPr>
                <w:rFonts w:cs="Arial"/>
                <w:sz w:val="20"/>
                <w:szCs w:val="20"/>
              </w:rPr>
            </w:pPr>
            <w:r w:rsidRPr="00E66064">
              <w:rPr>
                <w:rFonts w:cs="Arial"/>
                <w:sz w:val="20"/>
                <w:szCs w:val="20"/>
              </w:rPr>
              <w:t>14</w:t>
            </w:r>
            <w:r w:rsidR="006E4EB4" w:rsidRPr="00E66064">
              <w:rPr>
                <w:rFonts w:cs="Arial"/>
                <w:sz w:val="20"/>
                <w:szCs w:val="20"/>
              </w:rPr>
              <w:t>.</w:t>
            </w:r>
          </w:p>
        </w:tc>
        <w:tc>
          <w:tcPr>
            <w:tcW w:w="1563" w:type="dxa"/>
          </w:tcPr>
          <w:p w14:paraId="27CF9078" w14:textId="23188ABA" w:rsidR="00942B29" w:rsidRPr="00E66064" w:rsidRDefault="00942B29" w:rsidP="00E66064">
            <w:pPr>
              <w:spacing w:before="0" w:after="120"/>
              <w:contextualSpacing/>
              <w:jc w:val="center"/>
              <w:rPr>
                <w:rFonts w:cs="Arial"/>
                <w:sz w:val="20"/>
                <w:szCs w:val="20"/>
              </w:rPr>
            </w:pPr>
            <w:r w:rsidRPr="00E66064">
              <w:rPr>
                <w:rFonts w:cs="Arial"/>
                <w:sz w:val="20"/>
                <w:szCs w:val="20"/>
              </w:rPr>
              <w:t>Art. 7</w:t>
            </w:r>
          </w:p>
        </w:tc>
        <w:tc>
          <w:tcPr>
            <w:tcW w:w="1955" w:type="dxa"/>
          </w:tcPr>
          <w:p w14:paraId="60E61219" w14:textId="7F8ED736" w:rsidR="00942B29" w:rsidRPr="00E66064" w:rsidRDefault="00942B29" w:rsidP="00E66064">
            <w:pPr>
              <w:spacing w:before="0" w:after="120"/>
              <w:contextualSpacing/>
              <w:jc w:val="center"/>
              <w:rPr>
                <w:rFonts w:cs="Arial"/>
                <w:sz w:val="20"/>
                <w:szCs w:val="20"/>
              </w:rPr>
            </w:pPr>
            <w:r w:rsidRPr="00E66064">
              <w:rPr>
                <w:rFonts w:cs="Arial"/>
                <w:sz w:val="20"/>
                <w:szCs w:val="20"/>
              </w:rPr>
              <w:t>MKiŚ</w:t>
            </w:r>
          </w:p>
        </w:tc>
        <w:tc>
          <w:tcPr>
            <w:tcW w:w="5812" w:type="dxa"/>
          </w:tcPr>
          <w:p w14:paraId="7836BD68" w14:textId="5F8EF491" w:rsidR="00942B29" w:rsidRPr="00E66064" w:rsidRDefault="00942B29" w:rsidP="00E66064">
            <w:pPr>
              <w:spacing w:before="0" w:after="120"/>
              <w:contextualSpacing/>
              <w:rPr>
                <w:rFonts w:cs="Arial"/>
                <w:sz w:val="20"/>
                <w:szCs w:val="20"/>
              </w:rPr>
            </w:pPr>
            <w:r w:rsidRPr="00E66064">
              <w:rPr>
                <w:rFonts w:cs="Arial"/>
                <w:sz w:val="20"/>
                <w:szCs w:val="20"/>
              </w:rPr>
              <w:t>Powszechnie przyjęte orzecznictwo sądowe stanowi, że przy ustalaniu czy dany teren stanowi las czy nie stanowi lasu, w pierwszej kolejności należy odnieść się do ewidencji gruntów. Zatem wypis z ewidencji gruntów i budynków dla działki wraz z wyrysem z mapy ewidencyjnej z wyszczególnioną granicą użytków gruntowych, jest niezbędny do ustalenia, czy wnioskowany grunt jest gruntem leśnym.</w:t>
            </w:r>
          </w:p>
          <w:p w14:paraId="7551465C" w14:textId="089F9EBF" w:rsidR="00942B29" w:rsidRPr="00E66064" w:rsidRDefault="00942B29" w:rsidP="00E66064">
            <w:pPr>
              <w:spacing w:before="0" w:after="120"/>
              <w:contextualSpacing/>
              <w:rPr>
                <w:rFonts w:cs="Arial"/>
                <w:sz w:val="20"/>
                <w:szCs w:val="20"/>
              </w:rPr>
            </w:pPr>
            <w:r w:rsidRPr="00E66064">
              <w:rPr>
                <w:rFonts w:cs="Arial"/>
                <w:sz w:val="20"/>
                <w:szCs w:val="20"/>
              </w:rPr>
              <w:t>Postuluje się w art. 11 ust. 4c ustawy o ochronie gruntów rolnych i leśnych dodać pkt 6 w brzmieniu: „6) wypis z ewidencji gruntów i budynków dla działki wraz z wyrysem z mapy ewidencyjnej z wyszczególniona granicą użytków gruntowych.”</w:t>
            </w:r>
            <w:r w:rsidR="002776D4" w:rsidRPr="00E66064">
              <w:rPr>
                <w:rFonts w:cs="Arial"/>
                <w:sz w:val="20"/>
                <w:szCs w:val="20"/>
              </w:rPr>
              <w:t>.</w:t>
            </w:r>
          </w:p>
        </w:tc>
        <w:tc>
          <w:tcPr>
            <w:tcW w:w="3998" w:type="dxa"/>
          </w:tcPr>
          <w:p w14:paraId="2570745B" w14:textId="77777777" w:rsidR="001D1E8C" w:rsidRPr="00E66064" w:rsidRDefault="001D1E8C" w:rsidP="00E66064">
            <w:pPr>
              <w:spacing w:before="0" w:after="120"/>
              <w:contextualSpacing/>
              <w:rPr>
                <w:rFonts w:cs="Arial"/>
                <w:b/>
                <w:sz w:val="20"/>
                <w:szCs w:val="20"/>
              </w:rPr>
            </w:pPr>
            <w:r w:rsidRPr="00E66064">
              <w:rPr>
                <w:rFonts w:cs="Arial"/>
                <w:b/>
                <w:sz w:val="20"/>
                <w:szCs w:val="20"/>
              </w:rPr>
              <w:t>U</w:t>
            </w:r>
            <w:r w:rsidR="003428D0" w:rsidRPr="00E66064">
              <w:rPr>
                <w:rFonts w:cs="Arial"/>
                <w:b/>
                <w:sz w:val="20"/>
                <w:szCs w:val="20"/>
              </w:rPr>
              <w:t>waga znajduje się poza zakresem właściwości KRMC</w:t>
            </w:r>
            <w:r w:rsidRPr="00E66064">
              <w:rPr>
                <w:rFonts w:cs="Arial"/>
                <w:b/>
                <w:sz w:val="20"/>
                <w:szCs w:val="20"/>
              </w:rPr>
              <w:t>.</w:t>
            </w:r>
          </w:p>
          <w:p w14:paraId="185AEE3C" w14:textId="2121C98D" w:rsidR="003428D0" w:rsidRPr="00E66064" w:rsidRDefault="001D1E8C" w:rsidP="00E66064">
            <w:pPr>
              <w:spacing w:before="0" w:after="120"/>
              <w:contextualSpacing/>
              <w:rPr>
                <w:rFonts w:cs="Arial"/>
                <w:bCs/>
                <w:sz w:val="20"/>
                <w:szCs w:val="20"/>
              </w:rPr>
            </w:pPr>
            <w:r w:rsidRPr="00E66064">
              <w:rPr>
                <w:rFonts w:cs="Arial"/>
                <w:bCs/>
                <w:sz w:val="20"/>
                <w:szCs w:val="20"/>
              </w:rPr>
              <w:t>N</w:t>
            </w:r>
            <w:r w:rsidR="003428D0" w:rsidRPr="00E66064">
              <w:rPr>
                <w:rFonts w:cs="Arial"/>
                <w:bCs/>
                <w:sz w:val="20"/>
                <w:szCs w:val="20"/>
              </w:rPr>
              <w:t>iemniej jednak propozycja wymaga wyjaśnienia z MRiRW. Zmiany w ustawie o ochronie gruntów rolnych i leśnych zostały wprowadzone na wniosek MRiRW.</w:t>
            </w:r>
          </w:p>
          <w:p w14:paraId="4A052C3C" w14:textId="390632A2" w:rsidR="007F25B7" w:rsidRPr="00E66064" w:rsidRDefault="007F25B7" w:rsidP="00E66064">
            <w:pPr>
              <w:spacing w:before="0" w:after="120"/>
              <w:contextualSpacing/>
              <w:rPr>
                <w:rFonts w:cs="Arial"/>
                <w:sz w:val="20"/>
                <w:szCs w:val="20"/>
              </w:rPr>
            </w:pPr>
          </w:p>
        </w:tc>
      </w:tr>
      <w:tr w:rsidR="00942B29" w:rsidRPr="00E66064" w14:paraId="3827B9A2" w14:textId="77777777" w:rsidTr="004F4CF5">
        <w:tc>
          <w:tcPr>
            <w:tcW w:w="559" w:type="dxa"/>
            <w:shd w:val="clear" w:color="auto" w:fill="auto"/>
          </w:tcPr>
          <w:p w14:paraId="6B542C98" w14:textId="3FFB93B3" w:rsidR="00942B29" w:rsidRPr="00E66064" w:rsidRDefault="007F25B7" w:rsidP="00E66064">
            <w:pPr>
              <w:spacing w:before="0" w:after="120"/>
              <w:contextualSpacing/>
              <w:jc w:val="center"/>
              <w:rPr>
                <w:rFonts w:cs="Arial"/>
                <w:sz w:val="20"/>
                <w:szCs w:val="20"/>
              </w:rPr>
            </w:pPr>
            <w:r w:rsidRPr="00E66064">
              <w:rPr>
                <w:rFonts w:cs="Arial"/>
                <w:sz w:val="20"/>
                <w:szCs w:val="20"/>
              </w:rPr>
              <w:t>15</w:t>
            </w:r>
            <w:r w:rsidR="006E4EB4" w:rsidRPr="00E66064">
              <w:rPr>
                <w:rFonts w:cs="Arial"/>
                <w:sz w:val="20"/>
                <w:szCs w:val="20"/>
              </w:rPr>
              <w:t>.</w:t>
            </w:r>
          </w:p>
        </w:tc>
        <w:tc>
          <w:tcPr>
            <w:tcW w:w="1563" w:type="dxa"/>
          </w:tcPr>
          <w:p w14:paraId="173FB869" w14:textId="1166F8D2" w:rsidR="00942B29" w:rsidRPr="00E66064" w:rsidRDefault="00942B29" w:rsidP="00E66064">
            <w:pPr>
              <w:spacing w:before="0" w:after="120"/>
              <w:contextualSpacing/>
              <w:jc w:val="center"/>
              <w:rPr>
                <w:rFonts w:cs="Arial"/>
                <w:sz w:val="20"/>
                <w:szCs w:val="20"/>
              </w:rPr>
            </w:pPr>
            <w:r w:rsidRPr="00E66064">
              <w:rPr>
                <w:rFonts w:cs="Arial"/>
                <w:sz w:val="20"/>
                <w:szCs w:val="20"/>
              </w:rPr>
              <w:t>Art. 7</w:t>
            </w:r>
          </w:p>
        </w:tc>
        <w:tc>
          <w:tcPr>
            <w:tcW w:w="1955" w:type="dxa"/>
          </w:tcPr>
          <w:p w14:paraId="02924AEC" w14:textId="366454B3" w:rsidR="00942B29" w:rsidRPr="00E66064" w:rsidRDefault="00942B29" w:rsidP="00E66064">
            <w:pPr>
              <w:spacing w:before="0" w:after="120"/>
              <w:contextualSpacing/>
              <w:jc w:val="center"/>
              <w:rPr>
                <w:rFonts w:cs="Arial"/>
                <w:sz w:val="20"/>
                <w:szCs w:val="20"/>
              </w:rPr>
            </w:pPr>
            <w:r w:rsidRPr="00E66064">
              <w:rPr>
                <w:rFonts w:cs="Arial"/>
                <w:sz w:val="20"/>
                <w:szCs w:val="20"/>
              </w:rPr>
              <w:t>MKiŚ</w:t>
            </w:r>
          </w:p>
        </w:tc>
        <w:tc>
          <w:tcPr>
            <w:tcW w:w="5812" w:type="dxa"/>
          </w:tcPr>
          <w:p w14:paraId="66062E0B" w14:textId="5C78FF01" w:rsidR="00942B29" w:rsidRPr="00E66064" w:rsidRDefault="00942B29" w:rsidP="00E66064">
            <w:pPr>
              <w:spacing w:before="0" w:after="120"/>
              <w:contextualSpacing/>
              <w:rPr>
                <w:rFonts w:cs="Arial"/>
                <w:sz w:val="20"/>
                <w:szCs w:val="20"/>
              </w:rPr>
            </w:pPr>
            <w:r w:rsidRPr="00E66064">
              <w:rPr>
                <w:rFonts w:cs="Arial"/>
                <w:sz w:val="20"/>
                <w:szCs w:val="20"/>
              </w:rPr>
              <w:t>Obowiązek zgłoszenia przez nabywcę faktu</w:t>
            </w:r>
            <w:r w:rsidR="00FE73F0" w:rsidRPr="00E66064">
              <w:rPr>
                <w:rFonts w:cs="Arial"/>
                <w:sz w:val="20"/>
                <w:szCs w:val="20"/>
              </w:rPr>
              <w:t xml:space="preserve"> </w:t>
            </w:r>
            <w:r w:rsidRPr="00E66064">
              <w:rPr>
                <w:rFonts w:cs="Arial"/>
                <w:sz w:val="20"/>
                <w:szCs w:val="20"/>
              </w:rPr>
              <w:t>nabycia gruntu właściwemu organowi</w:t>
            </w:r>
            <w:r w:rsidR="00FE73F0" w:rsidRPr="00E66064">
              <w:rPr>
                <w:rFonts w:cs="Arial"/>
                <w:sz w:val="20"/>
                <w:szCs w:val="20"/>
              </w:rPr>
              <w:t xml:space="preserve"> </w:t>
            </w:r>
            <w:r w:rsidRPr="00E66064">
              <w:rPr>
                <w:rFonts w:cs="Arial"/>
                <w:sz w:val="20"/>
                <w:szCs w:val="20"/>
              </w:rPr>
              <w:t>wydającemu decyzję o wyłączeniu gruntu</w:t>
            </w:r>
            <w:r w:rsidR="002776D4" w:rsidRPr="00E66064">
              <w:rPr>
                <w:rFonts w:cs="Arial"/>
                <w:sz w:val="20"/>
                <w:szCs w:val="20"/>
              </w:rPr>
              <w:t xml:space="preserve"> </w:t>
            </w:r>
            <w:r w:rsidRPr="00E66064">
              <w:rPr>
                <w:rFonts w:cs="Arial"/>
                <w:sz w:val="20"/>
                <w:szCs w:val="20"/>
              </w:rPr>
              <w:lastRenderedPageBreak/>
              <w:t>z produkcji, pozwoli organowi na sprawne</w:t>
            </w:r>
            <w:r w:rsidR="00FE73F0" w:rsidRPr="00E66064">
              <w:rPr>
                <w:rFonts w:cs="Arial"/>
                <w:sz w:val="20"/>
                <w:szCs w:val="20"/>
              </w:rPr>
              <w:t xml:space="preserve"> </w:t>
            </w:r>
            <w:r w:rsidRPr="00E66064">
              <w:rPr>
                <w:rFonts w:cs="Arial"/>
                <w:sz w:val="20"/>
                <w:szCs w:val="20"/>
              </w:rPr>
              <w:t>przeniesienie tej decyzji na rzecz nabywcy.</w:t>
            </w:r>
          </w:p>
          <w:p w14:paraId="34DF5F47" w14:textId="55C4C94B" w:rsidR="00942B29" w:rsidRPr="00E66064" w:rsidRDefault="00942B29" w:rsidP="00E66064">
            <w:pPr>
              <w:spacing w:before="0" w:after="120"/>
              <w:contextualSpacing/>
              <w:rPr>
                <w:rFonts w:cs="Arial"/>
                <w:sz w:val="20"/>
                <w:szCs w:val="20"/>
              </w:rPr>
            </w:pPr>
            <w:r w:rsidRPr="00E66064">
              <w:rPr>
                <w:rFonts w:cs="Arial"/>
                <w:sz w:val="20"/>
                <w:szCs w:val="20"/>
              </w:rPr>
              <w:t>Organy nie posiadają bowiem informacji w tym</w:t>
            </w:r>
            <w:r w:rsidR="00FE73F0" w:rsidRPr="00E66064">
              <w:rPr>
                <w:rFonts w:cs="Arial"/>
                <w:sz w:val="20"/>
                <w:szCs w:val="20"/>
              </w:rPr>
              <w:t xml:space="preserve"> </w:t>
            </w:r>
            <w:r w:rsidRPr="00E66064">
              <w:rPr>
                <w:rFonts w:cs="Arial"/>
                <w:sz w:val="20"/>
                <w:szCs w:val="20"/>
              </w:rPr>
              <w:t>zakresie i brak nałożenia przedmiotowego</w:t>
            </w:r>
            <w:r w:rsidR="00FE73F0" w:rsidRPr="00E66064">
              <w:rPr>
                <w:rFonts w:cs="Arial"/>
                <w:sz w:val="20"/>
                <w:szCs w:val="20"/>
              </w:rPr>
              <w:t xml:space="preserve"> </w:t>
            </w:r>
            <w:r w:rsidRPr="00E66064">
              <w:rPr>
                <w:rFonts w:cs="Arial"/>
                <w:sz w:val="20"/>
                <w:szCs w:val="20"/>
              </w:rPr>
              <w:t>obowiązku na nabywcę może doprowadzić</w:t>
            </w:r>
            <w:r w:rsidR="00FE73F0" w:rsidRPr="00E66064">
              <w:rPr>
                <w:rFonts w:cs="Arial"/>
                <w:sz w:val="20"/>
                <w:szCs w:val="20"/>
              </w:rPr>
              <w:t xml:space="preserve"> </w:t>
            </w:r>
            <w:r w:rsidRPr="00E66064">
              <w:rPr>
                <w:rFonts w:cs="Arial"/>
                <w:sz w:val="20"/>
                <w:szCs w:val="20"/>
              </w:rPr>
              <w:t>do braku możliwości realizacji nałożonego</w:t>
            </w:r>
            <w:r w:rsidR="00FE73F0" w:rsidRPr="00E66064">
              <w:rPr>
                <w:rFonts w:cs="Arial"/>
                <w:sz w:val="20"/>
                <w:szCs w:val="20"/>
              </w:rPr>
              <w:t xml:space="preserve"> </w:t>
            </w:r>
            <w:r w:rsidRPr="00E66064">
              <w:rPr>
                <w:rFonts w:cs="Arial"/>
                <w:sz w:val="20"/>
                <w:szCs w:val="20"/>
              </w:rPr>
              <w:t>na organy obowiązku.</w:t>
            </w:r>
          </w:p>
          <w:p w14:paraId="01F2AF8E" w14:textId="14A7281B" w:rsidR="00942B29" w:rsidRPr="00E66064" w:rsidRDefault="00942B29" w:rsidP="00E66064">
            <w:pPr>
              <w:spacing w:before="0" w:after="120"/>
              <w:contextualSpacing/>
              <w:rPr>
                <w:rFonts w:cs="Arial"/>
                <w:sz w:val="20"/>
                <w:szCs w:val="20"/>
              </w:rPr>
            </w:pPr>
            <w:r w:rsidRPr="00E66064">
              <w:rPr>
                <w:rFonts w:cs="Arial"/>
                <w:sz w:val="20"/>
                <w:szCs w:val="20"/>
              </w:rPr>
              <w:t>W art. 12 ustawy o ochronie gruntów rolnych i leśnych</w:t>
            </w:r>
            <w:r w:rsidR="00FE73F0" w:rsidRPr="00E66064">
              <w:rPr>
                <w:rFonts w:cs="Arial"/>
                <w:sz w:val="20"/>
                <w:szCs w:val="20"/>
              </w:rPr>
              <w:t xml:space="preserve"> </w:t>
            </w:r>
            <w:r w:rsidRPr="00E66064">
              <w:rPr>
                <w:rFonts w:cs="Arial"/>
                <w:sz w:val="20"/>
                <w:szCs w:val="20"/>
              </w:rPr>
              <w:t>postuluje się nadanie nowego brzmienia ust. 4a i dodanie</w:t>
            </w:r>
            <w:r w:rsidR="00FE73F0" w:rsidRPr="00E66064">
              <w:rPr>
                <w:rFonts w:cs="Arial"/>
                <w:sz w:val="20"/>
                <w:szCs w:val="20"/>
              </w:rPr>
              <w:t xml:space="preserve"> </w:t>
            </w:r>
            <w:r w:rsidRPr="00E66064">
              <w:rPr>
                <w:rFonts w:cs="Arial"/>
                <w:sz w:val="20"/>
                <w:szCs w:val="20"/>
              </w:rPr>
              <w:t>ust. 4b w brzmieniu:</w:t>
            </w:r>
          </w:p>
          <w:p w14:paraId="7EA1A784" w14:textId="2A7594D2" w:rsidR="00942B29" w:rsidRPr="00E66064" w:rsidRDefault="00942B29" w:rsidP="00E66064">
            <w:pPr>
              <w:spacing w:before="0" w:after="120"/>
              <w:contextualSpacing/>
              <w:rPr>
                <w:rFonts w:cs="Arial"/>
                <w:sz w:val="20"/>
                <w:szCs w:val="20"/>
              </w:rPr>
            </w:pPr>
            <w:r w:rsidRPr="00E66064">
              <w:rPr>
                <w:rFonts w:cs="Arial"/>
                <w:sz w:val="20"/>
                <w:szCs w:val="20"/>
              </w:rPr>
              <w:t>„4a. Nabywca gruntów wyłączonych z produkcji obowiązany</w:t>
            </w:r>
            <w:r w:rsidR="00FE73F0" w:rsidRPr="00E66064">
              <w:rPr>
                <w:rFonts w:cs="Arial"/>
                <w:sz w:val="20"/>
                <w:szCs w:val="20"/>
              </w:rPr>
              <w:t xml:space="preserve"> </w:t>
            </w:r>
            <w:r w:rsidRPr="00E66064">
              <w:rPr>
                <w:rFonts w:cs="Arial"/>
                <w:sz w:val="20"/>
                <w:szCs w:val="20"/>
              </w:rPr>
              <w:t>jest w terminie 14 dni od dnia ich nabycia, zgłosić fakt nabycia</w:t>
            </w:r>
            <w:r w:rsidR="00FE73F0" w:rsidRPr="00E66064">
              <w:rPr>
                <w:rFonts w:cs="Arial"/>
                <w:sz w:val="20"/>
                <w:szCs w:val="20"/>
              </w:rPr>
              <w:t xml:space="preserve"> </w:t>
            </w:r>
            <w:r w:rsidRPr="00E66064">
              <w:rPr>
                <w:rFonts w:cs="Arial"/>
                <w:sz w:val="20"/>
                <w:szCs w:val="20"/>
              </w:rPr>
              <w:t>gruntów wyłączonych z produkcji, do właściwego organu</w:t>
            </w:r>
            <w:r w:rsidR="00FE73F0" w:rsidRPr="00E66064">
              <w:rPr>
                <w:rFonts w:cs="Arial"/>
                <w:sz w:val="20"/>
                <w:szCs w:val="20"/>
              </w:rPr>
              <w:t xml:space="preserve"> </w:t>
            </w:r>
            <w:r w:rsidRPr="00E66064">
              <w:rPr>
                <w:rFonts w:cs="Arial"/>
                <w:sz w:val="20"/>
                <w:szCs w:val="20"/>
              </w:rPr>
              <w:t>wydającego decyzję o wyłączeniu gruntów z produkcji;</w:t>
            </w:r>
          </w:p>
          <w:p w14:paraId="4150EABE" w14:textId="4542811E" w:rsidR="00942B29" w:rsidRPr="00E66064" w:rsidRDefault="00942B29" w:rsidP="00E66064">
            <w:pPr>
              <w:spacing w:before="0" w:after="120"/>
              <w:contextualSpacing/>
              <w:rPr>
                <w:rFonts w:cs="Arial"/>
                <w:sz w:val="20"/>
                <w:szCs w:val="20"/>
              </w:rPr>
            </w:pPr>
            <w:r w:rsidRPr="00E66064">
              <w:rPr>
                <w:rFonts w:cs="Arial"/>
                <w:sz w:val="20"/>
                <w:szCs w:val="20"/>
              </w:rPr>
              <w:t>4b. Organ, który wydał decyzję zezwalającą na wyłączenie</w:t>
            </w:r>
            <w:r w:rsidR="00FE73F0" w:rsidRPr="00E66064">
              <w:rPr>
                <w:rFonts w:cs="Arial"/>
                <w:sz w:val="20"/>
                <w:szCs w:val="20"/>
              </w:rPr>
              <w:t xml:space="preserve"> </w:t>
            </w:r>
            <w:r w:rsidRPr="00E66064">
              <w:rPr>
                <w:rFonts w:cs="Arial"/>
                <w:sz w:val="20"/>
                <w:szCs w:val="20"/>
              </w:rPr>
              <w:t>gruntów z produkcji, w przypadku powzięcia informacji</w:t>
            </w:r>
            <w:r w:rsidR="00FE73F0" w:rsidRPr="00E66064">
              <w:rPr>
                <w:rFonts w:cs="Arial"/>
                <w:sz w:val="20"/>
                <w:szCs w:val="20"/>
              </w:rPr>
              <w:t xml:space="preserve"> </w:t>
            </w:r>
            <w:r w:rsidRPr="00E66064">
              <w:rPr>
                <w:rFonts w:cs="Arial"/>
                <w:sz w:val="20"/>
                <w:szCs w:val="20"/>
              </w:rPr>
              <w:t>o zbyciu tych gruntów, jest obowiązany do przeniesienia tej</w:t>
            </w:r>
            <w:r w:rsidR="00FE73F0" w:rsidRPr="00E66064">
              <w:rPr>
                <w:rFonts w:cs="Arial"/>
                <w:sz w:val="20"/>
                <w:szCs w:val="20"/>
              </w:rPr>
              <w:t xml:space="preserve"> </w:t>
            </w:r>
            <w:r w:rsidRPr="00E66064">
              <w:rPr>
                <w:rFonts w:cs="Arial"/>
                <w:sz w:val="20"/>
                <w:szCs w:val="20"/>
              </w:rPr>
              <w:t>decyzji na rzecz nabywcy. O wysokości opłat i terminach ich</w:t>
            </w:r>
            <w:r w:rsidR="00FE73F0" w:rsidRPr="00E66064">
              <w:rPr>
                <w:rFonts w:cs="Arial"/>
                <w:sz w:val="20"/>
                <w:szCs w:val="20"/>
              </w:rPr>
              <w:t xml:space="preserve"> </w:t>
            </w:r>
            <w:r w:rsidRPr="00E66064">
              <w:rPr>
                <w:rFonts w:cs="Arial"/>
                <w:sz w:val="20"/>
                <w:szCs w:val="20"/>
              </w:rPr>
              <w:t>uiszczenia właściwy organ powiadamia nabywcę oraz</w:t>
            </w:r>
            <w:r w:rsidR="00FE73F0" w:rsidRPr="00E66064">
              <w:rPr>
                <w:rFonts w:cs="Arial"/>
                <w:sz w:val="20"/>
                <w:szCs w:val="20"/>
              </w:rPr>
              <w:t xml:space="preserve"> </w:t>
            </w:r>
            <w:r w:rsidRPr="00E66064">
              <w:rPr>
                <w:rFonts w:cs="Arial"/>
                <w:sz w:val="20"/>
                <w:szCs w:val="20"/>
              </w:rPr>
              <w:t>właściwego marszałka województwa w terminie 14 dni od</w:t>
            </w:r>
            <w:r w:rsidR="00FE73F0" w:rsidRPr="00E66064">
              <w:rPr>
                <w:rFonts w:cs="Arial"/>
                <w:sz w:val="20"/>
                <w:szCs w:val="20"/>
              </w:rPr>
              <w:t xml:space="preserve"> </w:t>
            </w:r>
            <w:r w:rsidRPr="00E66064">
              <w:rPr>
                <w:rFonts w:cs="Arial"/>
                <w:sz w:val="20"/>
                <w:szCs w:val="20"/>
              </w:rPr>
              <w:t>dnia powzięcia informacji o fakcie zbycia gruntów.”</w:t>
            </w:r>
            <w:r w:rsidR="006D6F9E" w:rsidRPr="00E66064">
              <w:rPr>
                <w:rFonts w:cs="Arial"/>
                <w:sz w:val="20"/>
                <w:szCs w:val="20"/>
              </w:rPr>
              <w:t>.</w:t>
            </w:r>
          </w:p>
        </w:tc>
        <w:tc>
          <w:tcPr>
            <w:tcW w:w="3998" w:type="dxa"/>
          </w:tcPr>
          <w:p w14:paraId="2A7DCE58" w14:textId="77777777" w:rsidR="001D1E8C" w:rsidRPr="00E66064" w:rsidRDefault="001D1E8C" w:rsidP="00E66064">
            <w:pPr>
              <w:spacing w:before="0" w:after="120"/>
              <w:contextualSpacing/>
              <w:rPr>
                <w:rFonts w:cs="Arial"/>
                <w:b/>
                <w:sz w:val="20"/>
                <w:szCs w:val="20"/>
              </w:rPr>
            </w:pPr>
            <w:r w:rsidRPr="00E66064">
              <w:rPr>
                <w:rFonts w:cs="Arial"/>
                <w:b/>
                <w:sz w:val="20"/>
                <w:szCs w:val="20"/>
              </w:rPr>
              <w:lastRenderedPageBreak/>
              <w:t>U</w:t>
            </w:r>
            <w:r w:rsidR="005C2676" w:rsidRPr="00E66064">
              <w:rPr>
                <w:rFonts w:cs="Arial"/>
                <w:b/>
                <w:sz w:val="20"/>
                <w:szCs w:val="20"/>
              </w:rPr>
              <w:t>waga znajduje się poza zakresem właściwości KRMC</w:t>
            </w:r>
            <w:r w:rsidRPr="00E66064">
              <w:rPr>
                <w:rFonts w:cs="Arial"/>
                <w:b/>
                <w:sz w:val="20"/>
                <w:szCs w:val="20"/>
              </w:rPr>
              <w:t>.</w:t>
            </w:r>
            <w:r w:rsidR="005C2676" w:rsidRPr="00E66064">
              <w:rPr>
                <w:rFonts w:cs="Arial"/>
                <w:b/>
                <w:sz w:val="20"/>
                <w:szCs w:val="20"/>
              </w:rPr>
              <w:t xml:space="preserve"> </w:t>
            </w:r>
          </w:p>
          <w:p w14:paraId="584A5EE7" w14:textId="3761C5CF" w:rsidR="00942B29" w:rsidRPr="00E66064" w:rsidRDefault="001D1E8C" w:rsidP="00E66064">
            <w:pPr>
              <w:spacing w:before="0" w:after="120"/>
              <w:contextualSpacing/>
              <w:rPr>
                <w:rFonts w:cs="Arial"/>
                <w:bCs/>
                <w:sz w:val="20"/>
                <w:szCs w:val="20"/>
              </w:rPr>
            </w:pPr>
            <w:r w:rsidRPr="00E66064">
              <w:rPr>
                <w:rFonts w:cs="Arial"/>
                <w:bCs/>
                <w:sz w:val="20"/>
                <w:szCs w:val="20"/>
              </w:rPr>
              <w:lastRenderedPageBreak/>
              <w:t>N</w:t>
            </w:r>
            <w:r w:rsidR="005C2676" w:rsidRPr="00E66064">
              <w:rPr>
                <w:rFonts w:cs="Arial"/>
                <w:bCs/>
                <w:sz w:val="20"/>
                <w:szCs w:val="20"/>
              </w:rPr>
              <w:t>iemniej jednak propozycja wymaga wyjaśnienia z MRiRW. Zmiany w ustawie o ochronie gruntów rolnych i leśnych zostały wprowadzone na wniosek MRiRW.</w:t>
            </w:r>
          </w:p>
        </w:tc>
      </w:tr>
      <w:tr w:rsidR="00FE73F0" w:rsidRPr="00E66064" w14:paraId="630DADC7" w14:textId="77777777" w:rsidTr="004F4CF5">
        <w:tc>
          <w:tcPr>
            <w:tcW w:w="559" w:type="dxa"/>
            <w:shd w:val="clear" w:color="auto" w:fill="auto"/>
          </w:tcPr>
          <w:p w14:paraId="23DBD051" w14:textId="315DFFC9" w:rsidR="00FE73F0" w:rsidRPr="00E66064" w:rsidRDefault="006D6F9E" w:rsidP="00E66064">
            <w:pPr>
              <w:spacing w:before="0" w:after="120"/>
              <w:contextualSpacing/>
              <w:jc w:val="center"/>
              <w:rPr>
                <w:rFonts w:cs="Arial"/>
                <w:sz w:val="20"/>
                <w:szCs w:val="20"/>
              </w:rPr>
            </w:pPr>
            <w:r w:rsidRPr="00E66064">
              <w:rPr>
                <w:rFonts w:cs="Arial"/>
                <w:sz w:val="20"/>
                <w:szCs w:val="20"/>
              </w:rPr>
              <w:lastRenderedPageBreak/>
              <w:t>16</w:t>
            </w:r>
            <w:r w:rsidR="006E4EB4" w:rsidRPr="00E66064">
              <w:rPr>
                <w:rFonts w:cs="Arial"/>
                <w:sz w:val="20"/>
                <w:szCs w:val="20"/>
              </w:rPr>
              <w:t>.</w:t>
            </w:r>
          </w:p>
        </w:tc>
        <w:tc>
          <w:tcPr>
            <w:tcW w:w="1563" w:type="dxa"/>
          </w:tcPr>
          <w:p w14:paraId="42D388B2" w14:textId="20731148" w:rsidR="00FE73F0" w:rsidRPr="00E66064" w:rsidRDefault="00FE73F0" w:rsidP="00E66064">
            <w:pPr>
              <w:spacing w:before="0" w:after="120"/>
              <w:contextualSpacing/>
              <w:jc w:val="center"/>
              <w:rPr>
                <w:rFonts w:cs="Arial"/>
                <w:sz w:val="20"/>
                <w:szCs w:val="20"/>
              </w:rPr>
            </w:pPr>
            <w:r w:rsidRPr="00E66064">
              <w:rPr>
                <w:rFonts w:cs="Arial"/>
                <w:sz w:val="20"/>
                <w:szCs w:val="20"/>
              </w:rPr>
              <w:t xml:space="preserve">Art. </w:t>
            </w:r>
            <w:r w:rsidR="006D6F9E" w:rsidRPr="00E66064">
              <w:rPr>
                <w:rFonts w:cs="Arial"/>
                <w:sz w:val="20"/>
                <w:szCs w:val="20"/>
              </w:rPr>
              <w:t>13</w:t>
            </w:r>
          </w:p>
        </w:tc>
        <w:tc>
          <w:tcPr>
            <w:tcW w:w="1955" w:type="dxa"/>
          </w:tcPr>
          <w:p w14:paraId="482FE343" w14:textId="0F482E34" w:rsidR="00FE73F0" w:rsidRPr="00E66064" w:rsidRDefault="00FE73F0" w:rsidP="00E66064">
            <w:pPr>
              <w:spacing w:before="0" w:after="120"/>
              <w:contextualSpacing/>
              <w:jc w:val="center"/>
              <w:rPr>
                <w:rFonts w:cs="Arial"/>
                <w:sz w:val="20"/>
                <w:szCs w:val="20"/>
              </w:rPr>
            </w:pPr>
            <w:r w:rsidRPr="00E66064">
              <w:rPr>
                <w:rFonts w:cs="Arial"/>
                <w:sz w:val="20"/>
                <w:szCs w:val="20"/>
              </w:rPr>
              <w:t>MKiŚ</w:t>
            </w:r>
          </w:p>
        </w:tc>
        <w:tc>
          <w:tcPr>
            <w:tcW w:w="5812" w:type="dxa"/>
          </w:tcPr>
          <w:p w14:paraId="61F3294F" w14:textId="16C8CAD3" w:rsidR="00FE73F0" w:rsidRPr="00E66064" w:rsidRDefault="00FE73F0" w:rsidP="00E66064">
            <w:pPr>
              <w:spacing w:before="0" w:after="120"/>
              <w:contextualSpacing/>
              <w:rPr>
                <w:rFonts w:cs="Arial"/>
                <w:sz w:val="20"/>
                <w:szCs w:val="20"/>
              </w:rPr>
            </w:pPr>
            <w:r w:rsidRPr="00E66064">
              <w:rPr>
                <w:rFonts w:cs="Arial"/>
                <w:sz w:val="20"/>
                <w:szCs w:val="20"/>
              </w:rPr>
              <w:t>Art. 13 projektu odnosi się do art. 15 ustawy o ochronie przyrody (Dz. U. z 2022 r. poz. 916, 1726 i 2185), w którym po ust. 7 dodaje ust. 7a – z treścią tego przepisu w zaproponowanym brzmieniu Minister Klimatu i Środowiska oraz Generalny Dyrektor Ochrony Środowiska się nie zgadza.</w:t>
            </w:r>
          </w:p>
          <w:p w14:paraId="702E6FEE" w14:textId="41103E35" w:rsidR="00FE73F0" w:rsidRPr="00E66064" w:rsidRDefault="00FE73F0" w:rsidP="00E66064">
            <w:pPr>
              <w:spacing w:before="0" w:after="120"/>
              <w:contextualSpacing/>
              <w:rPr>
                <w:rFonts w:cs="Arial"/>
                <w:sz w:val="20"/>
                <w:szCs w:val="20"/>
              </w:rPr>
            </w:pPr>
            <w:r w:rsidRPr="00E66064">
              <w:rPr>
                <w:rFonts w:cs="Arial"/>
                <w:sz w:val="20"/>
                <w:szCs w:val="20"/>
              </w:rPr>
              <w:t>W ocenie MKiŚ wskazany wyżej ust. 7a winien otrzymać następujące brzmienie: „7a. Wnioski o wydanie zezwoleń na odstępstwa od zakazów, o których mowa w ust. 1 pkt 1, o których mowa w ust. 3 pkt 2 i ust. 4 pkt 2 ustawy, składa się w formie dokumentu elektronicznego; obsługa wniosków odbywa się za pośrednictwem systemów, o których mowa w art. 79m ustawy z dnia 7 lipca 1994 r. – Prawo budowlane.”.</w:t>
            </w:r>
          </w:p>
        </w:tc>
        <w:tc>
          <w:tcPr>
            <w:tcW w:w="3998" w:type="dxa"/>
          </w:tcPr>
          <w:p w14:paraId="4089018F" w14:textId="5007F3F6" w:rsidR="00FE73F0" w:rsidRPr="00E66064" w:rsidRDefault="006D6F9E" w:rsidP="00E66064">
            <w:pPr>
              <w:spacing w:before="0" w:after="120"/>
              <w:contextualSpacing/>
              <w:jc w:val="left"/>
              <w:rPr>
                <w:rFonts w:cs="Arial"/>
                <w:b/>
                <w:sz w:val="20"/>
                <w:szCs w:val="20"/>
              </w:rPr>
            </w:pPr>
            <w:r w:rsidRPr="00E66064">
              <w:rPr>
                <w:rFonts w:cs="Arial"/>
                <w:b/>
                <w:sz w:val="20"/>
                <w:szCs w:val="20"/>
              </w:rPr>
              <w:t>Uwaga uwzględniona.</w:t>
            </w:r>
          </w:p>
        </w:tc>
      </w:tr>
      <w:tr w:rsidR="00BD2844" w:rsidRPr="00E66064" w14:paraId="1221759B" w14:textId="77777777" w:rsidTr="004F4CF5">
        <w:tc>
          <w:tcPr>
            <w:tcW w:w="559" w:type="dxa"/>
            <w:shd w:val="clear" w:color="auto" w:fill="auto"/>
          </w:tcPr>
          <w:p w14:paraId="1FCA5CE1" w14:textId="7E2A9FFA" w:rsidR="00BD2844" w:rsidRPr="00E66064" w:rsidRDefault="00BD2844" w:rsidP="00E66064">
            <w:pPr>
              <w:spacing w:before="0" w:after="120"/>
              <w:contextualSpacing/>
              <w:jc w:val="center"/>
              <w:rPr>
                <w:rFonts w:cs="Arial"/>
                <w:sz w:val="20"/>
                <w:szCs w:val="20"/>
              </w:rPr>
            </w:pPr>
            <w:r w:rsidRPr="00E66064">
              <w:rPr>
                <w:rFonts w:cs="Arial"/>
                <w:sz w:val="20"/>
                <w:szCs w:val="20"/>
              </w:rPr>
              <w:t>17</w:t>
            </w:r>
            <w:r w:rsidR="006E4EB4" w:rsidRPr="00E66064">
              <w:rPr>
                <w:rFonts w:cs="Arial"/>
                <w:sz w:val="20"/>
                <w:szCs w:val="20"/>
              </w:rPr>
              <w:t>.</w:t>
            </w:r>
          </w:p>
        </w:tc>
        <w:tc>
          <w:tcPr>
            <w:tcW w:w="1563" w:type="dxa"/>
          </w:tcPr>
          <w:p w14:paraId="4EEA1DF6" w14:textId="77777777" w:rsidR="00BD2844" w:rsidRPr="00E66064" w:rsidRDefault="00BD2844" w:rsidP="00E66064">
            <w:pPr>
              <w:spacing w:before="0" w:after="120"/>
              <w:contextualSpacing/>
              <w:jc w:val="center"/>
              <w:rPr>
                <w:rFonts w:cs="Arial"/>
                <w:sz w:val="20"/>
                <w:szCs w:val="20"/>
              </w:rPr>
            </w:pPr>
            <w:r w:rsidRPr="00E66064">
              <w:rPr>
                <w:rFonts w:cs="Arial"/>
                <w:sz w:val="20"/>
                <w:szCs w:val="20"/>
              </w:rPr>
              <w:t>Art. 20</w:t>
            </w:r>
          </w:p>
          <w:p w14:paraId="3159E53A" w14:textId="19DA9E6A" w:rsidR="00BD2844" w:rsidRPr="00E66064" w:rsidRDefault="00BD2844" w:rsidP="00E66064">
            <w:pPr>
              <w:spacing w:before="0" w:after="120"/>
              <w:contextualSpacing/>
              <w:jc w:val="center"/>
              <w:rPr>
                <w:rFonts w:cs="Arial"/>
                <w:sz w:val="20"/>
                <w:szCs w:val="20"/>
              </w:rPr>
            </w:pPr>
            <w:r w:rsidRPr="00E66064">
              <w:rPr>
                <w:rFonts w:cs="Arial"/>
                <w:sz w:val="20"/>
                <w:szCs w:val="20"/>
              </w:rPr>
              <w:t>Art. 33</w:t>
            </w:r>
          </w:p>
        </w:tc>
        <w:tc>
          <w:tcPr>
            <w:tcW w:w="1955" w:type="dxa"/>
          </w:tcPr>
          <w:p w14:paraId="60BBB277" w14:textId="26DE778E" w:rsidR="00BD2844" w:rsidRPr="00E66064" w:rsidRDefault="00BD2844" w:rsidP="00E66064">
            <w:pPr>
              <w:spacing w:before="0" w:after="120"/>
              <w:contextualSpacing/>
              <w:jc w:val="center"/>
              <w:rPr>
                <w:rFonts w:cs="Arial"/>
                <w:sz w:val="20"/>
                <w:szCs w:val="20"/>
              </w:rPr>
            </w:pPr>
            <w:r w:rsidRPr="00E66064">
              <w:rPr>
                <w:rFonts w:cs="Arial"/>
                <w:sz w:val="20"/>
                <w:szCs w:val="20"/>
              </w:rPr>
              <w:t>RCL</w:t>
            </w:r>
          </w:p>
        </w:tc>
        <w:tc>
          <w:tcPr>
            <w:tcW w:w="5812" w:type="dxa"/>
          </w:tcPr>
          <w:p w14:paraId="2DC4B8B9" w14:textId="26CEBC69" w:rsidR="00BD2844" w:rsidRPr="00E66064" w:rsidRDefault="00BD2844" w:rsidP="00E66064">
            <w:pPr>
              <w:spacing w:before="0" w:after="120"/>
              <w:contextualSpacing/>
              <w:rPr>
                <w:rFonts w:cs="Arial"/>
                <w:sz w:val="20"/>
                <w:szCs w:val="20"/>
              </w:rPr>
            </w:pPr>
            <w:r w:rsidRPr="00E66064">
              <w:rPr>
                <w:rFonts w:cs="Arial"/>
                <w:sz w:val="20"/>
                <w:szCs w:val="20"/>
              </w:rPr>
              <w:t>Biorąc pod uwagę obecny etap prac nad projektem, wątpliwości budzi możliwość wejścia w życie ustawy z dniem 1 stycznia 2023 r. bądź z dniem 27 stycznia 2023 r. (art. 33 projektu).</w:t>
            </w:r>
          </w:p>
          <w:p w14:paraId="1BBA7B9D" w14:textId="238DE776" w:rsidR="00BD2844" w:rsidRPr="00E66064" w:rsidRDefault="00BD2844" w:rsidP="00E66064">
            <w:pPr>
              <w:spacing w:before="0" w:after="120"/>
              <w:contextualSpacing/>
              <w:rPr>
                <w:rFonts w:cs="Arial"/>
                <w:sz w:val="20"/>
                <w:szCs w:val="20"/>
              </w:rPr>
            </w:pPr>
            <w:r w:rsidRPr="00E66064">
              <w:rPr>
                <w:rFonts w:cs="Arial"/>
                <w:sz w:val="20"/>
                <w:szCs w:val="20"/>
              </w:rPr>
              <w:t xml:space="preserve">W związku z tym wątpliwości budzi również możliwość wprowadzenia zmian w ustawie z dnia 7 lipca 2022 r. o zmianie ustawy – Prawo budowlane oraz niektórych innych ustaw (art. </w:t>
            </w:r>
            <w:r w:rsidRPr="00E66064">
              <w:rPr>
                <w:rFonts w:cs="Arial"/>
                <w:sz w:val="20"/>
                <w:szCs w:val="20"/>
              </w:rPr>
              <w:lastRenderedPageBreak/>
              <w:t>20 projektu) w okresie jej vacatio legis (tj. do dnia odpowiednio 1 stycznia 2023 r. i 27 stycznia 2023</w:t>
            </w:r>
            <w:r w:rsidR="00B337F0" w:rsidRPr="00E66064">
              <w:rPr>
                <w:rFonts w:cs="Arial"/>
                <w:sz w:val="20"/>
                <w:szCs w:val="20"/>
              </w:rPr>
              <w:t xml:space="preserve"> r.</w:t>
            </w:r>
            <w:r w:rsidR="00A82084" w:rsidRPr="00E66064">
              <w:rPr>
                <w:rFonts w:cs="Arial"/>
                <w:sz w:val="20"/>
                <w:szCs w:val="20"/>
              </w:rPr>
              <w:t>).</w:t>
            </w:r>
          </w:p>
        </w:tc>
        <w:tc>
          <w:tcPr>
            <w:tcW w:w="3998" w:type="dxa"/>
          </w:tcPr>
          <w:p w14:paraId="738C03AE" w14:textId="151C9C49" w:rsidR="00A82084" w:rsidRPr="00E66064" w:rsidRDefault="00A82084" w:rsidP="00E66064">
            <w:pPr>
              <w:spacing w:before="0" w:after="120"/>
              <w:contextualSpacing/>
              <w:jc w:val="left"/>
              <w:rPr>
                <w:rFonts w:cs="Arial"/>
                <w:b/>
                <w:sz w:val="20"/>
                <w:szCs w:val="20"/>
              </w:rPr>
            </w:pPr>
            <w:r w:rsidRPr="00E66064">
              <w:rPr>
                <w:rFonts w:cs="Arial"/>
                <w:b/>
                <w:sz w:val="20"/>
                <w:szCs w:val="20"/>
              </w:rPr>
              <w:lastRenderedPageBreak/>
              <w:t xml:space="preserve">Uwaga uwzględniona. </w:t>
            </w:r>
          </w:p>
          <w:p w14:paraId="5C24FD97" w14:textId="05A462A8" w:rsidR="00BD2844" w:rsidRPr="00E66064" w:rsidRDefault="00BD2844" w:rsidP="00E66064">
            <w:pPr>
              <w:spacing w:before="0" w:after="120"/>
              <w:contextualSpacing/>
              <w:rPr>
                <w:rFonts w:cs="Arial"/>
                <w:sz w:val="20"/>
                <w:szCs w:val="20"/>
              </w:rPr>
            </w:pPr>
          </w:p>
        </w:tc>
      </w:tr>
      <w:tr w:rsidR="002502CE" w:rsidRPr="00E66064" w14:paraId="7D52C5E4" w14:textId="77777777" w:rsidTr="004F4CF5">
        <w:tc>
          <w:tcPr>
            <w:tcW w:w="559" w:type="dxa"/>
            <w:shd w:val="clear" w:color="auto" w:fill="auto"/>
          </w:tcPr>
          <w:p w14:paraId="4067365A" w14:textId="4448317B" w:rsidR="002502CE" w:rsidRPr="00E66064" w:rsidRDefault="00FD6713" w:rsidP="00E66064">
            <w:pPr>
              <w:spacing w:before="0" w:after="120"/>
              <w:contextualSpacing/>
              <w:jc w:val="center"/>
              <w:rPr>
                <w:rFonts w:cs="Arial"/>
                <w:sz w:val="20"/>
                <w:szCs w:val="20"/>
              </w:rPr>
            </w:pPr>
            <w:r w:rsidRPr="00E66064">
              <w:rPr>
                <w:rFonts w:cs="Arial"/>
                <w:sz w:val="20"/>
                <w:szCs w:val="20"/>
              </w:rPr>
              <w:t>1</w:t>
            </w:r>
            <w:r w:rsidR="00DE25C7" w:rsidRPr="00E66064">
              <w:rPr>
                <w:rFonts w:cs="Arial"/>
                <w:sz w:val="20"/>
                <w:szCs w:val="20"/>
              </w:rPr>
              <w:t>8</w:t>
            </w:r>
            <w:r w:rsidR="006E4EB4" w:rsidRPr="00E66064">
              <w:rPr>
                <w:rFonts w:cs="Arial"/>
                <w:sz w:val="20"/>
                <w:szCs w:val="20"/>
              </w:rPr>
              <w:t>.</w:t>
            </w:r>
          </w:p>
        </w:tc>
        <w:tc>
          <w:tcPr>
            <w:tcW w:w="1563" w:type="dxa"/>
          </w:tcPr>
          <w:p w14:paraId="529D046B" w14:textId="0D4935A6" w:rsidR="002502CE" w:rsidRPr="00E66064" w:rsidRDefault="00FD6713" w:rsidP="00E66064">
            <w:pPr>
              <w:spacing w:before="0" w:after="120"/>
              <w:contextualSpacing/>
              <w:jc w:val="center"/>
              <w:rPr>
                <w:rFonts w:cs="Arial"/>
                <w:sz w:val="20"/>
                <w:szCs w:val="20"/>
              </w:rPr>
            </w:pPr>
            <w:r w:rsidRPr="00E66064">
              <w:rPr>
                <w:rFonts w:cs="Arial"/>
                <w:sz w:val="20"/>
                <w:szCs w:val="20"/>
              </w:rPr>
              <w:t>Art. 23</w:t>
            </w:r>
          </w:p>
        </w:tc>
        <w:tc>
          <w:tcPr>
            <w:tcW w:w="1955" w:type="dxa"/>
          </w:tcPr>
          <w:p w14:paraId="6CBF6206" w14:textId="2B8B5F80" w:rsidR="002502CE" w:rsidRPr="00E66064" w:rsidRDefault="00FD6713" w:rsidP="00E66064">
            <w:pPr>
              <w:spacing w:before="0" w:after="120"/>
              <w:contextualSpacing/>
              <w:jc w:val="center"/>
              <w:rPr>
                <w:rFonts w:cs="Arial"/>
                <w:sz w:val="20"/>
                <w:szCs w:val="20"/>
              </w:rPr>
            </w:pPr>
            <w:r w:rsidRPr="00E66064">
              <w:rPr>
                <w:rFonts w:cs="Arial"/>
                <w:sz w:val="20"/>
                <w:szCs w:val="20"/>
              </w:rPr>
              <w:t>UZP</w:t>
            </w:r>
          </w:p>
        </w:tc>
        <w:tc>
          <w:tcPr>
            <w:tcW w:w="5812" w:type="dxa"/>
          </w:tcPr>
          <w:p w14:paraId="578F290F" w14:textId="439DD32D" w:rsidR="002502CE" w:rsidRPr="00E66064" w:rsidRDefault="00FD6713" w:rsidP="00E66064">
            <w:pPr>
              <w:spacing w:before="0" w:after="120"/>
              <w:contextualSpacing/>
              <w:rPr>
                <w:rFonts w:cs="Arial"/>
                <w:sz w:val="20"/>
                <w:szCs w:val="20"/>
              </w:rPr>
            </w:pPr>
            <w:r w:rsidRPr="00E66064">
              <w:rPr>
                <w:rFonts w:cs="Arial"/>
                <w:sz w:val="20"/>
                <w:szCs w:val="20"/>
              </w:rPr>
              <w:t>P</w:t>
            </w:r>
            <w:r w:rsidR="002502CE" w:rsidRPr="00E66064">
              <w:rPr>
                <w:rFonts w:cs="Arial"/>
                <w:sz w:val="20"/>
                <w:szCs w:val="20"/>
              </w:rPr>
              <w:t xml:space="preserve">rzychylam się do uwag zgłoszonych do art. 21 projektu tej ustawy (do art. 23 projektu ustawy w wersji przekazanej do uzgodnień międzyresortowych) na wcześniejszym etapie procesu legislacyjnego przez Ministra do spraw Unii Europejskiej oraz przez Rządowe Centrum Legislacji. </w:t>
            </w:r>
          </w:p>
          <w:p w14:paraId="5D52D376" w14:textId="0EDACB23" w:rsidR="002502CE" w:rsidRPr="00E66064" w:rsidRDefault="002502CE" w:rsidP="00E66064">
            <w:pPr>
              <w:spacing w:before="0" w:after="120"/>
              <w:contextualSpacing/>
              <w:rPr>
                <w:rFonts w:cs="Arial"/>
                <w:sz w:val="20"/>
                <w:szCs w:val="20"/>
              </w:rPr>
            </w:pPr>
            <w:r w:rsidRPr="00E66064">
              <w:rPr>
                <w:rFonts w:cs="Arial"/>
                <w:sz w:val="20"/>
                <w:szCs w:val="20"/>
              </w:rPr>
              <w:t>Jednocześnie chciałbym nadmienić, że projektowane w art. 21 wyłączenie przepisów ustawy z dnia 11 września 2019 r. – Prawo zamówień publicznych (Dz. U. z 2022 r. poz. 1710, ze zm.) dalej: „ustawy Pzp”, do zamówień publicznych dotyczących usług projektowania lub robót budowlanych związanych z budową pawilonu Rzeczypospolitej Polskiej na Wystawę Światową Expo 2025 Osaka, Kansai oraz sprawowaniem nadzoru inwestorskiego nad jego budową, a także dotyczących usług lub dostaw związanych z wyposażeniem tego pawilonu może powodować niezgodność z prawem Unii Europejskiej dotyczącym zamówień publicznych. Zgodnie z utrwalonym orzecznictwem Trybunału Sprawiedliwości UE wszelkie wyjątki od stosowania przepisów dyrektyw dotyczących zamówień publicznych są nie tylko wyczerpująco określone w tych dyrektywach, ale również podlegają wykładni zawężającej (por. wyrok w sprawie C-107/98 Teckal, pkt 43-44; wyrok w sprawie C-385/02 Komisja/Włochy, pkt 19). Uzasadnienie projektu nie wykazuje, by projektowane wyłączenie mieściło się w zakresie wyłączeń dopuszczalnych na podstawie dyrektywy 2014/24/UE.</w:t>
            </w:r>
          </w:p>
          <w:p w14:paraId="4D8744B0" w14:textId="77777777" w:rsidR="002502CE" w:rsidRPr="00E66064" w:rsidRDefault="002502CE" w:rsidP="00E66064">
            <w:pPr>
              <w:spacing w:before="0" w:after="120"/>
              <w:contextualSpacing/>
              <w:rPr>
                <w:rFonts w:cs="Arial"/>
                <w:sz w:val="20"/>
                <w:szCs w:val="20"/>
              </w:rPr>
            </w:pPr>
            <w:r w:rsidRPr="00E66064">
              <w:rPr>
                <w:rFonts w:cs="Arial"/>
                <w:sz w:val="20"/>
                <w:szCs w:val="20"/>
              </w:rPr>
              <w:t xml:space="preserve">W przeciwieństwie do dyrektywy 2014/25/UE, dyrektywa 2014/24/UE nie zawiera żadnych przepisów regulujących kwestie jej stosowania w zależności od określonych czynników geograficznych takich jak siedziba zamawiającego, czy też miejsce wykonania zamówienia. Definicja zamawiającego na gruncie dyrektywy 2014/24/UE nie jest zależna od lokalizacji podmiotu objętego tą definicją, natomiast definicja zamówienia publicznego nie jest zależna od miejsca jego wykonania. Jak zauważył Trybunał EFTA w wyroku z dnia 16.07.2020 r. w sprawie E-8/19 Scanteam AS, gdyby wskazane wyżej kwestie przesądzały o możliwości zastosowania dyrektywy, to wówczas zobowiązania wynikające z jej regulacji byłyby łatwe do obejścia. </w:t>
            </w:r>
          </w:p>
          <w:p w14:paraId="4140745F" w14:textId="7AAFC0D9" w:rsidR="002502CE" w:rsidRPr="00E66064" w:rsidRDefault="002502CE" w:rsidP="00E66064">
            <w:pPr>
              <w:spacing w:before="0" w:after="120"/>
              <w:contextualSpacing/>
              <w:rPr>
                <w:rFonts w:cs="Arial"/>
                <w:sz w:val="20"/>
                <w:szCs w:val="20"/>
              </w:rPr>
            </w:pPr>
            <w:r w:rsidRPr="00E66064">
              <w:rPr>
                <w:rFonts w:cs="Arial"/>
                <w:sz w:val="20"/>
                <w:szCs w:val="20"/>
              </w:rPr>
              <w:lastRenderedPageBreak/>
              <w:t xml:space="preserve">Należy podkreślić, że głównym celem dyrektywy 2014/24/UE jest zapewnienie zgodności z zasadą swobodnego przepływu towarów, swobody przedsiębiorczości oraz swobody świadczenia usług, a także z zasadami, które się z nich wywodzą, takimi jak: zasada równego traktowania, zasada niedyskryminacji, zasada wzajemnego uznawania, zasada proporcjonalności oraz zasada przejrzystości. Dyrektywa gwarantuje, że zasady te mają praktyczne zastosowanie, zamówienia publiczne są otwarte na konkurencję, a środki publiczne wydawane w sposób racjonalny. Powyższy cel ma zawsze charakter nadrzędny i musi zostać osiągnięty również w sytuacji, kiedy zamawiający lub miejsce realizacji określonego zamówienia publicznego znajduje się w państwie trzecim. </w:t>
            </w:r>
          </w:p>
          <w:p w14:paraId="60BD4AE9" w14:textId="77777777" w:rsidR="002502CE" w:rsidRPr="00E66064" w:rsidRDefault="002502CE" w:rsidP="00E66064">
            <w:pPr>
              <w:spacing w:before="0" w:after="120"/>
              <w:contextualSpacing/>
              <w:rPr>
                <w:rFonts w:cs="Arial"/>
                <w:sz w:val="20"/>
                <w:szCs w:val="20"/>
              </w:rPr>
            </w:pPr>
            <w:r w:rsidRPr="00E66064">
              <w:rPr>
                <w:rFonts w:cs="Arial"/>
                <w:sz w:val="20"/>
                <w:szCs w:val="20"/>
              </w:rPr>
              <w:t xml:space="preserve">Ponadto z ugruntowanego orzecznictwa Trybunału Sprawiedliwości UE, zwłaszcza z tez zawartych w wyroku z dnia 28.02.2013 r. w sprawie C-544/11 Petersen, wynikają dwie ważne zasady. Po pierwsze, prawo unijne znajduje zastosowanie do oceny wszystkich stosunków prawnych w takim zakresie, w jakim stosunki te ze względu na miejsce ich zawarcia albo miejsce, w którym odnoszą swoje skutki może znajdować się na terytorium Unii. Po drugie natomiast, prawo unijne znajduje zastosowanie do działalności zawodowej wykonywanej poza terytorium Unii pod warunkiem, że stosunek pracy zachowuje wystarczająco ścisły związek z Unią Europejską. W związku z powyższym zamówienia w rozumieniu dyrektywy 2014/24/UE będą obowiązkowo wchodzić w jej zakres w sytuacji, gdy będą ściśle związane z Unią Europejską i gdy mogą mieć bezpośredni wpływ na funkcjonowanie rynku unijnego. Projektowany przepis art. 21, ani uzasadnienie projektu ustawy nie przesądzają, czy przedmiotowe zamówienie będzie realizowane w całości w Japonii, jednakże fakt wyłączania przez projektodawcę stosowania ustawy Pzp sugeruje, że do realizacji mogłoby częściowo dojść w Polsce lub w innym państwie członkowskim Unii Europejskiej. Trybunał EFTA w treści w wyroku z dnia 16.07.2020 r. w sprawie E-8/19 Scanteam AS wskazuje na potencjalne czynniki mogące przesądzać o ścisłym związku z Unią Europejską wśród których wymienić trzeba przede wszystkim język procedury, prawo krajowe mające zastosowanie do procedury, krajowe wymogi </w:t>
            </w:r>
            <w:r w:rsidRPr="00E66064">
              <w:rPr>
                <w:rFonts w:cs="Arial"/>
                <w:sz w:val="20"/>
                <w:szCs w:val="20"/>
              </w:rPr>
              <w:lastRenderedPageBreak/>
              <w:t xml:space="preserve">rejestracyjne, czy też fakt, że ogłoszenie procedury ma na celu zaangażowanie wykonawców z terytorium Unii. Powyższa zasada obowiązuje niezależnie od okoliczności, że rezultaty wykonania umowy o realizację zamówienia publicznego wystąpią w państwie trzecim. </w:t>
            </w:r>
          </w:p>
          <w:p w14:paraId="05206244" w14:textId="58EFA3C9" w:rsidR="002502CE" w:rsidRPr="00E66064" w:rsidRDefault="002502CE" w:rsidP="00E66064">
            <w:pPr>
              <w:autoSpaceDE w:val="0"/>
              <w:autoSpaceDN w:val="0"/>
              <w:adjustRightInd w:val="0"/>
              <w:spacing w:before="0" w:after="120"/>
              <w:contextualSpacing/>
              <w:rPr>
                <w:rFonts w:cs="Arial"/>
                <w:sz w:val="20"/>
                <w:szCs w:val="20"/>
              </w:rPr>
            </w:pPr>
            <w:r w:rsidRPr="00E66064">
              <w:rPr>
                <w:rFonts w:cs="Arial"/>
                <w:sz w:val="20"/>
                <w:szCs w:val="20"/>
              </w:rPr>
              <w:t>W związku z powyższym brak jest podstaw dla wyłączenia w projektowanej ustawie stosowania ustawy Pzp transponującej przepisy dyrektywy 2014/24/UE.</w:t>
            </w:r>
          </w:p>
        </w:tc>
        <w:tc>
          <w:tcPr>
            <w:tcW w:w="3998" w:type="dxa"/>
          </w:tcPr>
          <w:p w14:paraId="63B04BA4" w14:textId="33BD5D40" w:rsidR="002502CE" w:rsidRPr="00E66064" w:rsidRDefault="00E66064" w:rsidP="00E66064">
            <w:pPr>
              <w:spacing w:before="0" w:after="120"/>
              <w:contextualSpacing/>
              <w:jc w:val="left"/>
              <w:rPr>
                <w:rFonts w:cs="Arial"/>
                <w:b/>
                <w:sz w:val="20"/>
                <w:szCs w:val="20"/>
              </w:rPr>
            </w:pPr>
            <w:r w:rsidRPr="00E66064">
              <w:rPr>
                <w:rFonts w:cs="Arial"/>
                <w:b/>
                <w:sz w:val="20"/>
                <w:szCs w:val="20"/>
              </w:rPr>
              <w:lastRenderedPageBreak/>
              <w:t>Uwaga znajduje się poza zakresem właściwości KRMC.</w:t>
            </w:r>
          </w:p>
        </w:tc>
      </w:tr>
      <w:tr w:rsidR="007F66D8" w:rsidRPr="00E66064" w14:paraId="0CB5FF56" w14:textId="77777777" w:rsidTr="004F4CF5">
        <w:tc>
          <w:tcPr>
            <w:tcW w:w="559" w:type="dxa"/>
            <w:shd w:val="clear" w:color="auto" w:fill="auto"/>
          </w:tcPr>
          <w:p w14:paraId="6A1AABD2" w14:textId="5E012098" w:rsidR="007F66D8" w:rsidRPr="00E66064" w:rsidRDefault="006E4EB4" w:rsidP="00E66064">
            <w:pPr>
              <w:spacing w:before="0" w:after="120"/>
              <w:contextualSpacing/>
              <w:jc w:val="center"/>
              <w:rPr>
                <w:rFonts w:cs="Arial"/>
                <w:sz w:val="20"/>
                <w:szCs w:val="20"/>
              </w:rPr>
            </w:pPr>
            <w:r w:rsidRPr="00E66064">
              <w:rPr>
                <w:rFonts w:cs="Arial"/>
                <w:sz w:val="20"/>
                <w:szCs w:val="20"/>
              </w:rPr>
              <w:lastRenderedPageBreak/>
              <w:t>19.</w:t>
            </w:r>
          </w:p>
        </w:tc>
        <w:tc>
          <w:tcPr>
            <w:tcW w:w="1563" w:type="dxa"/>
          </w:tcPr>
          <w:p w14:paraId="5E452A3B" w14:textId="77777777" w:rsidR="001E2AAF" w:rsidRPr="00E66064" w:rsidRDefault="001E2AAF" w:rsidP="00E66064">
            <w:pPr>
              <w:spacing w:before="0" w:after="120"/>
              <w:contextualSpacing/>
              <w:rPr>
                <w:rFonts w:cs="Arial"/>
                <w:sz w:val="20"/>
                <w:szCs w:val="20"/>
              </w:rPr>
            </w:pPr>
            <w:r w:rsidRPr="00E66064">
              <w:rPr>
                <w:rFonts w:cs="Arial"/>
                <w:sz w:val="20"/>
                <w:szCs w:val="20"/>
              </w:rPr>
              <w:t xml:space="preserve">Art. 1 pkt 7 Projektu  </w:t>
            </w:r>
          </w:p>
          <w:p w14:paraId="1C3E8DE7" w14:textId="1E71FC31" w:rsidR="007F66D8" w:rsidRPr="00E66064" w:rsidRDefault="001E2AAF" w:rsidP="00E66064">
            <w:pPr>
              <w:spacing w:before="0" w:after="120"/>
              <w:contextualSpacing/>
              <w:jc w:val="center"/>
              <w:rPr>
                <w:rFonts w:cs="Arial"/>
                <w:sz w:val="20"/>
                <w:szCs w:val="20"/>
              </w:rPr>
            </w:pPr>
            <w:r w:rsidRPr="00E66064">
              <w:rPr>
                <w:rFonts w:cs="Arial"/>
                <w:sz w:val="20"/>
                <w:szCs w:val="20"/>
              </w:rPr>
              <w:t>(Art. 15a ust. 3)</w:t>
            </w:r>
          </w:p>
        </w:tc>
        <w:tc>
          <w:tcPr>
            <w:tcW w:w="1955" w:type="dxa"/>
          </w:tcPr>
          <w:p w14:paraId="26D69F00" w14:textId="43F16E34" w:rsidR="007F66D8" w:rsidRPr="00E66064" w:rsidRDefault="001E2AAF" w:rsidP="00E66064">
            <w:pPr>
              <w:spacing w:before="0" w:after="120"/>
              <w:contextualSpacing/>
              <w:jc w:val="center"/>
              <w:rPr>
                <w:rFonts w:cs="Arial"/>
                <w:sz w:val="20"/>
                <w:szCs w:val="20"/>
              </w:rPr>
            </w:pPr>
            <w:r w:rsidRPr="00E66064">
              <w:rPr>
                <w:rFonts w:cs="Arial"/>
                <w:sz w:val="20"/>
                <w:szCs w:val="20"/>
              </w:rPr>
              <w:t>MI</w:t>
            </w:r>
          </w:p>
        </w:tc>
        <w:tc>
          <w:tcPr>
            <w:tcW w:w="5812" w:type="dxa"/>
          </w:tcPr>
          <w:p w14:paraId="04E4F8F3" w14:textId="77777777" w:rsidR="007F66D8" w:rsidRPr="00E66064" w:rsidRDefault="007F66D8" w:rsidP="00E66064">
            <w:pPr>
              <w:autoSpaceDE w:val="0"/>
              <w:autoSpaceDN w:val="0"/>
              <w:adjustRightInd w:val="0"/>
              <w:spacing w:before="0" w:after="120"/>
              <w:contextualSpacing/>
              <w:rPr>
                <w:rFonts w:cs="Arial"/>
                <w:sz w:val="20"/>
                <w:szCs w:val="20"/>
              </w:rPr>
            </w:pPr>
            <w:r w:rsidRPr="00E66064">
              <w:rPr>
                <w:rFonts w:cs="Arial"/>
                <w:sz w:val="20"/>
                <w:szCs w:val="20"/>
              </w:rPr>
              <w:t>Proponuję nadanie nowego brzmienia art. 15a ust. 3</w:t>
            </w:r>
          </w:p>
          <w:p w14:paraId="5F2F348D" w14:textId="77777777" w:rsidR="007F66D8" w:rsidRPr="00E66064" w:rsidRDefault="007F66D8" w:rsidP="00E66064">
            <w:pPr>
              <w:autoSpaceDE w:val="0"/>
              <w:autoSpaceDN w:val="0"/>
              <w:adjustRightInd w:val="0"/>
              <w:spacing w:before="0" w:after="120"/>
              <w:contextualSpacing/>
              <w:rPr>
                <w:rFonts w:cs="Arial"/>
                <w:sz w:val="20"/>
                <w:szCs w:val="20"/>
              </w:rPr>
            </w:pPr>
            <w:r w:rsidRPr="00E66064">
              <w:rPr>
                <w:rFonts w:cs="Arial"/>
                <w:sz w:val="20"/>
                <w:szCs w:val="20"/>
              </w:rPr>
              <w:t xml:space="preserve">Zmiana zakresu uprawnień do projektowania w ograniczonym zakresie, polegająca na usunięciu ograniczenia zakresu do </w:t>
            </w:r>
            <w:r w:rsidRPr="00E66064">
              <w:rPr>
                <w:rFonts w:cs="Arial"/>
                <w:i/>
                <w:iCs/>
                <w:sz w:val="20"/>
                <w:szCs w:val="20"/>
              </w:rPr>
              <w:t>„zabudowy zagrodowej”</w:t>
            </w:r>
            <w:r w:rsidRPr="00E66064">
              <w:rPr>
                <w:rFonts w:cs="Arial"/>
                <w:sz w:val="20"/>
                <w:szCs w:val="20"/>
              </w:rPr>
              <w:t xml:space="preserve"> spowoduje, że ten zakres uprawnień będzie wystarczający do projektowania budynków użyteczności publicznej, w tym dworców kolejowych, które często mają kubaturę nieprzekraczającą opisanego w ustawie progu 1000 m³. </w:t>
            </w:r>
          </w:p>
          <w:p w14:paraId="682DA028" w14:textId="1FE2927E" w:rsidR="007F66D8" w:rsidRPr="00E66064" w:rsidRDefault="007F66D8" w:rsidP="00E66064">
            <w:pPr>
              <w:spacing w:before="0" w:after="120"/>
              <w:contextualSpacing/>
              <w:rPr>
                <w:rFonts w:cs="Arial"/>
                <w:sz w:val="20"/>
                <w:szCs w:val="20"/>
              </w:rPr>
            </w:pPr>
            <w:r w:rsidRPr="00E66064">
              <w:rPr>
                <w:rFonts w:cs="Arial"/>
                <w:sz w:val="20"/>
                <w:szCs w:val="20"/>
              </w:rPr>
              <w:t>Ewentualne rozszerzenie zakresu uprawnień ograniczonych proponuję zdefiniować poprzez określenie kategorii budynków objętych tymi uprawnieniami.</w:t>
            </w:r>
          </w:p>
          <w:p w14:paraId="3281DDE6" w14:textId="77777777" w:rsidR="007F66D8" w:rsidRPr="00E66064" w:rsidRDefault="007F66D8" w:rsidP="00E66064">
            <w:pPr>
              <w:spacing w:before="0" w:after="120"/>
              <w:contextualSpacing/>
              <w:rPr>
                <w:rFonts w:cs="Arial"/>
                <w:sz w:val="20"/>
                <w:szCs w:val="20"/>
              </w:rPr>
            </w:pPr>
            <w:r w:rsidRPr="00E66064">
              <w:rPr>
                <w:rFonts w:cs="Arial"/>
                <w:sz w:val="20"/>
                <w:szCs w:val="20"/>
              </w:rPr>
              <w:t>W mojej opinii z zakresu uprawnień ograniczonych z pewnością powinny być wyłączone obiekty kategorii XVII.</w:t>
            </w:r>
          </w:p>
          <w:p w14:paraId="3B2A7E72" w14:textId="77777777" w:rsidR="007F66D8" w:rsidRPr="00E66064" w:rsidRDefault="007F66D8" w:rsidP="00E66064">
            <w:pPr>
              <w:spacing w:before="0" w:after="120"/>
              <w:contextualSpacing/>
              <w:rPr>
                <w:rFonts w:cs="Arial"/>
                <w:sz w:val="20"/>
                <w:szCs w:val="20"/>
              </w:rPr>
            </w:pPr>
            <w:r w:rsidRPr="00E66064">
              <w:rPr>
                <w:rFonts w:cs="Arial"/>
                <w:sz w:val="20"/>
                <w:szCs w:val="20"/>
              </w:rPr>
              <w:t>Proponuję następujące brzmienie:</w:t>
            </w:r>
          </w:p>
          <w:p w14:paraId="129E92CD" w14:textId="6841B69A" w:rsidR="007F66D8" w:rsidRPr="00E66064" w:rsidRDefault="007F66D8" w:rsidP="00E66064">
            <w:pPr>
              <w:spacing w:before="0" w:after="120"/>
              <w:contextualSpacing/>
              <w:rPr>
                <w:rFonts w:cs="Arial"/>
                <w:sz w:val="20"/>
                <w:szCs w:val="20"/>
              </w:rPr>
            </w:pPr>
            <w:r w:rsidRPr="00E66064">
              <w:rPr>
                <w:rFonts w:cs="Arial"/>
                <w:sz w:val="20"/>
                <w:szCs w:val="20"/>
              </w:rPr>
              <w:t>„</w:t>
            </w:r>
            <w:r w:rsidRPr="00E66064">
              <w:rPr>
                <w:rFonts w:cs="Arial"/>
                <w:i/>
                <w:sz w:val="20"/>
                <w:szCs w:val="20"/>
              </w:rPr>
              <w:t>3. Uprawnienia budowlane w specjalności architektonicznej w ograniczonym zakresie uprawniają do projektowania lub kierowania robotami budowlanymi w odniesieniu do architektury obiektów kategorii I, II, III, XXII o kubaturze do 1000 m³.”</w:t>
            </w:r>
          </w:p>
        </w:tc>
        <w:tc>
          <w:tcPr>
            <w:tcW w:w="3998" w:type="dxa"/>
          </w:tcPr>
          <w:p w14:paraId="6872871B" w14:textId="2E2FF137" w:rsidR="007F66D8" w:rsidRPr="00E66064" w:rsidRDefault="00E66064" w:rsidP="00E66064">
            <w:pPr>
              <w:spacing w:before="0" w:after="120"/>
              <w:contextualSpacing/>
              <w:jc w:val="left"/>
              <w:rPr>
                <w:rFonts w:cs="Arial"/>
                <w:b/>
                <w:sz w:val="20"/>
                <w:szCs w:val="20"/>
              </w:rPr>
            </w:pPr>
            <w:r w:rsidRPr="00E66064">
              <w:rPr>
                <w:rFonts w:cs="Arial"/>
                <w:b/>
                <w:sz w:val="20"/>
                <w:szCs w:val="20"/>
              </w:rPr>
              <w:t>Uwaga znajduje się poza zakresem właściwości KRMC.</w:t>
            </w:r>
          </w:p>
        </w:tc>
      </w:tr>
      <w:tr w:rsidR="007F66D8" w:rsidRPr="00E66064" w14:paraId="76EE396A" w14:textId="77777777" w:rsidTr="004F4CF5">
        <w:tc>
          <w:tcPr>
            <w:tcW w:w="559" w:type="dxa"/>
            <w:shd w:val="clear" w:color="auto" w:fill="auto"/>
          </w:tcPr>
          <w:p w14:paraId="473F86BB" w14:textId="482B5CF7" w:rsidR="007F66D8" w:rsidRPr="00E66064" w:rsidRDefault="006E4EB4" w:rsidP="00E66064">
            <w:pPr>
              <w:spacing w:before="0" w:after="120"/>
              <w:contextualSpacing/>
              <w:jc w:val="center"/>
              <w:rPr>
                <w:rFonts w:cs="Arial"/>
                <w:sz w:val="20"/>
                <w:szCs w:val="20"/>
              </w:rPr>
            </w:pPr>
            <w:r w:rsidRPr="00E66064">
              <w:rPr>
                <w:rFonts w:cs="Arial"/>
                <w:sz w:val="20"/>
                <w:szCs w:val="20"/>
              </w:rPr>
              <w:t>20.</w:t>
            </w:r>
          </w:p>
        </w:tc>
        <w:tc>
          <w:tcPr>
            <w:tcW w:w="1563" w:type="dxa"/>
          </w:tcPr>
          <w:p w14:paraId="4421E80D" w14:textId="77777777" w:rsidR="001E2AAF" w:rsidRPr="00E66064" w:rsidRDefault="001E2AAF" w:rsidP="00E66064">
            <w:pPr>
              <w:spacing w:before="0" w:after="120"/>
              <w:contextualSpacing/>
              <w:rPr>
                <w:rFonts w:cs="Arial"/>
                <w:sz w:val="20"/>
                <w:szCs w:val="20"/>
              </w:rPr>
            </w:pPr>
            <w:r w:rsidRPr="00E66064">
              <w:rPr>
                <w:rFonts w:cs="Arial"/>
                <w:sz w:val="20"/>
                <w:szCs w:val="20"/>
              </w:rPr>
              <w:t xml:space="preserve">Art. 1 pkt 8 Projektu </w:t>
            </w:r>
          </w:p>
          <w:p w14:paraId="6B2089F3" w14:textId="63D020B3" w:rsidR="007F66D8" w:rsidRPr="00E66064" w:rsidRDefault="001E2AAF" w:rsidP="00E66064">
            <w:pPr>
              <w:spacing w:before="0" w:after="120"/>
              <w:contextualSpacing/>
              <w:jc w:val="center"/>
              <w:rPr>
                <w:rFonts w:cs="Arial"/>
                <w:sz w:val="20"/>
                <w:szCs w:val="20"/>
              </w:rPr>
            </w:pPr>
            <w:r w:rsidRPr="00E66064">
              <w:rPr>
                <w:rFonts w:cs="Arial"/>
                <w:sz w:val="20"/>
                <w:szCs w:val="20"/>
              </w:rPr>
              <w:t>(Art. 15b ust. 1 pkt 1 lit. e)</w:t>
            </w:r>
          </w:p>
        </w:tc>
        <w:tc>
          <w:tcPr>
            <w:tcW w:w="1955" w:type="dxa"/>
          </w:tcPr>
          <w:p w14:paraId="5A591D32" w14:textId="43620439" w:rsidR="007F66D8" w:rsidRPr="00E66064" w:rsidRDefault="001E2AAF" w:rsidP="00E66064">
            <w:pPr>
              <w:spacing w:before="0" w:after="120"/>
              <w:contextualSpacing/>
              <w:jc w:val="center"/>
              <w:rPr>
                <w:rFonts w:cs="Arial"/>
                <w:sz w:val="20"/>
                <w:szCs w:val="20"/>
              </w:rPr>
            </w:pPr>
            <w:r w:rsidRPr="00E66064">
              <w:rPr>
                <w:rFonts w:cs="Arial"/>
                <w:sz w:val="20"/>
                <w:szCs w:val="20"/>
              </w:rPr>
              <w:t>MI</w:t>
            </w:r>
          </w:p>
        </w:tc>
        <w:tc>
          <w:tcPr>
            <w:tcW w:w="5812" w:type="dxa"/>
          </w:tcPr>
          <w:p w14:paraId="3E6B1C35" w14:textId="77777777" w:rsidR="007F66D8" w:rsidRPr="00E66064" w:rsidRDefault="007F66D8" w:rsidP="00E66064">
            <w:pPr>
              <w:spacing w:before="0" w:after="120"/>
              <w:contextualSpacing/>
              <w:rPr>
                <w:rFonts w:cs="Arial"/>
                <w:sz w:val="20"/>
                <w:szCs w:val="20"/>
              </w:rPr>
            </w:pPr>
            <w:r w:rsidRPr="00E66064">
              <w:rPr>
                <w:rFonts w:cs="Arial"/>
                <w:sz w:val="20"/>
                <w:szCs w:val="20"/>
              </w:rPr>
              <w:t>Proponuję wykreślenie z projektu ustawy art. 15b. ust 1 pkt 1 lit. e.</w:t>
            </w:r>
          </w:p>
          <w:p w14:paraId="27C1F2FD" w14:textId="2E25E317" w:rsidR="007F66D8" w:rsidRPr="00E66064" w:rsidRDefault="007F66D8" w:rsidP="00E66064">
            <w:pPr>
              <w:spacing w:before="0" w:after="120"/>
              <w:contextualSpacing/>
              <w:rPr>
                <w:rFonts w:cs="Arial"/>
                <w:sz w:val="20"/>
                <w:szCs w:val="20"/>
              </w:rPr>
            </w:pPr>
            <w:r w:rsidRPr="00E66064">
              <w:rPr>
                <w:rFonts w:cs="Arial"/>
                <w:sz w:val="20"/>
                <w:szCs w:val="20"/>
              </w:rPr>
              <w:t>Zmiana w zakresie przeniesienia kompetencji do wystawiania ekspertyzy technicznej w zakresie związanym z legalizacją obiektu, z osób posiadających odpowiednie uprawnienia budowlane bez ograniczeń w danej specjalności budowlanej, na rzecz niewielkiej grupy rzeczoznawców budowlanych, spowoduje istotne spowolnienie procesu przygotowania dokumentacji projektowej. W obecnym stanie prawnym, w ramach swoich kompetencji rzeczoznawcy budowlani są już objęci możliwością sporządzania ekspertyz budowlanych w przedmiotowym zakresie.</w:t>
            </w:r>
          </w:p>
        </w:tc>
        <w:tc>
          <w:tcPr>
            <w:tcW w:w="3998" w:type="dxa"/>
          </w:tcPr>
          <w:p w14:paraId="569395FF" w14:textId="4E827433" w:rsidR="007F66D8" w:rsidRPr="00E66064" w:rsidRDefault="00E66064" w:rsidP="00E66064">
            <w:pPr>
              <w:spacing w:before="0" w:after="120"/>
              <w:contextualSpacing/>
              <w:jc w:val="left"/>
              <w:rPr>
                <w:rFonts w:cs="Arial"/>
                <w:b/>
                <w:sz w:val="20"/>
                <w:szCs w:val="20"/>
              </w:rPr>
            </w:pPr>
            <w:r w:rsidRPr="00E66064">
              <w:rPr>
                <w:rFonts w:cs="Arial"/>
                <w:b/>
                <w:sz w:val="20"/>
                <w:szCs w:val="20"/>
              </w:rPr>
              <w:t>Uwaga znajduje się poza zakresem właściwości KRMC.</w:t>
            </w:r>
          </w:p>
        </w:tc>
      </w:tr>
      <w:tr w:rsidR="00FD0B2D" w:rsidRPr="00E66064" w14:paraId="543C3EC3" w14:textId="77777777" w:rsidTr="004F4CF5">
        <w:tc>
          <w:tcPr>
            <w:tcW w:w="559" w:type="dxa"/>
            <w:shd w:val="clear" w:color="auto" w:fill="auto"/>
          </w:tcPr>
          <w:p w14:paraId="34428D88" w14:textId="00AE1965" w:rsidR="00FD0B2D" w:rsidRPr="00E66064" w:rsidRDefault="006E4EB4" w:rsidP="00E66064">
            <w:pPr>
              <w:spacing w:before="0" w:after="120"/>
              <w:contextualSpacing/>
              <w:jc w:val="center"/>
              <w:rPr>
                <w:rFonts w:cs="Arial"/>
                <w:sz w:val="20"/>
                <w:szCs w:val="20"/>
              </w:rPr>
            </w:pPr>
            <w:r w:rsidRPr="00E66064">
              <w:rPr>
                <w:rFonts w:cs="Arial"/>
                <w:sz w:val="20"/>
                <w:szCs w:val="20"/>
              </w:rPr>
              <w:lastRenderedPageBreak/>
              <w:t>21.</w:t>
            </w:r>
          </w:p>
        </w:tc>
        <w:tc>
          <w:tcPr>
            <w:tcW w:w="1563" w:type="dxa"/>
          </w:tcPr>
          <w:p w14:paraId="4DCBA354" w14:textId="5F74ABEC" w:rsidR="001E2AAF" w:rsidRPr="00E66064" w:rsidRDefault="001E2AAF" w:rsidP="00E66064">
            <w:pPr>
              <w:spacing w:before="0" w:after="120"/>
              <w:contextualSpacing/>
              <w:rPr>
                <w:rFonts w:cs="Arial"/>
                <w:sz w:val="20"/>
                <w:szCs w:val="20"/>
              </w:rPr>
            </w:pPr>
            <w:r w:rsidRPr="00E66064">
              <w:rPr>
                <w:rFonts w:cs="Arial"/>
                <w:sz w:val="20"/>
                <w:szCs w:val="20"/>
              </w:rPr>
              <w:t>Art. 1 pkt 18 oraz pkt 52 projektu (art. 35 ust. 1 pkt 2 i ust. 1a oraz 84 ust. 1 pkt 1 lit. a)</w:t>
            </w:r>
          </w:p>
          <w:p w14:paraId="783C7C56" w14:textId="2248E343" w:rsidR="00FD0B2D" w:rsidRPr="00E66064" w:rsidRDefault="00FD0B2D" w:rsidP="00E66064">
            <w:pPr>
              <w:spacing w:before="0" w:after="120"/>
              <w:contextualSpacing/>
              <w:jc w:val="center"/>
              <w:rPr>
                <w:rFonts w:cs="Arial"/>
                <w:sz w:val="20"/>
                <w:szCs w:val="20"/>
              </w:rPr>
            </w:pPr>
          </w:p>
        </w:tc>
        <w:tc>
          <w:tcPr>
            <w:tcW w:w="1955" w:type="dxa"/>
          </w:tcPr>
          <w:p w14:paraId="4D7BF3CD" w14:textId="461D7E1B" w:rsidR="00FD0B2D" w:rsidRPr="00E66064" w:rsidRDefault="001E2AAF" w:rsidP="00E66064">
            <w:pPr>
              <w:spacing w:before="0" w:after="120"/>
              <w:contextualSpacing/>
              <w:jc w:val="center"/>
              <w:rPr>
                <w:rFonts w:cs="Arial"/>
                <w:sz w:val="20"/>
                <w:szCs w:val="20"/>
              </w:rPr>
            </w:pPr>
            <w:r w:rsidRPr="00E66064">
              <w:rPr>
                <w:rFonts w:cs="Arial"/>
                <w:sz w:val="20"/>
                <w:szCs w:val="20"/>
              </w:rPr>
              <w:t>MI</w:t>
            </w:r>
          </w:p>
          <w:p w14:paraId="437AD897" w14:textId="47CB0D19" w:rsidR="00FD0B2D" w:rsidRPr="00E66064" w:rsidRDefault="00FD0B2D" w:rsidP="00E66064">
            <w:pPr>
              <w:spacing w:before="0" w:after="120"/>
              <w:contextualSpacing/>
              <w:jc w:val="center"/>
              <w:rPr>
                <w:rFonts w:cs="Arial"/>
                <w:sz w:val="20"/>
                <w:szCs w:val="20"/>
              </w:rPr>
            </w:pPr>
          </w:p>
        </w:tc>
        <w:tc>
          <w:tcPr>
            <w:tcW w:w="5812" w:type="dxa"/>
          </w:tcPr>
          <w:p w14:paraId="19A4A8F7" w14:textId="77777777" w:rsidR="00FD0B2D" w:rsidRPr="00E66064" w:rsidRDefault="00FD0B2D" w:rsidP="00E66064">
            <w:pPr>
              <w:spacing w:before="0" w:after="120"/>
              <w:contextualSpacing/>
              <w:rPr>
                <w:rFonts w:cs="Arial"/>
                <w:sz w:val="20"/>
                <w:szCs w:val="20"/>
              </w:rPr>
            </w:pPr>
            <w:r w:rsidRPr="00E66064">
              <w:rPr>
                <w:rFonts w:cs="Arial"/>
                <w:sz w:val="20"/>
                <w:szCs w:val="20"/>
              </w:rPr>
              <w:t>Proponuję rezygnację z dodania art. 35 ust. 1a</w:t>
            </w:r>
          </w:p>
          <w:p w14:paraId="5CF2DC0D" w14:textId="77777777" w:rsidR="00FD0B2D" w:rsidRPr="00E66064" w:rsidRDefault="00FD0B2D" w:rsidP="00E66064">
            <w:pPr>
              <w:spacing w:before="0" w:after="120"/>
              <w:contextualSpacing/>
              <w:rPr>
                <w:rFonts w:cs="Arial"/>
                <w:sz w:val="20"/>
                <w:szCs w:val="20"/>
              </w:rPr>
            </w:pPr>
          </w:p>
          <w:p w14:paraId="6BF0D422" w14:textId="1486ECC8" w:rsidR="00FD0B2D" w:rsidRPr="00E66064" w:rsidRDefault="00FD0B2D" w:rsidP="00E66064">
            <w:pPr>
              <w:spacing w:before="0" w:after="120"/>
              <w:contextualSpacing/>
              <w:rPr>
                <w:rFonts w:cs="Arial"/>
                <w:sz w:val="20"/>
                <w:szCs w:val="20"/>
              </w:rPr>
            </w:pPr>
            <w:r w:rsidRPr="00E66064">
              <w:rPr>
                <w:rFonts w:cs="Arial"/>
                <w:sz w:val="20"/>
                <w:szCs w:val="20"/>
              </w:rPr>
              <w:t>Całkowite wyłączenie prowadzenia przez organy administracji architektoniczno-budowlanej kontroli zgodności projektu zagospodarowania działki lub terenu z przepisami techniczno-budowlanymi jest rozwiązaniem zbyt ryzykownym. Konsekwencją proponowanej zmiany, będzie możliwość przeprowadzenia kontroli dopiero w trakcie robót budowlanych lub po ich zakończeniu, na podstawie art. 84 ustawy. Przeniesienie kontroli na późniejszy etap spowoduje zwiększenie kosztów ewentualnych błędów.</w:t>
            </w:r>
          </w:p>
          <w:p w14:paraId="56BFFDD9" w14:textId="77777777" w:rsidR="00FD0B2D" w:rsidRPr="00E66064" w:rsidRDefault="00FD0B2D" w:rsidP="00E66064">
            <w:pPr>
              <w:spacing w:before="0" w:after="120"/>
              <w:contextualSpacing/>
              <w:rPr>
                <w:rFonts w:cs="Arial"/>
                <w:sz w:val="20"/>
                <w:szCs w:val="20"/>
              </w:rPr>
            </w:pPr>
            <w:r w:rsidRPr="00E66064">
              <w:rPr>
                <w:rFonts w:cs="Arial"/>
                <w:sz w:val="20"/>
                <w:szCs w:val="20"/>
              </w:rPr>
              <w:t>Z punktu widzenia realizacji strategicznych dla państwa inwestycji (np. przez PKP S.A.) odsunięcie weryfikacji  godności projektu z przepisami na późniejsze etapy inwestycji zwiększa ryzyko poniesienia dodatkowych istotnych kosztów oraz znacznego wydłużenia procesu inwestycyjnego. Biorąc pod uwagę dotychczasowe doświadczenia okoliczność, że zgodność projektu z przepisami jest potwierdzona przez projektantów nie jest wystarczającą gwarancją jego rzetelności, biorąc pod uwagę, że wysokość ewentualnych roszczeń odszkodowawczych od projektanta, stanowi niewielki ułamek poniesionych przez inwestora (Skarb Państwa) nakładów w fazie realizacji inwestycji.</w:t>
            </w:r>
          </w:p>
          <w:p w14:paraId="57DF57D5" w14:textId="77777777" w:rsidR="00FD0B2D" w:rsidRPr="00E66064" w:rsidRDefault="00FD0B2D" w:rsidP="00E66064">
            <w:pPr>
              <w:spacing w:before="0" w:after="120"/>
              <w:contextualSpacing/>
              <w:rPr>
                <w:rFonts w:cs="Arial"/>
                <w:sz w:val="20"/>
                <w:szCs w:val="20"/>
              </w:rPr>
            </w:pPr>
            <w:r w:rsidRPr="00E66064">
              <w:rPr>
                <w:rFonts w:cs="Arial"/>
                <w:sz w:val="20"/>
                <w:szCs w:val="20"/>
              </w:rPr>
              <w:t>Proponowana zmiana w praktyce likwiduje dotychczasową, spójną regulację, niejako „prywatyzując” sprawowanie kontroli nad przestrzenią publiczną.</w:t>
            </w:r>
          </w:p>
          <w:p w14:paraId="6A2FF5E2" w14:textId="77777777" w:rsidR="00FD0B2D" w:rsidRPr="00E66064" w:rsidRDefault="00FD0B2D" w:rsidP="00E66064">
            <w:pPr>
              <w:spacing w:before="0" w:after="120"/>
              <w:contextualSpacing/>
              <w:rPr>
                <w:rFonts w:cs="Arial"/>
                <w:sz w:val="20"/>
                <w:szCs w:val="20"/>
              </w:rPr>
            </w:pPr>
            <w:r w:rsidRPr="00E66064">
              <w:rPr>
                <w:rFonts w:cs="Arial"/>
                <w:sz w:val="20"/>
                <w:szCs w:val="20"/>
              </w:rPr>
              <w:t>W tym kontekście wyjaśnienia wymaga również kwestia, czy przez „kontrolę stosowania przepisów prawa budowlanego a w szczególności: kontrolę zgodności wykonywania robót budowlanych z przepisami prawa budowlanego (…)” rozumie się również kontrolę zgodności z przepisami techniczno-budowlanymi, wydanymi na podstawie ustawy – Prawo budowlane. Jeżeli nie, należy takie wymaganie dopisać. Jeżeli tak – brak jednoznacznego wskazania przepisów techniczno-budowlanych może budzić wątpliwości interpretacyjne.</w:t>
            </w:r>
          </w:p>
          <w:p w14:paraId="5AD401AE" w14:textId="01EC2CE7" w:rsidR="00FD0B2D" w:rsidRPr="00E66064" w:rsidRDefault="00FD0B2D" w:rsidP="00E66064">
            <w:pPr>
              <w:spacing w:before="0" w:after="120"/>
              <w:contextualSpacing/>
              <w:rPr>
                <w:rFonts w:cs="Arial"/>
                <w:sz w:val="20"/>
                <w:szCs w:val="20"/>
              </w:rPr>
            </w:pPr>
            <w:r w:rsidRPr="00E66064">
              <w:rPr>
                <w:rFonts w:cs="Arial"/>
                <w:sz w:val="20"/>
                <w:szCs w:val="20"/>
              </w:rPr>
              <w:t xml:space="preserve">Analogicznie do uwagi zgłaszanej w ramach uzgodnień międzyresortowych negatywnie opiniuję zniesienie odpowiedzialności organu administracji architektoniczno-budowlanej za sprawdzenie zgodności projektu </w:t>
            </w:r>
            <w:r w:rsidRPr="00E66064">
              <w:rPr>
                <w:rFonts w:cs="Arial"/>
                <w:sz w:val="20"/>
                <w:szCs w:val="20"/>
              </w:rPr>
              <w:lastRenderedPageBreak/>
              <w:t>zagospodarowania działki lub terenu z przepisami, w tym techniczno-budowlanymi. Wbrew intencjom ustawodawcy, który wskazuje na potrzebę zniesienia obciążeń organów administracji architektoniczno-budowlanej, proponowana zmiana przenosi całkowitą odpowiedzialność za stosowanie przepisów techniczno-budowlanych na projektanta. Spowoduje to praktyczne lekceważenie tych przepisów, na jeszcze większą skalę niż obecnie, a w konsekwencji zmniejszy bezpieczeństwo budowanych obiektów. Organy nadzoru budowlanego nie będą bowiem w stanie zweryfikować prawidłowości przyjmowanych rozwiązań projektowych lub będzie się to działo na zbyt późnym etapie.</w:t>
            </w:r>
          </w:p>
        </w:tc>
        <w:tc>
          <w:tcPr>
            <w:tcW w:w="3998" w:type="dxa"/>
          </w:tcPr>
          <w:p w14:paraId="0C4D85EA" w14:textId="74F1057B" w:rsidR="00FD0B2D" w:rsidRPr="00E66064" w:rsidRDefault="001D1E8C" w:rsidP="00E66064">
            <w:pPr>
              <w:spacing w:before="0" w:after="120"/>
              <w:contextualSpacing/>
              <w:rPr>
                <w:rFonts w:cs="Arial"/>
                <w:b/>
                <w:sz w:val="20"/>
                <w:szCs w:val="20"/>
              </w:rPr>
            </w:pPr>
            <w:r w:rsidRPr="00E66064">
              <w:rPr>
                <w:rFonts w:cs="Arial"/>
                <w:b/>
                <w:sz w:val="20"/>
                <w:szCs w:val="20"/>
              </w:rPr>
              <w:lastRenderedPageBreak/>
              <w:t>U</w:t>
            </w:r>
            <w:r w:rsidR="00E02B91" w:rsidRPr="00E66064">
              <w:rPr>
                <w:rFonts w:cs="Arial"/>
                <w:b/>
                <w:sz w:val="20"/>
                <w:szCs w:val="20"/>
              </w:rPr>
              <w:t>waga znajduje się poza zakresem właściwości KRMC</w:t>
            </w:r>
            <w:r w:rsidR="00E66064">
              <w:rPr>
                <w:rFonts w:cs="Arial"/>
                <w:b/>
                <w:sz w:val="20"/>
                <w:szCs w:val="20"/>
              </w:rPr>
              <w:t>,</w:t>
            </w:r>
            <w:r w:rsidRPr="00E66064">
              <w:rPr>
                <w:rFonts w:cs="Arial"/>
                <w:b/>
                <w:sz w:val="20"/>
                <w:szCs w:val="20"/>
              </w:rPr>
              <w:t xml:space="preserve"> n</w:t>
            </w:r>
            <w:r w:rsidR="00E02B91" w:rsidRPr="00E66064">
              <w:rPr>
                <w:rFonts w:cs="Arial"/>
                <w:b/>
                <w:sz w:val="20"/>
                <w:szCs w:val="20"/>
              </w:rPr>
              <w:t>iemniej jednak u</w:t>
            </w:r>
            <w:r w:rsidR="00FD0B2D" w:rsidRPr="00E66064">
              <w:rPr>
                <w:rFonts w:cs="Arial"/>
                <w:b/>
                <w:sz w:val="20"/>
                <w:szCs w:val="20"/>
              </w:rPr>
              <w:t xml:space="preserve">waga nieuwzględniona. </w:t>
            </w:r>
          </w:p>
          <w:p w14:paraId="1517096C" w14:textId="77777777" w:rsidR="00FD0B2D" w:rsidRPr="00E66064" w:rsidRDefault="00FD0B2D" w:rsidP="00E66064">
            <w:pPr>
              <w:spacing w:before="0" w:after="120"/>
              <w:contextualSpacing/>
              <w:rPr>
                <w:rFonts w:cs="Arial"/>
                <w:sz w:val="20"/>
                <w:szCs w:val="20"/>
              </w:rPr>
            </w:pPr>
            <w:r w:rsidRPr="00E66064">
              <w:rPr>
                <w:rFonts w:cs="Arial"/>
                <w:sz w:val="20"/>
                <w:szCs w:val="20"/>
              </w:rPr>
              <w:t>Celem projektowanych zmian jest odciążenie organów administracji architektoniczno-budowlanej i ograniczenie zakresu wykonywanych przez nie czynności. Procedura wydania pozwolenia na budowę czy przyjęcia zgłoszenia nie może służyć, jak to w praktyce się zdarza,  zrobieniu bezpłatnego audytu projektu zagospodarowania działki lub terenu oraz projektu architektoniczno-budowlanego opracowanego przez projektanta. Konsekwentnie urzędnicy, wykonujący czynności w ramach postępowania o wydanie pozwolenia na budowę czy przyjętego zgłoszenia, nie powinni odpowiadać za błędy w dokumentacji projektowej.</w:t>
            </w:r>
          </w:p>
          <w:p w14:paraId="12514E79" w14:textId="2FD13C8B" w:rsidR="00FD0B2D" w:rsidRPr="00E66064" w:rsidRDefault="00FD0B2D" w:rsidP="00E66064">
            <w:pPr>
              <w:spacing w:before="0" w:after="120"/>
              <w:contextualSpacing/>
              <w:jc w:val="left"/>
              <w:rPr>
                <w:rFonts w:cs="Arial"/>
                <w:b/>
                <w:sz w:val="20"/>
                <w:szCs w:val="20"/>
              </w:rPr>
            </w:pPr>
            <w:r w:rsidRPr="00E66064">
              <w:rPr>
                <w:rFonts w:cs="Arial"/>
                <w:sz w:val="20"/>
                <w:szCs w:val="20"/>
              </w:rPr>
              <w:t>Należy także pamiętać, że już obecnie projekt architektoniczno-budowlany nie jest sprawdzany od strony jego zgodności z przepisami techniczno-budowlanymi (w tym pożarowymi) przez organ administracji architektoniczno-budowlanej. Funkcjonujące rozwiązanie nie wpłynęło negatywnie na jakość opracowywanych projektów budowlanych stąd analogiczne rozwiązanie proponuje się w odniesieniu do projektu zagospodarowania działki lub terenu.</w:t>
            </w:r>
          </w:p>
        </w:tc>
      </w:tr>
      <w:tr w:rsidR="00FD0B2D" w:rsidRPr="00E66064" w14:paraId="6073767D" w14:textId="77777777" w:rsidTr="004F4CF5">
        <w:tc>
          <w:tcPr>
            <w:tcW w:w="559" w:type="dxa"/>
            <w:shd w:val="clear" w:color="auto" w:fill="auto"/>
          </w:tcPr>
          <w:p w14:paraId="2E0B8ABF" w14:textId="6329698A" w:rsidR="00FD0B2D" w:rsidRPr="00E66064" w:rsidRDefault="006E4EB4" w:rsidP="00E66064">
            <w:pPr>
              <w:spacing w:before="0" w:after="120"/>
              <w:contextualSpacing/>
              <w:jc w:val="center"/>
              <w:rPr>
                <w:rFonts w:cs="Arial"/>
                <w:sz w:val="20"/>
                <w:szCs w:val="20"/>
              </w:rPr>
            </w:pPr>
            <w:r w:rsidRPr="00E66064">
              <w:rPr>
                <w:rFonts w:cs="Arial"/>
                <w:sz w:val="20"/>
                <w:szCs w:val="20"/>
              </w:rPr>
              <w:t>22.</w:t>
            </w:r>
          </w:p>
        </w:tc>
        <w:tc>
          <w:tcPr>
            <w:tcW w:w="1563" w:type="dxa"/>
          </w:tcPr>
          <w:p w14:paraId="0BD6893F" w14:textId="2A3EB5C2" w:rsidR="00FD0B2D" w:rsidRPr="00E66064" w:rsidRDefault="001E2AAF" w:rsidP="00E66064">
            <w:pPr>
              <w:spacing w:before="0" w:after="120"/>
              <w:contextualSpacing/>
              <w:jc w:val="center"/>
              <w:rPr>
                <w:rFonts w:cs="Arial"/>
                <w:b/>
                <w:sz w:val="20"/>
                <w:szCs w:val="20"/>
              </w:rPr>
            </w:pPr>
            <w:r w:rsidRPr="00E66064">
              <w:rPr>
                <w:rFonts w:cs="Arial"/>
                <w:sz w:val="20"/>
                <w:szCs w:val="20"/>
              </w:rPr>
              <w:t>art. 3 pkt 1 projektu</w:t>
            </w:r>
          </w:p>
        </w:tc>
        <w:tc>
          <w:tcPr>
            <w:tcW w:w="1955" w:type="dxa"/>
          </w:tcPr>
          <w:p w14:paraId="405BF0C8" w14:textId="33DFB21C" w:rsidR="00FD0B2D" w:rsidRPr="00E66064" w:rsidRDefault="001E2AAF" w:rsidP="00E66064">
            <w:pPr>
              <w:spacing w:before="0" w:after="120"/>
              <w:contextualSpacing/>
              <w:jc w:val="center"/>
              <w:rPr>
                <w:rFonts w:cs="Arial"/>
                <w:sz w:val="20"/>
                <w:szCs w:val="20"/>
              </w:rPr>
            </w:pPr>
            <w:r w:rsidRPr="00E66064">
              <w:rPr>
                <w:rFonts w:cs="Arial"/>
                <w:sz w:val="20"/>
                <w:szCs w:val="20"/>
              </w:rPr>
              <w:t>MI</w:t>
            </w:r>
          </w:p>
        </w:tc>
        <w:tc>
          <w:tcPr>
            <w:tcW w:w="5812" w:type="dxa"/>
          </w:tcPr>
          <w:p w14:paraId="6B850995" w14:textId="77777777" w:rsidR="00FD0B2D" w:rsidRPr="00E66064" w:rsidRDefault="00FD0B2D" w:rsidP="00E66064">
            <w:pPr>
              <w:spacing w:before="0" w:after="120"/>
              <w:contextualSpacing/>
              <w:rPr>
                <w:rFonts w:cs="Arial"/>
                <w:sz w:val="20"/>
                <w:szCs w:val="20"/>
              </w:rPr>
            </w:pPr>
            <w:r w:rsidRPr="00E66064">
              <w:rPr>
                <w:rFonts w:cs="Arial"/>
                <w:sz w:val="20"/>
                <w:szCs w:val="20"/>
              </w:rPr>
              <w:t>Podtrzymuję uwagę dot. braku zgody na wprowadzenie ustawowego zwolnienia pojazdów organów nadzoru budowlanego z obowiązku uiszczania opłat za postój w strefach płatnego parkowania. W obecnie obowiązującym art. 13 ust. 3 ustawy o drogach publicznych ustawodawca enumeratywnie wskazał pojazdy, które są ustawowo zwolnione z obowiązku uiszczania opłaty za postój w strefie płatnego parkowania. Są to przede wszystkim pojazdy służb państwowych (rządowych / samorządowych). Należą do nich m.in. siły zbrojne, policja, straż graniczna, straż pożarna, różnego rodzaju służby specjalne, których pojazdy też są pojazdami specjalnie oznakowanymi. Katalog pojazdów ustawowo zwolnionych z opłat za postój jest więc mocno ograniczony, a wynika to również z faktu, że opłaty z tytułu postoju w strefie płatnego parkowania są przekazywane odpowiednio do budżetów jednostek samorządu terytorialnego (JST).</w:t>
            </w:r>
          </w:p>
          <w:p w14:paraId="69CD7E21" w14:textId="77777777" w:rsidR="00FD0B2D" w:rsidRPr="00E66064" w:rsidRDefault="00FD0B2D" w:rsidP="00E66064">
            <w:pPr>
              <w:spacing w:before="0" w:after="120"/>
              <w:contextualSpacing/>
              <w:rPr>
                <w:rFonts w:cs="Arial"/>
                <w:sz w:val="20"/>
                <w:szCs w:val="20"/>
              </w:rPr>
            </w:pPr>
            <w:r w:rsidRPr="00E66064">
              <w:rPr>
                <w:rFonts w:cs="Arial"/>
                <w:sz w:val="20"/>
                <w:szCs w:val="20"/>
              </w:rPr>
              <w:t xml:space="preserve">Zatem wszelkie zmiany polegające na rozszerzeniu katalogu pojazdów zwolnionych z opłat za postój w strefie płatnego parkowania stanowiłyby uszczuplenie ich dochodów. W związku z powyższym MI nie widzi zasadności ustawowego rozszerzania katalogu pojazdów zwolnionych z opłaty za postój w strefie płatnego parkowania. </w:t>
            </w:r>
          </w:p>
          <w:p w14:paraId="0B6CB280" w14:textId="77777777" w:rsidR="00FD0B2D" w:rsidRPr="00E66064" w:rsidRDefault="00FD0B2D" w:rsidP="00E66064">
            <w:pPr>
              <w:spacing w:before="0" w:after="120"/>
              <w:contextualSpacing/>
              <w:rPr>
                <w:rFonts w:cs="Arial"/>
                <w:sz w:val="20"/>
                <w:szCs w:val="20"/>
              </w:rPr>
            </w:pPr>
            <w:r w:rsidRPr="00E66064">
              <w:rPr>
                <w:rFonts w:cs="Arial"/>
                <w:sz w:val="20"/>
                <w:szCs w:val="20"/>
              </w:rPr>
              <w:t>Należy także wskazać, że w OSR nie został wskazany negatywny wpływ projektowanej zmiany na budżet JST. A nie da się ukryć że wprowadzenie proponowanej zmiany spowoduje uszczuplenie dochodów JST.</w:t>
            </w:r>
          </w:p>
          <w:p w14:paraId="64088B4D" w14:textId="77777777" w:rsidR="00FD0B2D" w:rsidRPr="00E66064" w:rsidRDefault="00FD0B2D" w:rsidP="00E66064">
            <w:pPr>
              <w:spacing w:before="0" w:after="120"/>
              <w:contextualSpacing/>
              <w:rPr>
                <w:rFonts w:cs="Arial"/>
                <w:sz w:val="20"/>
                <w:szCs w:val="20"/>
              </w:rPr>
            </w:pPr>
            <w:r w:rsidRPr="00E66064">
              <w:rPr>
                <w:rFonts w:cs="Arial"/>
                <w:sz w:val="20"/>
                <w:szCs w:val="20"/>
              </w:rPr>
              <w:lastRenderedPageBreak/>
              <w:t>Dodatkowo zgodnie z art. 13b ust. 4 ustawy o drogach publicznych, rada gminy (rada miasta), ustalając strefę płatnego parkowania m.in. może wprowadzić opłaty abonamentowe lub zryczałtowane oraz zerową stawkę opłaty dla niektórych użytkowników drogi. Zatem zgodnie z obecnie obowiązującymi przepisami ustawy o drogach publicznych istnieje możliwość zwolnienia pojazdów organów nadzoru budowlanego z opłat za postój w strefach płatnego parkowania na poziomie JST. W tym celu należy zwrócić się z odpowiednim wnioskiem do rady gminy (miasta). Podkreślić należy, że ocena potrzeby i zasadności zwolnienia danych użytkowników drogi z obowiązku uiszczania opłaty za postój w strefach płatnego parkowania powinna być dokonana przez ten samorząd. W tym zakresie pozostawiono swobodę właściwemu organowi samorządu.</w:t>
            </w:r>
          </w:p>
          <w:p w14:paraId="36D4E8A8" w14:textId="77777777" w:rsidR="00FD0B2D" w:rsidRPr="00E66064" w:rsidRDefault="00FD0B2D" w:rsidP="00E66064">
            <w:pPr>
              <w:spacing w:before="0" w:after="120"/>
              <w:contextualSpacing/>
              <w:rPr>
                <w:rFonts w:cs="Arial"/>
                <w:sz w:val="20"/>
                <w:szCs w:val="20"/>
              </w:rPr>
            </w:pPr>
            <w:r w:rsidRPr="00E66064">
              <w:rPr>
                <w:rFonts w:cs="Arial"/>
                <w:sz w:val="20"/>
                <w:szCs w:val="20"/>
              </w:rPr>
              <w:t>Wagę zadań wykonywanych przez nadzór budowlany w związku z wystąpieniem katastrof budowlanych jest zrozumiała. Należy jednak zauważyć, że po pierwsze strefy płatnego parkowania tworzone są w miastach i miasteczkach i mają na celu przede wszystkim zwiększenie rotacji parkujących pojazdów samochodowych. Po drugie ustawowe zwolnienie z opłat za postój w strefach płatnego parkowania dotyczy pojazdów specjalnych w większości specjalnie oznakowanych, bądź też pojazdów tajnych, które w sposób ciągły wykonują zadania związane z czuwaniem nad bezpieczeństwem, porządkiem i zdrowiem obywateli RP.</w:t>
            </w:r>
          </w:p>
          <w:p w14:paraId="5264C971" w14:textId="77777777" w:rsidR="00FD0B2D" w:rsidRPr="00E66064" w:rsidRDefault="00FD0B2D" w:rsidP="00E66064">
            <w:pPr>
              <w:spacing w:before="0" w:after="120"/>
              <w:contextualSpacing/>
              <w:rPr>
                <w:rFonts w:cs="Arial"/>
                <w:sz w:val="20"/>
                <w:szCs w:val="20"/>
              </w:rPr>
            </w:pPr>
            <w:r w:rsidRPr="00E66064">
              <w:rPr>
                <w:rFonts w:cs="Arial"/>
                <w:sz w:val="20"/>
                <w:szCs w:val="20"/>
              </w:rPr>
              <w:t>Mając powyższe na uwadze oraz argumentację przedstawioną przez GUNB w zakresie wykonywania pilnych czynności służbowych związanych z wystąpieniem katastrofy budowlanej - zwracam się z prośbą o podanie informacji w ilu przypadkach rocznie nadzór budowlany w związku z zaistniałą katastrofą budowlaną albo klęską żywiołową interweniował w takich miastach, w których zobowiązany był do uiszczenia opłaty za postój w strefie płatnego parkowania.</w:t>
            </w:r>
          </w:p>
          <w:p w14:paraId="2230F9A8" w14:textId="7F90D215" w:rsidR="00FD0B2D" w:rsidRPr="00E66064" w:rsidRDefault="00FD0B2D" w:rsidP="00E66064">
            <w:pPr>
              <w:spacing w:before="0" w:after="120"/>
              <w:contextualSpacing/>
              <w:rPr>
                <w:rFonts w:cs="Arial"/>
                <w:sz w:val="20"/>
                <w:szCs w:val="20"/>
              </w:rPr>
            </w:pPr>
            <w:r w:rsidRPr="00E66064">
              <w:rPr>
                <w:rFonts w:cs="Arial"/>
                <w:sz w:val="20"/>
                <w:szCs w:val="20"/>
              </w:rPr>
              <w:t>Proponuję rezygnację z projektowanej zmiany.</w:t>
            </w:r>
          </w:p>
        </w:tc>
        <w:tc>
          <w:tcPr>
            <w:tcW w:w="3998" w:type="dxa"/>
          </w:tcPr>
          <w:p w14:paraId="04C6B8E2" w14:textId="1AF5EF25" w:rsidR="00E02B91" w:rsidRPr="00E66064" w:rsidRDefault="00E66064" w:rsidP="00E66064">
            <w:pPr>
              <w:spacing w:before="0" w:after="120"/>
              <w:contextualSpacing/>
              <w:rPr>
                <w:rFonts w:cs="Arial"/>
                <w:b/>
                <w:sz w:val="20"/>
                <w:szCs w:val="20"/>
              </w:rPr>
            </w:pPr>
            <w:r>
              <w:rPr>
                <w:rFonts w:cs="Arial"/>
                <w:b/>
                <w:sz w:val="20"/>
                <w:szCs w:val="20"/>
              </w:rPr>
              <w:lastRenderedPageBreak/>
              <w:t>U</w:t>
            </w:r>
            <w:r w:rsidR="00E02B91" w:rsidRPr="00E66064">
              <w:rPr>
                <w:rFonts w:cs="Arial"/>
                <w:b/>
                <w:sz w:val="20"/>
                <w:szCs w:val="20"/>
              </w:rPr>
              <w:t>waga znajduje się poza zakresem właściwości KRMC, niemniej jednak uwaga nieuwzględniona.</w:t>
            </w:r>
          </w:p>
          <w:p w14:paraId="4BE66312" w14:textId="21BEDFD8" w:rsidR="00FD0B2D" w:rsidRPr="00E66064" w:rsidRDefault="00FD0B2D" w:rsidP="00E66064">
            <w:pPr>
              <w:spacing w:before="0" w:after="120"/>
              <w:contextualSpacing/>
              <w:rPr>
                <w:rFonts w:cs="Arial"/>
                <w:sz w:val="20"/>
                <w:szCs w:val="20"/>
              </w:rPr>
            </w:pPr>
            <w:r w:rsidRPr="00E66064">
              <w:rPr>
                <w:rFonts w:cs="Arial"/>
                <w:sz w:val="20"/>
                <w:szCs w:val="20"/>
              </w:rPr>
              <w:t>Dotychczasowe zwolnienia dotyczą służb realizujących zadania publiczne. Stąd konsekwentnie z takiego zwolnienia powinien korzystać nadzór budowlany, który podejmuje działania na rzecz bezpieczeństwa budowlanego lokalnej społeczności. Uiszczanie opłaty bez wiedzy, jak długo czynności służbowe potrwają spowalnia rozpoczęcie czynności służbowych lub ewentualnie wymusza przerwanie, celem dopłacenia opłaty za parkowanie. Samo zwolnienie nie pociąga za sobą znacznego uszczuplenia dochodów JST, miałoby charakter marginalny. Uwzględniając zadania nadzoru budowlanego i niejednokrotnie podejmowanie działań w okolicznościach zagrożenia zdrowia lub życia (katastrofa budowlana) wprowadzenie tego zwolnienia jest uzasadnione.</w:t>
            </w:r>
          </w:p>
        </w:tc>
      </w:tr>
      <w:tr w:rsidR="00FD0B2D" w:rsidRPr="00E66064" w14:paraId="654B50CC" w14:textId="77777777" w:rsidTr="004F4CF5">
        <w:tc>
          <w:tcPr>
            <w:tcW w:w="559" w:type="dxa"/>
            <w:shd w:val="clear" w:color="auto" w:fill="auto"/>
          </w:tcPr>
          <w:p w14:paraId="4D4D9227" w14:textId="04FE11EF" w:rsidR="00FD0B2D" w:rsidRPr="00E66064" w:rsidRDefault="006E4EB4" w:rsidP="00E66064">
            <w:pPr>
              <w:spacing w:before="0" w:after="120"/>
              <w:contextualSpacing/>
              <w:jc w:val="center"/>
              <w:rPr>
                <w:rFonts w:cs="Arial"/>
                <w:sz w:val="20"/>
                <w:szCs w:val="20"/>
              </w:rPr>
            </w:pPr>
            <w:r w:rsidRPr="00E66064">
              <w:rPr>
                <w:rFonts w:cs="Arial"/>
                <w:sz w:val="20"/>
                <w:szCs w:val="20"/>
              </w:rPr>
              <w:t>23.</w:t>
            </w:r>
          </w:p>
        </w:tc>
        <w:tc>
          <w:tcPr>
            <w:tcW w:w="1563" w:type="dxa"/>
          </w:tcPr>
          <w:p w14:paraId="33ECB497" w14:textId="49CC48A2" w:rsidR="00FD0B2D" w:rsidRPr="00E66064" w:rsidRDefault="001E2AAF" w:rsidP="00E66064">
            <w:pPr>
              <w:spacing w:before="0" w:after="120"/>
              <w:contextualSpacing/>
              <w:jc w:val="center"/>
              <w:rPr>
                <w:rFonts w:cs="Arial"/>
                <w:b/>
                <w:sz w:val="20"/>
                <w:szCs w:val="20"/>
              </w:rPr>
            </w:pPr>
            <w:r w:rsidRPr="00E66064">
              <w:rPr>
                <w:rFonts w:cs="Arial"/>
                <w:sz w:val="20"/>
                <w:szCs w:val="20"/>
              </w:rPr>
              <w:t>Art. 3 pkt 2-4</w:t>
            </w:r>
          </w:p>
        </w:tc>
        <w:tc>
          <w:tcPr>
            <w:tcW w:w="1955" w:type="dxa"/>
          </w:tcPr>
          <w:p w14:paraId="1AD8D734" w14:textId="1E7E805F" w:rsidR="00FD0B2D" w:rsidRPr="00E66064" w:rsidRDefault="001E2AAF" w:rsidP="00E66064">
            <w:pPr>
              <w:spacing w:before="0" w:after="120"/>
              <w:contextualSpacing/>
              <w:jc w:val="center"/>
              <w:rPr>
                <w:rFonts w:cs="Arial"/>
                <w:sz w:val="20"/>
                <w:szCs w:val="20"/>
              </w:rPr>
            </w:pPr>
            <w:r w:rsidRPr="00E66064">
              <w:rPr>
                <w:rFonts w:cs="Arial"/>
                <w:sz w:val="20"/>
                <w:szCs w:val="20"/>
              </w:rPr>
              <w:t>MI</w:t>
            </w:r>
          </w:p>
        </w:tc>
        <w:tc>
          <w:tcPr>
            <w:tcW w:w="5812" w:type="dxa"/>
          </w:tcPr>
          <w:p w14:paraId="2193737A" w14:textId="77777777" w:rsidR="00FD0B2D" w:rsidRPr="00E66064" w:rsidRDefault="00FD0B2D" w:rsidP="00E66064">
            <w:pPr>
              <w:spacing w:before="0" w:after="120"/>
              <w:contextualSpacing/>
              <w:rPr>
                <w:rFonts w:cs="Arial"/>
                <w:sz w:val="20"/>
                <w:szCs w:val="20"/>
              </w:rPr>
            </w:pPr>
            <w:r w:rsidRPr="00E66064">
              <w:rPr>
                <w:rFonts w:cs="Arial"/>
                <w:sz w:val="20"/>
                <w:szCs w:val="20"/>
              </w:rPr>
              <w:t xml:space="preserve">Przedmiotowe zmiany ingerują w sposób funkcjonowania zarządców dróg, również samorządowych, w tym na poziomie gmin, które nie są organami administracji architektoniczno-budowlanej, zatem wprowadzenie ich będzie wymagało zaakceptowania przez Komisję Wspólną Rządu i Samorządu. </w:t>
            </w:r>
          </w:p>
          <w:p w14:paraId="30C1DCCC" w14:textId="77777777" w:rsidR="00FD0B2D" w:rsidRPr="00E66064" w:rsidRDefault="00FD0B2D" w:rsidP="00E66064">
            <w:pPr>
              <w:spacing w:before="0" w:after="120"/>
              <w:contextualSpacing/>
              <w:rPr>
                <w:rFonts w:cs="Arial"/>
                <w:sz w:val="20"/>
                <w:szCs w:val="20"/>
              </w:rPr>
            </w:pPr>
            <w:r w:rsidRPr="00E66064">
              <w:rPr>
                <w:rFonts w:cs="Arial"/>
                <w:sz w:val="20"/>
                <w:szCs w:val="20"/>
              </w:rPr>
              <w:lastRenderedPageBreak/>
              <w:t>Wyjaśnienia wymaga jakie systemy rozumie się pod pojęciem „systemy dziedzinowe zintegrowane z systemem SOPAB”. Projekt ustawy w żaden sposób nie określa w jaki sposób powstać miałyby te systemy dziedzinowe zintegrowane z systemem SOPAB, jaki byłby koszt ich stworzenia oraz kiedy miałyby one zacząć funkcjonować.</w:t>
            </w:r>
          </w:p>
          <w:p w14:paraId="184050E8" w14:textId="77777777" w:rsidR="00FD0B2D" w:rsidRPr="00E66064" w:rsidRDefault="00FD0B2D" w:rsidP="00E66064">
            <w:pPr>
              <w:spacing w:before="0" w:after="120"/>
              <w:contextualSpacing/>
              <w:rPr>
                <w:rFonts w:cs="Arial"/>
                <w:sz w:val="20"/>
                <w:szCs w:val="20"/>
              </w:rPr>
            </w:pPr>
            <w:r w:rsidRPr="00E66064">
              <w:rPr>
                <w:rFonts w:cs="Arial"/>
                <w:sz w:val="20"/>
                <w:szCs w:val="20"/>
              </w:rPr>
              <w:t>Uzasadnienie zawiera treść: „Organy, które posiadają swoje Systemy Dziedzinowe do obsługi postępowań administracyjnych w budownictwie i nie zdecydują się na wdrożenie SOPAB, będą mogły pracować w swoich systemach, przy założeniu, że będą przekazywać dane z prowadzonych postępowań do SOPAB, aby zapewnić referencyjność systemu SOPAB w zakresie postępowań administracyjnych w budownictwie w skali całego kraju. Udostępnione zostanie API SOPAB, umożliwiające innym Systemom Dziedzinowym pełną integrację z SOPAB.”. Natomiast z projektowanych przepisów nie wynika obowiązek przekazywania danych dot. prowadzonych postępowań z systemów dziedzinowych do SOPAB.</w:t>
            </w:r>
          </w:p>
          <w:p w14:paraId="766CA31A" w14:textId="77777777" w:rsidR="00FD0B2D" w:rsidRPr="00E66064" w:rsidRDefault="00FD0B2D" w:rsidP="00E66064">
            <w:pPr>
              <w:spacing w:before="0" w:after="120"/>
              <w:contextualSpacing/>
              <w:rPr>
                <w:rFonts w:cs="Arial"/>
                <w:sz w:val="20"/>
                <w:szCs w:val="20"/>
              </w:rPr>
            </w:pPr>
            <w:r w:rsidRPr="00E66064">
              <w:rPr>
                <w:rFonts w:cs="Arial"/>
                <w:sz w:val="20"/>
                <w:szCs w:val="20"/>
              </w:rPr>
              <w:t>Ponadto należy wskazać, że w projekcie ustawy nie uwzględniono wszystkich postępowań administracyjnych prowadzonych w ramach ustawy o drogach publicznych. Nie uwzględniono następujących postępowań:</w:t>
            </w:r>
          </w:p>
          <w:p w14:paraId="40BA1FF2" w14:textId="77777777" w:rsidR="00FD0B2D" w:rsidRPr="00E66064" w:rsidRDefault="00FD0B2D" w:rsidP="00E66064">
            <w:pPr>
              <w:spacing w:before="0" w:after="120"/>
              <w:contextualSpacing/>
              <w:rPr>
                <w:rFonts w:cs="Arial"/>
                <w:sz w:val="20"/>
                <w:szCs w:val="20"/>
              </w:rPr>
            </w:pPr>
            <w:r w:rsidRPr="00E66064">
              <w:rPr>
                <w:rFonts w:cs="Arial"/>
                <w:sz w:val="20"/>
                <w:szCs w:val="20"/>
              </w:rPr>
              <w:t>1) przeniesienie decyzji o lokalizacji zjazdu (art. 29 ust. 7-12),</w:t>
            </w:r>
          </w:p>
          <w:p w14:paraId="3F68585D" w14:textId="77777777" w:rsidR="00FD0B2D" w:rsidRPr="00E66064" w:rsidRDefault="00FD0B2D" w:rsidP="00E66064">
            <w:pPr>
              <w:spacing w:before="0" w:after="120"/>
              <w:contextualSpacing/>
              <w:rPr>
                <w:rFonts w:cs="Arial"/>
                <w:sz w:val="20"/>
                <w:szCs w:val="20"/>
              </w:rPr>
            </w:pPr>
            <w:r w:rsidRPr="00E66064">
              <w:rPr>
                <w:rFonts w:cs="Arial"/>
                <w:sz w:val="20"/>
                <w:szCs w:val="20"/>
              </w:rPr>
              <w:t>2) decyzji o zezwoleniu na lokalizację urządzenia obcego w pasie drogowym (art. 39 ust. 3) i jej przeniesienia (art. 39 ust. 9 -16).</w:t>
            </w:r>
          </w:p>
          <w:p w14:paraId="2112AC46" w14:textId="77777777" w:rsidR="00FD0B2D" w:rsidRPr="00E66064" w:rsidRDefault="00FD0B2D" w:rsidP="00E66064">
            <w:pPr>
              <w:spacing w:before="0" w:after="120"/>
              <w:contextualSpacing/>
              <w:rPr>
                <w:rFonts w:cs="Arial"/>
                <w:sz w:val="20"/>
                <w:szCs w:val="20"/>
              </w:rPr>
            </w:pPr>
            <w:r w:rsidRPr="00E66064">
              <w:rPr>
                <w:rFonts w:cs="Arial"/>
                <w:sz w:val="20"/>
                <w:szCs w:val="20"/>
              </w:rPr>
              <w:t>Powyższe prowadzi do sytuacji, w której część postępowań prowadzona byłaby przez zarządcę drogi w dotychczasowym trybie, a pozostała część w nowym systemie.</w:t>
            </w:r>
          </w:p>
          <w:p w14:paraId="4F7BFE3C" w14:textId="77777777" w:rsidR="00FD0B2D" w:rsidRPr="00E66064" w:rsidRDefault="00FD0B2D" w:rsidP="00E66064">
            <w:pPr>
              <w:spacing w:before="0" w:after="120"/>
              <w:contextualSpacing/>
              <w:rPr>
                <w:rFonts w:cs="Arial"/>
                <w:sz w:val="20"/>
                <w:szCs w:val="20"/>
              </w:rPr>
            </w:pPr>
            <w:r w:rsidRPr="00E66064">
              <w:rPr>
                <w:rFonts w:cs="Arial"/>
                <w:sz w:val="20"/>
                <w:szCs w:val="20"/>
              </w:rPr>
              <w:t>Przepis art. 33 ustawy regulujący moment wejścia w życie art. 3 (dot. dróg publicznych) w żaden sposób nie uwzględnia możliwości zintegrowania systemów dziedzinowych z SOPAB.</w:t>
            </w:r>
          </w:p>
          <w:p w14:paraId="0BC4B146" w14:textId="62D519AA" w:rsidR="00FD0B2D" w:rsidRPr="00E66064" w:rsidRDefault="00FD0B2D" w:rsidP="00E66064">
            <w:pPr>
              <w:spacing w:before="0" w:after="120"/>
              <w:contextualSpacing/>
              <w:rPr>
                <w:rFonts w:cs="Arial"/>
                <w:sz w:val="20"/>
                <w:szCs w:val="20"/>
              </w:rPr>
            </w:pPr>
            <w:r w:rsidRPr="00E66064">
              <w:rPr>
                <w:rFonts w:cs="Arial"/>
                <w:sz w:val="20"/>
                <w:szCs w:val="20"/>
              </w:rPr>
              <w:t>Proponuję zachowanie fakultatywności w postępowaniach przewidzianych w ustawie o drogach publicznych czyli formy elektronicznej lub pisemnej składania wniosków.</w:t>
            </w:r>
          </w:p>
        </w:tc>
        <w:tc>
          <w:tcPr>
            <w:tcW w:w="3998" w:type="dxa"/>
          </w:tcPr>
          <w:p w14:paraId="67290F36" w14:textId="77777777" w:rsidR="00FD0B2D" w:rsidRPr="00E66064" w:rsidRDefault="00FD0B2D" w:rsidP="00E66064">
            <w:pPr>
              <w:spacing w:before="0" w:after="120"/>
              <w:contextualSpacing/>
              <w:rPr>
                <w:rFonts w:cs="Arial"/>
                <w:b/>
                <w:sz w:val="20"/>
                <w:szCs w:val="20"/>
              </w:rPr>
            </w:pPr>
            <w:r w:rsidRPr="00E66064">
              <w:rPr>
                <w:rFonts w:cs="Arial"/>
                <w:b/>
                <w:sz w:val="20"/>
                <w:szCs w:val="20"/>
              </w:rPr>
              <w:lastRenderedPageBreak/>
              <w:t>Uwaga nieuwzględniona.</w:t>
            </w:r>
          </w:p>
          <w:p w14:paraId="2D3989A0" w14:textId="792E3033" w:rsidR="00FD0B2D" w:rsidRPr="00E66064" w:rsidRDefault="00FD0B2D" w:rsidP="00E66064">
            <w:pPr>
              <w:spacing w:before="0" w:after="120"/>
              <w:contextualSpacing/>
              <w:rPr>
                <w:rFonts w:cs="Arial"/>
                <w:sz w:val="20"/>
                <w:szCs w:val="20"/>
              </w:rPr>
            </w:pPr>
            <w:r w:rsidRPr="00E66064">
              <w:rPr>
                <w:rFonts w:cs="Arial"/>
                <w:sz w:val="20"/>
                <w:szCs w:val="20"/>
              </w:rPr>
              <w:t xml:space="preserve">System SOPAB od samego początku został pomyślany jako system mający kilka etapów rozwoju. Docelowym celem jest objęcie systemem większej liczby </w:t>
            </w:r>
            <w:r w:rsidRPr="00E66064">
              <w:rPr>
                <w:rFonts w:cs="Arial"/>
                <w:sz w:val="20"/>
                <w:szCs w:val="20"/>
              </w:rPr>
              <w:lastRenderedPageBreak/>
              <w:t>postępowań administracyjnych</w:t>
            </w:r>
            <w:r w:rsidR="001D1E8C" w:rsidRPr="00E66064">
              <w:rPr>
                <w:rFonts w:cs="Arial"/>
                <w:sz w:val="20"/>
                <w:szCs w:val="20"/>
              </w:rPr>
              <w:t xml:space="preserve"> </w:t>
            </w:r>
            <w:r w:rsidRPr="00E66064">
              <w:rPr>
                <w:rFonts w:cs="Arial"/>
                <w:sz w:val="20"/>
                <w:szCs w:val="20"/>
              </w:rPr>
              <w:t>związanych z budownictwem oraz poszerzenie użytkowników o pozostałe organy będące w tych postępowaniach interesariuszami.</w:t>
            </w:r>
          </w:p>
          <w:p w14:paraId="1361797F" w14:textId="77777777" w:rsidR="00FD0B2D" w:rsidRPr="00E66064" w:rsidRDefault="00FD0B2D" w:rsidP="00E66064">
            <w:pPr>
              <w:spacing w:before="0" w:after="120"/>
              <w:contextualSpacing/>
              <w:rPr>
                <w:rFonts w:cs="Arial"/>
                <w:sz w:val="20"/>
                <w:szCs w:val="20"/>
              </w:rPr>
            </w:pPr>
            <w:r w:rsidRPr="00E66064">
              <w:rPr>
                <w:rFonts w:cs="Arial"/>
                <w:sz w:val="20"/>
                <w:szCs w:val="20"/>
              </w:rPr>
              <w:t>W ramach aktualnie trwającego Etapu 1 do czerwca 2023 r. planujemy zintegrować SOPAB z systemami EZD RP, e-Budownictwo, RWDZ oraz wprowadzić automatyczne raportowanie do GUS. Interesariuszami na tym etapie są wyłącznie organy administracji architektoniczno-budowlanej i organy nadzoru budowlanego.</w:t>
            </w:r>
          </w:p>
          <w:p w14:paraId="1D7EC3B9" w14:textId="77777777" w:rsidR="00FD0B2D" w:rsidRPr="00E66064" w:rsidRDefault="00FD0B2D" w:rsidP="00E66064">
            <w:pPr>
              <w:spacing w:before="0" w:after="120"/>
              <w:contextualSpacing/>
              <w:rPr>
                <w:rFonts w:cs="Arial"/>
                <w:sz w:val="20"/>
                <w:szCs w:val="20"/>
              </w:rPr>
            </w:pPr>
            <w:r w:rsidRPr="00E66064">
              <w:rPr>
                <w:rFonts w:cs="Arial"/>
                <w:sz w:val="20"/>
                <w:szCs w:val="20"/>
              </w:rPr>
              <w:t>Do końca 2024 r. w ramach Etapu 2 SOPAB zintegruje się z pozostałymi systemami GUNB (e-CRUB, EDB, c-KOB, e-SNRWB, CEEB), z e-Doręczeniami oraz usługami GUGiK. Na tym etapie potencjalnie pojawi się możliwość integracji z innymi systemami wedle potrzeb.</w:t>
            </w:r>
          </w:p>
          <w:p w14:paraId="232747BB" w14:textId="0E7AF54A" w:rsidR="00FD0B2D" w:rsidRPr="00E66064" w:rsidRDefault="00FD0B2D" w:rsidP="00E66064">
            <w:pPr>
              <w:spacing w:before="0" w:after="120"/>
              <w:contextualSpacing/>
              <w:rPr>
                <w:rFonts w:cs="Arial"/>
                <w:sz w:val="20"/>
                <w:szCs w:val="20"/>
              </w:rPr>
            </w:pPr>
            <w:r w:rsidRPr="00E66064">
              <w:rPr>
                <w:rFonts w:cs="Arial"/>
                <w:sz w:val="20"/>
                <w:szCs w:val="20"/>
              </w:rPr>
              <w:t>W ramach Etapu 3, do końca 2025 r. przeprowadzona zostanie analiza potrzeb i możliwości pozostałych organów (innych niż organy administracji architektoniczno-budowlanej i organy nadzoru</w:t>
            </w:r>
            <w:r w:rsidR="001D1E8C" w:rsidRPr="00E66064">
              <w:rPr>
                <w:rFonts w:cs="Arial"/>
                <w:sz w:val="20"/>
                <w:szCs w:val="20"/>
              </w:rPr>
              <w:t xml:space="preserve"> </w:t>
            </w:r>
            <w:r w:rsidRPr="00E66064">
              <w:rPr>
                <w:rFonts w:cs="Arial"/>
                <w:sz w:val="20"/>
                <w:szCs w:val="20"/>
              </w:rPr>
              <w:t xml:space="preserve">budowlanego), biorących udział w procesie inwestycyjno-budowlanym w kontekście użytkowania systemu SOPAB. W tym momencie może nastąpić również poszerzenie grona użytkowników SOPAB o pozostałe organy biorące udział w procesie inwestycyjno-budowlanym (np. konserwator zabytków, ochrona środowiska, straż pożarna, Wody Polskie). </w:t>
            </w:r>
          </w:p>
          <w:p w14:paraId="13D17391" w14:textId="34F79B43" w:rsidR="00FD0B2D" w:rsidRPr="00E66064" w:rsidRDefault="00FD0B2D" w:rsidP="00E66064">
            <w:pPr>
              <w:spacing w:before="0" w:after="120"/>
              <w:contextualSpacing/>
              <w:jc w:val="left"/>
              <w:rPr>
                <w:rFonts w:cs="Arial"/>
                <w:b/>
                <w:sz w:val="20"/>
                <w:szCs w:val="20"/>
              </w:rPr>
            </w:pPr>
            <w:r w:rsidRPr="00E66064">
              <w:rPr>
                <w:rFonts w:cs="Arial"/>
                <w:sz w:val="20"/>
                <w:szCs w:val="20"/>
              </w:rPr>
              <w:t xml:space="preserve">Dotychczasowe prace nad założeniami systemu przebiegają w ścisłej współpracy z użytkownikami docelowymi, zaplanowane zostały również testy </w:t>
            </w:r>
            <w:r w:rsidRPr="00E66064">
              <w:rPr>
                <w:rFonts w:cs="Arial"/>
                <w:sz w:val="20"/>
                <w:szCs w:val="20"/>
              </w:rPr>
              <w:lastRenderedPageBreak/>
              <w:t>akceptacyjne użytkowników w trakcie i przed odbiorem systemu. Na tej samej zasadzie planowane są analiza i prace programistyczne w kolejnych etapach rozwoju systemu. Potencjalni nowi użytkownicy systemu będą współdecydować o stopniu i sposobie korzystania z systemu, jedną z opcji jest również integracja istniejących systemów z SOPAB.</w:t>
            </w:r>
          </w:p>
        </w:tc>
      </w:tr>
      <w:tr w:rsidR="00FD0B2D" w:rsidRPr="00E66064" w14:paraId="525D7315" w14:textId="77777777" w:rsidTr="004F4CF5">
        <w:tc>
          <w:tcPr>
            <w:tcW w:w="559" w:type="dxa"/>
            <w:shd w:val="clear" w:color="auto" w:fill="auto"/>
          </w:tcPr>
          <w:p w14:paraId="4586E20D" w14:textId="69FD1904" w:rsidR="00FD0B2D" w:rsidRPr="00E66064" w:rsidRDefault="006E4EB4" w:rsidP="00E66064">
            <w:pPr>
              <w:spacing w:before="0" w:after="120"/>
              <w:contextualSpacing/>
              <w:jc w:val="center"/>
              <w:rPr>
                <w:rFonts w:cs="Arial"/>
                <w:sz w:val="20"/>
                <w:szCs w:val="20"/>
              </w:rPr>
            </w:pPr>
            <w:r w:rsidRPr="00E66064">
              <w:rPr>
                <w:rFonts w:cs="Arial"/>
                <w:sz w:val="20"/>
                <w:szCs w:val="20"/>
              </w:rPr>
              <w:lastRenderedPageBreak/>
              <w:t>24.</w:t>
            </w:r>
          </w:p>
        </w:tc>
        <w:tc>
          <w:tcPr>
            <w:tcW w:w="1563" w:type="dxa"/>
          </w:tcPr>
          <w:p w14:paraId="629AEA3B" w14:textId="48B9C8A9" w:rsidR="00FD0B2D" w:rsidRPr="00E66064" w:rsidRDefault="001E2AAF" w:rsidP="00E66064">
            <w:pPr>
              <w:spacing w:before="0" w:after="120"/>
              <w:contextualSpacing/>
              <w:jc w:val="center"/>
              <w:rPr>
                <w:rFonts w:cs="Arial"/>
                <w:b/>
                <w:sz w:val="20"/>
                <w:szCs w:val="20"/>
              </w:rPr>
            </w:pPr>
            <w:r w:rsidRPr="00E66064">
              <w:rPr>
                <w:rFonts w:cs="Arial"/>
                <w:sz w:val="20"/>
                <w:szCs w:val="20"/>
              </w:rPr>
              <w:t>Art. 10 pkt 5 projektu</w:t>
            </w:r>
          </w:p>
        </w:tc>
        <w:tc>
          <w:tcPr>
            <w:tcW w:w="1955" w:type="dxa"/>
          </w:tcPr>
          <w:p w14:paraId="6C18CDA5" w14:textId="1F24F995" w:rsidR="00FD0B2D" w:rsidRPr="00E66064" w:rsidRDefault="001E2AAF" w:rsidP="00E66064">
            <w:pPr>
              <w:spacing w:before="0" w:after="120"/>
              <w:contextualSpacing/>
              <w:jc w:val="center"/>
              <w:rPr>
                <w:rFonts w:cs="Arial"/>
                <w:sz w:val="20"/>
                <w:szCs w:val="20"/>
              </w:rPr>
            </w:pPr>
            <w:r w:rsidRPr="00E66064">
              <w:rPr>
                <w:rFonts w:cs="Arial"/>
                <w:sz w:val="20"/>
                <w:szCs w:val="20"/>
              </w:rPr>
              <w:t>MI</w:t>
            </w:r>
          </w:p>
        </w:tc>
        <w:tc>
          <w:tcPr>
            <w:tcW w:w="5812" w:type="dxa"/>
          </w:tcPr>
          <w:p w14:paraId="280DAFBE" w14:textId="77777777" w:rsidR="00FD0B2D" w:rsidRPr="00E66064" w:rsidRDefault="00FD0B2D" w:rsidP="00E66064">
            <w:pPr>
              <w:spacing w:before="0" w:after="120"/>
              <w:contextualSpacing/>
              <w:rPr>
                <w:rFonts w:cs="Arial"/>
                <w:sz w:val="20"/>
                <w:szCs w:val="20"/>
              </w:rPr>
            </w:pPr>
            <w:r w:rsidRPr="00E66064">
              <w:rPr>
                <w:rFonts w:cs="Arial"/>
                <w:sz w:val="20"/>
                <w:szCs w:val="20"/>
              </w:rPr>
              <w:t xml:space="preserve">Proponuję wprowadzenie do art. 64a ustępu wskazującego na konieczność przeprowadzenia uzgodnień, o których mowa w art. 53 ust. 4 ustawy o planowaniu i zagospodarowaniu przestrzennym i dołączenia ich do decyzji o warunkach zabudowy. </w:t>
            </w:r>
          </w:p>
          <w:p w14:paraId="0E962895" w14:textId="301BD455" w:rsidR="00FD0B2D" w:rsidRPr="00E66064" w:rsidRDefault="00FD0B2D" w:rsidP="00E66064">
            <w:pPr>
              <w:spacing w:before="0" w:after="120"/>
              <w:contextualSpacing/>
              <w:rPr>
                <w:rFonts w:cs="Arial"/>
                <w:sz w:val="20"/>
                <w:szCs w:val="20"/>
              </w:rPr>
            </w:pPr>
            <w:r w:rsidRPr="00E66064">
              <w:rPr>
                <w:rFonts w:cs="Arial"/>
                <w:sz w:val="20"/>
                <w:szCs w:val="20"/>
              </w:rPr>
              <w:t>Celem propozycji jest zabezpieczenie uzgodnienia lokalizacji budynków zgodnie z art. 53 ustawy o transporcie kolejowym.</w:t>
            </w:r>
          </w:p>
        </w:tc>
        <w:tc>
          <w:tcPr>
            <w:tcW w:w="3998" w:type="dxa"/>
          </w:tcPr>
          <w:p w14:paraId="262E0B64" w14:textId="1B2522F8" w:rsidR="00520AC4" w:rsidRPr="00E66064" w:rsidRDefault="00E66064" w:rsidP="00E66064">
            <w:pPr>
              <w:spacing w:before="0" w:after="120"/>
              <w:contextualSpacing/>
              <w:rPr>
                <w:rFonts w:cs="Arial"/>
                <w:b/>
                <w:sz w:val="20"/>
                <w:szCs w:val="20"/>
              </w:rPr>
            </w:pPr>
            <w:r w:rsidRPr="00E66064">
              <w:rPr>
                <w:rFonts w:cs="Arial"/>
                <w:b/>
                <w:sz w:val="20"/>
                <w:szCs w:val="20"/>
              </w:rPr>
              <w:t>U</w:t>
            </w:r>
            <w:r w:rsidR="00520AC4" w:rsidRPr="00E66064">
              <w:rPr>
                <w:rFonts w:cs="Arial"/>
                <w:b/>
                <w:sz w:val="20"/>
                <w:szCs w:val="20"/>
              </w:rPr>
              <w:t>waga znajduje się poza zakresem właściwości KRMC</w:t>
            </w:r>
            <w:r w:rsidR="0087311A" w:rsidRPr="00E66064">
              <w:rPr>
                <w:rFonts w:cs="Arial"/>
                <w:b/>
                <w:sz w:val="20"/>
                <w:szCs w:val="20"/>
              </w:rPr>
              <w:t>. Uwaga nie ma podstaw</w:t>
            </w:r>
            <w:r w:rsidR="00520AC4" w:rsidRPr="00E66064">
              <w:rPr>
                <w:rFonts w:cs="Arial"/>
                <w:b/>
                <w:sz w:val="20"/>
                <w:szCs w:val="20"/>
              </w:rPr>
              <w:t xml:space="preserve">. </w:t>
            </w:r>
          </w:p>
          <w:p w14:paraId="6BC2F8A9" w14:textId="251DCF32" w:rsidR="00FD0B2D" w:rsidRPr="00E66064" w:rsidRDefault="00520AC4" w:rsidP="00E66064">
            <w:pPr>
              <w:spacing w:before="0" w:after="120"/>
              <w:contextualSpacing/>
              <w:jc w:val="left"/>
              <w:rPr>
                <w:rFonts w:cs="Arial"/>
                <w:bCs/>
                <w:sz w:val="20"/>
                <w:szCs w:val="20"/>
              </w:rPr>
            </w:pPr>
            <w:r w:rsidRPr="00E66064">
              <w:rPr>
                <w:rFonts w:cs="Arial"/>
                <w:bCs/>
                <w:sz w:val="20"/>
                <w:szCs w:val="20"/>
              </w:rPr>
              <w:t xml:space="preserve">Uwaga </w:t>
            </w:r>
            <w:r w:rsidR="0087311A" w:rsidRPr="00E66064">
              <w:rPr>
                <w:rFonts w:cs="Arial"/>
                <w:bCs/>
                <w:sz w:val="20"/>
                <w:szCs w:val="20"/>
              </w:rPr>
              <w:t xml:space="preserve">powinna zostać </w:t>
            </w:r>
            <w:r w:rsidR="00B6152D" w:rsidRPr="00E66064">
              <w:rPr>
                <w:rFonts w:cs="Arial"/>
                <w:bCs/>
                <w:sz w:val="20"/>
                <w:szCs w:val="20"/>
              </w:rPr>
              <w:t>zgłoszona</w:t>
            </w:r>
            <w:r w:rsidRPr="00E66064">
              <w:rPr>
                <w:rFonts w:cs="Arial"/>
                <w:bCs/>
                <w:sz w:val="20"/>
                <w:szCs w:val="20"/>
              </w:rPr>
              <w:t xml:space="preserve"> na etapie uzgodnień międzyresortowych. </w:t>
            </w:r>
          </w:p>
          <w:p w14:paraId="195963BC" w14:textId="452D0AD9" w:rsidR="0087311A" w:rsidRPr="00E66064" w:rsidRDefault="00B6152D" w:rsidP="00E66064">
            <w:pPr>
              <w:spacing w:before="0" w:after="120"/>
              <w:contextualSpacing/>
              <w:jc w:val="left"/>
              <w:rPr>
                <w:rFonts w:cs="Arial"/>
                <w:bCs/>
                <w:sz w:val="20"/>
                <w:szCs w:val="20"/>
              </w:rPr>
            </w:pPr>
            <w:r w:rsidRPr="00E66064">
              <w:rPr>
                <w:rFonts w:cs="Arial"/>
                <w:bCs/>
                <w:sz w:val="20"/>
                <w:szCs w:val="20"/>
              </w:rPr>
              <w:t>U</w:t>
            </w:r>
            <w:r w:rsidR="00CB35EC" w:rsidRPr="00E66064">
              <w:rPr>
                <w:rFonts w:cs="Arial"/>
                <w:bCs/>
                <w:sz w:val="20"/>
                <w:szCs w:val="20"/>
              </w:rPr>
              <w:t>waga nie ma podstaw, ponieważ d</w:t>
            </w:r>
            <w:r w:rsidR="0087311A" w:rsidRPr="00E66064">
              <w:rPr>
                <w:rFonts w:cs="Arial"/>
                <w:bCs/>
                <w:sz w:val="20"/>
                <w:szCs w:val="20"/>
              </w:rPr>
              <w:t xml:space="preserve">ecyzje, o jakich mowa w art. 64a </w:t>
            </w:r>
            <w:r w:rsidR="00CB35EC" w:rsidRPr="00E66064">
              <w:rPr>
                <w:rFonts w:cs="Arial"/>
                <w:bCs/>
                <w:sz w:val="20"/>
                <w:szCs w:val="20"/>
              </w:rPr>
              <w:t xml:space="preserve">ust. 1, </w:t>
            </w:r>
            <w:r w:rsidR="0087311A" w:rsidRPr="00E66064">
              <w:rPr>
                <w:rFonts w:cs="Arial"/>
                <w:bCs/>
                <w:sz w:val="20"/>
                <w:szCs w:val="20"/>
              </w:rPr>
              <w:t>obowiązują również przepisy art. 64 ust. 1 w brzmieniu:</w:t>
            </w:r>
          </w:p>
          <w:p w14:paraId="54B01BB2" w14:textId="66DF7BE5" w:rsidR="0087311A" w:rsidRPr="00E66064" w:rsidRDefault="0087311A" w:rsidP="00E66064">
            <w:pPr>
              <w:spacing w:before="0" w:after="120"/>
              <w:contextualSpacing/>
              <w:jc w:val="left"/>
              <w:rPr>
                <w:rFonts w:cs="Arial"/>
                <w:bCs/>
                <w:sz w:val="20"/>
                <w:szCs w:val="20"/>
              </w:rPr>
            </w:pPr>
            <w:r w:rsidRPr="00E66064">
              <w:rPr>
                <w:rFonts w:cs="Arial"/>
                <w:bCs/>
                <w:sz w:val="20"/>
                <w:szCs w:val="20"/>
              </w:rPr>
              <w:t>1. Przepisy art. 51 ust. 2-3, art. 52, art. 53 ust. 3-5a i 5c-5f oraz art. 54-56 stosuje się odpowiednio do decyzji o warunkach zabudowy, z tym że:</w:t>
            </w:r>
          </w:p>
          <w:p w14:paraId="7F997041" w14:textId="04353272" w:rsidR="0087311A" w:rsidRPr="00E66064" w:rsidRDefault="0087311A" w:rsidP="00E66064">
            <w:pPr>
              <w:spacing w:before="0" w:after="120"/>
              <w:ind w:left="352" w:hanging="210"/>
              <w:contextualSpacing/>
              <w:jc w:val="left"/>
              <w:rPr>
                <w:rFonts w:cs="Arial"/>
                <w:bCs/>
                <w:sz w:val="20"/>
                <w:szCs w:val="20"/>
              </w:rPr>
            </w:pPr>
            <w:r w:rsidRPr="00E66064">
              <w:rPr>
                <w:rFonts w:cs="Arial"/>
                <w:bCs/>
                <w:sz w:val="20"/>
                <w:szCs w:val="20"/>
              </w:rPr>
              <w:t xml:space="preserve">1) termin, o którym mowa w art. 51 ust. 2, wynosi 90 dni, a w przypadku decyzji o warunkach zabudowy dotyczącej obiektu budowlanego, o którym mowa w </w:t>
            </w:r>
            <w:r w:rsidRPr="00E66064">
              <w:rPr>
                <w:rFonts w:cs="Arial"/>
                <w:b/>
                <w:sz w:val="20"/>
                <w:szCs w:val="20"/>
              </w:rPr>
              <w:t>art. 29 ust. 1 pkt 1a ustawy z dnia 7 lipca 1994 r. - Prawo budowlane, termin ten wynosi 21 dni;</w:t>
            </w:r>
          </w:p>
          <w:p w14:paraId="57A62A9F" w14:textId="3FC9C43F" w:rsidR="0087311A" w:rsidRPr="00E66064" w:rsidRDefault="0087311A" w:rsidP="00E66064">
            <w:pPr>
              <w:spacing w:before="0" w:after="120"/>
              <w:ind w:left="352" w:hanging="210"/>
              <w:contextualSpacing/>
              <w:jc w:val="left"/>
              <w:rPr>
                <w:rFonts w:cs="Arial"/>
                <w:bCs/>
                <w:sz w:val="20"/>
                <w:szCs w:val="20"/>
              </w:rPr>
            </w:pPr>
            <w:r w:rsidRPr="00E66064">
              <w:rPr>
                <w:rFonts w:cs="Arial"/>
                <w:bCs/>
                <w:sz w:val="20"/>
                <w:szCs w:val="20"/>
              </w:rPr>
              <w:t xml:space="preserve">2) </w:t>
            </w:r>
            <w:r w:rsidRPr="00E66064">
              <w:rPr>
                <w:rFonts w:cs="Arial"/>
                <w:b/>
                <w:sz w:val="20"/>
                <w:szCs w:val="20"/>
              </w:rPr>
              <w:t>w odniesieniu do decyzji o warunkach zabudowy dotyczącej obiektu budowlanego, o którym mowa w art. 29 ust. 1 pkt 1a ustawy z dnia 7 lipca 1994 r. - Prawo budowlane, termin, o którym mowa w art. 53 ust. 5 zdanie drugie, wynosi 7 dni</w:t>
            </w:r>
            <w:r w:rsidRPr="00E66064">
              <w:rPr>
                <w:rFonts w:cs="Arial"/>
                <w:bCs/>
                <w:sz w:val="20"/>
                <w:szCs w:val="20"/>
              </w:rPr>
              <w:t>;</w:t>
            </w:r>
          </w:p>
          <w:p w14:paraId="4F1ADC4E" w14:textId="2B6ED7F9" w:rsidR="0087311A" w:rsidRPr="00E66064" w:rsidRDefault="0087311A" w:rsidP="00E66064">
            <w:pPr>
              <w:spacing w:before="0" w:after="120"/>
              <w:ind w:left="352" w:hanging="210"/>
              <w:contextualSpacing/>
              <w:jc w:val="left"/>
              <w:rPr>
                <w:rFonts w:cs="Arial"/>
                <w:bCs/>
                <w:sz w:val="20"/>
                <w:szCs w:val="20"/>
              </w:rPr>
            </w:pPr>
            <w:r w:rsidRPr="00E66064">
              <w:rPr>
                <w:rFonts w:cs="Arial"/>
                <w:bCs/>
                <w:sz w:val="20"/>
                <w:szCs w:val="20"/>
              </w:rPr>
              <w:lastRenderedPageBreak/>
              <w:t>3) jeżeli regionalny dyrektor ochrony środowiska w terminie 7 dni od dnia otrzymania projektu decyzji o warunkach zabudowy dotyczącej obiektu budowlanego, o którym mowa w art. 29 ust. 1 pkt 1a ustawy z dnia 7 lipca 1994 r. - Prawo budowlane, nie zawiadomi organu o konieczności przeprowadzenia oględzin terenu, termin, o którym mowa w art. 53 ust. 5c, wynosi 7 dni.</w:t>
            </w:r>
          </w:p>
          <w:p w14:paraId="5660259A" w14:textId="5B355661" w:rsidR="0087311A" w:rsidRPr="00E66064" w:rsidRDefault="0087311A" w:rsidP="00E66064">
            <w:pPr>
              <w:spacing w:before="0" w:after="120"/>
              <w:contextualSpacing/>
              <w:jc w:val="left"/>
              <w:rPr>
                <w:rFonts w:cs="Arial"/>
                <w:bCs/>
                <w:sz w:val="20"/>
                <w:szCs w:val="20"/>
              </w:rPr>
            </w:pPr>
            <w:r w:rsidRPr="00E66064">
              <w:rPr>
                <w:rFonts w:cs="Arial"/>
                <w:bCs/>
                <w:sz w:val="20"/>
                <w:szCs w:val="20"/>
              </w:rPr>
              <w:t xml:space="preserve">Proszę zwrócić uwagę, że w art. 64 ust. 1 pkt 2 jest mowa, </w:t>
            </w:r>
            <w:r w:rsidR="00CB35EC" w:rsidRPr="00E66064">
              <w:rPr>
                <w:rFonts w:cs="Arial"/>
                <w:bCs/>
                <w:sz w:val="20"/>
                <w:szCs w:val="20"/>
              </w:rPr>
              <w:t>ż</w:t>
            </w:r>
            <w:r w:rsidRPr="00E66064">
              <w:rPr>
                <w:rFonts w:cs="Arial"/>
                <w:bCs/>
                <w:sz w:val="20"/>
                <w:szCs w:val="20"/>
              </w:rPr>
              <w:t xml:space="preserve">e decyzje, o których </w:t>
            </w:r>
            <w:r w:rsidR="00CB35EC" w:rsidRPr="00E66064">
              <w:rPr>
                <w:rFonts w:cs="Arial"/>
                <w:bCs/>
                <w:sz w:val="20"/>
                <w:szCs w:val="20"/>
              </w:rPr>
              <w:t>mowa</w:t>
            </w:r>
            <w:r w:rsidRPr="00E66064">
              <w:rPr>
                <w:rFonts w:cs="Arial"/>
                <w:bCs/>
                <w:sz w:val="20"/>
                <w:szCs w:val="20"/>
              </w:rPr>
              <w:t xml:space="preserve"> w art. 64a ust. 1 </w:t>
            </w:r>
            <w:r w:rsidR="00CB35EC" w:rsidRPr="00E66064">
              <w:rPr>
                <w:rFonts w:cs="Arial"/>
                <w:bCs/>
                <w:sz w:val="20"/>
                <w:szCs w:val="20"/>
              </w:rPr>
              <w:t xml:space="preserve">uzgadnia się, jednak skrócono termin uzgodnienia. </w:t>
            </w:r>
          </w:p>
          <w:p w14:paraId="319F9680" w14:textId="1553E8E8" w:rsidR="0087311A" w:rsidRPr="00E66064" w:rsidRDefault="0087311A" w:rsidP="00E66064">
            <w:pPr>
              <w:spacing w:before="0" w:after="120"/>
              <w:contextualSpacing/>
              <w:jc w:val="left"/>
              <w:rPr>
                <w:rFonts w:cs="Arial"/>
                <w:bCs/>
                <w:sz w:val="20"/>
                <w:szCs w:val="20"/>
              </w:rPr>
            </w:pPr>
          </w:p>
        </w:tc>
      </w:tr>
      <w:tr w:rsidR="00FD0B2D" w:rsidRPr="00E66064" w14:paraId="2D8BE2E3" w14:textId="77777777" w:rsidTr="004F4CF5">
        <w:tc>
          <w:tcPr>
            <w:tcW w:w="559" w:type="dxa"/>
            <w:shd w:val="clear" w:color="auto" w:fill="auto"/>
          </w:tcPr>
          <w:p w14:paraId="4379FAA9" w14:textId="2E9F0E28" w:rsidR="00FD0B2D" w:rsidRPr="00E66064" w:rsidRDefault="006E4EB4" w:rsidP="00E66064">
            <w:pPr>
              <w:spacing w:before="0" w:after="120"/>
              <w:contextualSpacing/>
              <w:jc w:val="center"/>
              <w:rPr>
                <w:rFonts w:cs="Arial"/>
                <w:sz w:val="20"/>
                <w:szCs w:val="20"/>
              </w:rPr>
            </w:pPr>
            <w:r w:rsidRPr="00E66064">
              <w:rPr>
                <w:rFonts w:cs="Arial"/>
                <w:sz w:val="20"/>
                <w:szCs w:val="20"/>
              </w:rPr>
              <w:lastRenderedPageBreak/>
              <w:t>25.</w:t>
            </w:r>
          </w:p>
        </w:tc>
        <w:tc>
          <w:tcPr>
            <w:tcW w:w="1563" w:type="dxa"/>
          </w:tcPr>
          <w:p w14:paraId="070CAFFF" w14:textId="77777777" w:rsidR="001E2AAF" w:rsidRPr="00E66064" w:rsidRDefault="001E2AAF" w:rsidP="00E66064">
            <w:pPr>
              <w:pStyle w:val="PKTpunkt"/>
              <w:spacing w:after="120" w:line="240" w:lineRule="auto"/>
              <w:contextualSpacing/>
              <w:rPr>
                <w:rFonts w:ascii="Arial" w:hAnsi="Arial"/>
                <w:sz w:val="20"/>
              </w:rPr>
            </w:pPr>
            <w:r w:rsidRPr="00E66064">
              <w:rPr>
                <w:rFonts w:ascii="Arial" w:hAnsi="Arial"/>
                <w:sz w:val="20"/>
              </w:rPr>
              <w:t>Art. 33 pkt 5</w:t>
            </w:r>
          </w:p>
          <w:p w14:paraId="3991FE43" w14:textId="68877BA1" w:rsidR="00FD0B2D" w:rsidRPr="00E66064" w:rsidRDefault="00FD0B2D" w:rsidP="00E66064">
            <w:pPr>
              <w:spacing w:before="0" w:after="120"/>
              <w:contextualSpacing/>
              <w:jc w:val="center"/>
              <w:rPr>
                <w:rFonts w:cs="Arial"/>
                <w:b/>
                <w:sz w:val="20"/>
                <w:szCs w:val="20"/>
              </w:rPr>
            </w:pPr>
          </w:p>
        </w:tc>
        <w:tc>
          <w:tcPr>
            <w:tcW w:w="1955" w:type="dxa"/>
          </w:tcPr>
          <w:p w14:paraId="30D41427" w14:textId="0174BEB9" w:rsidR="00FD0B2D" w:rsidRPr="00E66064" w:rsidRDefault="001E2AAF" w:rsidP="00E66064">
            <w:pPr>
              <w:spacing w:before="0" w:after="120"/>
              <w:contextualSpacing/>
              <w:jc w:val="center"/>
              <w:rPr>
                <w:rFonts w:cs="Arial"/>
                <w:sz w:val="20"/>
                <w:szCs w:val="20"/>
              </w:rPr>
            </w:pPr>
            <w:r w:rsidRPr="00E66064">
              <w:rPr>
                <w:rFonts w:cs="Arial"/>
                <w:sz w:val="20"/>
                <w:szCs w:val="20"/>
              </w:rPr>
              <w:t>MI</w:t>
            </w:r>
          </w:p>
        </w:tc>
        <w:tc>
          <w:tcPr>
            <w:tcW w:w="5812" w:type="dxa"/>
          </w:tcPr>
          <w:p w14:paraId="5315DE67" w14:textId="2E3B4D97" w:rsidR="00FD0B2D" w:rsidRPr="00E66064" w:rsidRDefault="00FD0B2D" w:rsidP="00E66064">
            <w:pPr>
              <w:spacing w:before="0" w:after="120"/>
              <w:contextualSpacing/>
              <w:rPr>
                <w:rFonts w:cs="Arial"/>
                <w:sz w:val="20"/>
                <w:szCs w:val="20"/>
              </w:rPr>
            </w:pPr>
            <w:r w:rsidRPr="00E66064">
              <w:rPr>
                <w:rFonts w:cs="Arial"/>
                <w:sz w:val="20"/>
                <w:szCs w:val="20"/>
              </w:rPr>
              <w:t>Podtrzymuję uwagę dotyczącą korekty brzmienia przepisu, gdyż wydaje się, że przepisy powinny wchodzić w życie z dniem określonym w komunikacie, o którym mowa w art. 29 projektu a nie z dniem wdrożenia rozwiązań technicznych. Poza tym jest błędne odesłanie do art. 28 a powinno być do art. 29.</w:t>
            </w:r>
          </w:p>
        </w:tc>
        <w:tc>
          <w:tcPr>
            <w:tcW w:w="3998" w:type="dxa"/>
          </w:tcPr>
          <w:p w14:paraId="3D7AFF90" w14:textId="5222F8BE" w:rsidR="00FD0B2D" w:rsidRPr="00E66064" w:rsidRDefault="00FD0B2D" w:rsidP="00E66064">
            <w:pPr>
              <w:spacing w:before="0" w:after="120"/>
              <w:contextualSpacing/>
              <w:rPr>
                <w:rFonts w:cs="Arial"/>
                <w:b/>
                <w:sz w:val="20"/>
                <w:szCs w:val="20"/>
              </w:rPr>
            </w:pPr>
            <w:r w:rsidRPr="00E66064">
              <w:rPr>
                <w:rFonts w:cs="Arial"/>
                <w:b/>
                <w:sz w:val="20"/>
                <w:szCs w:val="20"/>
              </w:rPr>
              <w:t xml:space="preserve">Uwaga </w:t>
            </w:r>
            <w:r w:rsidR="00E02B91" w:rsidRPr="00E66064">
              <w:rPr>
                <w:rFonts w:cs="Arial"/>
                <w:b/>
                <w:sz w:val="20"/>
                <w:szCs w:val="20"/>
              </w:rPr>
              <w:t xml:space="preserve">częściowo </w:t>
            </w:r>
            <w:r w:rsidRPr="00E66064">
              <w:rPr>
                <w:rFonts w:cs="Arial"/>
                <w:b/>
                <w:sz w:val="20"/>
                <w:szCs w:val="20"/>
              </w:rPr>
              <w:t>uwzględniona</w:t>
            </w:r>
            <w:r w:rsidR="00E02B91" w:rsidRPr="00E66064">
              <w:rPr>
                <w:rFonts w:cs="Arial"/>
                <w:b/>
                <w:sz w:val="20"/>
                <w:szCs w:val="20"/>
              </w:rPr>
              <w:t xml:space="preserve"> w zakresie błędnego odesłania</w:t>
            </w:r>
            <w:r w:rsidRPr="00E66064">
              <w:rPr>
                <w:rFonts w:cs="Arial"/>
                <w:b/>
                <w:sz w:val="20"/>
                <w:szCs w:val="20"/>
              </w:rPr>
              <w:t>.</w:t>
            </w:r>
          </w:p>
          <w:p w14:paraId="09020524" w14:textId="2E2D82C3" w:rsidR="00FD0B2D" w:rsidRPr="00E66064" w:rsidRDefault="00E02B91" w:rsidP="00E66064">
            <w:pPr>
              <w:spacing w:before="0" w:after="120"/>
              <w:contextualSpacing/>
              <w:jc w:val="left"/>
              <w:rPr>
                <w:rFonts w:cs="Arial"/>
                <w:b/>
                <w:sz w:val="20"/>
                <w:szCs w:val="20"/>
              </w:rPr>
            </w:pPr>
            <w:r w:rsidRPr="00E66064">
              <w:rPr>
                <w:rFonts w:cs="Arial"/>
                <w:sz w:val="20"/>
                <w:szCs w:val="20"/>
              </w:rPr>
              <w:t>W pozostałym zakresie p</w:t>
            </w:r>
            <w:r w:rsidR="00FD0B2D" w:rsidRPr="00E66064">
              <w:rPr>
                <w:rFonts w:cs="Arial"/>
                <w:sz w:val="20"/>
                <w:szCs w:val="20"/>
              </w:rPr>
              <w:t>rojektowane brzmienie bazuje na istniejących już przepisach.</w:t>
            </w:r>
            <w:r w:rsidRPr="00E66064">
              <w:rPr>
                <w:rFonts w:cs="Arial"/>
                <w:sz w:val="20"/>
                <w:szCs w:val="20"/>
              </w:rPr>
              <w:t xml:space="preserve"> </w:t>
            </w:r>
          </w:p>
        </w:tc>
      </w:tr>
      <w:tr w:rsidR="000712C1" w:rsidRPr="00E66064" w14:paraId="0B0CAD96" w14:textId="77777777" w:rsidTr="004F4CF5">
        <w:tc>
          <w:tcPr>
            <w:tcW w:w="559" w:type="dxa"/>
            <w:shd w:val="clear" w:color="auto" w:fill="auto"/>
          </w:tcPr>
          <w:p w14:paraId="6B3A4172" w14:textId="1B3B905E" w:rsidR="000712C1" w:rsidRPr="00E66064" w:rsidRDefault="006E4EB4" w:rsidP="00E66064">
            <w:pPr>
              <w:spacing w:before="0" w:after="120"/>
              <w:contextualSpacing/>
              <w:jc w:val="center"/>
              <w:rPr>
                <w:rFonts w:cs="Arial"/>
                <w:sz w:val="20"/>
                <w:szCs w:val="20"/>
              </w:rPr>
            </w:pPr>
            <w:r w:rsidRPr="00E66064">
              <w:rPr>
                <w:rFonts w:cs="Arial"/>
                <w:sz w:val="20"/>
                <w:szCs w:val="20"/>
              </w:rPr>
              <w:t>26.</w:t>
            </w:r>
          </w:p>
        </w:tc>
        <w:tc>
          <w:tcPr>
            <w:tcW w:w="1563" w:type="dxa"/>
          </w:tcPr>
          <w:p w14:paraId="34EDB457" w14:textId="3E1B240C" w:rsidR="000712C1" w:rsidRPr="00E66064" w:rsidRDefault="001E2AAF" w:rsidP="00E66064">
            <w:pPr>
              <w:spacing w:before="0" w:after="120"/>
              <w:contextualSpacing/>
              <w:jc w:val="center"/>
              <w:rPr>
                <w:rFonts w:cs="Arial"/>
                <w:bCs/>
                <w:sz w:val="20"/>
                <w:szCs w:val="20"/>
              </w:rPr>
            </w:pPr>
            <w:r w:rsidRPr="00E66064">
              <w:rPr>
                <w:rFonts w:cs="Arial"/>
                <w:bCs/>
                <w:sz w:val="20"/>
                <w:szCs w:val="20"/>
              </w:rPr>
              <w:t xml:space="preserve">Art. 2 </w:t>
            </w:r>
          </w:p>
        </w:tc>
        <w:tc>
          <w:tcPr>
            <w:tcW w:w="1955" w:type="dxa"/>
          </w:tcPr>
          <w:p w14:paraId="1E2C463F" w14:textId="3C665D6E" w:rsidR="000712C1" w:rsidRPr="00E66064" w:rsidRDefault="001E2AAF" w:rsidP="00E66064">
            <w:pPr>
              <w:pStyle w:val="PKTpunkt"/>
              <w:spacing w:after="120" w:line="240" w:lineRule="auto"/>
              <w:contextualSpacing/>
              <w:jc w:val="center"/>
              <w:rPr>
                <w:rFonts w:ascii="Arial" w:hAnsi="Arial"/>
                <w:sz w:val="20"/>
              </w:rPr>
            </w:pPr>
            <w:r w:rsidRPr="00E66064">
              <w:rPr>
                <w:rFonts w:ascii="Arial" w:hAnsi="Arial"/>
                <w:sz w:val="20"/>
              </w:rPr>
              <w:t>MS</w:t>
            </w:r>
          </w:p>
        </w:tc>
        <w:tc>
          <w:tcPr>
            <w:tcW w:w="5812" w:type="dxa"/>
          </w:tcPr>
          <w:p w14:paraId="238FB428" w14:textId="7E8BC5FD" w:rsidR="000712C1" w:rsidRPr="00E66064" w:rsidRDefault="000712C1" w:rsidP="00E66064">
            <w:pPr>
              <w:autoSpaceDE w:val="0"/>
              <w:autoSpaceDN w:val="0"/>
              <w:adjustRightInd w:val="0"/>
              <w:spacing w:before="0" w:after="120"/>
              <w:contextualSpacing/>
              <w:rPr>
                <w:rFonts w:cs="Arial"/>
                <w:sz w:val="20"/>
                <w:szCs w:val="20"/>
              </w:rPr>
            </w:pPr>
            <w:r w:rsidRPr="00E66064">
              <w:rPr>
                <w:rFonts w:cs="Arial"/>
                <w:sz w:val="20"/>
                <w:szCs w:val="20"/>
              </w:rPr>
              <w:t>Odesłanie do art. 53c ustawy z dnia 7 lipca 1994 r. – Prawo budowlane (Dz. U. z 2021 r. poz. 2351 z późn. zm., dalej: „p.b”), zawarte w zmienianym art. 1013</w:t>
            </w:r>
            <w:r w:rsidRPr="00E66064">
              <w:rPr>
                <w:rFonts w:cs="Arial"/>
                <w:sz w:val="20"/>
                <w:szCs w:val="20"/>
                <w:vertAlign w:val="superscript"/>
              </w:rPr>
              <w:t>1</w:t>
            </w:r>
            <w:r w:rsidRPr="00E66064">
              <w:rPr>
                <w:rFonts w:cs="Arial"/>
                <w:sz w:val="20"/>
                <w:szCs w:val="20"/>
              </w:rPr>
              <w:t xml:space="preserve"> § 1 ustawy z dnia 17 listopada 1964 r. – Kodeks postępowania cywilnego (Dz. U. z 2021 r. poz. 1805 z późn. zm., dalej: „k.p.c.”), nie jest precyzyjne. Z uwagi na rozbudowaną strukturę przepisu odesłanego – pięć ustępów, który każdy w swej treści odnosi się do innych obowiązków (ust. 1-4) nakładanych przez projektodawcę na kierownika budowy, ewentualnie inwestora (ust. 5), wątpliwości budzi, o który konkretnie obowiązek chodzi. Należy opowiedzieć się za doprecyzowaniem przepisu i wskazanie wprost w jego treści kolejnego warunku skorzystania z możliwości prowadzenia uproszczonej egzekucji z nieruchomości. Podkreślenia wymaga, że ustalenie, czy do wykonania obowiązku (względnie obowiązków) nie doszło, powinno być możliwe dla organu egzekucyjnego, którym jest komornik sądowy. O ile ustalenie, czy nie spełniono warunków, o których mowa w aktualnym art. 1013</w:t>
            </w:r>
            <w:r w:rsidRPr="00E66064">
              <w:rPr>
                <w:rFonts w:cs="Arial"/>
                <w:sz w:val="20"/>
                <w:szCs w:val="20"/>
                <w:vertAlign w:val="superscript"/>
              </w:rPr>
              <w:t>1</w:t>
            </w:r>
            <w:r w:rsidRPr="00E66064">
              <w:rPr>
                <w:rFonts w:cs="Arial"/>
                <w:sz w:val="20"/>
                <w:szCs w:val="20"/>
              </w:rPr>
              <w:t xml:space="preserve"> § 1 k.p.c. jest możliwe zarówno na podstawie informacji </w:t>
            </w:r>
            <w:r w:rsidRPr="00E66064">
              <w:rPr>
                <w:rFonts w:cs="Arial"/>
                <w:sz w:val="20"/>
                <w:szCs w:val="20"/>
              </w:rPr>
              <w:lastRenderedPageBreak/>
              <w:t>uzyskanych od samego dłużnika, jak też ze źródeł urzędowych, o tyle wątpliwości budzi, czy i na ile organ egzekucyjny jest w stanie sprawdzić, czy swoich obowiązków dopełnił kierownik budowy (np. tych opisanych w projektowanym art. 53c ust. 2). Wydaje się, że wystarczające byłoby odniesienie się do projektowanego art. 53d ust. 1 Prawa budowlanego, który nakłada na inwestora obowiązek zawiadomienia organu nadzoru budowlanego o rozpoczęciu użytkowania obiektu budowlanego. Obowiązek ten stanowi już konsekwencję spełnienia warunków opisanych w art. 53c, a jednocześnie pozyskanie stosownych informacji od nadzoru budowlanego nie powinno przysparzać poważniejszych trudności samemu komornikowi (jak się zresztą wydaje, jest to czynność analogiczna w skutkach do opisanego w art. 1013</w:t>
            </w:r>
            <w:r w:rsidRPr="00E66064">
              <w:rPr>
                <w:rFonts w:cs="Arial"/>
                <w:sz w:val="20"/>
                <w:szCs w:val="20"/>
                <w:vertAlign w:val="superscript"/>
              </w:rPr>
              <w:t>1</w:t>
            </w:r>
            <w:r w:rsidRPr="00E66064">
              <w:rPr>
                <w:rFonts w:cs="Arial"/>
                <w:sz w:val="20"/>
                <w:szCs w:val="20"/>
              </w:rPr>
              <w:t xml:space="preserve"> § 1 k.p.c. obowiązku wystąpienia z wnioskiem o udzielenie zezwolenia na użytkowanie). W tym zakresie możliwość prowadzenia uproszczonej egzekucji z nieruchomości byłaby konsekwencją zaniedbań samego inwestora, względnie jego następców prawnych.</w:t>
            </w:r>
          </w:p>
        </w:tc>
        <w:tc>
          <w:tcPr>
            <w:tcW w:w="3998" w:type="dxa"/>
          </w:tcPr>
          <w:p w14:paraId="61D8B053" w14:textId="7D9A1353" w:rsidR="000712C1" w:rsidRPr="00E66064" w:rsidRDefault="00E66064" w:rsidP="00E66064">
            <w:pPr>
              <w:spacing w:before="0" w:after="120"/>
              <w:contextualSpacing/>
              <w:rPr>
                <w:rFonts w:cs="Arial"/>
                <w:b/>
                <w:sz w:val="20"/>
                <w:szCs w:val="20"/>
              </w:rPr>
            </w:pPr>
            <w:r w:rsidRPr="00E66064">
              <w:rPr>
                <w:rFonts w:cs="Arial"/>
                <w:b/>
                <w:sz w:val="20"/>
                <w:szCs w:val="20"/>
              </w:rPr>
              <w:lastRenderedPageBreak/>
              <w:t>U</w:t>
            </w:r>
            <w:r w:rsidR="00E02B91" w:rsidRPr="00E66064">
              <w:rPr>
                <w:rFonts w:cs="Arial"/>
                <w:b/>
                <w:sz w:val="20"/>
                <w:szCs w:val="20"/>
              </w:rPr>
              <w:t xml:space="preserve">waga znajduje się poza zakresem właściwości KRMC, niemniej jednak uwaga </w:t>
            </w:r>
            <w:r w:rsidR="000712C1" w:rsidRPr="00E66064">
              <w:rPr>
                <w:rFonts w:cs="Arial"/>
                <w:b/>
                <w:sz w:val="20"/>
                <w:szCs w:val="20"/>
              </w:rPr>
              <w:t xml:space="preserve">częściowo uwzględniona. </w:t>
            </w:r>
          </w:p>
          <w:p w14:paraId="50F14F7F" w14:textId="77777777" w:rsidR="000712C1" w:rsidRPr="00E66064" w:rsidRDefault="000712C1" w:rsidP="00E66064">
            <w:pPr>
              <w:spacing w:before="0" w:after="120"/>
              <w:contextualSpacing/>
              <w:rPr>
                <w:rFonts w:cs="Arial"/>
                <w:sz w:val="20"/>
                <w:szCs w:val="20"/>
              </w:rPr>
            </w:pPr>
            <w:r w:rsidRPr="00E66064">
              <w:rPr>
                <w:rFonts w:cs="Arial"/>
                <w:sz w:val="20"/>
                <w:szCs w:val="20"/>
              </w:rPr>
              <w:t xml:space="preserve">Przepis został doprecyzowany poprzez odesłanie do oświadczenia składanego przez kierownika budowy. W przypadku oddania do użytkowania budynku mieszkalnego jednorodzinnego to właśnie kierownik budowy, po spełnieniu wymagań określonych w art. 53c ust. 2-4, będzie mógł złożyć oświadczenie o zakończeniu budowy i możliwości przystąpienia do użytkowania. Z momentem złożenia tego oświadczenia budowa obiektu będzie zakończona a inwestor będzie mógł użytkować obiekt. Organ nadzoru budowlanego w tej procedurze nie będzie podejmował żadnych działań. Na </w:t>
            </w:r>
            <w:r w:rsidRPr="00E66064">
              <w:rPr>
                <w:rFonts w:cs="Arial"/>
                <w:sz w:val="20"/>
                <w:szCs w:val="20"/>
              </w:rPr>
              <w:lastRenderedPageBreak/>
              <w:t xml:space="preserve">podstawie art. 53d otrzyma on jedynie informację, że obiekt jest oddany do użytkowania. </w:t>
            </w:r>
          </w:p>
          <w:p w14:paraId="548391D4" w14:textId="77777777" w:rsidR="000712C1" w:rsidRPr="00E66064" w:rsidRDefault="000712C1" w:rsidP="00E66064">
            <w:pPr>
              <w:spacing w:before="0" w:after="120"/>
              <w:contextualSpacing/>
              <w:rPr>
                <w:rFonts w:cs="Arial"/>
                <w:sz w:val="20"/>
                <w:szCs w:val="20"/>
              </w:rPr>
            </w:pPr>
            <w:r w:rsidRPr="00E66064">
              <w:rPr>
                <w:rFonts w:cs="Arial"/>
                <w:sz w:val="20"/>
                <w:szCs w:val="20"/>
              </w:rPr>
              <w:t>Proponowane brzmienie przepisu:</w:t>
            </w:r>
          </w:p>
          <w:p w14:paraId="5AFF3121" w14:textId="567E51EC" w:rsidR="000712C1" w:rsidRPr="00E66064" w:rsidRDefault="000712C1" w:rsidP="00E66064">
            <w:pPr>
              <w:spacing w:before="0" w:after="120"/>
              <w:contextualSpacing/>
              <w:jc w:val="left"/>
              <w:rPr>
                <w:rFonts w:cs="Arial"/>
                <w:b/>
                <w:sz w:val="20"/>
                <w:szCs w:val="20"/>
              </w:rPr>
            </w:pPr>
            <w:r w:rsidRPr="00E66064">
              <w:rPr>
                <w:rFonts w:cs="Arial"/>
                <w:sz w:val="20"/>
                <w:szCs w:val="20"/>
              </w:rPr>
              <w:t>„§ 1. Przepisy niniejszego działu stosuje się do egzekucji z niezabudowanej nieruchomości gruntowej oraz nieruchomości zabudowanej budynkiem mieszkalnym lub użytkowym, jeżeli w chwili złożenia wniosku o wszczęcie egzekucji nie wykonano obowiązku złożenia oświadczenia, o którym mowa w art. 53c ust. 1 ustawy z dnia 7 lipca 1994 r. – Prawo budowlane (Dz. U. z 2021 r. poz. 2351 oraz z 2022 r. poz. 88, 1557, 1768, i 1783, 1846 i 2206), nie dokonano zawiadomienia o zakończeniu budowy albo nie wystąpiono z wnioskiem o udzielenie zezwolenia na użytkowanie w rozumieniu przepisów prawa budowlanego.”.</w:t>
            </w:r>
          </w:p>
        </w:tc>
      </w:tr>
      <w:tr w:rsidR="000712C1" w:rsidRPr="00E66064" w14:paraId="519BFC1C" w14:textId="77777777" w:rsidTr="004F4CF5">
        <w:tc>
          <w:tcPr>
            <w:tcW w:w="559" w:type="dxa"/>
            <w:shd w:val="clear" w:color="auto" w:fill="auto"/>
          </w:tcPr>
          <w:p w14:paraId="67E76901" w14:textId="0A7AD5FC" w:rsidR="000712C1" w:rsidRPr="00E66064" w:rsidRDefault="006E4EB4" w:rsidP="00E66064">
            <w:pPr>
              <w:spacing w:before="0" w:after="120"/>
              <w:contextualSpacing/>
              <w:jc w:val="center"/>
              <w:rPr>
                <w:rFonts w:cs="Arial"/>
                <w:sz w:val="20"/>
                <w:szCs w:val="20"/>
              </w:rPr>
            </w:pPr>
            <w:r w:rsidRPr="00E66064">
              <w:rPr>
                <w:rFonts w:cs="Arial"/>
                <w:sz w:val="20"/>
                <w:szCs w:val="20"/>
              </w:rPr>
              <w:lastRenderedPageBreak/>
              <w:t>27.</w:t>
            </w:r>
          </w:p>
        </w:tc>
        <w:tc>
          <w:tcPr>
            <w:tcW w:w="1563" w:type="dxa"/>
          </w:tcPr>
          <w:p w14:paraId="33B42D85" w14:textId="05F7D2E5" w:rsidR="000712C1" w:rsidRPr="00E66064" w:rsidRDefault="001E2AAF" w:rsidP="00E66064">
            <w:pPr>
              <w:spacing w:before="0" w:after="120"/>
              <w:contextualSpacing/>
              <w:jc w:val="center"/>
              <w:rPr>
                <w:rFonts w:cs="Arial"/>
                <w:b/>
                <w:sz w:val="20"/>
                <w:szCs w:val="20"/>
              </w:rPr>
            </w:pPr>
            <w:r w:rsidRPr="00E66064">
              <w:rPr>
                <w:rFonts w:cs="Arial"/>
                <w:sz w:val="20"/>
                <w:szCs w:val="20"/>
              </w:rPr>
              <w:t>art. 19 (wcześniej 21)</w:t>
            </w:r>
          </w:p>
        </w:tc>
        <w:tc>
          <w:tcPr>
            <w:tcW w:w="1955" w:type="dxa"/>
          </w:tcPr>
          <w:p w14:paraId="22431F36" w14:textId="49AD2514" w:rsidR="000712C1" w:rsidRPr="00E66064" w:rsidRDefault="001E2AAF" w:rsidP="00E66064">
            <w:pPr>
              <w:pStyle w:val="PKTpunkt"/>
              <w:spacing w:after="120" w:line="240" w:lineRule="auto"/>
              <w:contextualSpacing/>
              <w:jc w:val="center"/>
              <w:rPr>
                <w:rFonts w:ascii="Arial" w:hAnsi="Arial"/>
                <w:sz w:val="20"/>
              </w:rPr>
            </w:pPr>
            <w:r w:rsidRPr="00E66064">
              <w:rPr>
                <w:rFonts w:ascii="Arial" w:hAnsi="Arial"/>
                <w:sz w:val="20"/>
              </w:rPr>
              <w:t>MS</w:t>
            </w:r>
          </w:p>
        </w:tc>
        <w:tc>
          <w:tcPr>
            <w:tcW w:w="5812" w:type="dxa"/>
          </w:tcPr>
          <w:p w14:paraId="04111092" w14:textId="56F904B7" w:rsidR="000712C1" w:rsidRPr="00E66064" w:rsidRDefault="000712C1" w:rsidP="00E66064">
            <w:pPr>
              <w:spacing w:before="0" w:after="120"/>
              <w:contextualSpacing/>
              <w:rPr>
                <w:rFonts w:cs="Arial"/>
                <w:sz w:val="20"/>
                <w:szCs w:val="20"/>
              </w:rPr>
            </w:pPr>
            <w:r w:rsidRPr="00E66064">
              <w:rPr>
                <w:rFonts w:cs="Arial"/>
                <w:sz w:val="20"/>
                <w:szCs w:val="20"/>
              </w:rPr>
              <w:t>Analogiczną uwagę jak powyższa należy poczynić do art. 21 (obecnie art. 19) projektu, w którym dokonuje się zmiany art. 41 ust. 1 w ustawie z dnia 20 maja 2021 r. o ochronie praw nabywcy lokalu mieszkalnego lub domu jednorodzinnego oraz Deweloperskim Funduszu Gwarancyjnym (Dz. U. 2021 poz. 1177). Projekt wprowadza kolejny warunek odbioru obiektu w postaci „spełnienia obowiązku, o którym mowa w art. 53c ustawy z dnia 7 lipca 1994 r. – Prawo budowlane”. Tu także, podobnie jak przy projektowanej zmianie k.p.c. zasadnym byłoby wskazanie wprost – a nie przez odesłanie do art. 53c – obowiązku, który ma zostać spełniony przed odbiorem obiektu przez nabywcę. Zawarte w projekcie odesłanie nie jest wystarczająco precyzyjne. Dodatkowo trzeba wskazać, że zmiana w art. 41 ust. 1 wspomnianej ustawy przewiduje także eliminację dotychczasowej konieczności uprawomocnienia się decyzji o pozwoleniu na użytkowanie. Projektodawca nie wskazuje w uzasadnieniu ratio legis takiego rozwiązania.</w:t>
            </w:r>
          </w:p>
        </w:tc>
        <w:tc>
          <w:tcPr>
            <w:tcW w:w="3998" w:type="dxa"/>
          </w:tcPr>
          <w:p w14:paraId="4E6DC94E" w14:textId="456B0AA2" w:rsidR="000712C1" w:rsidRPr="00E66064" w:rsidRDefault="00E66064" w:rsidP="00E66064">
            <w:pPr>
              <w:spacing w:before="0" w:after="120"/>
              <w:contextualSpacing/>
              <w:rPr>
                <w:rFonts w:cs="Arial"/>
                <w:b/>
                <w:sz w:val="20"/>
                <w:szCs w:val="20"/>
              </w:rPr>
            </w:pPr>
            <w:r w:rsidRPr="00E66064">
              <w:rPr>
                <w:rFonts w:cs="Arial"/>
                <w:b/>
                <w:sz w:val="20"/>
                <w:szCs w:val="20"/>
              </w:rPr>
              <w:t>U</w:t>
            </w:r>
            <w:r w:rsidR="00E02B91" w:rsidRPr="00E66064">
              <w:rPr>
                <w:rFonts w:cs="Arial"/>
                <w:b/>
                <w:sz w:val="20"/>
                <w:szCs w:val="20"/>
              </w:rPr>
              <w:t>waga znajduje się poza zakresem właściwości KRMC, niemniej jednak u</w:t>
            </w:r>
            <w:r w:rsidR="000712C1" w:rsidRPr="00E66064">
              <w:rPr>
                <w:rFonts w:cs="Arial"/>
                <w:b/>
                <w:sz w:val="20"/>
                <w:szCs w:val="20"/>
              </w:rPr>
              <w:t xml:space="preserve">waga częściowo uwzględniona. </w:t>
            </w:r>
          </w:p>
          <w:p w14:paraId="64D08BBA" w14:textId="77777777" w:rsidR="000712C1" w:rsidRPr="00E66064" w:rsidRDefault="000712C1" w:rsidP="00E66064">
            <w:pPr>
              <w:spacing w:before="0" w:after="120"/>
              <w:contextualSpacing/>
              <w:rPr>
                <w:rFonts w:cs="Arial"/>
                <w:sz w:val="20"/>
                <w:szCs w:val="20"/>
              </w:rPr>
            </w:pPr>
            <w:r w:rsidRPr="00E66064">
              <w:rPr>
                <w:rFonts w:cs="Arial"/>
                <w:sz w:val="20"/>
                <w:szCs w:val="20"/>
              </w:rPr>
              <w:t xml:space="preserve">Przepis został doprecyzowany poprzez odesłanie do oświadczenia składanego przez kierownika budowy. W przypadku oddania do użytkowania budynku mieszkalnego jednorodzinnego to właśnie kierownik budowy, po spełnieniu wymagań określonych w art. 53c ust. 2-4, będzie mógł złożyć oświadczenie o zakończeniu budowy i możliwości przystąpienia do użytkowania. Z momentem złożenia tego oświadczenia budowa obiektu będzie zakończona a inwestor będzie mógł użytkować obiekt. Organ nadzoru budowlanego w tej procedurze nie będzie podejmował żadnych działań. Na </w:t>
            </w:r>
            <w:r w:rsidRPr="00E66064">
              <w:rPr>
                <w:rFonts w:cs="Arial"/>
                <w:sz w:val="20"/>
                <w:szCs w:val="20"/>
              </w:rPr>
              <w:lastRenderedPageBreak/>
              <w:t xml:space="preserve">podstawie art. 53d otrzyma on jedynie informację, że obiekt jest oddany do użytkowania. </w:t>
            </w:r>
          </w:p>
          <w:p w14:paraId="2F8D48F8" w14:textId="77777777" w:rsidR="000712C1" w:rsidRPr="00E66064" w:rsidRDefault="000712C1" w:rsidP="00E66064">
            <w:pPr>
              <w:spacing w:before="0" w:after="120"/>
              <w:contextualSpacing/>
              <w:rPr>
                <w:rFonts w:cs="Arial"/>
                <w:sz w:val="20"/>
                <w:szCs w:val="20"/>
              </w:rPr>
            </w:pPr>
            <w:r w:rsidRPr="00E66064">
              <w:rPr>
                <w:rFonts w:cs="Arial"/>
                <w:sz w:val="20"/>
                <w:szCs w:val="20"/>
              </w:rPr>
              <w:t>Proponowane brzmienie przepisu:</w:t>
            </w:r>
          </w:p>
          <w:p w14:paraId="5A35293C" w14:textId="77777777" w:rsidR="000712C1" w:rsidRPr="00E66064" w:rsidRDefault="000712C1" w:rsidP="00E66064">
            <w:pPr>
              <w:spacing w:before="0" w:after="120"/>
              <w:contextualSpacing/>
              <w:rPr>
                <w:rFonts w:cs="Arial"/>
                <w:sz w:val="20"/>
                <w:szCs w:val="20"/>
              </w:rPr>
            </w:pPr>
            <w:r w:rsidRPr="00E66064">
              <w:rPr>
                <w:rFonts w:cs="Arial"/>
                <w:sz w:val="20"/>
                <w:szCs w:val="20"/>
              </w:rPr>
              <w:t>1. Przeniesienie na nabywcę praw wynikających z umowy deweloperskiej albo umowy, o której mowa w art. 2 ust. 1 pkt 2, 3 lub 5, jest poprzedzone odbiorem przez nabywcę lokalu mieszkalnego albo domu jednorodzinnego, który następuje po:</w:t>
            </w:r>
          </w:p>
          <w:p w14:paraId="447BC627" w14:textId="77777777" w:rsidR="000712C1" w:rsidRPr="00E66064" w:rsidRDefault="000712C1" w:rsidP="00E66064">
            <w:pPr>
              <w:spacing w:before="0" w:after="120"/>
              <w:contextualSpacing/>
              <w:rPr>
                <w:rFonts w:cs="Arial"/>
                <w:sz w:val="20"/>
                <w:szCs w:val="20"/>
              </w:rPr>
            </w:pPr>
            <w:r w:rsidRPr="00E66064">
              <w:rPr>
                <w:rFonts w:cs="Arial"/>
                <w:sz w:val="20"/>
                <w:szCs w:val="20"/>
              </w:rPr>
              <w:t xml:space="preserve">1) spełnieniu obowiązku złożenia oświadczenia, o którym mowa w art. 53c ust. 1 ustawy z dnia 7 lipca 1994 r. – Prawo budowlane oraz zawiadomieniu o zakończeniu budowy domu jednorodzinnego przy braku sprzeciwu ze strony właściwego organu, albo; </w:t>
            </w:r>
          </w:p>
          <w:p w14:paraId="1DB55C20" w14:textId="5B6D9A76" w:rsidR="000712C1" w:rsidRPr="00E66064" w:rsidRDefault="000712C1" w:rsidP="00E66064">
            <w:pPr>
              <w:spacing w:before="0" w:after="120"/>
              <w:contextualSpacing/>
              <w:jc w:val="left"/>
              <w:rPr>
                <w:rFonts w:cs="Arial"/>
                <w:b/>
                <w:sz w:val="20"/>
                <w:szCs w:val="20"/>
              </w:rPr>
            </w:pPr>
            <w:r w:rsidRPr="00E66064">
              <w:rPr>
                <w:rFonts w:cs="Arial"/>
                <w:sz w:val="20"/>
                <w:szCs w:val="20"/>
              </w:rPr>
              <w:t>2) na podstawie prawomocnej decyzji o pozwoleniu na użytkowanie.”.</w:t>
            </w:r>
          </w:p>
        </w:tc>
      </w:tr>
      <w:tr w:rsidR="002244D3" w:rsidRPr="00E66064" w14:paraId="7ECAB97B" w14:textId="77777777" w:rsidTr="004F4CF5">
        <w:tc>
          <w:tcPr>
            <w:tcW w:w="559" w:type="dxa"/>
            <w:shd w:val="clear" w:color="auto" w:fill="auto"/>
          </w:tcPr>
          <w:p w14:paraId="6DEE89B6" w14:textId="67FA26F4" w:rsidR="002244D3" w:rsidRPr="00E66064" w:rsidRDefault="002244D3" w:rsidP="002244D3">
            <w:pPr>
              <w:spacing w:before="0" w:after="120"/>
              <w:contextualSpacing/>
              <w:jc w:val="center"/>
              <w:rPr>
                <w:rFonts w:cs="Arial"/>
                <w:sz w:val="20"/>
                <w:szCs w:val="20"/>
              </w:rPr>
            </w:pPr>
            <w:r>
              <w:rPr>
                <w:rFonts w:cs="Arial"/>
                <w:sz w:val="20"/>
                <w:szCs w:val="20"/>
              </w:rPr>
              <w:lastRenderedPageBreak/>
              <w:t>28.</w:t>
            </w:r>
          </w:p>
        </w:tc>
        <w:tc>
          <w:tcPr>
            <w:tcW w:w="1563" w:type="dxa"/>
          </w:tcPr>
          <w:p w14:paraId="2DC1C52B" w14:textId="77777777" w:rsidR="002244D3" w:rsidRPr="00B37D6D" w:rsidRDefault="002244D3" w:rsidP="002244D3">
            <w:pPr>
              <w:spacing w:before="0" w:after="120"/>
              <w:contextualSpacing/>
              <w:jc w:val="center"/>
              <w:rPr>
                <w:rFonts w:cs="Arial"/>
                <w:sz w:val="20"/>
                <w:szCs w:val="20"/>
              </w:rPr>
            </w:pPr>
            <w:r w:rsidRPr="00B37D6D">
              <w:rPr>
                <w:rFonts w:cs="Arial"/>
                <w:sz w:val="20"/>
                <w:szCs w:val="20"/>
              </w:rPr>
              <w:t>art. 1 pkt 12</w:t>
            </w:r>
          </w:p>
          <w:p w14:paraId="7DB5C6A7" w14:textId="77777777" w:rsidR="002244D3" w:rsidRPr="00B37D6D" w:rsidRDefault="002244D3" w:rsidP="002244D3">
            <w:pPr>
              <w:spacing w:before="0" w:after="120"/>
              <w:contextualSpacing/>
              <w:jc w:val="center"/>
              <w:rPr>
                <w:rFonts w:cs="Arial"/>
                <w:sz w:val="20"/>
                <w:szCs w:val="20"/>
              </w:rPr>
            </w:pPr>
            <w:r w:rsidRPr="00B37D6D">
              <w:rPr>
                <w:rFonts w:cs="Arial"/>
                <w:sz w:val="20"/>
                <w:szCs w:val="20"/>
              </w:rPr>
              <w:t>lit. g projektu</w:t>
            </w:r>
          </w:p>
          <w:p w14:paraId="4192F22C" w14:textId="77777777" w:rsidR="002244D3" w:rsidRPr="00B37D6D" w:rsidRDefault="002244D3" w:rsidP="002244D3">
            <w:pPr>
              <w:spacing w:before="0" w:after="120"/>
              <w:contextualSpacing/>
              <w:jc w:val="center"/>
              <w:rPr>
                <w:rFonts w:cs="Arial"/>
                <w:sz w:val="20"/>
                <w:szCs w:val="20"/>
              </w:rPr>
            </w:pPr>
            <w:r w:rsidRPr="00B37D6D">
              <w:rPr>
                <w:rFonts w:cs="Arial"/>
                <w:sz w:val="20"/>
                <w:szCs w:val="20"/>
              </w:rPr>
              <w:t>ustawy</w:t>
            </w:r>
          </w:p>
          <w:p w14:paraId="3D61656A" w14:textId="77777777" w:rsidR="002244D3" w:rsidRPr="00B37D6D" w:rsidRDefault="002244D3" w:rsidP="002244D3">
            <w:pPr>
              <w:spacing w:before="0" w:after="120"/>
              <w:contextualSpacing/>
              <w:jc w:val="center"/>
              <w:rPr>
                <w:rFonts w:cs="Arial"/>
                <w:sz w:val="20"/>
                <w:szCs w:val="20"/>
              </w:rPr>
            </w:pPr>
          </w:p>
          <w:p w14:paraId="5C7C6EC5" w14:textId="77777777" w:rsidR="002244D3" w:rsidRPr="00B37D6D" w:rsidRDefault="002244D3" w:rsidP="002244D3">
            <w:pPr>
              <w:spacing w:before="0" w:after="120"/>
              <w:contextualSpacing/>
              <w:jc w:val="center"/>
              <w:rPr>
                <w:rFonts w:cs="Arial"/>
                <w:sz w:val="20"/>
                <w:szCs w:val="20"/>
              </w:rPr>
            </w:pPr>
            <w:r w:rsidRPr="00B37D6D">
              <w:rPr>
                <w:rFonts w:cs="Arial"/>
                <w:sz w:val="20"/>
                <w:szCs w:val="20"/>
              </w:rPr>
              <w:t>(art. 30 ust. 5j</w:t>
            </w:r>
          </w:p>
          <w:p w14:paraId="2CB25E8C" w14:textId="77777777" w:rsidR="002244D3" w:rsidRPr="00B37D6D" w:rsidRDefault="002244D3" w:rsidP="002244D3">
            <w:pPr>
              <w:spacing w:before="0" w:after="120"/>
              <w:contextualSpacing/>
              <w:jc w:val="center"/>
              <w:rPr>
                <w:rFonts w:cs="Arial"/>
                <w:sz w:val="20"/>
                <w:szCs w:val="20"/>
              </w:rPr>
            </w:pPr>
            <w:r w:rsidRPr="00B37D6D">
              <w:rPr>
                <w:rFonts w:cs="Arial"/>
                <w:sz w:val="20"/>
                <w:szCs w:val="20"/>
              </w:rPr>
              <w:t>ustawy</w:t>
            </w:r>
          </w:p>
          <w:p w14:paraId="51E1F8AD" w14:textId="77777777" w:rsidR="002244D3" w:rsidRPr="00B37D6D" w:rsidRDefault="002244D3" w:rsidP="002244D3">
            <w:pPr>
              <w:spacing w:before="0" w:after="120"/>
              <w:contextualSpacing/>
              <w:jc w:val="center"/>
              <w:rPr>
                <w:rFonts w:cs="Arial"/>
                <w:sz w:val="20"/>
                <w:szCs w:val="20"/>
              </w:rPr>
            </w:pPr>
            <w:r w:rsidRPr="00B37D6D">
              <w:rPr>
                <w:rFonts w:cs="Arial"/>
                <w:sz w:val="20"/>
                <w:szCs w:val="20"/>
              </w:rPr>
              <w:t>Prawo</w:t>
            </w:r>
          </w:p>
          <w:p w14:paraId="732607F2" w14:textId="650DDA30" w:rsidR="002244D3" w:rsidRPr="00E66064" w:rsidRDefault="002244D3" w:rsidP="002244D3">
            <w:pPr>
              <w:spacing w:before="0" w:after="120"/>
              <w:contextualSpacing/>
              <w:jc w:val="center"/>
              <w:rPr>
                <w:rFonts w:cs="Arial"/>
                <w:sz w:val="20"/>
                <w:szCs w:val="20"/>
              </w:rPr>
            </w:pPr>
            <w:r w:rsidRPr="00B37D6D">
              <w:rPr>
                <w:rFonts w:cs="Arial"/>
                <w:sz w:val="20"/>
                <w:szCs w:val="20"/>
              </w:rPr>
              <w:t>budowlane)</w:t>
            </w:r>
          </w:p>
        </w:tc>
        <w:tc>
          <w:tcPr>
            <w:tcW w:w="1955" w:type="dxa"/>
          </w:tcPr>
          <w:p w14:paraId="150BC06F" w14:textId="2028A417" w:rsidR="002244D3" w:rsidRPr="00E66064" w:rsidRDefault="002244D3" w:rsidP="002244D3">
            <w:pPr>
              <w:pStyle w:val="PKTpunkt"/>
              <w:spacing w:after="120" w:line="240" w:lineRule="auto"/>
              <w:contextualSpacing/>
              <w:jc w:val="center"/>
              <w:rPr>
                <w:rFonts w:ascii="Arial" w:hAnsi="Arial"/>
                <w:sz w:val="20"/>
              </w:rPr>
            </w:pPr>
            <w:r w:rsidRPr="00B37D6D">
              <w:rPr>
                <w:rFonts w:ascii="Arial" w:hAnsi="Arial"/>
                <w:sz w:val="20"/>
              </w:rPr>
              <w:t>MRiRW</w:t>
            </w:r>
          </w:p>
        </w:tc>
        <w:tc>
          <w:tcPr>
            <w:tcW w:w="5812" w:type="dxa"/>
          </w:tcPr>
          <w:p w14:paraId="52600283" w14:textId="77777777" w:rsidR="002244D3" w:rsidRPr="0055038E" w:rsidRDefault="002244D3" w:rsidP="002244D3">
            <w:pPr>
              <w:rPr>
                <w:rFonts w:ascii="Calibri" w:hAnsi="Calibri" w:cs="Calibri"/>
                <w:sz w:val="22"/>
              </w:rPr>
            </w:pPr>
            <w:r w:rsidRPr="0055038E">
              <w:rPr>
                <w:rFonts w:ascii="Calibri" w:hAnsi="Calibri" w:cs="Calibri"/>
                <w:sz w:val="22"/>
              </w:rPr>
              <w:t>W art. 30 proponuję się wykreślenie projektowanej regulacji w zakresie dodania w art. 30 po wyrazach „pkt 1a” wyrazów „i 1b”.</w:t>
            </w:r>
          </w:p>
          <w:p w14:paraId="484D34D4" w14:textId="77777777" w:rsidR="002244D3" w:rsidRPr="0055038E" w:rsidRDefault="002244D3" w:rsidP="002244D3">
            <w:pPr>
              <w:rPr>
                <w:rFonts w:ascii="Calibri" w:hAnsi="Calibri" w:cs="Calibri"/>
                <w:sz w:val="22"/>
              </w:rPr>
            </w:pPr>
          </w:p>
          <w:p w14:paraId="54F08FAB" w14:textId="77777777" w:rsidR="002244D3" w:rsidRPr="0055038E" w:rsidRDefault="002244D3" w:rsidP="002244D3">
            <w:pPr>
              <w:rPr>
                <w:rFonts w:ascii="Calibri" w:hAnsi="Calibri" w:cs="Calibri"/>
                <w:sz w:val="22"/>
              </w:rPr>
            </w:pPr>
            <w:r w:rsidRPr="0055038E">
              <w:rPr>
                <w:rFonts w:ascii="Calibri" w:hAnsi="Calibri" w:cs="Calibri"/>
                <w:sz w:val="22"/>
              </w:rPr>
              <w:t>Wyłączenie możliwości wniesienia sprzeciwu</w:t>
            </w:r>
          </w:p>
          <w:p w14:paraId="2BC4671E" w14:textId="77777777" w:rsidR="002244D3" w:rsidRPr="0055038E" w:rsidRDefault="002244D3" w:rsidP="002244D3">
            <w:pPr>
              <w:rPr>
                <w:rFonts w:ascii="Calibri" w:hAnsi="Calibri" w:cs="Calibri"/>
                <w:sz w:val="22"/>
              </w:rPr>
            </w:pPr>
            <w:r w:rsidRPr="0055038E">
              <w:rPr>
                <w:rFonts w:ascii="Calibri" w:hAnsi="Calibri" w:cs="Calibri"/>
                <w:sz w:val="22"/>
              </w:rPr>
              <w:t>przez organ administracji architektonicznobudowlanej,</w:t>
            </w:r>
          </w:p>
          <w:p w14:paraId="28B4B521" w14:textId="77777777" w:rsidR="002244D3" w:rsidRPr="0055038E" w:rsidRDefault="002244D3" w:rsidP="002244D3">
            <w:pPr>
              <w:rPr>
                <w:rFonts w:ascii="Calibri" w:hAnsi="Calibri" w:cs="Calibri"/>
                <w:sz w:val="22"/>
              </w:rPr>
            </w:pPr>
            <w:r w:rsidRPr="0055038E">
              <w:rPr>
                <w:rFonts w:ascii="Calibri" w:hAnsi="Calibri" w:cs="Calibri"/>
                <w:sz w:val="22"/>
              </w:rPr>
              <w:t xml:space="preserve">do zgłoszenia budowy budynku mieszkalnego jednorodzinnego powyżej 70 m² dla zaspokojenia własnych potrzeb mieszkaniowych inwestora, w praktyce oznacza możliwość niestosowania przepisów ustawy o ochronie gruntów rolnych i leśnych. </w:t>
            </w:r>
          </w:p>
          <w:p w14:paraId="3795748D" w14:textId="77777777" w:rsidR="002244D3" w:rsidRPr="0055038E" w:rsidRDefault="002244D3" w:rsidP="002244D3">
            <w:pPr>
              <w:rPr>
                <w:rFonts w:ascii="Calibri" w:hAnsi="Calibri" w:cs="Calibri"/>
                <w:sz w:val="22"/>
              </w:rPr>
            </w:pPr>
          </w:p>
          <w:p w14:paraId="7BA51C96" w14:textId="77777777" w:rsidR="002244D3" w:rsidRPr="0055038E" w:rsidRDefault="002244D3" w:rsidP="002244D3">
            <w:pPr>
              <w:rPr>
                <w:rFonts w:ascii="Calibri" w:hAnsi="Calibri" w:cs="Calibri"/>
                <w:sz w:val="22"/>
              </w:rPr>
            </w:pPr>
            <w:r w:rsidRPr="0055038E">
              <w:rPr>
                <w:rFonts w:ascii="Calibri" w:hAnsi="Calibri" w:cs="Calibri"/>
                <w:sz w:val="22"/>
              </w:rPr>
              <w:t>Gdy w danym przypadku wymagana jest decyzja</w:t>
            </w:r>
          </w:p>
          <w:p w14:paraId="08469EC1" w14:textId="77777777" w:rsidR="002244D3" w:rsidRPr="0055038E" w:rsidRDefault="002244D3" w:rsidP="002244D3">
            <w:pPr>
              <w:rPr>
                <w:rFonts w:ascii="Calibri" w:hAnsi="Calibri" w:cs="Calibri"/>
                <w:sz w:val="22"/>
              </w:rPr>
            </w:pPr>
            <w:r w:rsidRPr="0055038E">
              <w:rPr>
                <w:rFonts w:ascii="Calibri" w:hAnsi="Calibri" w:cs="Calibri"/>
                <w:sz w:val="22"/>
              </w:rPr>
              <w:lastRenderedPageBreak/>
              <w:t xml:space="preserve">o wyłączeniu gruntów rolnych z produkcji, </w:t>
            </w:r>
            <w:r w:rsidRPr="0055038E">
              <w:rPr>
                <w:rFonts w:ascii="Calibri" w:hAnsi="Calibri" w:cs="Calibri"/>
                <w:sz w:val="22"/>
              </w:rPr>
              <w:br/>
              <w:t>a inwestor jej nie uzyskał i zgłasza, że planuje</w:t>
            </w:r>
          </w:p>
          <w:p w14:paraId="18451A1F" w14:textId="77777777" w:rsidR="002244D3" w:rsidRPr="0055038E" w:rsidRDefault="002244D3" w:rsidP="002244D3">
            <w:pPr>
              <w:rPr>
                <w:rFonts w:ascii="Calibri" w:hAnsi="Calibri" w:cs="Calibri"/>
                <w:sz w:val="22"/>
              </w:rPr>
            </w:pPr>
            <w:r w:rsidRPr="0055038E">
              <w:rPr>
                <w:rFonts w:ascii="Calibri" w:hAnsi="Calibri" w:cs="Calibri"/>
                <w:sz w:val="22"/>
              </w:rPr>
              <w:t>wybudować się na gruntach rolnych klas I-III,</w:t>
            </w:r>
          </w:p>
          <w:p w14:paraId="2E07E018" w14:textId="77777777" w:rsidR="002244D3" w:rsidRPr="0055038E" w:rsidRDefault="002244D3" w:rsidP="002244D3">
            <w:pPr>
              <w:rPr>
                <w:rFonts w:ascii="Calibri" w:hAnsi="Calibri" w:cs="Calibri"/>
                <w:sz w:val="22"/>
              </w:rPr>
            </w:pPr>
            <w:r w:rsidRPr="0055038E">
              <w:rPr>
                <w:rFonts w:ascii="Calibri" w:hAnsi="Calibri" w:cs="Calibri"/>
                <w:sz w:val="22"/>
              </w:rPr>
              <w:t>organ administracji architektoniczno-budowlanej</w:t>
            </w:r>
          </w:p>
          <w:p w14:paraId="7F2CC178" w14:textId="77777777" w:rsidR="002244D3" w:rsidRPr="0055038E" w:rsidRDefault="002244D3" w:rsidP="002244D3">
            <w:pPr>
              <w:rPr>
                <w:rFonts w:ascii="Calibri" w:hAnsi="Calibri" w:cs="Calibri"/>
                <w:sz w:val="22"/>
              </w:rPr>
            </w:pPr>
            <w:r w:rsidRPr="0055038E">
              <w:rPr>
                <w:rFonts w:ascii="Calibri" w:hAnsi="Calibri" w:cs="Calibri"/>
                <w:sz w:val="22"/>
              </w:rPr>
              <w:t>nie może tej inwestycji zahamować. Często jest</w:t>
            </w:r>
          </w:p>
          <w:p w14:paraId="7307271B" w14:textId="77777777" w:rsidR="002244D3" w:rsidRPr="0055038E" w:rsidRDefault="002244D3" w:rsidP="002244D3">
            <w:pPr>
              <w:rPr>
                <w:rFonts w:ascii="Calibri" w:hAnsi="Calibri" w:cs="Calibri"/>
                <w:sz w:val="22"/>
              </w:rPr>
            </w:pPr>
            <w:r w:rsidRPr="0055038E">
              <w:rPr>
                <w:rFonts w:ascii="Calibri" w:hAnsi="Calibri" w:cs="Calibri"/>
                <w:sz w:val="22"/>
              </w:rPr>
              <w:t xml:space="preserve">tak, że inwestor działa w dobrej wierze i nie jest </w:t>
            </w:r>
            <w:r w:rsidRPr="0055038E">
              <w:rPr>
                <w:rFonts w:ascii="Calibri" w:hAnsi="Calibri" w:cs="Calibri"/>
                <w:sz w:val="22"/>
              </w:rPr>
              <w:br/>
              <w:t>w ogóle świadomy konieczności uzyskania decyzji</w:t>
            </w:r>
          </w:p>
          <w:p w14:paraId="7474233A" w14:textId="77777777" w:rsidR="002244D3" w:rsidRPr="0055038E" w:rsidRDefault="002244D3" w:rsidP="002244D3">
            <w:pPr>
              <w:rPr>
                <w:rFonts w:ascii="Calibri" w:hAnsi="Calibri" w:cs="Calibri"/>
                <w:sz w:val="22"/>
              </w:rPr>
            </w:pPr>
            <w:r w:rsidRPr="0055038E">
              <w:rPr>
                <w:rFonts w:ascii="Calibri" w:hAnsi="Calibri" w:cs="Calibri"/>
                <w:sz w:val="22"/>
              </w:rPr>
              <w:t>zezwalającej na wyłączenie gruntów rolnych z</w:t>
            </w:r>
          </w:p>
          <w:p w14:paraId="267861FB" w14:textId="77777777" w:rsidR="002244D3" w:rsidRPr="0055038E" w:rsidRDefault="002244D3" w:rsidP="002244D3">
            <w:pPr>
              <w:rPr>
                <w:rFonts w:ascii="Calibri" w:hAnsi="Calibri" w:cs="Calibri"/>
                <w:sz w:val="22"/>
              </w:rPr>
            </w:pPr>
            <w:r w:rsidRPr="0055038E">
              <w:rPr>
                <w:rFonts w:ascii="Calibri" w:hAnsi="Calibri" w:cs="Calibri"/>
                <w:sz w:val="22"/>
              </w:rPr>
              <w:t xml:space="preserve">produkcji rolniczej (i konsekwencji finansowych </w:t>
            </w:r>
            <w:r w:rsidRPr="0055038E">
              <w:rPr>
                <w:rFonts w:ascii="Calibri" w:hAnsi="Calibri" w:cs="Calibri"/>
                <w:sz w:val="22"/>
              </w:rPr>
              <w:br/>
              <w:t>z tym związanych). W wyniku nowelizacji przepisów,</w:t>
            </w:r>
          </w:p>
          <w:p w14:paraId="7353A209" w14:textId="77777777" w:rsidR="002244D3" w:rsidRPr="0055038E" w:rsidRDefault="002244D3" w:rsidP="002244D3">
            <w:pPr>
              <w:rPr>
                <w:rFonts w:ascii="Calibri" w:hAnsi="Calibri" w:cs="Calibri"/>
                <w:sz w:val="22"/>
              </w:rPr>
            </w:pPr>
            <w:r w:rsidRPr="0055038E">
              <w:rPr>
                <w:rFonts w:ascii="Calibri" w:hAnsi="Calibri" w:cs="Calibri"/>
                <w:sz w:val="22"/>
              </w:rPr>
              <w:t>w odniesieniu do budowy domu pow. 70m², w tej</w:t>
            </w:r>
          </w:p>
          <w:p w14:paraId="6A7C3AE3" w14:textId="77777777" w:rsidR="002244D3" w:rsidRPr="0055038E" w:rsidRDefault="002244D3" w:rsidP="002244D3">
            <w:pPr>
              <w:rPr>
                <w:rFonts w:ascii="Calibri" w:hAnsi="Calibri" w:cs="Calibri"/>
                <w:sz w:val="22"/>
              </w:rPr>
            </w:pPr>
            <w:r w:rsidRPr="0055038E">
              <w:rPr>
                <w:rFonts w:ascii="Calibri" w:hAnsi="Calibri" w:cs="Calibri"/>
                <w:sz w:val="22"/>
              </w:rPr>
              <w:t>nieświadomości pozostanie – np. do czasu kontroli</w:t>
            </w:r>
          </w:p>
          <w:p w14:paraId="3AEC0DFA" w14:textId="77777777" w:rsidR="002244D3" w:rsidRPr="0055038E" w:rsidRDefault="002244D3" w:rsidP="002244D3">
            <w:pPr>
              <w:rPr>
                <w:rFonts w:ascii="Calibri" w:hAnsi="Calibri" w:cs="Calibri"/>
                <w:sz w:val="22"/>
              </w:rPr>
            </w:pPr>
            <w:r w:rsidRPr="0055038E">
              <w:rPr>
                <w:rFonts w:ascii="Calibri" w:hAnsi="Calibri" w:cs="Calibri"/>
                <w:sz w:val="22"/>
              </w:rPr>
              <w:t>nadzoru budowlanego i wydania nakazu rozbiórki.</w:t>
            </w:r>
          </w:p>
          <w:p w14:paraId="0CE0FECC" w14:textId="77777777" w:rsidR="002244D3" w:rsidRPr="0055038E" w:rsidRDefault="002244D3" w:rsidP="002244D3">
            <w:pPr>
              <w:rPr>
                <w:rFonts w:ascii="Calibri" w:hAnsi="Calibri" w:cs="Calibri"/>
                <w:sz w:val="22"/>
              </w:rPr>
            </w:pPr>
          </w:p>
          <w:p w14:paraId="2E9B9CD2" w14:textId="77777777" w:rsidR="002244D3" w:rsidRPr="0055038E" w:rsidRDefault="002244D3" w:rsidP="002244D3">
            <w:pPr>
              <w:rPr>
                <w:rFonts w:ascii="Calibri" w:hAnsi="Calibri" w:cs="Calibri"/>
                <w:sz w:val="22"/>
              </w:rPr>
            </w:pPr>
            <w:r w:rsidRPr="0055038E">
              <w:rPr>
                <w:rFonts w:ascii="Calibri" w:hAnsi="Calibri" w:cs="Calibri"/>
                <w:sz w:val="22"/>
              </w:rPr>
              <w:t>Inwestor zatem jest niejako pozbawiony wsparcia</w:t>
            </w:r>
          </w:p>
          <w:p w14:paraId="22DBED6C" w14:textId="77777777" w:rsidR="002244D3" w:rsidRPr="0055038E" w:rsidRDefault="002244D3" w:rsidP="002244D3">
            <w:pPr>
              <w:rPr>
                <w:rFonts w:ascii="Calibri" w:hAnsi="Calibri" w:cs="Calibri"/>
                <w:sz w:val="22"/>
              </w:rPr>
            </w:pPr>
            <w:r w:rsidRPr="0055038E">
              <w:rPr>
                <w:rFonts w:ascii="Calibri" w:hAnsi="Calibri" w:cs="Calibri"/>
                <w:sz w:val="22"/>
              </w:rPr>
              <w:t>organu administracji architektoniczno-budowlanej,</w:t>
            </w:r>
          </w:p>
          <w:p w14:paraId="6A30067F" w14:textId="77777777" w:rsidR="002244D3" w:rsidRPr="0055038E" w:rsidRDefault="002244D3" w:rsidP="002244D3">
            <w:pPr>
              <w:rPr>
                <w:rFonts w:ascii="Calibri" w:hAnsi="Calibri" w:cs="Calibri"/>
                <w:sz w:val="22"/>
              </w:rPr>
            </w:pPr>
            <w:r w:rsidRPr="0055038E">
              <w:rPr>
                <w:rFonts w:ascii="Calibri" w:hAnsi="Calibri" w:cs="Calibri"/>
                <w:sz w:val="22"/>
              </w:rPr>
              <w:t>który nie odnosi się do zgodności z prawem</w:t>
            </w:r>
          </w:p>
          <w:p w14:paraId="4F76342A" w14:textId="77777777" w:rsidR="002244D3" w:rsidRPr="0055038E" w:rsidRDefault="002244D3" w:rsidP="002244D3">
            <w:pPr>
              <w:rPr>
                <w:rFonts w:ascii="Calibri" w:hAnsi="Calibri" w:cs="Calibri"/>
                <w:sz w:val="22"/>
              </w:rPr>
            </w:pPr>
            <w:r w:rsidRPr="0055038E">
              <w:rPr>
                <w:rFonts w:ascii="Calibri" w:hAnsi="Calibri" w:cs="Calibri"/>
                <w:sz w:val="22"/>
              </w:rPr>
              <w:t>planowanego zamierzenia budowlanego. Ponadto</w:t>
            </w:r>
          </w:p>
          <w:p w14:paraId="04BC1D08" w14:textId="77777777" w:rsidR="002244D3" w:rsidRPr="0055038E" w:rsidRDefault="002244D3" w:rsidP="002244D3">
            <w:pPr>
              <w:rPr>
                <w:rFonts w:ascii="Calibri" w:hAnsi="Calibri" w:cs="Calibri"/>
                <w:sz w:val="22"/>
              </w:rPr>
            </w:pPr>
            <w:r w:rsidRPr="0055038E">
              <w:rPr>
                <w:rFonts w:ascii="Calibri" w:hAnsi="Calibri" w:cs="Calibri"/>
                <w:sz w:val="22"/>
              </w:rPr>
              <w:t>inwestor ponosi dodatkowe ryzyko i narażony jest</w:t>
            </w:r>
          </w:p>
          <w:p w14:paraId="3FB2735B" w14:textId="77777777" w:rsidR="002244D3" w:rsidRPr="0055038E" w:rsidRDefault="002244D3" w:rsidP="002244D3">
            <w:pPr>
              <w:rPr>
                <w:rFonts w:ascii="Calibri" w:hAnsi="Calibri" w:cs="Calibri"/>
                <w:sz w:val="22"/>
              </w:rPr>
            </w:pPr>
            <w:r w:rsidRPr="0055038E">
              <w:rPr>
                <w:rFonts w:ascii="Calibri" w:hAnsi="Calibri" w:cs="Calibri"/>
                <w:sz w:val="22"/>
              </w:rPr>
              <w:t>na konsekwencje pieniężne i budowlane ze strony</w:t>
            </w:r>
          </w:p>
          <w:p w14:paraId="3C002D6B" w14:textId="77777777" w:rsidR="002244D3" w:rsidRPr="0055038E" w:rsidRDefault="002244D3" w:rsidP="002244D3">
            <w:pPr>
              <w:rPr>
                <w:rFonts w:ascii="Calibri" w:hAnsi="Calibri" w:cs="Calibri"/>
                <w:sz w:val="22"/>
              </w:rPr>
            </w:pPr>
            <w:r w:rsidRPr="0055038E">
              <w:rPr>
                <w:rFonts w:ascii="Calibri" w:hAnsi="Calibri" w:cs="Calibri"/>
                <w:sz w:val="22"/>
              </w:rPr>
              <w:t>nie tylko nadzoru budowlanego ale i na kary</w:t>
            </w:r>
          </w:p>
          <w:p w14:paraId="6DDB4706" w14:textId="77777777" w:rsidR="002244D3" w:rsidRPr="0055038E" w:rsidRDefault="002244D3" w:rsidP="002244D3">
            <w:pPr>
              <w:rPr>
                <w:rFonts w:ascii="Calibri" w:hAnsi="Calibri" w:cs="Calibri"/>
                <w:sz w:val="22"/>
              </w:rPr>
            </w:pPr>
            <w:r w:rsidRPr="0055038E">
              <w:rPr>
                <w:rFonts w:ascii="Calibri" w:hAnsi="Calibri" w:cs="Calibri"/>
                <w:sz w:val="22"/>
              </w:rPr>
              <w:t xml:space="preserve">związane z nielegalnym wyłączeniem gruntów </w:t>
            </w:r>
            <w:r w:rsidRPr="0055038E">
              <w:rPr>
                <w:rFonts w:ascii="Calibri" w:hAnsi="Calibri" w:cs="Calibri"/>
                <w:sz w:val="22"/>
              </w:rPr>
              <w:br/>
              <w:t>z produkcji rolniczej. Oprócz tego zostanie otwarta furtka dla osób, które nie działają w dobrej wierze i chcą na takim usprawnieniu przepisów zarobić, budując na</w:t>
            </w:r>
          </w:p>
          <w:p w14:paraId="10409344" w14:textId="77777777" w:rsidR="002244D3" w:rsidRPr="0055038E" w:rsidRDefault="002244D3" w:rsidP="002244D3">
            <w:pPr>
              <w:rPr>
                <w:rFonts w:ascii="Calibri" w:hAnsi="Calibri" w:cs="Calibri"/>
                <w:sz w:val="22"/>
              </w:rPr>
            </w:pPr>
            <w:r w:rsidRPr="0055038E">
              <w:rPr>
                <w:rFonts w:ascii="Calibri" w:hAnsi="Calibri" w:cs="Calibri"/>
                <w:sz w:val="22"/>
              </w:rPr>
              <w:lastRenderedPageBreak/>
              <w:t>własne potrzeby dom, a następnie go sprzedając,</w:t>
            </w:r>
          </w:p>
          <w:p w14:paraId="185E4257" w14:textId="77777777" w:rsidR="002244D3" w:rsidRPr="0055038E" w:rsidRDefault="002244D3" w:rsidP="002244D3">
            <w:pPr>
              <w:rPr>
                <w:rFonts w:ascii="Calibri" w:hAnsi="Calibri" w:cs="Calibri"/>
                <w:sz w:val="22"/>
              </w:rPr>
            </w:pPr>
            <w:r w:rsidRPr="0055038E">
              <w:rPr>
                <w:rFonts w:ascii="Calibri" w:hAnsi="Calibri" w:cs="Calibri"/>
                <w:sz w:val="22"/>
              </w:rPr>
              <w:t>po czym budując kolejny, itd. Na rynku</w:t>
            </w:r>
          </w:p>
          <w:p w14:paraId="7323C4A4" w14:textId="77777777" w:rsidR="002244D3" w:rsidRPr="0055038E" w:rsidRDefault="002244D3" w:rsidP="002244D3">
            <w:pPr>
              <w:rPr>
                <w:rFonts w:ascii="Calibri" w:hAnsi="Calibri" w:cs="Calibri"/>
                <w:sz w:val="22"/>
              </w:rPr>
            </w:pPr>
            <w:r w:rsidRPr="0055038E">
              <w:rPr>
                <w:rFonts w:ascii="Calibri" w:hAnsi="Calibri" w:cs="Calibri"/>
                <w:sz w:val="22"/>
              </w:rPr>
              <w:t>nieruchomości mogą znaleźć się domy</w:t>
            </w:r>
          </w:p>
          <w:p w14:paraId="3E3BBAE5" w14:textId="77777777" w:rsidR="002244D3" w:rsidRPr="0055038E" w:rsidRDefault="002244D3" w:rsidP="002244D3">
            <w:pPr>
              <w:rPr>
                <w:rFonts w:ascii="Calibri" w:hAnsi="Calibri" w:cs="Calibri"/>
                <w:sz w:val="22"/>
              </w:rPr>
            </w:pPr>
            <w:r w:rsidRPr="0055038E">
              <w:rPr>
                <w:rFonts w:ascii="Calibri" w:hAnsi="Calibri" w:cs="Calibri"/>
                <w:sz w:val="22"/>
              </w:rPr>
              <w:t>wybudowane niezgodnie z powszechnie</w:t>
            </w:r>
          </w:p>
          <w:p w14:paraId="147DABA6" w14:textId="77777777" w:rsidR="002244D3" w:rsidRPr="0055038E" w:rsidRDefault="002244D3" w:rsidP="002244D3">
            <w:pPr>
              <w:rPr>
                <w:rFonts w:ascii="Calibri" w:hAnsi="Calibri" w:cs="Calibri"/>
                <w:sz w:val="22"/>
              </w:rPr>
            </w:pPr>
            <w:r w:rsidRPr="0055038E">
              <w:rPr>
                <w:rFonts w:ascii="Calibri" w:hAnsi="Calibri" w:cs="Calibri"/>
                <w:sz w:val="22"/>
              </w:rPr>
              <w:t>obowiązującymi przepisami i wbrew aktom prawa</w:t>
            </w:r>
          </w:p>
          <w:p w14:paraId="342ECB95" w14:textId="77777777" w:rsidR="002244D3" w:rsidRPr="0055038E" w:rsidRDefault="002244D3" w:rsidP="002244D3">
            <w:pPr>
              <w:rPr>
                <w:rFonts w:ascii="Calibri" w:hAnsi="Calibri" w:cs="Calibri"/>
                <w:sz w:val="22"/>
              </w:rPr>
            </w:pPr>
            <w:r w:rsidRPr="0055038E">
              <w:rPr>
                <w:rFonts w:ascii="Calibri" w:hAnsi="Calibri" w:cs="Calibri"/>
                <w:sz w:val="22"/>
              </w:rPr>
              <w:t>miejscowego, co niesie duże ryzyko dla kupujących.</w:t>
            </w:r>
          </w:p>
          <w:p w14:paraId="0244E986" w14:textId="77777777" w:rsidR="002244D3" w:rsidRPr="0055038E" w:rsidRDefault="002244D3" w:rsidP="002244D3">
            <w:pPr>
              <w:rPr>
                <w:rFonts w:ascii="Calibri" w:hAnsi="Calibri" w:cs="Calibri"/>
                <w:sz w:val="22"/>
              </w:rPr>
            </w:pPr>
            <w:r w:rsidRPr="0055038E">
              <w:rPr>
                <w:rFonts w:ascii="Calibri" w:hAnsi="Calibri" w:cs="Calibri"/>
                <w:sz w:val="22"/>
              </w:rPr>
              <w:t>Wyłączenie możliwości sprzeciwu sprawia, że</w:t>
            </w:r>
          </w:p>
          <w:p w14:paraId="28BF7DB7" w14:textId="77777777" w:rsidR="002244D3" w:rsidRPr="0055038E" w:rsidRDefault="002244D3" w:rsidP="002244D3">
            <w:pPr>
              <w:rPr>
                <w:rFonts w:ascii="Calibri" w:hAnsi="Calibri" w:cs="Calibri"/>
                <w:sz w:val="22"/>
              </w:rPr>
            </w:pPr>
            <w:r w:rsidRPr="0055038E">
              <w:rPr>
                <w:rFonts w:ascii="Calibri" w:hAnsi="Calibri" w:cs="Calibri"/>
                <w:sz w:val="22"/>
              </w:rPr>
              <w:t>planowanie przestrzenne w gminie staje się</w:t>
            </w:r>
          </w:p>
          <w:p w14:paraId="5546ACA0" w14:textId="77777777" w:rsidR="002244D3" w:rsidRPr="0055038E" w:rsidRDefault="002244D3" w:rsidP="002244D3">
            <w:pPr>
              <w:rPr>
                <w:rFonts w:ascii="Calibri" w:hAnsi="Calibri" w:cs="Calibri"/>
                <w:sz w:val="22"/>
              </w:rPr>
            </w:pPr>
            <w:r w:rsidRPr="0055038E">
              <w:rPr>
                <w:rFonts w:ascii="Calibri" w:hAnsi="Calibri" w:cs="Calibri"/>
                <w:sz w:val="22"/>
              </w:rPr>
              <w:t>iluzoryczne, gdyż poczynione ustalenia w mpzp</w:t>
            </w:r>
          </w:p>
          <w:p w14:paraId="13594A1F" w14:textId="77777777" w:rsidR="002244D3" w:rsidRPr="0055038E" w:rsidRDefault="002244D3" w:rsidP="002244D3">
            <w:pPr>
              <w:rPr>
                <w:rFonts w:ascii="Calibri" w:hAnsi="Calibri" w:cs="Calibri"/>
                <w:sz w:val="22"/>
              </w:rPr>
            </w:pPr>
            <w:r w:rsidRPr="0055038E">
              <w:rPr>
                <w:rFonts w:ascii="Calibri" w:hAnsi="Calibri" w:cs="Calibri"/>
                <w:sz w:val="22"/>
              </w:rPr>
              <w:t xml:space="preserve">mogą nie być uwzględnione w rzeczywistości </w:t>
            </w:r>
            <w:r w:rsidRPr="0055038E">
              <w:rPr>
                <w:rFonts w:ascii="Calibri" w:hAnsi="Calibri" w:cs="Calibri"/>
                <w:sz w:val="22"/>
              </w:rPr>
              <w:br/>
              <w:t>w sytuacji zgłoszenia budowy, o której mowa w art.</w:t>
            </w:r>
          </w:p>
          <w:p w14:paraId="637D527D" w14:textId="77777777" w:rsidR="002244D3" w:rsidRPr="0055038E" w:rsidRDefault="002244D3" w:rsidP="002244D3">
            <w:pPr>
              <w:rPr>
                <w:rFonts w:ascii="Calibri" w:hAnsi="Calibri" w:cs="Calibri"/>
                <w:sz w:val="22"/>
              </w:rPr>
            </w:pPr>
            <w:r w:rsidRPr="0055038E">
              <w:rPr>
                <w:rFonts w:ascii="Calibri" w:hAnsi="Calibri" w:cs="Calibri"/>
                <w:sz w:val="22"/>
              </w:rPr>
              <w:t>29 ust. 1 pkt 1b.</w:t>
            </w:r>
          </w:p>
          <w:p w14:paraId="59D26D56" w14:textId="77777777" w:rsidR="002244D3" w:rsidRPr="0055038E" w:rsidRDefault="002244D3" w:rsidP="002244D3">
            <w:pPr>
              <w:rPr>
                <w:rFonts w:ascii="Calibri" w:hAnsi="Calibri" w:cs="Calibri"/>
                <w:sz w:val="22"/>
              </w:rPr>
            </w:pPr>
          </w:p>
          <w:p w14:paraId="78B9539B" w14:textId="77777777" w:rsidR="002244D3" w:rsidRPr="0055038E" w:rsidRDefault="002244D3" w:rsidP="002244D3">
            <w:pPr>
              <w:rPr>
                <w:rFonts w:ascii="Calibri" w:hAnsi="Calibri" w:cs="Calibri"/>
                <w:sz w:val="22"/>
              </w:rPr>
            </w:pPr>
            <w:r w:rsidRPr="0055038E">
              <w:rPr>
                <w:rFonts w:ascii="Calibri" w:hAnsi="Calibri" w:cs="Calibri"/>
                <w:sz w:val="22"/>
              </w:rPr>
              <w:t>W ten sposób wymyka się spod kontroli organu</w:t>
            </w:r>
          </w:p>
          <w:p w14:paraId="78C95991" w14:textId="77777777" w:rsidR="002244D3" w:rsidRPr="0055038E" w:rsidRDefault="002244D3" w:rsidP="002244D3">
            <w:pPr>
              <w:rPr>
                <w:rFonts w:ascii="Calibri" w:hAnsi="Calibri" w:cs="Calibri"/>
                <w:sz w:val="22"/>
              </w:rPr>
            </w:pPr>
            <w:r w:rsidRPr="0055038E">
              <w:rPr>
                <w:rFonts w:ascii="Calibri" w:hAnsi="Calibri" w:cs="Calibri"/>
                <w:sz w:val="22"/>
              </w:rPr>
              <w:t xml:space="preserve">sytuowanie budynków o znacznej powierzchni (od </w:t>
            </w:r>
            <w:r w:rsidRPr="0055038E">
              <w:rPr>
                <w:rFonts w:ascii="Calibri" w:hAnsi="Calibri" w:cs="Calibri"/>
                <w:sz w:val="22"/>
              </w:rPr>
              <w:br/>
              <w:t>70 m² bez wskazania górnej granicy pow.) na działkach innych niż budowlane, np. rolnych, na gruntach, które nie zostały wyłączone z produkcji czy w ogóle nie są</w:t>
            </w:r>
          </w:p>
          <w:p w14:paraId="5F7DFE0B" w14:textId="77777777" w:rsidR="002244D3" w:rsidRPr="0055038E" w:rsidRDefault="002244D3" w:rsidP="002244D3">
            <w:pPr>
              <w:rPr>
                <w:rFonts w:ascii="Calibri" w:hAnsi="Calibri" w:cs="Calibri"/>
                <w:sz w:val="22"/>
              </w:rPr>
            </w:pPr>
            <w:r w:rsidRPr="0055038E">
              <w:rPr>
                <w:rFonts w:ascii="Calibri" w:hAnsi="Calibri" w:cs="Calibri"/>
                <w:sz w:val="22"/>
              </w:rPr>
              <w:t>przeznaczone na cele nierolnicze w mpzp, gdyż</w:t>
            </w:r>
          </w:p>
          <w:p w14:paraId="7F87DB43" w14:textId="77777777" w:rsidR="002244D3" w:rsidRPr="0055038E" w:rsidRDefault="002244D3" w:rsidP="002244D3">
            <w:pPr>
              <w:rPr>
                <w:rFonts w:ascii="Calibri" w:hAnsi="Calibri" w:cs="Calibri"/>
                <w:sz w:val="22"/>
              </w:rPr>
            </w:pPr>
            <w:r w:rsidRPr="0055038E">
              <w:rPr>
                <w:rFonts w:ascii="Calibri" w:hAnsi="Calibri" w:cs="Calibri"/>
                <w:sz w:val="22"/>
              </w:rPr>
              <w:t>zgodności z planem organ również nie bada. Takie</w:t>
            </w:r>
          </w:p>
          <w:p w14:paraId="19F38F6E" w14:textId="77777777" w:rsidR="002244D3" w:rsidRPr="0055038E" w:rsidRDefault="002244D3" w:rsidP="002244D3">
            <w:pPr>
              <w:rPr>
                <w:rFonts w:ascii="Calibri" w:hAnsi="Calibri" w:cs="Calibri"/>
                <w:sz w:val="22"/>
              </w:rPr>
            </w:pPr>
            <w:r w:rsidRPr="0055038E">
              <w:rPr>
                <w:rFonts w:ascii="Calibri" w:hAnsi="Calibri" w:cs="Calibri"/>
                <w:sz w:val="22"/>
              </w:rPr>
              <w:t>niesprawdzone, nielegalne inwestycje wprowadzą</w:t>
            </w:r>
          </w:p>
          <w:p w14:paraId="2FD22CA1" w14:textId="77777777" w:rsidR="002244D3" w:rsidRPr="0055038E" w:rsidRDefault="002244D3" w:rsidP="002244D3">
            <w:pPr>
              <w:rPr>
                <w:rFonts w:ascii="Calibri" w:hAnsi="Calibri" w:cs="Calibri"/>
                <w:sz w:val="22"/>
              </w:rPr>
            </w:pPr>
            <w:r w:rsidRPr="0055038E">
              <w:rPr>
                <w:rFonts w:ascii="Calibri" w:hAnsi="Calibri" w:cs="Calibri"/>
                <w:sz w:val="22"/>
              </w:rPr>
              <w:t>chaos i nieład przestrzenny.</w:t>
            </w:r>
          </w:p>
          <w:p w14:paraId="2D06E2C6" w14:textId="77777777" w:rsidR="002244D3" w:rsidRPr="0055038E" w:rsidRDefault="002244D3" w:rsidP="002244D3">
            <w:pPr>
              <w:rPr>
                <w:rFonts w:ascii="Calibri" w:hAnsi="Calibri" w:cs="Calibri"/>
                <w:sz w:val="22"/>
              </w:rPr>
            </w:pPr>
          </w:p>
          <w:p w14:paraId="7C3687F0" w14:textId="77777777" w:rsidR="002244D3" w:rsidRPr="0055038E" w:rsidRDefault="002244D3" w:rsidP="002244D3">
            <w:pPr>
              <w:rPr>
                <w:rFonts w:ascii="Calibri" w:hAnsi="Calibri" w:cs="Calibri"/>
                <w:sz w:val="22"/>
              </w:rPr>
            </w:pPr>
            <w:r w:rsidRPr="0055038E">
              <w:rPr>
                <w:rFonts w:ascii="Calibri" w:hAnsi="Calibri" w:cs="Calibri"/>
                <w:sz w:val="22"/>
              </w:rPr>
              <w:t>W związku z powyższym wyłączenie możliwości</w:t>
            </w:r>
          </w:p>
          <w:p w14:paraId="530A035D" w14:textId="77777777" w:rsidR="002244D3" w:rsidRPr="0055038E" w:rsidRDefault="002244D3" w:rsidP="002244D3">
            <w:pPr>
              <w:rPr>
                <w:rFonts w:ascii="Calibri" w:hAnsi="Calibri" w:cs="Calibri"/>
                <w:sz w:val="22"/>
              </w:rPr>
            </w:pPr>
            <w:r w:rsidRPr="0055038E">
              <w:rPr>
                <w:rFonts w:ascii="Calibri" w:hAnsi="Calibri" w:cs="Calibri"/>
                <w:sz w:val="22"/>
              </w:rPr>
              <w:lastRenderedPageBreak/>
              <w:t>sprzeciwu organu administracji architektoniczno-budowlanej</w:t>
            </w:r>
            <w:r>
              <w:rPr>
                <w:rFonts w:ascii="Calibri" w:hAnsi="Calibri" w:cs="Calibri"/>
                <w:sz w:val="22"/>
              </w:rPr>
              <w:t xml:space="preserve"> </w:t>
            </w:r>
            <w:r w:rsidRPr="0055038E">
              <w:rPr>
                <w:rFonts w:ascii="Calibri" w:hAnsi="Calibri" w:cs="Calibri"/>
                <w:sz w:val="22"/>
              </w:rPr>
              <w:t>do zgłoszenia budowy budynku</w:t>
            </w:r>
          </w:p>
          <w:p w14:paraId="422FE652" w14:textId="77777777" w:rsidR="002244D3" w:rsidRPr="0055038E" w:rsidRDefault="002244D3" w:rsidP="002244D3">
            <w:pPr>
              <w:rPr>
                <w:rFonts w:ascii="Calibri" w:hAnsi="Calibri" w:cs="Calibri"/>
                <w:sz w:val="22"/>
              </w:rPr>
            </w:pPr>
            <w:r w:rsidRPr="0055038E">
              <w:rPr>
                <w:rFonts w:ascii="Calibri" w:hAnsi="Calibri" w:cs="Calibri"/>
                <w:sz w:val="22"/>
              </w:rPr>
              <w:t>mieszkalnego jednorodzinnego dla zaspokojenia</w:t>
            </w:r>
          </w:p>
          <w:p w14:paraId="42A3A1F8" w14:textId="77777777" w:rsidR="002244D3" w:rsidRPr="0055038E" w:rsidRDefault="002244D3" w:rsidP="002244D3">
            <w:pPr>
              <w:rPr>
                <w:rFonts w:ascii="Calibri" w:hAnsi="Calibri" w:cs="Calibri"/>
                <w:sz w:val="22"/>
              </w:rPr>
            </w:pPr>
            <w:r w:rsidRPr="0055038E">
              <w:rPr>
                <w:rFonts w:ascii="Calibri" w:hAnsi="Calibri" w:cs="Calibri"/>
                <w:sz w:val="22"/>
              </w:rPr>
              <w:t>własnych potrzeb mieszkaniowych inwestora</w:t>
            </w:r>
          </w:p>
          <w:p w14:paraId="1A897A31" w14:textId="77777777" w:rsidR="002244D3" w:rsidRPr="0055038E" w:rsidRDefault="002244D3" w:rsidP="002244D3">
            <w:pPr>
              <w:rPr>
                <w:rFonts w:ascii="Calibri" w:hAnsi="Calibri" w:cs="Calibri"/>
                <w:sz w:val="22"/>
              </w:rPr>
            </w:pPr>
            <w:r w:rsidRPr="0055038E">
              <w:rPr>
                <w:rFonts w:ascii="Calibri" w:hAnsi="Calibri" w:cs="Calibri"/>
                <w:sz w:val="22"/>
              </w:rPr>
              <w:t>powyżej70 m², nie znajduje</w:t>
            </w:r>
          </w:p>
          <w:p w14:paraId="27216E23" w14:textId="77777777" w:rsidR="002244D3" w:rsidRPr="0055038E" w:rsidRDefault="002244D3" w:rsidP="002244D3">
            <w:pPr>
              <w:rPr>
                <w:rFonts w:ascii="Calibri" w:hAnsi="Calibri" w:cs="Calibri"/>
                <w:sz w:val="22"/>
              </w:rPr>
            </w:pPr>
            <w:r w:rsidRPr="0055038E">
              <w:rPr>
                <w:rFonts w:ascii="Calibri" w:hAnsi="Calibri" w:cs="Calibri"/>
                <w:sz w:val="22"/>
              </w:rPr>
              <w:t>uzasadnienia i może spowodować więcej szkód</w:t>
            </w:r>
          </w:p>
          <w:p w14:paraId="488B015E" w14:textId="77777777" w:rsidR="002244D3" w:rsidRPr="0055038E" w:rsidRDefault="002244D3" w:rsidP="002244D3">
            <w:pPr>
              <w:rPr>
                <w:rFonts w:ascii="Calibri" w:hAnsi="Calibri" w:cs="Calibri"/>
                <w:sz w:val="22"/>
              </w:rPr>
            </w:pPr>
            <w:r w:rsidRPr="0055038E">
              <w:rPr>
                <w:rFonts w:ascii="Calibri" w:hAnsi="Calibri" w:cs="Calibri"/>
                <w:sz w:val="22"/>
              </w:rPr>
              <w:t>niż domniemanych korzyści, związanych z</w:t>
            </w:r>
          </w:p>
          <w:p w14:paraId="17C04606" w14:textId="77777777" w:rsidR="002244D3" w:rsidRPr="0055038E" w:rsidRDefault="002244D3" w:rsidP="002244D3">
            <w:pPr>
              <w:rPr>
                <w:rFonts w:ascii="Calibri" w:hAnsi="Calibri" w:cs="Calibri"/>
                <w:sz w:val="22"/>
              </w:rPr>
            </w:pPr>
            <w:r w:rsidRPr="0055038E">
              <w:rPr>
                <w:rFonts w:ascii="Calibri" w:hAnsi="Calibri" w:cs="Calibri"/>
                <w:sz w:val="22"/>
              </w:rPr>
              <w:t>przyśpieszeniem procesu inwestycyjnego.</w:t>
            </w:r>
          </w:p>
          <w:p w14:paraId="464B039C" w14:textId="77777777" w:rsidR="002244D3" w:rsidRDefault="002244D3" w:rsidP="002244D3">
            <w:pPr>
              <w:rPr>
                <w:rFonts w:ascii="Calibri" w:hAnsi="Calibri" w:cs="Calibri"/>
                <w:sz w:val="22"/>
              </w:rPr>
            </w:pPr>
            <w:r w:rsidRPr="0055038E">
              <w:rPr>
                <w:rFonts w:ascii="Calibri" w:hAnsi="Calibri" w:cs="Calibri"/>
                <w:sz w:val="22"/>
              </w:rPr>
              <w:t>W ocenie MRiRW przepis proponowany przepis art. 1 pkt 12</w:t>
            </w:r>
            <w:r>
              <w:rPr>
                <w:rFonts w:ascii="Calibri" w:hAnsi="Calibri" w:cs="Calibri"/>
                <w:sz w:val="22"/>
              </w:rPr>
              <w:t xml:space="preserve"> </w:t>
            </w:r>
            <w:r w:rsidRPr="0055038E">
              <w:rPr>
                <w:rFonts w:ascii="Calibri" w:hAnsi="Calibri" w:cs="Calibri"/>
                <w:sz w:val="22"/>
              </w:rPr>
              <w:t>lit. g powinien zostać wykreślony.</w:t>
            </w:r>
          </w:p>
          <w:p w14:paraId="7EE21CFD" w14:textId="77777777" w:rsidR="002244D3" w:rsidRPr="00E66064" w:rsidRDefault="002244D3" w:rsidP="002244D3">
            <w:pPr>
              <w:rPr>
                <w:rFonts w:cs="Arial"/>
                <w:sz w:val="20"/>
                <w:szCs w:val="20"/>
              </w:rPr>
            </w:pPr>
          </w:p>
        </w:tc>
        <w:tc>
          <w:tcPr>
            <w:tcW w:w="3998" w:type="dxa"/>
          </w:tcPr>
          <w:p w14:paraId="437F1EBB" w14:textId="3AF69DD0" w:rsidR="002244D3" w:rsidRPr="00E66064" w:rsidRDefault="002244D3" w:rsidP="002244D3">
            <w:pPr>
              <w:spacing w:before="0" w:after="120"/>
              <w:contextualSpacing/>
              <w:rPr>
                <w:rFonts w:cs="Arial"/>
                <w:b/>
                <w:sz w:val="20"/>
                <w:szCs w:val="20"/>
              </w:rPr>
            </w:pPr>
            <w:r w:rsidRPr="00B37D6D">
              <w:rPr>
                <w:rFonts w:cs="Arial"/>
                <w:b/>
                <w:sz w:val="20"/>
                <w:szCs w:val="20"/>
              </w:rPr>
              <w:lastRenderedPageBreak/>
              <w:t xml:space="preserve">Uwaga </w:t>
            </w:r>
            <w:r w:rsidR="00F0759F">
              <w:rPr>
                <w:rFonts w:cs="Arial"/>
                <w:b/>
                <w:sz w:val="20"/>
                <w:szCs w:val="20"/>
              </w:rPr>
              <w:t xml:space="preserve">znajduje się </w:t>
            </w:r>
            <w:r w:rsidRPr="00B37D6D">
              <w:rPr>
                <w:rFonts w:cs="Arial"/>
                <w:b/>
                <w:sz w:val="20"/>
                <w:szCs w:val="20"/>
              </w:rPr>
              <w:t>poza zakresem właściwości KRMC.</w:t>
            </w:r>
          </w:p>
        </w:tc>
      </w:tr>
    </w:tbl>
    <w:p w14:paraId="23A72CCB" w14:textId="77777777" w:rsidR="00B363EE" w:rsidRPr="00E66064" w:rsidRDefault="00B363EE" w:rsidP="00E66064">
      <w:pPr>
        <w:spacing w:before="0" w:after="120"/>
        <w:contextualSpacing/>
        <w:rPr>
          <w:rFonts w:cs="Arial"/>
          <w:sz w:val="20"/>
          <w:szCs w:val="20"/>
        </w:rPr>
      </w:pPr>
    </w:p>
    <w:sectPr w:rsidR="00B363EE" w:rsidRPr="00E66064" w:rsidSect="007D7E3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BA123" w14:textId="77777777" w:rsidR="00F14A0B" w:rsidRDefault="00F14A0B" w:rsidP="009D7CC8">
      <w:pPr>
        <w:spacing w:before="0"/>
      </w:pPr>
      <w:r>
        <w:separator/>
      </w:r>
    </w:p>
  </w:endnote>
  <w:endnote w:type="continuationSeparator" w:id="0">
    <w:p w14:paraId="7E21EA7A" w14:textId="77777777" w:rsidR="00F14A0B" w:rsidRDefault="00F14A0B" w:rsidP="009D7C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7B49F" w14:textId="77777777" w:rsidR="00F14A0B" w:rsidRDefault="00F14A0B" w:rsidP="009D7CC8">
      <w:pPr>
        <w:spacing w:before="0"/>
      </w:pPr>
      <w:r>
        <w:separator/>
      </w:r>
    </w:p>
  </w:footnote>
  <w:footnote w:type="continuationSeparator" w:id="0">
    <w:p w14:paraId="18BC689B" w14:textId="77777777" w:rsidR="00F14A0B" w:rsidRDefault="00F14A0B" w:rsidP="009D7CC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14FD6158"/>
    <w:multiLevelType w:val="multilevel"/>
    <w:tmpl w:val="F14CA8A6"/>
    <w:lvl w:ilvl="0">
      <w:start w:val="1"/>
      <w:numFmt w:val="upperRoman"/>
      <w:suff w:val="space"/>
      <w:lvlText w:val="%1."/>
      <w:lvlJc w:val="righ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0A22AD"/>
    <w:multiLevelType w:val="hybridMultilevel"/>
    <w:tmpl w:val="FB5A6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299005">
    <w:abstractNumId w:val="2"/>
  </w:num>
  <w:num w:numId="2" w16cid:durableId="175048223">
    <w:abstractNumId w:val="4"/>
  </w:num>
  <w:num w:numId="3" w16cid:durableId="1786996980">
    <w:abstractNumId w:val="0"/>
  </w:num>
  <w:num w:numId="4" w16cid:durableId="175586211">
    <w:abstractNumId w:val="0"/>
  </w:num>
  <w:num w:numId="5" w16cid:durableId="1989821585">
    <w:abstractNumId w:val="1"/>
  </w:num>
  <w:num w:numId="6" w16cid:durableId="773326067">
    <w:abstractNumId w:val="5"/>
  </w:num>
  <w:num w:numId="7" w16cid:durableId="18940770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95E"/>
    <w:rsid w:val="00003596"/>
    <w:rsid w:val="00011D93"/>
    <w:rsid w:val="000712C1"/>
    <w:rsid w:val="00075155"/>
    <w:rsid w:val="00076EBE"/>
    <w:rsid w:val="00087B7E"/>
    <w:rsid w:val="00096EFB"/>
    <w:rsid w:val="000A03AA"/>
    <w:rsid w:val="000B4C79"/>
    <w:rsid w:val="000B5D3B"/>
    <w:rsid w:val="000C7589"/>
    <w:rsid w:val="000E2104"/>
    <w:rsid w:val="000E606D"/>
    <w:rsid w:val="00100D63"/>
    <w:rsid w:val="001014E5"/>
    <w:rsid w:val="001234F3"/>
    <w:rsid w:val="001264CF"/>
    <w:rsid w:val="00145417"/>
    <w:rsid w:val="00150836"/>
    <w:rsid w:val="00156AFE"/>
    <w:rsid w:val="001603C6"/>
    <w:rsid w:val="001728C2"/>
    <w:rsid w:val="001854E1"/>
    <w:rsid w:val="001B30C4"/>
    <w:rsid w:val="001B43E3"/>
    <w:rsid w:val="001C1C54"/>
    <w:rsid w:val="001D1E8C"/>
    <w:rsid w:val="001E2AAF"/>
    <w:rsid w:val="001F2589"/>
    <w:rsid w:val="001F40FD"/>
    <w:rsid w:val="001F4290"/>
    <w:rsid w:val="002151D4"/>
    <w:rsid w:val="002244D3"/>
    <w:rsid w:val="00226CBD"/>
    <w:rsid w:val="00233999"/>
    <w:rsid w:val="00241066"/>
    <w:rsid w:val="002502CE"/>
    <w:rsid w:val="0025610A"/>
    <w:rsid w:val="00262B2C"/>
    <w:rsid w:val="00263BEA"/>
    <w:rsid w:val="00266D41"/>
    <w:rsid w:val="002776D4"/>
    <w:rsid w:val="002B0BF3"/>
    <w:rsid w:val="002B6085"/>
    <w:rsid w:val="00311510"/>
    <w:rsid w:val="003428D0"/>
    <w:rsid w:val="00347549"/>
    <w:rsid w:val="003538A6"/>
    <w:rsid w:val="00360690"/>
    <w:rsid w:val="00360713"/>
    <w:rsid w:val="0039415E"/>
    <w:rsid w:val="003C3073"/>
    <w:rsid w:val="003C3125"/>
    <w:rsid w:val="003C7C03"/>
    <w:rsid w:val="003D2ACA"/>
    <w:rsid w:val="003D39DE"/>
    <w:rsid w:val="003D516E"/>
    <w:rsid w:val="003E0788"/>
    <w:rsid w:val="00424AC5"/>
    <w:rsid w:val="00470409"/>
    <w:rsid w:val="004748C6"/>
    <w:rsid w:val="0048728A"/>
    <w:rsid w:val="00491E41"/>
    <w:rsid w:val="004A0227"/>
    <w:rsid w:val="004B7E26"/>
    <w:rsid w:val="004F4CF5"/>
    <w:rsid w:val="004F7438"/>
    <w:rsid w:val="00510514"/>
    <w:rsid w:val="0051076F"/>
    <w:rsid w:val="00515307"/>
    <w:rsid w:val="00520AC4"/>
    <w:rsid w:val="00531543"/>
    <w:rsid w:val="00532FAD"/>
    <w:rsid w:val="0056051B"/>
    <w:rsid w:val="005673F7"/>
    <w:rsid w:val="00573114"/>
    <w:rsid w:val="00585599"/>
    <w:rsid w:val="005C2676"/>
    <w:rsid w:val="005D4BA2"/>
    <w:rsid w:val="005F24D7"/>
    <w:rsid w:val="005F3F09"/>
    <w:rsid w:val="00600490"/>
    <w:rsid w:val="00613CDA"/>
    <w:rsid w:val="00626B5D"/>
    <w:rsid w:val="00631A43"/>
    <w:rsid w:val="00634B2E"/>
    <w:rsid w:val="00647D08"/>
    <w:rsid w:val="00651DCE"/>
    <w:rsid w:val="00656570"/>
    <w:rsid w:val="006612F8"/>
    <w:rsid w:val="00671B93"/>
    <w:rsid w:val="00684A61"/>
    <w:rsid w:val="00691CC1"/>
    <w:rsid w:val="006961A5"/>
    <w:rsid w:val="006C18C7"/>
    <w:rsid w:val="006C6D56"/>
    <w:rsid w:val="006D3A11"/>
    <w:rsid w:val="006D6F9E"/>
    <w:rsid w:val="006D7B42"/>
    <w:rsid w:val="006E4EB4"/>
    <w:rsid w:val="0070501A"/>
    <w:rsid w:val="0071194D"/>
    <w:rsid w:val="0071228F"/>
    <w:rsid w:val="007124B4"/>
    <w:rsid w:val="00714196"/>
    <w:rsid w:val="007159C3"/>
    <w:rsid w:val="00717C6F"/>
    <w:rsid w:val="007224FA"/>
    <w:rsid w:val="00723B96"/>
    <w:rsid w:val="00741A84"/>
    <w:rsid w:val="00746CFC"/>
    <w:rsid w:val="007510FA"/>
    <w:rsid w:val="00761799"/>
    <w:rsid w:val="00771BB2"/>
    <w:rsid w:val="00796FB8"/>
    <w:rsid w:val="007A1B84"/>
    <w:rsid w:val="007C2ED7"/>
    <w:rsid w:val="007D03CC"/>
    <w:rsid w:val="007D7E3D"/>
    <w:rsid w:val="007F25B7"/>
    <w:rsid w:val="007F66D8"/>
    <w:rsid w:val="00800C85"/>
    <w:rsid w:val="00801B06"/>
    <w:rsid w:val="008110B9"/>
    <w:rsid w:val="00821692"/>
    <w:rsid w:val="00826EE1"/>
    <w:rsid w:val="00841053"/>
    <w:rsid w:val="00854155"/>
    <w:rsid w:val="008656B5"/>
    <w:rsid w:val="008667D6"/>
    <w:rsid w:val="0087311A"/>
    <w:rsid w:val="008857FF"/>
    <w:rsid w:val="008867A2"/>
    <w:rsid w:val="00891883"/>
    <w:rsid w:val="008B2AA0"/>
    <w:rsid w:val="008B489A"/>
    <w:rsid w:val="008E7F26"/>
    <w:rsid w:val="008F7302"/>
    <w:rsid w:val="0092581F"/>
    <w:rsid w:val="009300D5"/>
    <w:rsid w:val="00942B29"/>
    <w:rsid w:val="00955183"/>
    <w:rsid w:val="009649E8"/>
    <w:rsid w:val="009A4219"/>
    <w:rsid w:val="009B6393"/>
    <w:rsid w:val="009C2482"/>
    <w:rsid w:val="009C6649"/>
    <w:rsid w:val="009C67D8"/>
    <w:rsid w:val="009C7A5E"/>
    <w:rsid w:val="009D5F58"/>
    <w:rsid w:val="009D6604"/>
    <w:rsid w:val="009D7CC8"/>
    <w:rsid w:val="009E705B"/>
    <w:rsid w:val="009F01E2"/>
    <w:rsid w:val="00A0748E"/>
    <w:rsid w:val="00A11371"/>
    <w:rsid w:val="00A22924"/>
    <w:rsid w:val="00A42099"/>
    <w:rsid w:val="00A5195E"/>
    <w:rsid w:val="00A57109"/>
    <w:rsid w:val="00A61245"/>
    <w:rsid w:val="00A622D3"/>
    <w:rsid w:val="00A63688"/>
    <w:rsid w:val="00A74B77"/>
    <w:rsid w:val="00A82084"/>
    <w:rsid w:val="00A83C31"/>
    <w:rsid w:val="00AC7F6C"/>
    <w:rsid w:val="00AD3ED0"/>
    <w:rsid w:val="00B12315"/>
    <w:rsid w:val="00B136EF"/>
    <w:rsid w:val="00B1697B"/>
    <w:rsid w:val="00B337F0"/>
    <w:rsid w:val="00B363EE"/>
    <w:rsid w:val="00B37D6D"/>
    <w:rsid w:val="00B6152D"/>
    <w:rsid w:val="00B62EB2"/>
    <w:rsid w:val="00B74EEE"/>
    <w:rsid w:val="00B93D97"/>
    <w:rsid w:val="00B95231"/>
    <w:rsid w:val="00B96C91"/>
    <w:rsid w:val="00BA2D07"/>
    <w:rsid w:val="00BB0C5C"/>
    <w:rsid w:val="00BD2844"/>
    <w:rsid w:val="00BF2849"/>
    <w:rsid w:val="00BF77D9"/>
    <w:rsid w:val="00C12A34"/>
    <w:rsid w:val="00C40C5D"/>
    <w:rsid w:val="00C41451"/>
    <w:rsid w:val="00C76F7F"/>
    <w:rsid w:val="00C802A8"/>
    <w:rsid w:val="00C9413F"/>
    <w:rsid w:val="00CB35EC"/>
    <w:rsid w:val="00CB4261"/>
    <w:rsid w:val="00CB4771"/>
    <w:rsid w:val="00CC16FE"/>
    <w:rsid w:val="00CC2D6F"/>
    <w:rsid w:val="00CE12CD"/>
    <w:rsid w:val="00CE238E"/>
    <w:rsid w:val="00CE4BD9"/>
    <w:rsid w:val="00D01B9D"/>
    <w:rsid w:val="00D05A9F"/>
    <w:rsid w:val="00D106EC"/>
    <w:rsid w:val="00D115E2"/>
    <w:rsid w:val="00D14577"/>
    <w:rsid w:val="00DC3C92"/>
    <w:rsid w:val="00DC3D21"/>
    <w:rsid w:val="00DC5AC8"/>
    <w:rsid w:val="00DC765A"/>
    <w:rsid w:val="00DE1B21"/>
    <w:rsid w:val="00DE25C7"/>
    <w:rsid w:val="00DE266E"/>
    <w:rsid w:val="00DE474D"/>
    <w:rsid w:val="00DF3219"/>
    <w:rsid w:val="00DF5675"/>
    <w:rsid w:val="00E02B91"/>
    <w:rsid w:val="00E14EF5"/>
    <w:rsid w:val="00E35889"/>
    <w:rsid w:val="00E46995"/>
    <w:rsid w:val="00E57A68"/>
    <w:rsid w:val="00E66064"/>
    <w:rsid w:val="00E678DD"/>
    <w:rsid w:val="00E74F3F"/>
    <w:rsid w:val="00EA5C3C"/>
    <w:rsid w:val="00EB0AD5"/>
    <w:rsid w:val="00EB37F6"/>
    <w:rsid w:val="00ED4815"/>
    <w:rsid w:val="00EE1EAE"/>
    <w:rsid w:val="00EE5267"/>
    <w:rsid w:val="00EF0F77"/>
    <w:rsid w:val="00EF4B9B"/>
    <w:rsid w:val="00EF7D88"/>
    <w:rsid w:val="00F0759F"/>
    <w:rsid w:val="00F14A0B"/>
    <w:rsid w:val="00F401D9"/>
    <w:rsid w:val="00F428A4"/>
    <w:rsid w:val="00F5367B"/>
    <w:rsid w:val="00F66D7A"/>
    <w:rsid w:val="00F82849"/>
    <w:rsid w:val="00F913C5"/>
    <w:rsid w:val="00F94457"/>
    <w:rsid w:val="00FB2400"/>
    <w:rsid w:val="00FC50D6"/>
    <w:rsid w:val="00FD0B2D"/>
    <w:rsid w:val="00FD6713"/>
    <w:rsid w:val="00FD7865"/>
    <w:rsid w:val="00FE7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66FCB"/>
  <w15:docId w15:val="{F9B1A032-9E9F-4DAB-A8AB-A9D6D34A4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0AC4"/>
    <w:pPr>
      <w:spacing w:before="120" w:after="0" w:line="240" w:lineRule="auto"/>
      <w:jc w:val="both"/>
    </w:pPr>
    <w:rPr>
      <w:rFonts w:ascii="Arial" w:hAnsi="Arial"/>
      <w:sz w:val="24"/>
    </w:rPr>
  </w:style>
  <w:style w:type="paragraph" w:styleId="Nagwek1">
    <w:name w:val="heading 1"/>
    <w:basedOn w:val="Normalny"/>
    <w:next w:val="Normalny"/>
    <w:link w:val="Nagwek1Znak"/>
    <w:uiPriority w:val="9"/>
    <w:qFormat/>
    <w:rsid w:val="00741A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styleId="Tekstprzypisukocowego">
    <w:name w:val="endnote text"/>
    <w:basedOn w:val="Normalny"/>
    <w:link w:val="TekstprzypisukocowegoZnak"/>
    <w:uiPriority w:val="99"/>
    <w:semiHidden/>
    <w:unhideWhenUsed/>
    <w:rsid w:val="009D7CC8"/>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9D7CC8"/>
    <w:rPr>
      <w:rFonts w:ascii="Arial" w:hAnsi="Arial"/>
      <w:sz w:val="20"/>
      <w:szCs w:val="20"/>
    </w:rPr>
  </w:style>
  <w:style w:type="character" w:styleId="Odwoanieprzypisukocowego">
    <w:name w:val="endnote reference"/>
    <w:basedOn w:val="Domylnaczcionkaakapitu"/>
    <w:uiPriority w:val="99"/>
    <w:semiHidden/>
    <w:unhideWhenUsed/>
    <w:rsid w:val="009D7CC8"/>
    <w:rPr>
      <w:vertAlign w:val="superscript"/>
    </w:rPr>
  </w:style>
  <w:style w:type="character" w:customStyle="1" w:styleId="Nagwek1Znak">
    <w:name w:val="Nagłówek 1 Znak"/>
    <w:basedOn w:val="Domylnaczcionkaakapitu"/>
    <w:link w:val="Nagwek1"/>
    <w:uiPriority w:val="9"/>
    <w:rsid w:val="00741A84"/>
    <w:rPr>
      <w:rFonts w:asciiTheme="majorHAnsi" w:eastAsiaTheme="majorEastAsia" w:hAnsiTheme="majorHAnsi" w:cstheme="majorBidi"/>
      <w:color w:val="2F5496" w:themeColor="accent1" w:themeShade="BF"/>
      <w:sz w:val="32"/>
      <w:szCs w:val="32"/>
    </w:rPr>
  </w:style>
  <w:style w:type="paragraph" w:customStyle="1" w:styleId="PKTpunkt">
    <w:name w:val="PKT – punkt"/>
    <w:uiPriority w:val="13"/>
    <w:qFormat/>
    <w:rsid w:val="007F66D8"/>
    <w:pPr>
      <w:spacing w:after="0" w:line="360" w:lineRule="auto"/>
      <w:ind w:left="510" w:hanging="510"/>
      <w:jc w:val="both"/>
    </w:pPr>
    <w:rPr>
      <w:rFonts w:ascii="Times" w:eastAsiaTheme="minorEastAsia" w:hAnsi="Times" w:cs="Arial"/>
      <w:bCs/>
      <w:sz w:val="24"/>
      <w:szCs w:val="20"/>
      <w:lang w:eastAsia="pl-PL"/>
    </w:rPr>
  </w:style>
  <w:style w:type="character" w:styleId="Odwoaniedokomentarza">
    <w:name w:val="annotation reference"/>
    <w:basedOn w:val="Domylnaczcionkaakapitu"/>
    <w:uiPriority w:val="99"/>
    <w:semiHidden/>
    <w:unhideWhenUsed/>
    <w:rsid w:val="001E2AAF"/>
    <w:rPr>
      <w:sz w:val="16"/>
      <w:szCs w:val="16"/>
    </w:rPr>
  </w:style>
  <w:style w:type="paragraph" w:styleId="Tekstkomentarza">
    <w:name w:val="annotation text"/>
    <w:basedOn w:val="Normalny"/>
    <w:link w:val="TekstkomentarzaZnak"/>
    <w:uiPriority w:val="99"/>
    <w:unhideWhenUsed/>
    <w:rsid w:val="001E2AAF"/>
    <w:rPr>
      <w:sz w:val="20"/>
      <w:szCs w:val="20"/>
    </w:rPr>
  </w:style>
  <w:style w:type="character" w:customStyle="1" w:styleId="TekstkomentarzaZnak">
    <w:name w:val="Tekst komentarza Znak"/>
    <w:basedOn w:val="Domylnaczcionkaakapitu"/>
    <w:link w:val="Tekstkomentarza"/>
    <w:uiPriority w:val="99"/>
    <w:rsid w:val="001E2AAF"/>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1E2AAF"/>
    <w:rPr>
      <w:b/>
      <w:bCs/>
    </w:rPr>
  </w:style>
  <w:style w:type="character" w:customStyle="1" w:styleId="TematkomentarzaZnak">
    <w:name w:val="Temat komentarza Znak"/>
    <w:basedOn w:val="TekstkomentarzaZnak"/>
    <w:link w:val="Tematkomentarza"/>
    <w:uiPriority w:val="99"/>
    <w:semiHidden/>
    <w:rsid w:val="001E2AAF"/>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31993">
      <w:bodyDiv w:val="1"/>
      <w:marLeft w:val="0"/>
      <w:marRight w:val="0"/>
      <w:marTop w:val="0"/>
      <w:marBottom w:val="0"/>
      <w:divBdr>
        <w:top w:val="none" w:sz="0" w:space="0" w:color="auto"/>
        <w:left w:val="none" w:sz="0" w:space="0" w:color="auto"/>
        <w:bottom w:val="none" w:sz="0" w:space="0" w:color="auto"/>
        <w:right w:val="none" w:sz="0" w:space="0" w:color="auto"/>
      </w:divBdr>
    </w:div>
    <w:div w:id="2047483768">
      <w:bodyDiv w:val="1"/>
      <w:marLeft w:val="0"/>
      <w:marRight w:val="0"/>
      <w:marTop w:val="0"/>
      <w:marBottom w:val="0"/>
      <w:divBdr>
        <w:top w:val="none" w:sz="0" w:space="0" w:color="auto"/>
        <w:left w:val="none" w:sz="0" w:space="0" w:color="auto"/>
        <w:bottom w:val="none" w:sz="0" w:space="0" w:color="auto"/>
        <w:right w:val="none" w:sz="0" w:space="0" w:color="auto"/>
      </w:divBdr>
      <w:divsChild>
        <w:div w:id="1491408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D5D6E-7536-48CE-A01E-B24044545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6694</Words>
  <Characters>40165</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46766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Herman Anna</cp:lastModifiedBy>
  <cp:revision>6</cp:revision>
  <dcterms:created xsi:type="dcterms:W3CDTF">2022-12-01T12:16:00Z</dcterms:created>
  <dcterms:modified xsi:type="dcterms:W3CDTF">2022-12-02T11:49:00Z</dcterms:modified>
</cp:coreProperties>
</file>