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49" w:rsidRDefault="00455E43">
      <w:pPr>
        <w:spacing w:before="120" w:after="120"/>
        <w:ind w:right="71"/>
        <w:jc w:val="right"/>
        <w:rPr>
          <w:rFonts w:eastAsia="Verdana" w:cs="Verdana"/>
          <w:sz w:val="16"/>
          <w:szCs w:val="16"/>
        </w:rPr>
      </w:pPr>
      <w:bookmarkStart w:id="0" w:name="_Toc408390906"/>
      <w:bookmarkStart w:id="1" w:name="_GoBack"/>
      <w:bookmarkEnd w:id="1"/>
      <w:r>
        <w:rPr>
          <w:rFonts w:eastAsia="Verdana" w:cs="Verdana"/>
          <w:sz w:val="16"/>
          <w:szCs w:val="16"/>
        </w:rPr>
        <w:t>Załącznik do umowy</w:t>
      </w:r>
    </w:p>
    <w:p w:rsidR="00877049" w:rsidRDefault="003E20F1">
      <w:pPr>
        <w:spacing w:before="120" w:after="120"/>
        <w:ind w:right="71"/>
        <w:jc w:val="center"/>
        <w:rPr>
          <w:rFonts w:eastAsia="Verdana" w:cs="Verdana"/>
          <w:b/>
          <w:sz w:val="28"/>
          <w:szCs w:val="28"/>
        </w:rPr>
      </w:pPr>
      <w:r>
        <w:rPr>
          <w:rFonts w:eastAsia="Verdana" w:cs="Verdana"/>
          <w:b/>
          <w:sz w:val="28"/>
          <w:szCs w:val="28"/>
        </w:rPr>
        <w:t xml:space="preserve">GWARANCJA JAKOŚCI </w:t>
      </w:r>
      <w:bookmarkStart w:id="2" w:name="_Toc455047564"/>
      <w:bookmarkStart w:id="3" w:name="_Toc474314703"/>
    </w:p>
    <w:p w:rsidR="00877049" w:rsidRDefault="00877049">
      <w:pPr>
        <w:spacing w:before="120" w:after="120"/>
        <w:ind w:right="71"/>
        <w:jc w:val="center"/>
        <w:rPr>
          <w:rFonts w:eastAsia="Verdana" w:cs="Verdana"/>
          <w:sz w:val="28"/>
          <w:szCs w:val="28"/>
        </w:rPr>
      </w:pPr>
    </w:p>
    <w:p w:rsidR="00877049" w:rsidRDefault="003E20F1">
      <w:pPr>
        <w:pStyle w:val="Nagwek1"/>
        <w:numPr>
          <w:ilvl w:val="0"/>
          <w:numId w:val="30"/>
        </w:numPr>
        <w:ind w:left="426" w:hanging="426"/>
        <w:rPr>
          <w:rFonts w:eastAsia="Verdana"/>
          <w:kern w:val="0"/>
        </w:rPr>
      </w:pPr>
      <w:r>
        <w:rPr>
          <w:rFonts w:eastAsia="Verdana"/>
          <w:kern w:val="0"/>
        </w:rPr>
        <w:t>INFORMACJE WSTĘPNE</w:t>
      </w:r>
      <w:bookmarkEnd w:id="2"/>
      <w:bookmarkEnd w:id="3"/>
      <w:r>
        <w:rPr>
          <w:rFonts w:eastAsia="Verdana"/>
          <w:kern w:val="0"/>
        </w:rPr>
        <w:t xml:space="preserve"> </w:t>
      </w:r>
    </w:p>
    <w:p w:rsidR="00877049" w:rsidRDefault="003E20F1">
      <w:pPr>
        <w:ind w:left="567"/>
        <w:jc w:val="both"/>
        <w:rPr>
          <w:rFonts w:eastAsia="Times New Roman"/>
          <w:szCs w:val="24"/>
        </w:rPr>
      </w:pPr>
      <w:r>
        <w:rPr>
          <w:rFonts w:eastAsia="Verdana" w:cs="Verdana"/>
        </w:rPr>
        <w:t>Dotyczy w</w:t>
      </w:r>
      <w:r>
        <w:rPr>
          <w:rFonts w:eastAsia="Times New Roman"/>
          <w:szCs w:val="24"/>
        </w:rPr>
        <w:t xml:space="preserve">ykonania zadania: </w:t>
      </w:r>
    </w:p>
    <w:p w:rsidR="003533E0" w:rsidRDefault="0080435B" w:rsidP="0080435B">
      <w:pPr>
        <w:spacing w:before="120" w:after="120"/>
        <w:ind w:left="-5" w:right="63" w:hanging="10"/>
        <w:jc w:val="center"/>
        <w:rPr>
          <w:b/>
          <w:i/>
        </w:rPr>
      </w:pPr>
      <w:r w:rsidRPr="0080435B">
        <w:rPr>
          <w:b/>
          <w:i/>
        </w:rPr>
        <w:t>Wymiana drzwi wewnętrznych oraz r</w:t>
      </w:r>
      <w:r>
        <w:rPr>
          <w:b/>
          <w:i/>
        </w:rPr>
        <w:t xml:space="preserve">emont posadzki balkonu 3 piętra </w:t>
      </w:r>
      <w:r w:rsidRPr="0080435B">
        <w:rPr>
          <w:b/>
          <w:i/>
        </w:rPr>
        <w:t>w budynku Laboratorium drogowego oddziału GDDKiA w Rzeszowie  przy al. Rejtana 8a</w:t>
      </w:r>
    </w:p>
    <w:p w:rsidR="0080435B" w:rsidRPr="0080435B" w:rsidRDefault="0080435B" w:rsidP="0080435B">
      <w:pPr>
        <w:spacing w:before="120" w:after="120"/>
        <w:ind w:left="-5" w:right="63" w:hanging="10"/>
        <w:jc w:val="center"/>
        <w:rPr>
          <w:b/>
          <w:i/>
        </w:rPr>
      </w:pPr>
    </w:p>
    <w:p w:rsidR="00877049" w:rsidRDefault="003E20F1">
      <w:pPr>
        <w:spacing w:before="120" w:after="120"/>
        <w:ind w:left="-5" w:right="63" w:hanging="10"/>
        <w:jc w:val="both"/>
        <w:rPr>
          <w:rFonts w:eastAsia="Verdana" w:cs="Verdana"/>
        </w:rPr>
      </w:pPr>
      <w:r>
        <w:rPr>
          <w:rFonts w:eastAsia="Verdana" w:cs="Verdana"/>
        </w:rPr>
        <w:t xml:space="preserve">Umowa nr: ………………………………. </w:t>
      </w:r>
    </w:p>
    <w:p w:rsidR="00877049" w:rsidRDefault="00877049">
      <w:pPr>
        <w:spacing w:before="120" w:after="120"/>
        <w:rPr>
          <w:rFonts w:eastAsia="Verdana" w:cs="Verdana"/>
        </w:rPr>
      </w:pPr>
    </w:p>
    <w:p w:rsidR="00877049" w:rsidRDefault="003E20F1">
      <w:pPr>
        <w:spacing w:before="120" w:after="120"/>
        <w:ind w:left="-5" w:right="-2" w:hanging="10"/>
        <w:rPr>
          <w:rFonts w:eastAsia="Verdana" w:cs="Verdana"/>
        </w:rPr>
      </w:pPr>
      <w:r>
        <w:rPr>
          <w:rFonts w:eastAsia="Verdana" w:cs="Verdana"/>
        </w:rPr>
        <w:t xml:space="preserve">GWARANTEM jest: </w:t>
      </w:r>
    </w:p>
    <w:p w:rsidR="00877049" w:rsidRDefault="00877049">
      <w:pPr>
        <w:spacing w:before="120" w:after="120"/>
        <w:ind w:left="-5" w:right="-2" w:hanging="10"/>
        <w:rPr>
          <w:rFonts w:eastAsia="Verdana" w:cs="Verdana"/>
        </w:rPr>
      </w:pPr>
    </w:p>
    <w:p w:rsidR="00877049" w:rsidRDefault="00877049">
      <w:pPr>
        <w:spacing w:before="120" w:after="120"/>
        <w:ind w:left="-5" w:right="-2" w:hanging="10"/>
        <w:rPr>
          <w:rFonts w:eastAsia="Verdana" w:cs="Verdana"/>
        </w:rPr>
      </w:pPr>
    </w:p>
    <w:p w:rsidR="00877049" w:rsidRDefault="00877049">
      <w:pPr>
        <w:spacing w:before="120" w:after="120"/>
        <w:ind w:right="-2"/>
        <w:rPr>
          <w:rFonts w:eastAsia="Verdana" w:cs="Verdana"/>
        </w:rPr>
      </w:pPr>
    </w:p>
    <w:p w:rsidR="00877049" w:rsidRDefault="003E20F1">
      <w:pPr>
        <w:spacing w:before="120" w:after="120"/>
        <w:ind w:left="-5" w:right="-2" w:hanging="10"/>
        <w:rPr>
          <w:rFonts w:eastAsia="Verdana" w:cs="Verdana"/>
        </w:rPr>
      </w:pPr>
      <w:r>
        <w:rPr>
          <w:rFonts w:eastAsia="Verdana" w:cs="Verdana"/>
        </w:rPr>
        <w:t xml:space="preserve">[nazwa, adres, dane z KRS] </w:t>
      </w:r>
    </w:p>
    <w:p w:rsidR="00877049" w:rsidRDefault="003E20F1">
      <w:pPr>
        <w:spacing w:before="120" w:after="120"/>
        <w:ind w:left="-5" w:right="-2" w:hanging="10"/>
        <w:rPr>
          <w:rFonts w:eastAsia="Verdana" w:cs="Verdana"/>
        </w:rPr>
      </w:pPr>
      <w:r>
        <w:rPr>
          <w:rFonts w:eastAsia="Verdana" w:cs="Verdana"/>
        </w:rPr>
        <w:t>będący Wykonawcą Umowy</w:t>
      </w:r>
    </w:p>
    <w:p w:rsidR="00877049" w:rsidRDefault="003E20F1">
      <w:pPr>
        <w:spacing w:before="120" w:after="120"/>
        <w:rPr>
          <w:rFonts w:eastAsia="Verdana" w:cs="Verdana"/>
        </w:rPr>
      </w:pPr>
      <w:r>
        <w:rPr>
          <w:rFonts w:eastAsia="Verdana" w:cs="Verdana"/>
        </w:rPr>
        <w:t xml:space="preserve"> </w:t>
      </w:r>
    </w:p>
    <w:p w:rsidR="00877049" w:rsidRDefault="003E20F1">
      <w:pPr>
        <w:spacing w:before="120" w:after="120"/>
        <w:ind w:left="-5" w:right="63" w:hanging="10"/>
        <w:jc w:val="both"/>
        <w:rPr>
          <w:rFonts w:eastAsia="Verdana" w:cs="Verdana"/>
        </w:rPr>
      </w:pPr>
      <w:r>
        <w:rPr>
          <w:rFonts w:eastAsia="Verdana" w:cs="Verdana"/>
        </w:rPr>
        <w:t xml:space="preserve">Uprawnionym z tytułu Gwarancji Jakości jest: </w:t>
      </w:r>
    </w:p>
    <w:p w:rsidR="00877049" w:rsidRDefault="003E20F1">
      <w:pPr>
        <w:spacing w:before="120" w:after="120"/>
        <w:ind w:left="-5" w:right="63" w:hanging="10"/>
        <w:jc w:val="both"/>
        <w:rPr>
          <w:rFonts w:eastAsia="Verdana" w:cs="Verdana"/>
        </w:rPr>
      </w:pPr>
      <w:r>
        <w:rPr>
          <w:rFonts w:eastAsia="Verdana" w:cs="Verdana"/>
        </w:rPr>
        <w:t xml:space="preserve">Skarb Państwa – Generalny Dyrektor Dróg Krajowych i Autostrad, Oddział z siedzibą </w:t>
      </w:r>
      <w:r>
        <w:rPr>
          <w:rFonts w:eastAsia="Verdana" w:cs="Verdana"/>
        </w:rPr>
        <w:br/>
        <w:t xml:space="preserve">w Rzeszowie </w:t>
      </w:r>
    </w:p>
    <w:p w:rsidR="00877049" w:rsidRDefault="00877049">
      <w:pPr>
        <w:spacing w:before="120" w:after="120"/>
        <w:ind w:left="-5" w:right="63" w:hanging="10"/>
        <w:jc w:val="both"/>
        <w:rPr>
          <w:rFonts w:eastAsia="Verdana" w:cs="Verdana"/>
        </w:rPr>
      </w:pPr>
    </w:p>
    <w:p w:rsidR="00877049" w:rsidRDefault="003E20F1">
      <w:pPr>
        <w:spacing w:before="120" w:after="120"/>
        <w:ind w:left="-5" w:right="63" w:hanging="10"/>
        <w:jc w:val="both"/>
        <w:rPr>
          <w:rFonts w:eastAsia="Verdana" w:cs="Verdana"/>
        </w:rPr>
      </w:pPr>
      <w:r>
        <w:rPr>
          <w:rFonts w:eastAsia="Verdana" w:cs="Verdana"/>
        </w:rPr>
        <w:t xml:space="preserve">zwany dalej „Zamawiającym”, </w:t>
      </w:r>
    </w:p>
    <w:p w:rsidR="00877049" w:rsidRDefault="00877049">
      <w:pPr>
        <w:spacing w:before="120" w:after="120"/>
        <w:rPr>
          <w:rFonts w:eastAsia="Verdana" w:cs="Verdana"/>
        </w:rPr>
      </w:pPr>
    </w:p>
    <w:p w:rsidR="00877049" w:rsidRDefault="003E20F1">
      <w:pPr>
        <w:pStyle w:val="Nagwek1"/>
        <w:numPr>
          <w:ilvl w:val="0"/>
          <w:numId w:val="30"/>
        </w:numPr>
        <w:ind w:left="426" w:hanging="426"/>
        <w:rPr>
          <w:rFonts w:eastAsia="Verdana"/>
          <w:kern w:val="0"/>
        </w:rPr>
      </w:pPr>
      <w:bookmarkStart w:id="4" w:name="_Toc455047565"/>
      <w:bookmarkStart w:id="5" w:name="_Toc474314704"/>
      <w:r>
        <w:rPr>
          <w:rFonts w:eastAsia="Verdana"/>
          <w:kern w:val="0"/>
        </w:rPr>
        <w:t>CZĘŚĆ OGÓLNA</w:t>
      </w:r>
      <w:bookmarkEnd w:id="4"/>
      <w:bookmarkEnd w:id="5"/>
      <w:r>
        <w:rPr>
          <w:rFonts w:eastAsia="Verdana"/>
          <w:kern w:val="0"/>
        </w:rPr>
        <w:t xml:space="preserve"> </w:t>
      </w:r>
    </w:p>
    <w:p w:rsidR="00877049" w:rsidRDefault="003E20F1">
      <w:pPr>
        <w:pStyle w:val="Nagwek2"/>
        <w:numPr>
          <w:ilvl w:val="0"/>
          <w:numId w:val="25"/>
        </w:numPr>
        <w:rPr>
          <w:rFonts w:eastAsia="Verdana"/>
        </w:rPr>
      </w:pPr>
      <w:bookmarkStart w:id="6" w:name="_Toc455047566"/>
      <w:bookmarkStart w:id="7" w:name="_Toc474314705"/>
      <w:r>
        <w:rPr>
          <w:rFonts w:eastAsia="Verdana"/>
        </w:rPr>
        <w:t>Przedmiot i Okres Gwarancji Jakości</w:t>
      </w:r>
      <w:bookmarkEnd w:id="6"/>
      <w:bookmarkEnd w:id="7"/>
      <w:r>
        <w:rPr>
          <w:rFonts w:eastAsia="Verdana"/>
        </w:rPr>
        <w:t xml:space="preserve"> </w:t>
      </w:r>
    </w:p>
    <w:p w:rsidR="00877049" w:rsidRDefault="003E20F1">
      <w:pPr>
        <w:ind w:left="567"/>
        <w:jc w:val="both"/>
        <w:rPr>
          <w:b/>
        </w:rPr>
      </w:pPr>
      <w:r>
        <w:rPr>
          <w:rFonts w:eastAsia="Verdana" w:cs="Verdana"/>
        </w:rPr>
        <w:t>Niniejsza Gwarancja Jakości (dalej zwana również „Gwarancją”) obejmuje całość Robót i Dokumentów Wykonawcy objętych przedmiotem zamówienia (dalej Przedmiotem Umowy) określonych w Umowie oraz w innych dokumentach będących integralną częścią Umowy. Gwarant oświadcza, że niniejsza gwarancja nie wyłącza, nie ogranicza ani nie zawiesza uprawnień Zamawiającego wynikających z Rękojmi za Wady.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Gwarant oświadcza i zapewnia Zamawiającego, że wykonany przez niego cały Przedmiot Umowy, o którym mowa w punkcie 1.1, został wykonany prawidłowo, zgodnie z zobowiązaniami Wykonawcy, o których mowa w Umowie, a także zgodnie z najlepszą wiedzą Gwaranta.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Poprzez niniejszą Gwarancję Gwarant przyjmuje na siebie odpowiedzialność </w:t>
      </w:r>
      <w:r>
        <w:rPr>
          <w:rFonts w:eastAsia="Verdana" w:cs="Verdana"/>
        </w:rPr>
        <w:br/>
        <w:t xml:space="preserve">za Przedmiot Umowy, w tym za Dokumenty Wykonawcy i odpowiedni zakres Przedmiotu Umowy zrealizowany przez podwykonawców. Gwarant jest odpowiedzialny wobec Zamawiającego za realizację wszystkich zobowiązań, o których mowa w punkcie 2. </w:t>
      </w:r>
    </w:p>
    <w:p w:rsidR="00877049" w:rsidRDefault="00877049">
      <w:pPr>
        <w:pStyle w:val="Akapitzlist"/>
        <w:spacing w:before="120" w:after="120"/>
        <w:ind w:left="567" w:right="63"/>
        <w:contextualSpacing w:val="0"/>
        <w:jc w:val="both"/>
        <w:rPr>
          <w:rFonts w:eastAsia="Verdana" w:cs="Verdana"/>
        </w:rPr>
      </w:pP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lastRenderedPageBreak/>
        <w:t>Okres Gwarancji Jakości wynosi … miesięcy:</w:t>
      </w:r>
    </w:p>
    <w:p w:rsidR="00877049" w:rsidRDefault="003E20F1">
      <w:pPr>
        <w:spacing w:before="120" w:after="120"/>
        <w:ind w:left="567" w:right="75"/>
        <w:jc w:val="both"/>
        <w:rPr>
          <w:rFonts w:eastAsia="Verdana" w:cs="Verdana"/>
        </w:rPr>
      </w:pPr>
      <w:r>
        <w:rPr>
          <w:rFonts w:eastAsia="Verdana" w:cs="Verdana"/>
        </w:rPr>
        <w:t xml:space="preserve">Powyższy okres liczony będzie od daty wskazanej w Protokole odbioru robót. </w:t>
      </w:r>
    </w:p>
    <w:p w:rsidR="00877049" w:rsidRDefault="003E20F1">
      <w:pPr>
        <w:spacing w:before="120" w:after="120"/>
        <w:ind w:left="567" w:right="75"/>
        <w:jc w:val="both"/>
        <w:rPr>
          <w:rFonts w:eastAsia="Verdana" w:cs="Verdana"/>
        </w:rPr>
      </w:pPr>
      <w:r>
        <w:t>Okres Gwarancji Jakości ulega odpowiedniemu przedłużeniu o czas, w którym elementy Robót, urządzeń lub wyposażenia określone w Gwarancji Jakości nie mogą być używane zgodnie z ich przeznaczeniem z powodu jakiejkolwiek Wady.</w:t>
      </w:r>
    </w:p>
    <w:p w:rsidR="00877049" w:rsidRDefault="003E20F1">
      <w:pPr>
        <w:spacing w:before="120" w:after="120"/>
        <w:ind w:left="567" w:right="75"/>
        <w:jc w:val="both"/>
        <w:rPr>
          <w:rFonts w:eastAsia="Verdana" w:cs="Verdana"/>
        </w:rPr>
      </w:pPr>
      <w:r>
        <w:rPr>
          <w:rFonts w:eastAsia="Verdana" w:cs="Verdana"/>
        </w:rPr>
        <w:t xml:space="preserve">Wada powinna być usunięta przez Gwaranta w miejscu, w którym rzecz (urządzenie) znajduje się w chwili ujawnienia Wady. W przypadku gdy, Wada nie może być usunięta w miejscu, w którym rzecz (urządzenie) znajduje się, Gwarant jest zobowiązany odebrać na swój koszt i ryzyko rzecz (urządzenie) z miejsca, w którym rzecz znajduje się (jest zamontowana), a następnie, po usunięciu Wady lub dokonaniu wymiany rzeczy (urządzenia) na nową/e, Gwarant zobowiązany jest dostarczyć rzecz (urządzenie) na koszt i ryzyko Gwaranta. W przypadku konieczności usunięcia rzeczy (urządzenia) z miejsca, w którym rzecz się znajduje (jest zamontowana), Gwarant ma obowiązek zapewnić rzecz (urządzenie) zastępcze, wbudować je w miejscu zdemontowanym do czasu naprawy (wymiany) urządzenia.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Ilekroć w niniejszej Gwarancji Jakości jest mowa o Wadzie, należy przez to rozumieć: wadę, wadę istotną, wadę nieistotną.</w:t>
      </w:r>
    </w:p>
    <w:p w:rsidR="00877049" w:rsidRDefault="003E20F1">
      <w:pPr>
        <w:keepNext/>
        <w:spacing w:before="120" w:after="120"/>
        <w:ind w:right="74"/>
        <w:jc w:val="both"/>
        <w:rPr>
          <w:rFonts w:eastAsia="Verdana" w:cs="Verdana"/>
          <w:b/>
        </w:rPr>
      </w:pPr>
      <w:r>
        <w:rPr>
          <w:rFonts w:eastAsia="Verdana" w:cs="Verdana"/>
          <w:b/>
        </w:rPr>
        <w:t xml:space="preserve">Wada </w:t>
      </w:r>
      <w:r>
        <w:rPr>
          <w:b/>
        </w:rPr>
        <w:t>oznacza</w:t>
      </w:r>
      <w:r>
        <w:rPr>
          <w:rFonts w:eastAsia="Verdana" w:cs="Verdana"/>
          <w:b/>
        </w:rPr>
        <w:t xml:space="preserve"> </w:t>
      </w:r>
    </w:p>
    <w:p w:rsidR="00877049" w:rsidRDefault="003E20F1">
      <w:pPr>
        <w:pStyle w:val="Akapitzlist"/>
        <w:keepNext/>
        <w:numPr>
          <w:ilvl w:val="0"/>
          <w:numId w:val="51"/>
        </w:numPr>
        <w:spacing w:before="120" w:after="120"/>
        <w:ind w:left="567" w:right="74" w:hanging="283"/>
        <w:jc w:val="both"/>
        <w:rPr>
          <w:rFonts w:eastAsia="Verdana" w:cs="Verdana"/>
        </w:rPr>
      </w:pPr>
      <w:r>
        <w:rPr>
          <w:rFonts w:eastAsia="Verdana" w:cs="Verdana"/>
        </w:rPr>
        <w:t>jawne lub ukryte właściwości tkwiące w Robotach, Dokumentach Wykonawcy lub w jakimkolwiek ich elemencie (stanowiących „Przedmiot Umowy") powodujące niemożność używania lub korzystania z Przedmiotu Umowy zgodnie z przeznaczeniem</w:t>
      </w:r>
    </w:p>
    <w:p w:rsidR="00877049" w:rsidRDefault="003E20F1">
      <w:pPr>
        <w:pStyle w:val="Akapitzlist"/>
        <w:numPr>
          <w:ilvl w:val="0"/>
          <w:numId w:val="51"/>
        </w:numPr>
        <w:spacing w:before="120" w:after="120"/>
        <w:ind w:left="567" w:right="75" w:hanging="283"/>
        <w:jc w:val="both"/>
        <w:rPr>
          <w:rFonts w:eastAsia="Verdana" w:cs="Verdana"/>
        </w:rPr>
      </w:pPr>
      <w:r>
        <w:rPr>
          <w:rFonts w:eastAsia="Verdana" w:cs="Verdana"/>
        </w:rPr>
        <w:t xml:space="preserve">zmniejszenie wartości Przedmiotu Umowy lub inną stratę Zamawiającego z powodu zmniejszenia wartości Przedmiotu Umowy (uszczuplenia wartości finansowej Przedmiotu Umowy </w:t>
      </w:r>
    </w:p>
    <w:p w:rsidR="00877049" w:rsidRDefault="003E20F1">
      <w:pPr>
        <w:pStyle w:val="Akapitzlist"/>
        <w:numPr>
          <w:ilvl w:val="0"/>
          <w:numId w:val="51"/>
        </w:numPr>
        <w:spacing w:before="120" w:after="120"/>
        <w:ind w:left="567" w:right="75" w:hanging="283"/>
        <w:jc w:val="both"/>
        <w:rPr>
          <w:rFonts w:eastAsia="Verdana" w:cs="Verdana"/>
        </w:rPr>
      </w:pPr>
      <w:r>
        <w:rPr>
          <w:rFonts w:eastAsia="Verdana" w:cs="Verdana"/>
        </w:rPr>
        <w:t>obniżenia stopnia użyteczności Przedmiotu Umowy);</w:t>
      </w:r>
    </w:p>
    <w:p w:rsidR="00877049" w:rsidRDefault="003E20F1">
      <w:pPr>
        <w:pStyle w:val="Akapitzlist"/>
        <w:numPr>
          <w:ilvl w:val="0"/>
          <w:numId w:val="51"/>
        </w:numPr>
        <w:spacing w:before="120" w:after="120"/>
        <w:ind w:left="567" w:right="75" w:hanging="283"/>
        <w:jc w:val="both"/>
        <w:rPr>
          <w:rFonts w:eastAsia="Verdana" w:cs="Verdana"/>
        </w:rPr>
      </w:pPr>
      <w:r>
        <w:rPr>
          <w:rFonts w:eastAsia="Verdana" w:cs="Verdana"/>
        </w:rPr>
        <w:t>obniżenie jakości lub inną szkodę w Przedmiocie Umowy</w:t>
      </w:r>
    </w:p>
    <w:p w:rsidR="00877049" w:rsidRDefault="003E20F1">
      <w:pPr>
        <w:pStyle w:val="Akapitzlist"/>
        <w:numPr>
          <w:ilvl w:val="0"/>
          <w:numId w:val="51"/>
        </w:numPr>
        <w:spacing w:before="120" w:after="120"/>
        <w:ind w:left="567" w:right="75" w:hanging="283"/>
        <w:jc w:val="both"/>
        <w:rPr>
          <w:rFonts w:eastAsia="Verdana" w:cs="Verdana"/>
        </w:rPr>
      </w:pPr>
      <w:r>
        <w:rPr>
          <w:rFonts w:eastAsia="Verdana" w:cs="Verdana"/>
        </w:rPr>
        <w:t>usterki w Przedmiocie Umowy</w:t>
      </w:r>
    </w:p>
    <w:p w:rsidR="00877049" w:rsidRDefault="003E20F1">
      <w:pPr>
        <w:spacing w:before="120" w:after="120"/>
        <w:ind w:left="284" w:right="75"/>
        <w:jc w:val="both"/>
        <w:rPr>
          <w:rFonts w:eastAsia="Verdana" w:cs="Verdana"/>
        </w:rPr>
      </w:pPr>
      <w:r>
        <w:rPr>
          <w:rFonts w:eastAsia="Verdana" w:cs="Verdana"/>
        </w:rPr>
        <w:t>Za wadę uznaje się również</w:t>
      </w:r>
    </w:p>
    <w:p w:rsidR="00877049" w:rsidRDefault="003E20F1">
      <w:pPr>
        <w:pStyle w:val="Akapitzlist"/>
        <w:numPr>
          <w:ilvl w:val="0"/>
          <w:numId w:val="51"/>
        </w:numPr>
        <w:spacing w:before="120" w:after="120"/>
        <w:ind w:left="567" w:right="75" w:hanging="283"/>
        <w:jc w:val="both"/>
        <w:rPr>
          <w:rFonts w:eastAsia="Verdana" w:cs="Verdana"/>
        </w:rPr>
      </w:pPr>
      <w:r>
        <w:rPr>
          <w:rFonts w:eastAsia="Verdana" w:cs="Verdana"/>
        </w:rPr>
        <w:t>sytuację, w której Przedmiot Umowy nie stanowi własności Wykonawcy</w:t>
      </w:r>
    </w:p>
    <w:p w:rsidR="00877049" w:rsidRDefault="003E20F1">
      <w:pPr>
        <w:pStyle w:val="Akapitzlist"/>
        <w:numPr>
          <w:ilvl w:val="0"/>
          <w:numId w:val="51"/>
        </w:numPr>
        <w:spacing w:before="120" w:after="120"/>
        <w:ind w:left="567" w:right="75" w:hanging="283"/>
        <w:jc w:val="both"/>
        <w:rPr>
          <w:rFonts w:eastAsia="Verdana" w:cs="Verdana"/>
        </w:rPr>
      </w:pPr>
      <w:r>
        <w:rPr>
          <w:rFonts w:eastAsia="Verdana" w:cs="Verdana"/>
        </w:rPr>
        <w:t>sytuację, w której Przedmiot umowy jest obciążony prawem lub prawami osób trzecich</w:t>
      </w:r>
    </w:p>
    <w:p w:rsidR="00877049" w:rsidRDefault="003E20F1">
      <w:pPr>
        <w:spacing w:before="120" w:after="120"/>
        <w:ind w:right="63"/>
        <w:jc w:val="both"/>
        <w:rPr>
          <w:rFonts w:eastAsia="Verdana" w:cs="Verdana"/>
        </w:rPr>
      </w:pPr>
      <w:r>
        <w:rPr>
          <w:rFonts w:eastAsia="Verdana" w:cs="Verdana"/>
          <w:b/>
        </w:rPr>
        <w:t xml:space="preserve">Wada istotna </w:t>
      </w:r>
      <w:r>
        <w:rPr>
          <w:rFonts w:eastAsia="Verdana" w:cs="Verdana"/>
        </w:rPr>
        <w:t>– wada powodująca (bezpośrednio lub pośrednio) niezdatność Przedmiotu Umowy do określonego w Umowie użytku, ze względu na brak cech umożliwiających jego bezpieczną eksploatację lub ograniczenie możliwości bezpiecznej eksploatacji lub jakiejkolwiek części Przedmiotu Umowy</w:t>
      </w:r>
    </w:p>
    <w:p w:rsidR="00877049" w:rsidRDefault="003E20F1">
      <w:pPr>
        <w:spacing w:before="120" w:after="120"/>
        <w:ind w:right="63"/>
        <w:jc w:val="both"/>
        <w:rPr>
          <w:rFonts w:eastAsia="Verdana" w:cs="Verdana"/>
        </w:rPr>
      </w:pPr>
      <w:r>
        <w:rPr>
          <w:rFonts w:eastAsia="Verdana" w:cs="Verdana"/>
          <w:b/>
        </w:rPr>
        <w:t xml:space="preserve">Wada nieistotna </w:t>
      </w:r>
      <w:r>
        <w:rPr>
          <w:rFonts w:eastAsia="Verdana" w:cs="Verdana"/>
        </w:rPr>
        <w:t>– o</w:t>
      </w:r>
      <w:r>
        <w:t>znacza Wadę inną niż Wada Istotna (każdą pozostałą Wadę)</w:t>
      </w:r>
    </w:p>
    <w:p w:rsidR="00877049" w:rsidRDefault="003E20F1">
      <w:pPr>
        <w:pStyle w:val="Nagwek2"/>
        <w:numPr>
          <w:ilvl w:val="0"/>
          <w:numId w:val="25"/>
        </w:numPr>
        <w:rPr>
          <w:rFonts w:eastAsia="Verdana"/>
        </w:rPr>
      </w:pPr>
      <w:bookmarkStart w:id="8" w:name="_Toc455047567"/>
      <w:bookmarkStart w:id="9" w:name="_Toc474314706"/>
      <w:r>
        <w:rPr>
          <w:rFonts w:eastAsia="Verdana"/>
        </w:rPr>
        <w:t>Obowiązki i uprawnienia Stron</w:t>
      </w:r>
      <w:bookmarkEnd w:id="8"/>
      <w:bookmarkEnd w:id="9"/>
      <w:r>
        <w:rPr>
          <w:rFonts w:eastAsia="Verdana"/>
        </w:rPr>
        <w:t xml:space="preserve">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W przypadku ujawnienia jakiejkolwiek Wady w Przedmiocie Umowy Gwarant jest zobowiązany do: </w:t>
      </w:r>
    </w:p>
    <w:p w:rsidR="00877049" w:rsidRDefault="003E20F1">
      <w:pPr>
        <w:numPr>
          <w:ilvl w:val="0"/>
          <w:numId w:val="26"/>
        </w:numPr>
        <w:spacing w:before="120" w:after="120"/>
        <w:ind w:left="993" w:right="63" w:hanging="426"/>
        <w:jc w:val="both"/>
        <w:rPr>
          <w:rFonts w:eastAsia="Verdana" w:cs="Verdana"/>
        </w:rPr>
      </w:pPr>
      <w:r>
        <w:rPr>
          <w:rFonts w:eastAsia="Verdana" w:cs="Verdana"/>
        </w:rPr>
        <w:t>terminowego spełnienia żądania Zamawiającego dotyczącego nieodpłatnego usunięcia Wady oraz trybu jej usunięcia,</w:t>
      </w:r>
      <w:r>
        <w:t xml:space="preserve"> przy czym usunięcie Wady może nastąpić również poprzez wymianę rzeczy wchodzącej w zakres Przedmiotu umowy na nową, wolną od Wad;</w:t>
      </w:r>
      <w:r>
        <w:rPr>
          <w:rFonts w:eastAsia="Verdana" w:cs="Verdana"/>
        </w:rPr>
        <w:t xml:space="preserve"> </w:t>
      </w:r>
    </w:p>
    <w:p w:rsidR="00877049" w:rsidRDefault="003E20F1">
      <w:pPr>
        <w:numPr>
          <w:ilvl w:val="0"/>
          <w:numId w:val="26"/>
        </w:numPr>
        <w:spacing w:before="120" w:after="120"/>
        <w:ind w:left="993" w:right="63" w:hanging="426"/>
        <w:jc w:val="both"/>
        <w:rPr>
          <w:rFonts w:eastAsia="Verdana" w:cs="Verdana"/>
        </w:rPr>
      </w:pPr>
      <w:r>
        <w:rPr>
          <w:rFonts w:eastAsia="Verdana" w:cs="Verdana"/>
        </w:rPr>
        <w:t xml:space="preserve">terminowego spełnienia żądania Zamawiającego dotyczącego nieodpłatnej wymiany rzeczy na wolną od Wad oraz trybu jej wymiany.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W przypadku ujawnienia jakiejkolwiek Wady w Przedmiocie Umowy, Zamawiający jest uprawniony do: </w:t>
      </w:r>
    </w:p>
    <w:p w:rsidR="00877049" w:rsidRDefault="003E20F1">
      <w:pPr>
        <w:numPr>
          <w:ilvl w:val="0"/>
          <w:numId w:val="27"/>
        </w:numPr>
        <w:spacing w:before="120" w:after="120"/>
        <w:ind w:left="993" w:right="63" w:hanging="426"/>
        <w:jc w:val="both"/>
        <w:rPr>
          <w:rFonts w:eastAsia="Verdana" w:cs="Verdana"/>
        </w:rPr>
      </w:pPr>
      <w:r>
        <w:rPr>
          <w:rFonts w:eastAsia="Verdana" w:cs="Verdana"/>
        </w:rPr>
        <w:lastRenderedPageBreak/>
        <w:t xml:space="preserve">żądania nieodpłatnego usunięcia Wady, a w przypadku, gdy dana rzecz wchodząca w zakres Przedmiotu Umowy była już dwukrotnie naprawiana – do żądania wymiany tej rzeczy lub jej części na nową, wolną od Wad; </w:t>
      </w:r>
    </w:p>
    <w:p w:rsidR="00877049" w:rsidRDefault="003E20F1">
      <w:pPr>
        <w:numPr>
          <w:ilvl w:val="0"/>
          <w:numId w:val="27"/>
        </w:numPr>
        <w:spacing w:before="120" w:after="120"/>
        <w:ind w:left="993" w:right="63" w:hanging="426"/>
        <w:jc w:val="both"/>
        <w:rPr>
          <w:rFonts w:eastAsia="Verdana" w:cs="Verdana"/>
        </w:rPr>
      </w:pPr>
      <w:r>
        <w:rPr>
          <w:rFonts w:eastAsia="Verdana" w:cs="Verdana"/>
        </w:rPr>
        <w:t>wskazania trybu usunięcia Wady lub wymiany rzeczy na wolną od Wad.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jc w:val="both"/>
        <w:rPr>
          <w:rFonts w:eastAsia="Verdana" w:cs="Verdana"/>
        </w:rPr>
      </w:pPr>
      <w:r>
        <w:rPr>
          <w:rFonts w:eastAsia="Verdana" w:cs="Verdana"/>
        </w:rPr>
        <w:t>Ilekroć w postanowieniach jest mowa o „usunięciu Wady” należy przez to rozumieć również wymianę rzeczy wchodzącej w zakres Przedmiotu Umowy na nową, wolną od Wad.</w:t>
      </w:r>
    </w:p>
    <w:p w:rsidR="00877049" w:rsidRDefault="003E20F1">
      <w:pPr>
        <w:pStyle w:val="Nagwek2"/>
        <w:numPr>
          <w:ilvl w:val="0"/>
          <w:numId w:val="25"/>
        </w:numPr>
        <w:jc w:val="both"/>
        <w:rPr>
          <w:rFonts w:eastAsia="Verdana"/>
        </w:rPr>
      </w:pPr>
      <w:bookmarkStart w:id="10" w:name="_Toc455047568"/>
      <w:bookmarkStart w:id="11" w:name="_Toc474314707"/>
      <w:r>
        <w:rPr>
          <w:rFonts w:eastAsia="Verdana"/>
        </w:rPr>
        <w:t>Upoważnienie Zamawiającego (pełnomocnictwo)</w:t>
      </w:r>
      <w:bookmarkEnd w:id="10"/>
      <w:bookmarkEnd w:id="11"/>
      <w:r>
        <w:rPr>
          <w:rFonts w:eastAsia="Verdana"/>
        </w:rPr>
        <w:t xml:space="preserve"> </w:t>
      </w:r>
    </w:p>
    <w:p w:rsidR="00877049" w:rsidRDefault="003E20F1">
      <w:pPr>
        <w:spacing w:before="120" w:after="120"/>
        <w:ind w:left="567" w:right="63"/>
        <w:jc w:val="both"/>
        <w:rPr>
          <w:rFonts w:eastAsia="Verdana" w:cs="Verdana"/>
        </w:rPr>
      </w:pPr>
      <w:r>
        <w:rPr>
          <w:rFonts w:eastAsia="Verdana" w:cs="Verdana"/>
        </w:rPr>
        <w:t xml:space="preserve">Niezależnie od udzielonej gwarancji, Gwarant niniejszym upoważnia Zamawiającego do wykonywania uprawnień z gwarancji przysługujących Gwarantowi wobec podmiotów, wobec których Gwarantowi przysługują takie uprawnienia, tj. w szczególności wobec Producentów urządzeń, Podwykonawców, </w:t>
      </w:r>
      <w:r>
        <w:t xml:space="preserve">Dostawców, Usługodawców. </w:t>
      </w:r>
    </w:p>
    <w:p w:rsidR="00877049" w:rsidRDefault="003E20F1">
      <w:pPr>
        <w:pStyle w:val="Nagwek2"/>
        <w:numPr>
          <w:ilvl w:val="0"/>
          <w:numId w:val="25"/>
        </w:numPr>
        <w:jc w:val="both"/>
        <w:rPr>
          <w:rFonts w:eastAsia="Verdana"/>
        </w:rPr>
      </w:pPr>
      <w:bookmarkStart w:id="12" w:name="_Toc455047569"/>
      <w:bookmarkStart w:id="13" w:name="_Toc474314708"/>
      <w:r>
        <w:rPr>
          <w:rFonts w:eastAsia="Verdana"/>
        </w:rPr>
        <w:t>Przeglądy Gwarancyjne</w:t>
      </w:r>
      <w:bookmarkEnd w:id="12"/>
      <w:bookmarkEnd w:id="13"/>
      <w:r>
        <w:rPr>
          <w:rFonts w:eastAsia="Verdana"/>
        </w:rPr>
        <w:t xml:space="preserve">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Komisyjne Przeglądy Gwarancyjne odbywać się będą według uznania Zamawiającego, nie rzadziej niż raz w roku i zawsze, kiedy Zamawiający uzna to za uzasadnione w okresie obowiązywania Gwarancji.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W przypadku Przeglądów Gwarancyjnych, dla każdej grupy robót (w szczególności mostowa, drogowa, ochrona środowiska, instalacje), Zamawiający może przeprowadzić odrębne Przeglądy Gwarancyjne niekoniecznie w tym samym czasie.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hanging="567"/>
        <w:contextualSpacing w:val="0"/>
        <w:jc w:val="both"/>
      </w:pPr>
      <w:r>
        <w:t xml:space="preserve">Datę, godzinę i miejsce dokonania Przeglądu Gwarancyjnego dla każdej komisji przeglądowej wyznacza Zamawiający, zawiadamiając o nim Gwaranta na piśmie, z co najmniej 21-dniowym wyprzedzeniem. Gwarant jest obowiązany uczestniczyć w przeglądach gwarancyjnych.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W skład każdej komisji przeglądowej będą wchodziły co najmniej dwie osoby wyznaczone przez Zamawiającego (przedstawiciele Zamawiającego w komisji) oraz co najmniej dwie osoby wyznaczone przez Gwaranta (przedstawiciele Gwaranta </w:t>
      </w:r>
      <w:r>
        <w:rPr>
          <w:rFonts w:eastAsia="Verdana" w:cs="Verdana"/>
        </w:rPr>
        <w:br/>
        <w:t xml:space="preserve">w komisji). Gwarant jest zobowiązany wyznaczyć co najmniej dwie osoby do dokonania Przeglądu Gwarancyjnego i wskazać Zamawiającemu wyznaczone osoby na piśmie w terminie najpóźniej na 7 dni przed planowanym przeglądem.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Na Gwarancie spoczywa obowiązek zabezpieczenia dokonania Przeglądu Gwarancyjnego w okresie gwarancyjnym, tj. zapewnienia dostępu do przeglądanych elementów konstrukcji i wyposażenia, w tym nieodpłatne zapewnienie urządzeń potrzebnych do dokonania przeglądu.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Z każdego Przeglądu Gwarancyjnego sporządzany będzie szczegółowy Protokół Przeglądu Gwarancyjnego, w co najmniej dwóch egzemplarzach, po jednym dla Zamawiającego i dla Gwaranta. W przypadku nieobecności przedstawicieli Gwaranta w komisji, Zamawiający niezwłocznie prześle Gwarantowi jeden egzemplarz Protokołu Przeglądu Gwarancyjnego.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W przypadku odmowy przez Gwaranta podpisania Protokołu Przeglądu Gwarancyjnego, Zamawiający będzie uprawniony do jednostronnego podpisania</w:t>
      </w:r>
      <w:r>
        <w:t xml:space="preserve"> </w:t>
      </w:r>
      <w:r>
        <w:rPr>
          <w:rFonts w:eastAsia="Verdana" w:cs="Verdana"/>
        </w:rPr>
        <w:t>Protokołu Przeglądu Gwarancyjnego.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Jeżeli Gwarant został prawidłowo zawiadomiony o terminie i miejscu dokonania Przeglądu Gwarancyjnego, tj. zgodnie z punktem 4.3, niestawienie się jego przedstawicieli nie będzie wywoływało żadnych ujemnych skutków dla ważności i skuteczności ustaleń dokonanych przez komisję przeglądową. W takim przypadku </w:t>
      </w:r>
      <w:r>
        <w:rPr>
          <w:rFonts w:eastAsia="Verdana" w:cs="Verdana"/>
        </w:rPr>
        <w:lastRenderedPageBreak/>
        <w:t>Zamawiający jest uprawniony do jednostronnego podpisania</w:t>
      </w:r>
      <w:r>
        <w:t xml:space="preserve"> </w:t>
      </w:r>
      <w:r>
        <w:rPr>
          <w:rFonts w:eastAsia="Verdana" w:cs="Verdana"/>
        </w:rPr>
        <w:t xml:space="preserve">Protokołu Przeglądu Gwarancyjnego.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W przypadku niestawiennictwa przedstawicieli Gwaranta w komisji w miejscu dokonania Przeglądu Gwarancyjnego bądź niewypełnienie przez Gwaranta innych zobowiązań określonych w niniejszej gwarancji, jeżeli na skutek tego nie będzie możliwe wykonanie przeglądu, Zamawiający będzie uprawniony do zlecenia wykonania przeglądu podmiotowi trzeciemu, a Gwarant zostanie obciążony kosztami przeprowadzenia przeglądu.</w:t>
      </w:r>
    </w:p>
    <w:p w:rsidR="00877049" w:rsidRDefault="003E20F1">
      <w:pPr>
        <w:pStyle w:val="Nagwek2"/>
        <w:numPr>
          <w:ilvl w:val="0"/>
          <w:numId w:val="25"/>
        </w:numPr>
        <w:rPr>
          <w:rFonts w:eastAsia="Verdana"/>
        </w:rPr>
      </w:pPr>
      <w:bookmarkStart w:id="14" w:name="_Toc455047570"/>
      <w:bookmarkStart w:id="15" w:name="_Toc474314709"/>
      <w:r>
        <w:rPr>
          <w:rFonts w:eastAsia="Verdana"/>
        </w:rPr>
        <w:t>Tryb usuwania Wad</w:t>
      </w:r>
      <w:bookmarkEnd w:id="14"/>
      <w:bookmarkEnd w:id="15"/>
    </w:p>
    <w:p w:rsidR="00877049" w:rsidRDefault="003E20F1">
      <w:pPr>
        <w:pStyle w:val="Akapitzlist"/>
        <w:numPr>
          <w:ilvl w:val="1"/>
          <w:numId w:val="31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Gwarant obowiązany jest rozpocząć usuwanie ujawnionej Wady według przedstawionych w tabeli 1 wymagań technicznych oraz czasowych: </w:t>
      </w:r>
    </w:p>
    <w:p w:rsidR="00877049" w:rsidRDefault="003E20F1">
      <w:pPr>
        <w:tabs>
          <w:tab w:val="left" w:pos="1134"/>
        </w:tabs>
        <w:spacing w:before="120" w:after="120"/>
        <w:ind w:left="-5" w:right="63" w:hanging="10"/>
        <w:jc w:val="both"/>
        <w:rPr>
          <w:rFonts w:eastAsia="Verdana" w:cs="Verdana"/>
        </w:rPr>
      </w:pPr>
      <w:r>
        <w:rPr>
          <w:rFonts w:eastAsia="Verdana" w:cs="Verdana"/>
        </w:rPr>
        <w:t>Tabela 1.</w:t>
      </w:r>
      <w:r>
        <w:rPr>
          <w:rFonts w:eastAsia="Verdana" w:cs="Verdana"/>
        </w:rPr>
        <w:tab/>
        <w:t xml:space="preserve">Wymagania techniczne oraz czasowe dla usuwania Wad. </w:t>
      </w:r>
    </w:p>
    <w:tbl>
      <w:tblPr>
        <w:tblStyle w:val="Siatkatabelijasna1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260"/>
        <w:gridCol w:w="3231"/>
      </w:tblGrid>
      <w:tr w:rsidR="00877049">
        <w:trPr>
          <w:cantSplit/>
          <w:trHeight w:val="736"/>
        </w:trPr>
        <w:tc>
          <w:tcPr>
            <w:tcW w:w="258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Klasyfikacja Wad</w:t>
            </w:r>
          </w:p>
        </w:tc>
        <w:tc>
          <w:tcPr>
            <w:tcW w:w="3260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Reakcja Gwaranta</w:t>
            </w:r>
          </w:p>
        </w:tc>
        <w:tc>
          <w:tcPr>
            <w:tcW w:w="323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 xml:space="preserve">Wymagany czas reakcji </w:t>
            </w:r>
            <w:r>
              <w:rPr>
                <w:rFonts w:eastAsia="Verdana" w:cs="Verdana"/>
                <w:sz w:val="18"/>
                <w:szCs w:val="18"/>
              </w:rPr>
              <w:br/>
            </w:r>
          </w:p>
        </w:tc>
      </w:tr>
      <w:tr w:rsidR="00877049">
        <w:trPr>
          <w:cantSplit/>
          <w:trHeight w:val="546"/>
        </w:trPr>
        <w:tc>
          <w:tcPr>
            <w:tcW w:w="2581" w:type="dxa"/>
            <w:vMerge w:val="restart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 xml:space="preserve">Wady Istotne zgodnie z: pkt. 1.5. części ogólnej Gwarancji jakości </w:t>
            </w:r>
          </w:p>
        </w:tc>
        <w:tc>
          <w:tcPr>
            <w:tcW w:w="3260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1) Potwierdzenie przyjęcia powiadomienia o wystąpieniu Wady i określenie sposobu usunięcia Wady</w:t>
            </w:r>
          </w:p>
        </w:tc>
        <w:tc>
          <w:tcPr>
            <w:tcW w:w="323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Do 24 h od chwili powiadomienia o wystąpieniu Wady</w:t>
            </w:r>
          </w:p>
        </w:tc>
      </w:tr>
      <w:tr w:rsidR="00877049">
        <w:trPr>
          <w:cantSplit/>
          <w:trHeight w:val="557"/>
        </w:trPr>
        <w:tc>
          <w:tcPr>
            <w:tcW w:w="2581" w:type="dxa"/>
            <w:vMerge/>
            <w:vAlign w:val="center"/>
          </w:tcPr>
          <w:p w:rsidR="00877049" w:rsidRDefault="00877049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2) Zapewnienie nieprzerwanej możliwości użytkowania obiektu przez Użytkownika</w:t>
            </w:r>
          </w:p>
        </w:tc>
        <w:tc>
          <w:tcPr>
            <w:tcW w:w="323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Do 72 h od chwili powiadomienia</w:t>
            </w:r>
            <w:r>
              <w:t xml:space="preserve"> </w:t>
            </w:r>
            <w:r>
              <w:rPr>
                <w:rFonts w:eastAsia="Verdana" w:cs="Verdana"/>
                <w:sz w:val="18"/>
                <w:szCs w:val="18"/>
              </w:rPr>
              <w:t>o wystąpieniu Wady</w:t>
            </w:r>
          </w:p>
        </w:tc>
      </w:tr>
      <w:tr w:rsidR="00877049">
        <w:trPr>
          <w:cantSplit/>
          <w:trHeight w:val="935"/>
        </w:trPr>
        <w:tc>
          <w:tcPr>
            <w:tcW w:w="2581" w:type="dxa"/>
            <w:vMerge/>
            <w:vAlign w:val="center"/>
          </w:tcPr>
          <w:p w:rsidR="00877049" w:rsidRDefault="00877049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3) Całkowite usunięcie Wady</w:t>
            </w:r>
          </w:p>
        </w:tc>
        <w:tc>
          <w:tcPr>
            <w:tcW w:w="323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Zgodnie ze wskazanym przez Zamawiającego w powiadomieniu o wystąpieniu Wady terminem na usunięcie Wady</w:t>
            </w:r>
          </w:p>
        </w:tc>
      </w:tr>
      <w:tr w:rsidR="00877049">
        <w:trPr>
          <w:cantSplit/>
          <w:trHeight w:val="546"/>
        </w:trPr>
        <w:tc>
          <w:tcPr>
            <w:tcW w:w="2581" w:type="dxa"/>
            <w:vMerge w:val="restart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br w:type="page"/>
            </w:r>
            <w:r>
              <w:rPr>
                <w:rFonts w:eastAsia="Verdana" w:cs="Verdana"/>
                <w:sz w:val="18"/>
                <w:szCs w:val="18"/>
              </w:rPr>
              <w:t>Wady Nieistotne zgodnie z: pkt. 1.5. części ogólnej Gwarancji jakości</w:t>
            </w:r>
          </w:p>
        </w:tc>
        <w:tc>
          <w:tcPr>
            <w:tcW w:w="3260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1) Potwierdzenie przyjęcia powiadomienia o wystąpieniu Wady i określenie sposobu usunięcia Wady</w:t>
            </w:r>
          </w:p>
        </w:tc>
        <w:tc>
          <w:tcPr>
            <w:tcW w:w="323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Do 72 h od chwili powiadomienia</w:t>
            </w:r>
            <w:r>
              <w:t xml:space="preserve"> </w:t>
            </w:r>
            <w:r>
              <w:rPr>
                <w:rFonts w:eastAsia="Verdana" w:cs="Verdana"/>
                <w:sz w:val="18"/>
                <w:szCs w:val="18"/>
              </w:rPr>
              <w:t>o wystąpieniu Wady</w:t>
            </w:r>
          </w:p>
        </w:tc>
      </w:tr>
      <w:tr w:rsidR="00877049">
        <w:trPr>
          <w:cantSplit/>
          <w:trHeight w:val="925"/>
        </w:trPr>
        <w:tc>
          <w:tcPr>
            <w:tcW w:w="2581" w:type="dxa"/>
            <w:vMerge/>
            <w:vAlign w:val="center"/>
          </w:tcPr>
          <w:p w:rsidR="00877049" w:rsidRDefault="00877049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2) Całkowite usunięcie Wady</w:t>
            </w:r>
          </w:p>
        </w:tc>
        <w:tc>
          <w:tcPr>
            <w:tcW w:w="323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Zgodnie ze wskazanym przez Zamawiającego w powiadomieniu o wystąpieniu Wady terminem na usunięcie Wady</w:t>
            </w:r>
          </w:p>
        </w:tc>
      </w:tr>
      <w:tr w:rsidR="00877049">
        <w:trPr>
          <w:cantSplit/>
          <w:trHeight w:val="1026"/>
        </w:trPr>
        <w:tc>
          <w:tcPr>
            <w:tcW w:w="258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 xml:space="preserve">Wady </w:t>
            </w:r>
            <w:r>
              <w:rPr>
                <w:rFonts w:eastAsia="Verdana" w:cs="Verdana"/>
                <w:sz w:val="18"/>
                <w:szCs w:val="18"/>
                <w:highlight w:val="yellow"/>
              </w:rPr>
              <w:br/>
            </w:r>
            <w:r>
              <w:rPr>
                <w:rFonts w:eastAsia="Verdana" w:cs="Verdana"/>
                <w:sz w:val="18"/>
                <w:szCs w:val="18"/>
              </w:rPr>
              <w:t>zgodnie z: pkt. 1.5. części ogólnej Gwarancji jakości</w:t>
            </w:r>
          </w:p>
        </w:tc>
        <w:tc>
          <w:tcPr>
            <w:tcW w:w="3260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Usunięcie Wady</w:t>
            </w:r>
          </w:p>
        </w:tc>
        <w:tc>
          <w:tcPr>
            <w:tcW w:w="3231" w:type="dxa"/>
            <w:vAlign w:val="center"/>
          </w:tcPr>
          <w:p w:rsidR="00877049" w:rsidRDefault="003E20F1">
            <w:pPr>
              <w:spacing w:after="0" w:line="240" w:lineRule="auto"/>
              <w:ind w:left="11" w:right="68" w:hanging="11"/>
              <w:jc w:val="center"/>
              <w:rPr>
                <w:rFonts w:eastAsia="Verdana" w:cs="Verdana"/>
                <w:sz w:val="18"/>
                <w:szCs w:val="18"/>
              </w:rPr>
            </w:pPr>
            <w:r>
              <w:rPr>
                <w:rFonts w:eastAsia="Verdana" w:cs="Verdana"/>
                <w:sz w:val="18"/>
                <w:szCs w:val="18"/>
              </w:rPr>
              <w:t>Zgodnie ze wskazanym przez Zamawiającego w powiadomieniu o wystąpieniu Wady terminem na usunięcie Wady</w:t>
            </w:r>
          </w:p>
        </w:tc>
      </w:tr>
    </w:tbl>
    <w:p w:rsidR="00877049" w:rsidRDefault="00877049">
      <w:pPr>
        <w:spacing w:before="120" w:after="120"/>
        <w:ind w:left="-5" w:right="63" w:hanging="10"/>
        <w:jc w:val="both"/>
        <w:rPr>
          <w:rFonts w:eastAsia="Verdana" w:cs="Verdana"/>
        </w:rPr>
      </w:pPr>
    </w:p>
    <w:p w:rsidR="00877049" w:rsidRDefault="003E20F1">
      <w:pPr>
        <w:pStyle w:val="Akapitzlist"/>
        <w:numPr>
          <w:ilvl w:val="1"/>
          <w:numId w:val="31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Zamawiający, po przedłożeniu przez Gwaranta pisemnego uzasadnienia, może zmienić terminy wskazane w punkcie 5.1, uwzględniając technologię usuwania Wady, zasady wiedzy technicznej i warunki klimatyczne. </w:t>
      </w:r>
    </w:p>
    <w:p w:rsidR="00877049" w:rsidRDefault="003E20F1">
      <w:pPr>
        <w:pStyle w:val="Akapitzlist"/>
        <w:numPr>
          <w:ilvl w:val="1"/>
          <w:numId w:val="31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Stwierdzenie usunięcia Wady nastąpi z chwilą niezwłocznego podpisania przez obie Strony Protokołu Odbioru Prac z usuwania Wady. W Protokole Strony potwierdzą także termin usunięcia Wady. W przypadku braku możliwości podpisania protokołu w dniu, w którym dokonano usunięcia Wady, należy w późniejszym Protokole podać jej faktyczną datę usunięcia. </w:t>
      </w:r>
    </w:p>
    <w:p w:rsidR="00877049" w:rsidRDefault="003E20F1">
      <w:pPr>
        <w:pStyle w:val="Akapitzlist"/>
        <w:numPr>
          <w:ilvl w:val="1"/>
          <w:numId w:val="31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Jeżeli Gwarant nie wypełni obowiązku usunięcia Wady w uzgodnionym terminie, Zamawiający będzie uprawniony, do zlecenia usunięcia Wady podmiotowi trzeciemu, a Gwarant zostanie obciążony kosztami usunięcia Wady. Powyższe nie wyłącza innych uprawnień Zamawiającego wynikających z tytułu Gwarancji Jakości i Rękojmi za Wady oraz przepisów prawa. </w:t>
      </w:r>
    </w:p>
    <w:p w:rsidR="00877049" w:rsidRDefault="003E20F1">
      <w:pPr>
        <w:pStyle w:val="Akapitzlist"/>
        <w:numPr>
          <w:ilvl w:val="1"/>
          <w:numId w:val="31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lastRenderedPageBreak/>
        <w:t xml:space="preserve">Gwarant jest odpowiedzialny za wszelkie szkody i straty, które spowodował w czasie prac nad usuwaniem Wad. </w:t>
      </w:r>
    </w:p>
    <w:p w:rsidR="00877049" w:rsidRDefault="003E20F1">
      <w:pPr>
        <w:pStyle w:val="Nagwek2"/>
        <w:numPr>
          <w:ilvl w:val="0"/>
          <w:numId w:val="25"/>
        </w:numPr>
        <w:rPr>
          <w:rFonts w:eastAsia="Verdana"/>
        </w:rPr>
      </w:pPr>
      <w:bookmarkStart w:id="16" w:name="_Toc455047571"/>
      <w:bookmarkStart w:id="17" w:name="_Toc474314710"/>
      <w:r>
        <w:rPr>
          <w:rFonts w:eastAsia="Verdana"/>
        </w:rPr>
        <w:t>Komunikacja</w:t>
      </w:r>
      <w:bookmarkEnd w:id="16"/>
      <w:bookmarkEnd w:id="17"/>
      <w:r>
        <w:rPr>
          <w:rFonts w:eastAsia="Verdana"/>
        </w:rPr>
        <w:t xml:space="preserve">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Powiadomienia o wystąpieniu Wady dokonuje Zamawiający poprzez przekazanie odpowiedniej informacji osobie wskazanej przez Gwaranta.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W powiadomieniu o wystąpieniu Wady, Zamawiający kwalifikuje kategorię Wady według kategorii ustalonych w tabeli zawartej w punkcie 5.1.</w:t>
      </w:r>
    </w:p>
    <w:p w:rsidR="00877049" w:rsidRDefault="003E20F1">
      <w:pPr>
        <w:pStyle w:val="Akapitzlist"/>
        <w:numPr>
          <w:ilvl w:val="1"/>
          <w:numId w:val="25"/>
        </w:numPr>
        <w:ind w:left="567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Wszelka komunikacja pomiędzy Stronami potwierdzona zostanie w formie pisemnej.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O wystąpieniu Wady stwierdzonej „ad hoc” lub podczas Przeglądu Gwarancyjnego odbywającego się bez udziału przedstawicieli Gwaranta w komisji, osoba wyznaczona przez Zamawiającego powiadamia telefonicznie osobę wskazaną przez Gwaranta, </w:t>
      </w:r>
      <w:r>
        <w:rPr>
          <w:rFonts w:eastAsia="Verdana" w:cs="Verdana"/>
        </w:rPr>
        <w:br/>
        <w:t>a następnie potwierdza powiadomienie o wystąpieniu wady faksem oraz pocztą elektroniczną na wskazane numery telefonów, numery faks i adresy. Potwierdzenie powiadomienia należy zachować dla celów dowodowych.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W przypadku złożenia powiadomienia o wystąpieniu Wady, o którym mowa w pkt 6.4, Gwarant zobowiązany jest do potwierdzenia otrzymania tego powiadomienia. Kopia potwierdzenia otrzymania powiadomienia o wystąpieniu Wady przesyłana jest przez Gwaranta również faksem oraz pocztą elektroniczną do Zamawiającego.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W przypadku Wad stwierdzonych podczas Przeglądu Gwarancyjnego odbywającego się z udziałem przedstawicieli Gwaranta, przedstawiciel Zamawiającego przekazuje osobiście i ustnie powiadomienie o wystąpieniu Wady. Protokół Przeglądu Gwarancyjnego ma moc potwierdzenia powiadomienia o wystąpieniu Wady oraz moc potwierdzenia przez Gwaranta otrzymania powiadomienia o wystąpieniu Wady, bez konieczności dokonania przez Zamawiającego dodatkowego potwierdzenia powiadomienia o wystąpieniu Wady oraz bez konieczności dokonania przez Gwaranta dodatkowego potwierdzenia otrzymania powiadomienia o wystąpieniu Wady.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 xml:space="preserve">Zarówno Zamawiający jak i Gwarant sporządzą wykaz osób upoważnionych </w:t>
      </w:r>
      <w:r>
        <w:rPr>
          <w:rFonts w:eastAsia="Verdana" w:cs="Verdana"/>
        </w:rPr>
        <w:br/>
        <w:t>do kontaktów, przekazywania, przyjmowania powiadomień o wystąpieniu Wad i potwierdzania otrzymania powiadomienia o wystąpieniu Wady. Wykazy osób zostaną przekazane przez Strony w terminie 7 dni od daty przekazania dokumentu Gwarancji Jakości Zamawiającemu. O każdej zmianie takich osób, Strony obowiązane są informować się niezwłocznie, pod rygorem uznania ostatnio wskazanej osoby jako upoważnionej w myśl niniejszego postanowienia.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Wszelkie pisma, kierowane będą przez Strony na adresy podane w niniejszym dokumencie Gwarancji Jakości.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O zmianach w danych adresowych, o których mowa w punkcie 6.4, Strony obowiązane są informować się niezwłocznie, nie później niż 7 dni od chwili zaistnienia zmian, pod rygorem uznania wysłania korespondencji pod ostatnio znany adres za skutecznie doręczoną.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Gwarant jest obowiązany w terminie 7 dni od daty złożenia wniosku o ogłoszenie upadłości powiadomić pisemnie o tym fakcie Zamawiającego.</w:t>
      </w:r>
    </w:p>
    <w:p w:rsidR="00877049" w:rsidRDefault="003E20F1">
      <w:pPr>
        <w:pStyle w:val="Nagwek2"/>
        <w:numPr>
          <w:ilvl w:val="0"/>
          <w:numId w:val="25"/>
        </w:numPr>
        <w:rPr>
          <w:rFonts w:eastAsia="Verdana"/>
        </w:rPr>
      </w:pPr>
      <w:bookmarkStart w:id="18" w:name="_Toc455047572"/>
      <w:bookmarkStart w:id="19" w:name="_Toc474314712"/>
      <w:r>
        <w:rPr>
          <w:rFonts w:eastAsia="Verdana"/>
        </w:rPr>
        <w:t>Postanowienia końcowe</w:t>
      </w:r>
      <w:bookmarkEnd w:id="18"/>
      <w:bookmarkEnd w:id="19"/>
      <w:r>
        <w:rPr>
          <w:rFonts w:eastAsia="Verdana"/>
        </w:rPr>
        <w:t xml:space="preserve"> 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Arial"/>
        </w:rPr>
      </w:pPr>
      <w:r>
        <w:rPr>
          <w:rFonts w:eastAsia="Verdana" w:cs="Verdana"/>
        </w:rPr>
        <w:t>W sprawach nieuregulowanych niniejszą Gwarancją Jakości zastosowanie mają odpowiednie przepisy prawa polskiego, w szczególności ustawy - Kodeks Cywilny oraz ustawa - Prawo Zamówień Publicznych.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t>Niniejsza Gwarancja Jakości stanowi integralną część Umowy.</w:t>
      </w:r>
    </w:p>
    <w:p w:rsidR="00877049" w:rsidRDefault="003E20F1">
      <w:pPr>
        <w:pStyle w:val="Akapitzlist"/>
        <w:numPr>
          <w:ilvl w:val="1"/>
          <w:numId w:val="25"/>
        </w:numPr>
        <w:spacing w:before="120" w:after="120"/>
        <w:ind w:left="567" w:right="63" w:hanging="567"/>
        <w:contextualSpacing w:val="0"/>
        <w:jc w:val="both"/>
        <w:rPr>
          <w:rFonts w:eastAsia="Verdana" w:cs="Verdana"/>
        </w:rPr>
      </w:pPr>
      <w:r>
        <w:rPr>
          <w:rFonts w:eastAsia="Verdana" w:cs="Verdana"/>
        </w:rPr>
        <w:lastRenderedPageBreak/>
        <w:t xml:space="preserve"> </w:t>
      </w:r>
      <w:r>
        <w:t>Ewentualne zmiany do Gwarancji Jakości wymagają uprzedniej zgody Zamawiającego wyrażonej w formie pisemnej pod rygorem nieważności.</w:t>
      </w:r>
    </w:p>
    <w:p w:rsidR="00877049" w:rsidRDefault="00877049">
      <w:pPr>
        <w:spacing w:before="120" w:after="120"/>
        <w:ind w:left="-5" w:hanging="10"/>
        <w:rPr>
          <w:rFonts w:eastAsia="Verdana" w:cs="Verdana"/>
          <w:b/>
        </w:rPr>
      </w:pPr>
    </w:p>
    <w:p w:rsidR="00877049" w:rsidRDefault="003E20F1">
      <w:pPr>
        <w:spacing w:before="120" w:after="120"/>
        <w:ind w:left="-5" w:hanging="10"/>
        <w:rPr>
          <w:rFonts w:eastAsia="Verdana" w:cs="Verdana"/>
        </w:rPr>
      </w:pPr>
      <w:r>
        <w:rPr>
          <w:rFonts w:eastAsia="Verdana" w:cs="Verdana"/>
          <w:b/>
        </w:rPr>
        <w:t xml:space="preserve">PODPISY I PIECZĘCIE </w:t>
      </w:r>
    </w:p>
    <w:p w:rsidR="00877049" w:rsidRDefault="003E20F1">
      <w:pPr>
        <w:spacing w:before="120" w:after="120"/>
        <w:ind w:left="-5" w:hanging="10"/>
        <w:rPr>
          <w:rFonts w:eastAsia="Verdana" w:cs="Verdana"/>
        </w:rPr>
      </w:pPr>
      <w:r>
        <w:rPr>
          <w:rFonts w:eastAsia="Verdana" w:cs="Verdana"/>
          <w:b/>
        </w:rPr>
        <w:t xml:space="preserve">W imieniu Gwaranta: </w:t>
      </w:r>
    </w:p>
    <w:p w:rsidR="00877049" w:rsidRDefault="00877049">
      <w:pPr>
        <w:spacing w:after="0" w:line="240" w:lineRule="auto"/>
        <w:rPr>
          <w:rFonts w:eastAsia="Times New Roman"/>
          <w:b/>
          <w:bCs/>
          <w:szCs w:val="32"/>
        </w:rPr>
      </w:pPr>
      <w:bookmarkStart w:id="20" w:name="_Toc408483500"/>
      <w:bookmarkStart w:id="21" w:name="_Toc408483793"/>
      <w:bookmarkStart w:id="22" w:name="_Toc408484180"/>
      <w:bookmarkStart w:id="23" w:name="_Toc455047573"/>
      <w:bookmarkStart w:id="24" w:name="_Toc474314713"/>
      <w:bookmarkEnd w:id="0"/>
      <w:bookmarkEnd w:id="20"/>
      <w:bookmarkEnd w:id="21"/>
      <w:bookmarkEnd w:id="22"/>
      <w:bookmarkEnd w:id="23"/>
      <w:bookmarkEnd w:id="24"/>
    </w:p>
    <w:sectPr w:rsidR="00877049">
      <w:footerReference w:type="default" r:id="rId8"/>
      <w:pgSz w:w="11906" w:h="16838"/>
      <w:pgMar w:top="709" w:right="1274" w:bottom="1276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90" w:rsidRDefault="007E0290">
      <w:pPr>
        <w:spacing w:after="0" w:line="240" w:lineRule="auto"/>
      </w:pPr>
      <w:r>
        <w:separator/>
      </w:r>
    </w:p>
  </w:endnote>
  <w:endnote w:type="continuationSeparator" w:id="0">
    <w:p w:rsidR="007E0290" w:rsidRDefault="007E0290">
      <w:pPr>
        <w:spacing w:after="0" w:line="240" w:lineRule="auto"/>
      </w:pPr>
      <w:r>
        <w:continuationSeparator/>
      </w:r>
    </w:p>
  </w:endnote>
  <w:endnote w:type="continuationNotice" w:id="1">
    <w:p w:rsidR="007E0290" w:rsidRDefault="007E0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49" w:rsidRDefault="003E20F1">
    <w:pPr>
      <w:pStyle w:val="Stopka"/>
      <w:jc w:val="center"/>
    </w:pPr>
    <w:r>
      <w:rPr>
        <w:w w:val="90"/>
      </w:rPr>
      <w:fldChar w:fldCharType="begin"/>
    </w:r>
    <w:r>
      <w:rPr>
        <w:w w:val="90"/>
      </w:rPr>
      <w:instrText>PAGE   \* MERGEFORMAT</w:instrText>
    </w:r>
    <w:r>
      <w:rPr>
        <w:w w:val="90"/>
      </w:rPr>
      <w:fldChar w:fldCharType="separate"/>
    </w:r>
    <w:r w:rsidR="00E1338B">
      <w:rPr>
        <w:noProof/>
        <w:w w:val="90"/>
      </w:rPr>
      <w:t>2</w:t>
    </w:r>
    <w:r>
      <w:rPr>
        <w:w w:val="9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90" w:rsidRDefault="007E0290">
      <w:pPr>
        <w:spacing w:after="0" w:line="240" w:lineRule="auto"/>
      </w:pPr>
      <w:r>
        <w:separator/>
      </w:r>
    </w:p>
  </w:footnote>
  <w:footnote w:type="continuationSeparator" w:id="0">
    <w:p w:rsidR="007E0290" w:rsidRDefault="007E0290">
      <w:pPr>
        <w:spacing w:after="0" w:line="240" w:lineRule="auto"/>
      </w:pPr>
      <w:r>
        <w:continuationSeparator/>
      </w:r>
    </w:p>
  </w:footnote>
  <w:footnote w:type="continuationNotice" w:id="1">
    <w:p w:rsidR="007E0290" w:rsidRDefault="007E02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2A7"/>
    <w:multiLevelType w:val="multilevel"/>
    <w:tmpl w:val="DC80B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C57A09"/>
    <w:multiLevelType w:val="hybridMultilevel"/>
    <w:tmpl w:val="8DFA497E"/>
    <w:lvl w:ilvl="0" w:tplc="50B20F26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4D9E"/>
    <w:multiLevelType w:val="hybridMultilevel"/>
    <w:tmpl w:val="58761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A56D5"/>
    <w:multiLevelType w:val="hybridMultilevel"/>
    <w:tmpl w:val="177E7E6E"/>
    <w:lvl w:ilvl="0" w:tplc="E0AA71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E1D10"/>
    <w:multiLevelType w:val="hybridMultilevel"/>
    <w:tmpl w:val="75640DF4"/>
    <w:lvl w:ilvl="0" w:tplc="3BD0F7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6EF1"/>
    <w:multiLevelType w:val="hybridMultilevel"/>
    <w:tmpl w:val="AA24D724"/>
    <w:lvl w:ilvl="0" w:tplc="4CCC88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05757A"/>
    <w:multiLevelType w:val="hybridMultilevel"/>
    <w:tmpl w:val="F85ED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B7AAB"/>
    <w:multiLevelType w:val="hybridMultilevel"/>
    <w:tmpl w:val="65A26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97FAA"/>
    <w:multiLevelType w:val="hybridMultilevel"/>
    <w:tmpl w:val="F790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BCE"/>
    <w:multiLevelType w:val="multilevel"/>
    <w:tmpl w:val="56487C10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E2C7313"/>
    <w:multiLevelType w:val="hybridMultilevel"/>
    <w:tmpl w:val="EA0A0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B4672"/>
    <w:multiLevelType w:val="hybridMultilevel"/>
    <w:tmpl w:val="EA067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17E80"/>
    <w:multiLevelType w:val="hybridMultilevel"/>
    <w:tmpl w:val="6A22F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A12E7"/>
    <w:multiLevelType w:val="hybridMultilevel"/>
    <w:tmpl w:val="C71E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067C3"/>
    <w:multiLevelType w:val="hybridMultilevel"/>
    <w:tmpl w:val="E056D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A756C"/>
    <w:multiLevelType w:val="hybridMultilevel"/>
    <w:tmpl w:val="1134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3454C"/>
    <w:multiLevelType w:val="hybridMultilevel"/>
    <w:tmpl w:val="553EB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55410"/>
    <w:multiLevelType w:val="hybridMultilevel"/>
    <w:tmpl w:val="82FA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42D1E"/>
    <w:multiLevelType w:val="hybridMultilevel"/>
    <w:tmpl w:val="047E99B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2A675FF6"/>
    <w:multiLevelType w:val="hybridMultilevel"/>
    <w:tmpl w:val="6F1C15D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2F632CA9"/>
    <w:multiLevelType w:val="hybridMultilevel"/>
    <w:tmpl w:val="27B0D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30413"/>
    <w:multiLevelType w:val="hybridMultilevel"/>
    <w:tmpl w:val="8C6CB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4274E"/>
    <w:multiLevelType w:val="hybridMultilevel"/>
    <w:tmpl w:val="37DA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4405F"/>
    <w:multiLevelType w:val="hybridMultilevel"/>
    <w:tmpl w:val="775EB7E4"/>
    <w:lvl w:ilvl="0" w:tplc="1E48256C">
      <w:start w:val="1"/>
      <w:numFmt w:val="lowerLetter"/>
      <w:lvlText w:val="%1)"/>
      <w:lvlJc w:val="left"/>
      <w:pPr>
        <w:ind w:left="8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CE06C">
      <w:start w:val="1"/>
      <w:numFmt w:val="lowerLetter"/>
      <w:lvlText w:val="%2"/>
      <w:lvlJc w:val="left"/>
      <w:pPr>
        <w:ind w:left="1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78D0D4">
      <w:start w:val="1"/>
      <w:numFmt w:val="lowerRoman"/>
      <w:lvlText w:val="%3"/>
      <w:lvlJc w:val="left"/>
      <w:pPr>
        <w:ind w:left="2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C0F96">
      <w:start w:val="1"/>
      <w:numFmt w:val="decimal"/>
      <w:lvlText w:val="%4"/>
      <w:lvlJc w:val="left"/>
      <w:pPr>
        <w:ind w:left="3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A20CA">
      <w:start w:val="1"/>
      <w:numFmt w:val="lowerLetter"/>
      <w:lvlText w:val="%5"/>
      <w:lvlJc w:val="left"/>
      <w:pPr>
        <w:ind w:left="3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2E11E">
      <w:start w:val="1"/>
      <w:numFmt w:val="lowerRoman"/>
      <w:lvlText w:val="%6"/>
      <w:lvlJc w:val="left"/>
      <w:pPr>
        <w:ind w:left="4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98FAC0">
      <w:start w:val="1"/>
      <w:numFmt w:val="decimal"/>
      <w:lvlText w:val="%7"/>
      <w:lvlJc w:val="left"/>
      <w:pPr>
        <w:ind w:left="5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4C19F0">
      <w:start w:val="1"/>
      <w:numFmt w:val="lowerLetter"/>
      <w:lvlText w:val="%8"/>
      <w:lvlJc w:val="left"/>
      <w:pPr>
        <w:ind w:left="5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8295C">
      <w:start w:val="1"/>
      <w:numFmt w:val="lowerRoman"/>
      <w:lvlText w:val="%9"/>
      <w:lvlJc w:val="left"/>
      <w:pPr>
        <w:ind w:left="6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21548C"/>
    <w:multiLevelType w:val="hybridMultilevel"/>
    <w:tmpl w:val="6C5C9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D3919"/>
    <w:multiLevelType w:val="multilevel"/>
    <w:tmpl w:val="D2F47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C8322DA"/>
    <w:multiLevelType w:val="hybridMultilevel"/>
    <w:tmpl w:val="775EB7E4"/>
    <w:lvl w:ilvl="0" w:tplc="1E48256C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CE06C">
      <w:start w:val="1"/>
      <w:numFmt w:val="lowerLetter"/>
      <w:lvlText w:val="%2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78D0D4">
      <w:start w:val="1"/>
      <w:numFmt w:val="lowerRoman"/>
      <w:lvlText w:val="%3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C0F96">
      <w:start w:val="1"/>
      <w:numFmt w:val="decimal"/>
      <w:lvlText w:val="%4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A20CA">
      <w:start w:val="1"/>
      <w:numFmt w:val="lowerLetter"/>
      <w:lvlText w:val="%5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2E11E">
      <w:start w:val="1"/>
      <w:numFmt w:val="lowerRoman"/>
      <w:lvlText w:val="%6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98FAC0">
      <w:start w:val="1"/>
      <w:numFmt w:val="decimal"/>
      <w:lvlText w:val="%7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4C19F0">
      <w:start w:val="1"/>
      <w:numFmt w:val="lowerLetter"/>
      <w:lvlText w:val="%8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8295C">
      <w:start w:val="1"/>
      <w:numFmt w:val="lowerRoman"/>
      <w:lvlText w:val="%9"/>
      <w:lvlJc w:val="left"/>
      <w:pPr>
        <w:ind w:left="6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7B0427"/>
    <w:multiLevelType w:val="hybridMultilevel"/>
    <w:tmpl w:val="03DC8A24"/>
    <w:lvl w:ilvl="0" w:tplc="4AFE66BE">
      <w:start w:val="1"/>
      <w:numFmt w:val="bullet"/>
      <w:lvlText w:val=""/>
      <w:lvlJc w:val="left"/>
      <w:pPr>
        <w:ind w:left="345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8" w15:restartNumberingAfterBreak="0">
    <w:nsid w:val="4119236E"/>
    <w:multiLevelType w:val="hybridMultilevel"/>
    <w:tmpl w:val="C8A264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F81378"/>
    <w:multiLevelType w:val="hybridMultilevel"/>
    <w:tmpl w:val="152EE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10A31"/>
    <w:multiLevelType w:val="hybridMultilevel"/>
    <w:tmpl w:val="16D8B846"/>
    <w:lvl w:ilvl="0" w:tplc="AC2EFE94">
      <w:start w:val="1"/>
      <w:numFmt w:val="lowerLetter"/>
      <w:lvlText w:val="%1)"/>
      <w:lvlJc w:val="left"/>
      <w:pPr>
        <w:ind w:left="78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44233E69"/>
    <w:multiLevelType w:val="hybridMultilevel"/>
    <w:tmpl w:val="0E402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F4C2C"/>
    <w:multiLevelType w:val="multilevel"/>
    <w:tmpl w:val="B8AAEF6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4D275E2"/>
    <w:multiLevelType w:val="hybridMultilevel"/>
    <w:tmpl w:val="807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E609A"/>
    <w:multiLevelType w:val="hybridMultilevel"/>
    <w:tmpl w:val="8710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D40763"/>
    <w:multiLevelType w:val="hybridMultilevel"/>
    <w:tmpl w:val="E736C27C"/>
    <w:lvl w:ilvl="0" w:tplc="1E48256C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CE06C">
      <w:start w:val="1"/>
      <w:numFmt w:val="lowerLetter"/>
      <w:lvlText w:val="%2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78D0D4">
      <w:start w:val="1"/>
      <w:numFmt w:val="lowerRoman"/>
      <w:lvlText w:val="%3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C0F96">
      <w:start w:val="1"/>
      <w:numFmt w:val="decimal"/>
      <w:lvlText w:val="%4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A20CA">
      <w:start w:val="1"/>
      <w:numFmt w:val="lowerLetter"/>
      <w:lvlText w:val="%5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2E11E">
      <w:start w:val="1"/>
      <w:numFmt w:val="lowerRoman"/>
      <w:lvlText w:val="%6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98FAC0">
      <w:start w:val="1"/>
      <w:numFmt w:val="decimal"/>
      <w:lvlText w:val="%7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4C19F0">
      <w:start w:val="1"/>
      <w:numFmt w:val="lowerLetter"/>
      <w:lvlText w:val="%8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8295C">
      <w:start w:val="1"/>
      <w:numFmt w:val="lowerRoman"/>
      <w:lvlText w:val="%9"/>
      <w:lvlJc w:val="left"/>
      <w:pPr>
        <w:ind w:left="6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A43C93"/>
    <w:multiLevelType w:val="hybridMultilevel"/>
    <w:tmpl w:val="10888512"/>
    <w:lvl w:ilvl="0" w:tplc="3BD0F7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C7079"/>
    <w:multiLevelType w:val="hybridMultilevel"/>
    <w:tmpl w:val="3EA218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4866635"/>
    <w:multiLevelType w:val="multilevel"/>
    <w:tmpl w:val="0098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55F97DBC"/>
    <w:multiLevelType w:val="hybridMultilevel"/>
    <w:tmpl w:val="F520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D87B1B"/>
    <w:multiLevelType w:val="hybridMultilevel"/>
    <w:tmpl w:val="0C8E0D6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33774AF"/>
    <w:multiLevelType w:val="hybridMultilevel"/>
    <w:tmpl w:val="455C4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73DA3"/>
    <w:multiLevelType w:val="hybridMultilevel"/>
    <w:tmpl w:val="3BC691D0"/>
    <w:lvl w:ilvl="0" w:tplc="0DEC8A40">
      <w:start w:val="1"/>
      <w:numFmt w:val="lowerLetter"/>
      <w:lvlText w:val="%1)"/>
      <w:lvlJc w:val="left"/>
      <w:pPr>
        <w:ind w:left="1445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7AD2B16"/>
    <w:multiLevelType w:val="hybridMultilevel"/>
    <w:tmpl w:val="ABFA0A2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6A424279"/>
    <w:multiLevelType w:val="hybridMultilevel"/>
    <w:tmpl w:val="841CC0B2"/>
    <w:lvl w:ilvl="0" w:tplc="F68E69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A0051"/>
    <w:multiLevelType w:val="hybridMultilevel"/>
    <w:tmpl w:val="88FCA9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D494F92"/>
    <w:multiLevelType w:val="hybridMultilevel"/>
    <w:tmpl w:val="C26C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82A0E"/>
    <w:multiLevelType w:val="hybridMultilevel"/>
    <w:tmpl w:val="F222C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E0635"/>
    <w:multiLevelType w:val="hybridMultilevel"/>
    <w:tmpl w:val="AD2848C8"/>
    <w:lvl w:ilvl="0" w:tplc="FCD659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86228FE"/>
    <w:multiLevelType w:val="hybridMultilevel"/>
    <w:tmpl w:val="9D1A85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9632DDE"/>
    <w:multiLevelType w:val="hybridMultilevel"/>
    <w:tmpl w:val="7346E21C"/>
    <w:lvl w:ilvl="0" w:tplc="3BD0F7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A7C91"/>
    <w:multiLevelType w:val="hybridMultilevel"/>
    <w:tmpl w:val="AC526168"/>
    <w:lvl w:ilvl="0" w:tplc="63506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86346C"/>
    <w:multiLevelType w:val="hybridMultilevel"/>
    <w:tmpl w:val="AA86400A"/>
    <w:lvl w:ilvl="0" w:tplc="80A243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937AA"/>
    <w:multiLevelType w:val="hybridMultilevel"/>
    <w:tmpl w:val="8AAEDFC0"/>
    <w:lvl w:ilvl="0" w:tplc="4CCC88C2">
      <w:start w:val="1"/>
      <w:numFmt w:val="bullet"/>
      <w:lvlText w:val=""/>
      <w:lvlJc w:val="left"/>
      <w:pPr>
        <w:ind w:left="-2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30"/>
  </w:num>
  <w:num w:numId="4">
    <w:abstractNumId w:val="41"/>
  </w:num>
  <w:num w:numId="5">
    <w:abstractNumId w:val="3"/>
  </w:num>
  <w:num w:numId="6">
    <w:abstractNumId w:val="13"/>
  </w:num>
  <w:num w:numId="7">
    <w:abstractNumId w:val="14"/>
  </w:num>
  <w:num w:numId="8">
    <w:abstractNumId w:val="52"/>
  </w:num>
  <w:num w:numId="9">
    <w:abstractNumId w:val="39"/>
  </w:num>
  <w:num w:numId="10">
    <w:abstractNumId w:val="46"/>
  </w:num>
  <w:num w:numId="11">
    <w:abstractNumId w:val="44"/>
  </w:num>
  <w:num w:numId="12">
    <w:abstractNumId w:val="16"/>
  </w:num>
  <w:num w:numId="13">
    <w:abstractNumId w:val="34"/>
  </w:num>
  <w:num w:numId="14">
    <w:abstractNumId w:val="4"/>
  </w:num>
  <w:num w:numId="15">
    <w:abstractNumId w:val="8"/>
  </w:num>
  <w:num w:numId="16">
    <w:abstractNumId w:val="36"/>
  </w:num>
  <w:num w:numId="17">
    <w:abstractNumId w:val="17"/>
  </w:num>
  <w:num w:numId="18">
    <w:abstractNumId w:val="29"/>
  </w:num>
  <w:num w:numId="19">
    <w:abstractNumId w:val="45"/>
  </w:num>
  <w:num w:numId="20">
    <w:abstractNumId w:val="42"/>
  </w:num>
  <w:num w:numId="21">
    <w:abstractNumId w:val="15"/>
  </w:num>
  <w:num w:numId="22">
    <w:abstractNumId w:val="10"/>
  </w:num>
  <w:num w:numId="23">
    <w:abstractNumId w:val="50"/>
  </w:num>
  <w:num w:numId="24">
    <w:abstractNumId w:val="23"/>
  </w:num>
  <w:num w:numId="25">
    <w:abstractNumId w:val="25"/>
  </w:num>
  <w:num w:numId="26">
    <w:abstractNumId w:val="26"/>
  </w:num>
  <w:num w:numId="27">
    <w:abstractNumId w:val="35"/>
  </w:num>
  <w:num w:numId="28">
    <w:abstractNumId w:val="24"/>
  </w:num>
  <w:num w:numId="29">
    <w:abstractNumId w:val="32"/>
  </w:num>
  <w:num w:numId="30">
    <w:abstractNumId w:val="51"/>
  </w:num>
  <w:num w:numId="31">
    <w:abstractNumId w:val="0"/>
  </w:num>
  <w:num w:numId="32">
    <w:abstractNumId w:val="11"/>
  </w:num>
  <w:num w:numId="33">
    <w:abstractNumId w:val="43"/>
  </w:num>
  <w:num w:numId="34">
    <w:abstractNumId w:val="37"/>
  </w:num>
  <w:num w:numId="35">
    <w:abstractNumId w:val="49"/>
  </w:num>
  <w:num w:numId="36">
    <w:abstractNumId w:val="6"/>
  </w:num>
  <w:num w:numId="37">
    <w:abstractNumId w:val="7"/>
  </w:num>
  <w:num w:numId="38">
    <w:abstractNumId w:val="2"/>
  </w:num>
  <w:num w:numId="39">
    <w:abstractNumId w:val="47"/>
  </w:num>
  <w:num w:numId="40">
    <w:abstractNumId w:val="21"/>
  </w:num>
  <w:num w:numId="41">
    <w:abstractNumId w:val="12"/>
  </w:num>
  <w:num w:numId="42">
    <w:abstractNumId w:val="31"/>
  </w:num>
  <w:num w:numId="43">
    <w:abstractNumId w:val="22"/>
  </w:num>
  <w:num w:numId="44">
    <w:abstractNumId w:val="20"/>
  </w:num>
  <w:num w:numId="45">
    <w:abstractNumId w:val="48"/>
  </w:num>
  <w:num w:numId="46">
    <w:abstractNumId w:val="33"/>
  </w:num>
  <w:num w:numId="47">
    <w:abstractNumId w:val="28"/>
  </w:num>
  <w:num w:numId="48">
    <w:abstractNumId w:val="18"/>
  </w:num>
  <w:num w:numId="49">
    <w:abstractNumId w:val="53"/>
  </w:num>
  <w:num w:numId="50">
    <w:abstractNumId w:val="40"/>
  </w:num>
  <w:num w:numId="51">
    <w:abstractNumId w:val="5"/>
  </w:num>
  <w:num w:numId="52">
    <w:abstractNumId w:val="9"/>
  </w:num>
  <w:num w:numId="53">
    <w:abstractNumId w:val="27"/>
  </w:num>
  <w:num w:numId="54">
    <w:abstractNumId w:val="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49"/>
    <w:rsid w:val="001A1E2B"/>
    <w:rsid w:val="003533E0"/>
    <w:rsid w:val="003E20F1"/>
    <w:rsid w:val="00455E43"/>
    <w:rsid w:val="0074161A"/>
    <w:rsid w:val="007E0290"/>
    <w:rsid w:val="0080435B"/>
    <w:rsid w:val="00877049"/>
    <w:rsid w:val="00896E3E"/>
    <w:rsid w:val="009B2F49"/>
    <w:rsid w:val="00C80591"/>
    <w:rsid w:val="00CD0CC9"/>
    <w:rsid w:val="00E1338B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DE86E-0727-4979-9E50-69F2B63C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120" w:after="12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120" w:after="120"/>
      <w:outlineLvl w:val="1"/>
    </w:pPr>
    <w:rPr>
      <w:rFonts w:eastAsia="Times New Roman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Pr>
      <w:rFonts w:eastAsia="Times New Roman"/>
      <w:b/>
      <w:bCs/>
      <w:kern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pPr>
      <w:tabs>
        <w:tab w:val="left" w:pos="426"/>
        <w:tab w:val="right" w:leader="do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pPr>
      <w:spacing w:after="100"/>
      <w:ind w:left="440"/>
    </w:pPr>
    <w:rPr>
      <w:rFonts w:eastAsia="Times New Roman"/>
    </w:rPr>
  </w:style>
  <w:style w:type="character" w:customStyle="1" w:styleId="Nagwek2Znak">
    <w:name w:val="Nagłówek 2 Znak"/>
    <w:link w:val="Nagwek2"/>
    <w:uiPriority w:val="9"/>
    <w:rPr>
      <w:rFonts w:eastAsia="Times New Roman"/>
      <w:b/>
      <w:bCs/>
      <w:iCs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Verdana" w:eastAsia="Times New Roman" w:hAnsi="Verdana" w:cs="Times New Roman"/>
      <w:b/>
      <w:bCs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table" w:customStyle="1" w:styleId="TableGrid">
    <w:name w:val="TableGrid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</w:style>
  <w:style w:type="table" w:customStyle="1" w:styleId="Siatkatabelijasna1">
    <w:name w:val="Siatka tabeli — jasna1"/>
    <w:basedOn w:val="Standardowy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Bodytext">
    <w:name w:val="Body text_"/>
    <w:basedOn w:val="Domylnaczcionkaakapitu"/>
    <w:link w:val="Tekstpodstawowy7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pPr>
      <w:shd w:val="clear" w:color="auto" w:fill="FFFFFF"/>
      <w:spacing w:before="240" w:after="60" w:line="250" w:lineRule="exact"/>
      <w:ind w:hanging="740"/>
      <w:jc w:val="both"/>
    </w:pPr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0DAE-A23A-4E1B-8441-D3CB760C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13347</CharactersWithSpaces>
  <SharedDoc>false</SharedDoc>
  <HLinks>
    <vt:vector size="96" baseType="variant"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_Toc408484186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_Toc408484185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_Toc408484184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_Toc408484183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_Toc408484182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_Toc408484181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_Toc408484180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_Toc408484179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_Toc408484178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_Toc408484177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_Toc408484176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_Toc408484175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_Toc408484174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_Toc408484173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_Toc408484172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_Toc408484171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Bukowski Leszek</dc:creator>
  <cp:lastModifiedBy>Wysocki Bartosz</cp:lastModifiedBy>
  <cp:revision>2</cp:revision>
  <cp:lastPrinted>2021-02-11T14:42:00Z</cp:lastPrinted>
  <dcterms:created xsi:type="dcterms:W3CDTF">2023-06-29T10:32:00Z</dcterms:created>
  <dcterms:modified xsi:type="dcterms:W3CDTF">2023-06-29T10:32:00Z</dcterms:modified>
</cp:coreProperties>
</file>