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E8" w:rsidRPr="007F4D91" w:rsidRDefault="004402E8" w:rsidP="004402E8">
      <w:pPr>
        <w:pStyle w:val="ECHRDecisionBody"/>
        <w:spacing w:after="120"/>
        <w:jc w:val="both"/>
        <w:rPr>
          <w:rFonts w:ascii="Arial" w:hAnsi="Arial" w:cs="Arial"/>
          <w:sz w:val="20"/>
          <w:szCs w:val="20"/>
          <w:lang w:val="en-US"/>
        </w:rPr>
      </w:pPr>
      <w:r w:rsidRPr="007F4D91">
        <w:rPr>
          <w:rFonts w:ascii="Arial" w:hAnsi="Arial" w:cs="Arial"/>
          <w:sz w:val="20"/>
          <w:szCs w:val="20"/>
          <w:lang w:val="en-US"/>
        </w:rPr>
        <w:t xml:space="preserve">© </w:t>
      </w:r>
      <w:proofErr w:type="spellStart"/>
      <w:r w:rsidRPr="004402E8">
        <w:rPr>
          <w:rFonts w:ascii="Arial" w:hAnsi="Arial" w:cs="Arial"/>
          <w:sz w:val="20"/>
          <w:szCs w:val="20"/>
          <w:lang w:val="en-US"/>
        </w:rPr>
        <w:t>Prokurator</w:t>
      </w:r>
      <w:proofErr w:type="spellEnd"/>
      <w:r w:rsidRPr="007F4D91">
        <w:rPr>
          <w:rFonts w:ascii="Arial" w:hAnsi="Arial" w:cs="Arial"/>
          <w:sz w:val="20"/>
          <w:szCs w:val="20"/>
          <w:lang w:val="en-US"/>
        </w:rPr>
        <w:t xml:space="preserve"> </w:t>
      </w:r>
      <w:proofErr w:type="spellStart"/>
      <w:r w:rsidRPr="004402E8">
        <w:rPr>
          <w:rFonts w:ascii="Arial" w:hAnsi="Arial" w:cs="Arial"/>
          <w:sz w:val="20"/>
          <w:szCs w:val="20"/>
          <w:lang w:val="en-US"/>
        </w:rPr>
        <w:t>Generalny</w:t>
      </w:r>
      <w:proofErr w:type="spellEnd"/>
      <w:r w:rsidRPr="007F4D91">
        <w:rPr>
          <w:rFonts w:ascii="Arial" w:hAnsi="Arial" w:cs="Arial"/>
          <w:sz w:val="20"/>
          <w:szCs w:val="20"/>
          <w:lang w:val="en-US"/>
        </w:rPr>
        <w:t xml:space="preserve"> – Minister Sprawiedliwości, www.pk.gov.pl [Translation already published on the official websites of the Polish National Prosecutor’s Office and the Ministry of Justice]</w:t>
      </w:r>
    </w:p>
    <w:p w:rsidR="004402E8" w:rsidRPr="004402E8" w:rsidRDefault="004402E8" w:rsidP="004402E8">
      <w:pPr>
        <w:pStyle w:val="ECHRDecisionBody"/>
        <w:spacing w:after="120"/>
        <w:jc w:val="both"/>
        <w:rPr>
          <w:rFonts w:ascii="Arial" w:hAnsi="Arial" w:cs="Arial"/>
          <w:sz w:val="20"/>
          <w:szCs w:val="20"/>
          <w:lang w:val="en-US"/>
        </w:rPr>
      </w:pPr>
      <w:r w:rsidRPr="007F4D91">
        <w:rPr>
          <w:rFonts w:ascii="Arial" w:hAnsi="Arial" w:cs="Arial"/>
          <w:sz w:val="20"/>
          <w:szCs w:val="20"/>
          <w:lang w:val="en-US"/>
        </w:rPr>
        <w:t>Permission to re-publish this translation has been granted by the Polish Prosecutor General for the sole purpose of its inclusion in the Court’s database HUDOC</w:t>
      </w:r>
    </w:p>
    <w:p w:rsidR="004402E8" w:rsidRPr="007F4D91" w:rsidRDefault="004402E8" w:rsidP="004402E8">
      <w:pPr>
        <w:pStyle w:val="ECHRDecisionBody"/>
        <w:spacing w:after="120"/>
        <w:jc w:val="both"/>
        <w:rPr>
          <w:rFonts w:ascii="Arial" w:hAnsi="Arial" w:cs="Arial"/>
          <w:sz w:val="20"/>
          <w:szCs w:val="20"/>
        </w:rPr>
      </w:pPr>
      <w:r w:rsidRPr="007F4D91">
        <w:rPr>
          <w:rFonts w:ascii="Arial" w:hAnsi="Arial" w:cs="Arial"/>
          <w:sz w:val="20"/>
          <w:szCs w:val="20"/>
        </w:rPr>
        <w:t>© Prokurator Generalny – Minister Sprawiedliwości, www.pk.gov.pl [Tłumaczenie zostało już opublikowane na oficjalnej stronie Prokuratury Krajowej i Ministerstwa Sprawiedliwości]</w:t>
      </w:r>
    </w:p>
    <w:p w:rsidR="004402E8" w:rsidRPr="007F4D91" w:rsidRDefault="004402E8" w:rsidP="004402E8">
      <w:pPr>
        <w:pStyle w:val="ECHRDecisionBody"/>
        <w:spacing w:after="120"/>
        <w:jc w:val="both"/>
        <w:rPr>
          <w:rFonts w:ascii="Arial" w:hAnsi="Arial" w:cs="Arial"/>
          <w:sz w:val="20"/>
          <w:szCs w:val="20"/>
        </w:rPr>
      </w:pPr>
      <w:r w:rsidRPr="007F4D91">
        <w:rPr>
          <w:rFonts w:ascii="Arial" w:hAnsi="Arial" w:cs="Arial"/>
          <w:sz w:val="20"/>
          <w:szCs w:val="20"/>
        </w:rPr>
        <w:t>Zezwolenie na publikację tego tłumaczenia zostało udzielone przez Prokuratora Generalnego wyłącznie w celu zamieszczenia w bazie Trybunału HUDOC</w:t>
      </w:r>
    </w:p>
    <w:p w:rsidR="006C5B9E" w:rsidRPr="006B0F5A" w:rsidRDefault="006C5B9E" w:rsidP="006B0F5A">
      <w:pPr>
        <w:jc w:val="center"/>
      </w:pPr>
    </w:p>
    <w:p w:rsidR="00165502" w:rsidRDefault="00165502" w:rsidP="00165502">
      <w:pPr>
        <w:pStyle w:val="ECHRDecisionBody"/>
        <w:jc w:val="center"/>
      </w:pPr>
      <w:r>
        <w:t>EUROPEJSKI TRYBUNAŁ PRAW CZŁOWIEKA</w:t>
      </w:r>
    </w:p>
    <w:p w:rsidR="00CE0EAD" w:rsidRPr="006B0F5A" w:rsidRDefault="00CE0EAD" w:rsidP="006B0F5A">
      <w:pPr>
        <w:jc w:val="center"/>
      </w:pPr>
    </w:p>
    <w:p w:rsidR="00CE0EAD" w:rsidRPr="006B0F5A" w:rsidRDefault="00CE0EAD" w:rsidP="006B0F5A">
      <w:pPr>
        <w:jc w:val="center"/>
      </w:pPr>
    </w:p>
    <w:p w:rsidR="006C5B9E" w:rsidRPr="006B0F5A" w:rsidRDefault="000C201E" w:rsidP="006B0F5A">
      <w:pPr>
        <w:jc w:val="center"/>
      </w:pPr>
      <w:r>
        <w:t>SEKCJA PIERWSZA</w:t>
      </w:r>
    </w:p>
    <w:p w:rsidR="006C5B9E" w:rsidRPr="006B0F5A" w:rsidRDefault="006C5B9E" w:rsidP="006B0F5A">
      <w:pPr>
        <w:jc w:val="center"/>
      </w:pPr>
    </w:p>
    <w:p w:rsidR="00CE0EAD" w:rsidRPr="006B0F5A" w:rsidRDefault="00CE0EAD" w:rsidP="006B0F5A">
      <w:pPr>
        <w:jc w:val="center"/>
      </w:pPr>
    </w:p>
    <w:p w:rsidR="006C5B9E" w:rsidRPr="006B0F5A" w:rsidRDefault="000C201E" w:rsidP="006B0F5A">
      <w:pPr>
        <w:jc w:val="center"/>
        <w:rPr>
          <w:b/>
        </w:rPr>
      </w:pPr>
      <w:bookmarkStart w:id="0" w:name="To"/>
      <w:r>
        <w:rPr>
          <w:b/>
        </w:rPr>
        <w:t xml:space="preserve">SPRAWA </w:t>
      </w:r>
      <w:bookmarkEnd w:id="0"/>
      <w:r>
        <w:rPr>
          <w:b/>
        </w:rPr>
        <w:t>SÉRVULO &amp; ASSOCIADOS - SOCIEDADE DE ADVOGADOS, RL I INNI przeciwko PORTUGALII</w:t>
      </w:r>
    </w:p>
    <w:p w:rsidR="006C5B9E" w:rsidRPr="006B0F5A" w:rsidRDefault="006C5B9E" w:rsidP="006B0F5A">
      <w:pPr>
        <w:jc w:val="center"/>
      </w:pPr>
    </w:p>
    <w:p w:rsidR="00CE0EAD" w:rsidRPr="006B0F5A" w:rsidRDefault="000C201E" w:rsidP="006B0F5A">
      <w:pPr>
        <w:jc w:val="center"/>
        <w:rPr>
          <w:szCs w:val="24"/>
        </w:rPr>
      </w:pPr>
      <w:r>
        <w:rPr>
          <w:i/>
        </w:rPr>
        <w:t xml:space="preserve">(Skarga </w:t>
      </w:r>
      <w:r w:rsidRPr="007C07A9">
        <w:rPr>
          <w:i/>
        </w:rPr>
        <w:t>nr</w:t>
      </w:r>
      <w:r>
        <w:rPr>
          <w:i/>
        </w:rPr>
        <w:t xml:space="preserve"> 27013/10)</w:t>
      </w:r>
    </w:p>
    <w:p w:rsidR="00CE0EAD" w:rsidRPr="006B0F5A" w:rsidRDefault="00CE0EAD" w:rsidP="006B0F5A">
      <w:pPr>
        <w:jc w:val="center"/>
        <w:rPr>
          <w:szCs w:val="24"/>
        </w:rPr>
      </w:pPr>
    </w:p>
    <w:p w:rsidR="00CE0EAD" w:rsidRPr="006B0F5A" w:rsidRDefault="00CE0EAD" w:rsidP="006B0F5A">
      <w:pPr>
        <w:jc w:val="center"/>
        <w:rPr>
          <w:szCs w:val="24"/>
        </w:rPr>
      </w:pPr>
    </w:p>
    <w:p w:rsidR="00CE0EAD" w:rsidRPr="006B0F5A" w:rsidRDefault="00CE0EAD" w:rsidP="006B0F5A">
      <w:pPr>
        <w:jc w:val="center"/>
        <w:rPr>
          <w:szCs w:val="24"/>
        </w:rPr>
      </w:pPr>
    </w:p>
    <w:p w:rsidR="00CE0EAD" w:rsidRPr="006B0F5A" w:rsidRDefault="000C201E" w:rsidP="006B0F5A">
      <w:pPr>
        <w:jc w:val="center"/>
        <w:rPr>
          <w:szCs w:val="24"/>
        </w:rPr>
      </w:pPr>
      <w:r>
        <w:t>WYROK</w:t>
      </w:r>
    </w:p>
    <w:p w:rsidR="00CE0EAD" w:rsidRPr="006B0F5A" w:rsidRDefault="00CE0EAD" w:rsidP="006B0F5A">
      <w:pPr>
        <w:jc w:val="center"/>
        <w:rPr>
          <w:szCs w:val="24"/>
        </w:rPr>
      </w:pPr>
    </w:p>
    <w:p w:rsidR="00CE0EAD" w:rsidRPr="006B0F5A" w:rsidRDefault="00CE0EAD" w:rsidP="006B0F5A">
      <w:pPr>
        <w:jc w:val="center"/>
        <w:rPr>
          <w:szCs w:val="24"/>
        </w:rPr>
      </w:pPr>
    </w:p>
    <w:p w:rsidR="00CE0EAD" w:rsidRPr="006B0F5A" w:rsidRDefault="000C201E" w:rsidP="006B0F5A">
      <w:pPr>
        <w:jc w:val="center"/>
        <w:rPr>
          <w:szCs w:val="24"/>
        </w:rPr>
      </w:pPr>
      <w:r>
        <w:t>STRASBURG</w:t>
      </w:r>
    </w:p>
    <w:p w:rsidR="00CE0EAD" w:rsidRPr="006B0F5A" w:rsidRDefault="00CE0EAD" w:rsidP="006B0F5A">
      <w:pPr>
        <w:jc w:val="center"/>
        <w:rPr>
          <w:szCs w:val="24"/>
        </w:rPr>
      </w:pPr>
    </w:p>
    <w:p w:rsidR="00CE0EAD" w:rsidRPr="006B0F5A" w:rsidRDefault="000C201E" w:rsidP="006B0F5A">
      <w:pPr>
        <w:jc w:val="center"/>
        <w:rPr>
          <w:szCs w:val="24"/>
        </w:rPr>
      </w:pPr>
      <w:r>
        <w:t>3 września 2015</w:t>
      </w:r>
    </w:p>
    <w:p w:rsidR="00CE0EAD" w:rsidRPr="006B0F5A" w:rsidRDefault="00CE0EAD" w:rsidP="006B0F5A">
      <w:pPr>
        <w:jc w:val="center"/>
        <w:rPr>
          <w:szCs w:val="24"/>
        </w:rPr>
      </w:pPr>
    </w:p>
    <w:p w:rsidR="00AE3AB2" w:rsidRPr="006B0F5A" w:rsidRDefault="00AE3AB2" w:rsidP="006B0F5A">
      <w:pPr>
        <w:jc w:val="center"/>
        <w:rPr>
          <w:szCs w:val="24"/>
        </w:rPr>
      </w:pPr>
    </w:p>
    <w:p w:rsidR="006B0F5A" w:rsidRPr="006B0F5A" w:rsidRDefault="000C201E" w:rsidP="006B0F5A">
      <w:pPr>
        <w:pStyle w:val="jucase0"/>
        <w:ind w:firstLine="0"/>
        <w:jc w:val="center"/>
        <w:rPr>
          <w:color w:val="FF0000"/>
          <w:sz w:val="28"/>
          <w:szCs w:val="28"/>
          <w:u w:val="single"/>
        </w:rPr>
      </w:pPr>
      <w:r>
        <w:rPr>
          <w:color w:val="FF0000"/>
          <w:sz w:val="28"/>
          <w:u w:val="single"/>
        </w:rPr>
        <w:t>OSTATECZNY</w:t>
      </w:r>
    </w:p>
    <w:p w:rsidR="006B0F5A" w:rsidRPr="006B0F5A" w:rsidRDefault="006B0F5A" w:rsidP="006B0F5A">
      <w:pPr>
        <w:pStyle w:val="jupara"/>
        <w:tabs>
          <w:tab w:val="left" w:pos="3450"/>
        </w:tabs>
        <w:ind w:firstLine="0"/>
        <w:jc w:val="center"/>
        <w:rPr>
          <w:color w:val="FF0000"/>
          <w:sz w:val="28"/>
          <w:szCs w:val="28"/>
        </w:rPr>
      </w:pPr>
    </w:p>
    <w:p w:rsidR="006B0F5A" w:rsidRPr="006B0F5A" w:rsidRDefault="000C201E" w:rsidP="006B0F5A">
      <w:pPr>
        <w:pStyle w:val="jupara"/>
        <w:ind w:firstLine="0"/>
        <w:jc w:val="center"/>
        <w:rPr>
          <w:color w:val="FF0000"/>
          <w:sz w:val="28"/>
          <w:szCs w:val="28"/>
        </w:rPr>
      </w:pPr>
      <w:r>
        <w:rPr>
          <w:color w:val="FF0000"/>
          <w:sz w:val="28"/>
        </w:rPr>
        <w:t>2015-12-03</w:t>
      </w:r>
    </w:p>
    <w:p w:rsidR="006B0F5A" w:rsidRPr="006B0F5A" w:rsidRDefault="006B0F5A" w:rsidP="006B0F5A">
      <w:pPr>
        <w:jc w:val="center"/>
        <w:rPr>
          <w:u w:val="single"/>
        </w:rPr>
      </w:pPr>
    </w:p>
    <w:p w:rsidR="006B0F5A" w:rsidRPr="006B0F5A" w:rsidRDefault="000C201E" w:rsidP="006B0F5A">
      <w:pPr>
        <w:jc w:val="center"/>
        <w:rPr>
          <w:i/>
          <w:iCs/>
          <w:sz w:val="22"/>
        </w:rPr>
      </w:pPr>
      <w:r>
        <w:rPr>
          <w:i/>
          <w:sz w:val="22"/>
        </w:rPr>
        <w:t>Wyrok ten stał się ostateczny zgodnie z warunkami określonymi w art. 44 § 2 Konwencji. Może podlegać poprawkom redakcyjnym.</w:t>
      </w:r>
    </w:p>
    <w:p w:rsidR="000C201E" w:rsidRDefault="000C201E" w:rsidP="004402E8">
      <w:pPr>
        <w:pStyle w:val="JuCase"/>
        <w:ind w:firstLine="0"/>
        <w:sectPr w:rsidR="000C201E" w:rsidSect="00CE0EAD">
          <w:headerReference w:type="even" r:id="rId8"/>
          <w:headerReference w:type="default" r:id="rId9"/>
          <w:footerReference w:type="even" r:id="rId10"/>
          <w:footerReference w:type="default" r:id="rId11"/>
          <w:headerReference w:type="first" r:id="rId12"/>
          <w:footerReference w:type="first" r:id="rId13"/>
          <w:pgSz w:w="11906" w:h="16838" w:code="9"/>
          <w:pgMar w:top="2274" w:right="2274" w:bottom="2274" w:left="2274" w:header="1701" w:footer="708" w:gutter="0"/>
          <w:pgNumType w:start="1"/>
          <w:cols w:space="708"/>
          <w:noEndnote/>
          <w:titlePg/>
          <w:docGrid w:linePitch="326"/>
        </w:sectPr>
      </w:pPr>
      <w:bookmarkStart w:id="1" w:name="_GoBack"/>
      <w:bookmarkEnd w:id="1"/>
    </w:p>
    <w:p w:rsidR="006C5B9E" w:rsidRPr="006B0F5A" w:rsidRDefault="000C201E" w:rsidP="006B0F5A">
      <w:pPr>
        <w:pStyle w:val="JuCase"/>
      </w:pPr>
      <w:r>
        <w:lastRenderedPageBreak/>
        <w:t xml:space="preserve">W sprawie </w:t>
      </w:r>
      <w:proofErr w:type="spellStart"/>
      <w:r>
        <w:t>Sérvulo</w:t>
      </w:r>
      <w:proofErr w:type="spellEnd"/>
      <w:r>
        <w:t xml:space="preserve"> &amp; </w:t>
      </w:r>
      <w:proofErr w:type="spellStart"/>
      <w:r>
        <w:t>Associados</w:t>
      </w:r>
      <w:proofErr w:type="spellEnd"/>
      <w:r>
        <w:t xml:space="preserve"> - </w:t>
      </w:r>
      <w:proofErr w:type="spellStart"/>
      <w:r>
        <w:t>Sociedade</w:t>
      </w:r>
      <w:proofErr w:type="spellEnd"/>
      <w:r>
        <w:t xml:space="preserve"> de </w:t>
      </w:r>
      <w:proofErr w:type="spellStart"/>
      <w:r>
        <w:t>Advogados</w:t>
      </w:r>
      <w:proofErr w:type="spellEnd"/>
      <w:r>
        <w:t>, RL i inni przeciwko Portugalii,</w:t>
      </w:r>
    </w:p>
    <w:p w:rsidR="00011AA4" w:rsidRPr="006B0F5A" w:rsidRDefault="000C201E" w:rsidP="006B0F5A">
      <w:pPr>
        <w:pStyle w:val="ECHRPara"/>
      </w:pPr>
      <w:r>
        <w:t xml:space="preserve">Europejski Trybunał Praw Człowieka (Sekcja Pierwsza), zasiadając jako Izba </w:t>
      </w:r>
      <w:r w:rsidR="00533B11">
        <w:t>w składzie</w:t>
      </w:r>
      <w:r>
        <w:t>:</w:t>
      </w:r>
    </w:p>
    <w:p w:rsidR="00DF3F95" w:rsidRPr="006B0F5A" w:rsidRDefault="000C201E" w:rsidP="006B0F5A">
      <w:pPr>
        <w:pStyle w:val="ECHRDecisionBody"/>
      </w:pPr>
      <w:r>
        <w:tab/>
        <w:t xml:space="preserve">Isabelle </w:t>
      </w:r>
      <w:proofErr w:type="spellStart"/>
      <w:r>
        <w:t>Berro</w:t>
      </w:r>
      <w:proofErr w:type="spellEnd"/>
      <w:r>
        <w:t>,</w:t>
      </w:r>
      <w:r>
        <w:rPr>
          <w:i/>
        </w:rPr>
        <w:t xml:space="preserve"> </w:t>
      </w:r>
      <w:r w:rsidR="00533B11">
        <w:rPr>
          <w:i/>
        </w:rPr>
        <w:t>P</w:t>
      </w:r>
      <w:r>
        <w:rPr>
          <w:i/>
        </w:rPr>
        <w:t>rzewodnicząca,</w:t>
      </w:r>
      <w:r>
        <w:br/>
      </w:r>
      <w:r>
        <w:tab/>
      </w:r>
      <w:proofErr w:type="spellStart"/>
      <w:r>
        <w:t>Khanlar</w:t>
      </w:r>
      <w:proofErr w:type="spellEnd"/>
      <w:r>
        <w:t xml:space="preserve"> </w:t>
      </w:r>
      <w:proofErr w:type="spellStart"/>
      <w:r>
        <w:t>Hajiyev</w:t>
      </w:r>
      <w:proofErr w:type="spellEnd"/>
      <w:r>
        <w:t>,</w:t>
      </w:r>
      <w:r>
        <w:br/>
      </w:r>
      <w:r>
        <w:tab/>
      </w:r>
      <w:proofErr w:type="spellStart"/>
      <w:r>
        <w:t>Mirjana</w:t>
      </w:r>
      <w:proofErr w:type="spellEnd"/>
      <w:r>
        <w:t xml:space="preserve"> </w:t>
      </w:r>
      <w:proofErr w:type="spellStart"/>
      <w:r>
        <w:t>Lazarova</w:t>
      </w:r>
      <w:proofErr w:type="spellEnd"/>
      <w:r>
        <w:t xml:space="preserve"> </w:t>
      </w:r>
      <w:proofErr w:type="spellStart"/>
      <w:r>
        <w:t>Trajkovska</w:t>
      </w:r>
      <w:proofErr w:type="spellEnd"/>
      <w:r>
        <w:t>,</w:t>
      </w:r>
      <w:r>
        <w:br/>
      </w:r>
      <w:r>
        <w:tab/>
        <w:t xml:space="preserve">Julia </w:t>
      </w:r>
      <w:proofErr w:type="spellStart"/>
      <w:r>
        <w:t>Laffranque</w:t>
      </w:r>
      <w:proofErr w:type="spellEnd"/>
      <w:r>
        <w:t>,</w:t>
      </w:r>
      <w:r>
        <w:br/>
      </w:r>
      <w:r>
        <w:tab/>
      </w:r>
      <w:proofErr w:type="spellStart"/>
      <w:r>
        <w:t>Linos-Alexandre</w:t>
      </w:r>
      <w:proofErr w:type="spellEnd"/>
      <w:r>
        <w:t xml:space="preserve"> </w:t>
      </w:r>
      <w:proofErr w:type="spellStart"/>
      <w:r>
        <w:t>Sicilianos</w:t>
      </w:r>
      <w:proofErr w:type="spellEnd"/>
      <w:r>
        <w:t>,</w:t>
      </w:r>
      <w:r>
        <w:br/>
      </w:r>
      <w:r>
        <w:tab/>
        <w:t xml:space="preserve">Erik </w:t>
      </w:r>
      <w:proofErr w:type="spellStart"/>
      <w:r>
        <w:t>Møse</w:t>
      </w:r>
      <w:proofErr w:type="spellEnd"/>
      <w:r>
        <w:t>,</w:t>
      </w:r>
      <w:r>
        <w:rPr>
          <w:i/>
        </w:rPr>
        <w:t xml:space="preserve"> </w:t>
      </w:r>
      <w:r w:rsidR="00533B11">
        <w:rPr>
          <w:i/>
        </w:rPr>
        <w:t>S</w:t>
      </w:r>
      <w:r>
        <w:rPr>
          <w:i/>
        </w:rPr>
        <w:t>ędziowie,</w:t>
      </w:r>
      <w:r>
        <w:br/>
      </w:r>
      <w:r>
        <w:tab/>
        <w:t xml:space="preserve">Paulo </w:t>
      </w:r>
      <w:proofErr w:type="spellStart"/>
      <w:r>
        <w:t>Saragoça</w:t>
      </w:r>
      <w:proofErr w:type="spellEnd"/>
      <w:r>
        <w:t xml:space="preserve"> da Matta,</w:t>
      </w:r>
      <w:r>
        <w:rPr>
          <w:i/>
        </w:rPr>
        <w:t xml:space="preserve"> </w:t>
      </w:r>
      <w:r w:rsidR="00533B11">
        <w:rPr>
          <w:i/>
        </w:rPr>
        <w:t>S</w:t>
      </w:r>
      <w:r>
        <w:rPr>
          <w:i/>
        </w:rPr>
        <w:t xml:space="preserve">ędzia </w:t>
      </w:r>
      <w:r>
        <w:t>ad hoc</w:t>
      </w:r>
      <w:r>
        <w:rPr>
          <w:i/>
        </w:rPr>
        <w:t>,</w:t>
      </w:r>
      <w:r>
        <w:br/>
        <w:t xml:space="preserve"> </w:t>
      </w:r>
      <w:r w:rsidR="00533B11">
        <w:t xml:space="preserve">oraz </w:t>
      </w:r>
      <w:proofErr w:type="spellStart"/>
      <w:r>
        <w:t>Søren</w:t>
      </w:r>
      <w:proofErr w:type="spellEnd"/>
      <w:r>
        <w:t xml:space="preserve"> Nielsen, </w:t>
      </w:r>
      <w:r w:rsidR="00533B11">
        <w:t>K</w:t>
      </w:r>
      <w:r>
        <w:rPr>
          <w:i/>
        </w:rPr>
        <w:t>anclerz Sekcji,</w:t>
      </w:r>
    </w:p>
    <w:p w:rsidR="0010236F" w:rsidRPr="006B0F5A" w:rsidRDefault="000C201E" w:rsidP="006B0F5A">
      <w:pPr>
        <w:pStyle w:val="ECHRPara"/>
      </w:pPr>
      <w:r>
        <w:t>Obradując na posiedzeniu zamkniętym w dniu 7 lipca 2015 roku,</w:t>
      </w:r>
    </w:p>
    <w:p w:rsidR="006C5B9E" w:rsidRPr="006B0F5A" w:rsidRDefault="000C201E" w:rsidP="006B0F5A">
      <w:pPr>
        <w:pStyle w:val="ECHRPara"/>
      </w:pPr>
      <w:r>
        <w:t>Wydaje następujący wyrok, który przyjęto w tej dacie:</w:t>
      </w:r>
    </w:p>
    <w:p w:rsidR="006C5B9E" w:rsidRPr="006B0F5A" w:rsidRDefault="000C201E" w:rsidP="006B0F5A">
      <w:pPr>
        <w:pStyle w:val="ECHRTitle1"/>
      </w:pPr>
      <w:r>
        <w:t>POSTĘPOWANIE</w:t>
      </w:r>
    </w:p>
    <w:p w:rsidR="0010236F" w:rsidRPr="006B0F5A" w:rsidRDefault="00403D74" w:rsidP="006B0F5A">
      <w:pPr>
        <w:pStyle w:val="ECHRPara"/>
      </w:pPr>
      <w:fldSimple w:instr=" SEQ level0 \*arabic ">
        <w:r w:rsidR="00F32FF7">
          <w:rPr>
            <w:noProof/>
          </w:rPr>
          <w:t>1</w:t>
        </w:r>
      </w:fldSimple>
      <w:r w:rsidR="000C201E">
        <w:t>.  U podstaw rozpoznawanej sprawy leży skarga (nr 27013/10) skierowana</w:t>
      </w:r>
      <w:r w:rsidR="00937049">
        <w:t xml:space="preserve"> przeciwko Republice Portugalii</w:t>
      </w:r>
      <w:r w:rsidR="000C201E">
        <w:t xml:space="preserve">, którą spółka partnerska </w:t>
      </w:r>
      <w:r w:rsidR="00937049">
        <w:t xml:space="preserve">adwokatów </w:t>
      </w:r>
      <w:r w:rsidR="00BC5748">
        <w:t>z</w:t>
      </w:r>
      <w:r w:rsidR="000C201E">
        <w:t xml:space="preserve"> ograniczon</w:t>
      </w:r>
      <w:r w:rsidR="00BC5748">
        <w:t>ą</w:t>
      </w:r>
      <w:r w:rsidR="000C201E">
        <w:t xml:space="preserve"> odpowiedzialności</w:t>
      </w:r>
      <w:r w:rsidR="00BC5748">
        <w:t>ą</w:t>
      </w:r>
      <w:r w:rsidR="000C201E">
        <w:t xml:space="preserve">, </w:t>
      </w:r>
      <w:proofErr w:type="spellStart"/>
      <w:r w:rsidR="000C201E">
        <w:t>Sérvulo</w:t>
      </w:r>
      <w:proofErr w:type="spellEnd"/>
      <w:r w:rsidR="000C201E">
        <w:t xml:space="preserve"> &amp; </w:t>
      </w:r>
      <w:proofErr w:type="spellStart"/>
      <w:r w:rsidR="000C201E">
        <w:t>Associados</w:t>
      </w:r>
      <w:proofErr w:type="spellEnd"/>
      <w:r w:rsidR="000C201E">
        <w:t xml:space="preserve"> - </w:t>
      </w:r>
      <w:proofErr w:type="spellStart"/>
      <w:r w:rsidR="000C201E">
        <w:t>Sociedade</w:t>
      </w:r>
      <w:proofErr w:type="spellEnd"/>
      <w:r w:rsidR="000C201E">
        <w:t xml:space="preserve"> de </w:t>
      </w:r>
      <w:proofErr w:type="spellStart"/>
      <w:r w:rsidR="000C201E">
        <w:t>Advogados</w:t>
      </w:r>
      <w:proofErr w:type="spellEnd"/>
      <w:r w:rsidR="000C201E">
        <w:t xml:space="preserve">, RL i czterech obywateli tego kraju, Pani Teresa </w:t>
      </w:r>
      <w:proofErr w:type="spellStart"/>
      <w:r w:rsidR="000C201E">
        <w:t>Serra</w:t>
      </w:r>
      <w:proofErr w:type="spellEnd"/>
      <w:r w:rsidR="000C201E">
        <w:t xml:space="preserve">, Pan José Lobo </w:t>
      </w:r>
      <w:proofErr w:type="spellStart"/>
      <w:r w:rsidR="000C201E">
        <w:t>Moutinho</w:t>
      </w:r>
      <w:proofErr w:type="spellEnd"/>
      <w:r w:rsidR="000C201E">
        <w:t xml:space="preserve">, Pan Ricardo </w:t>
      </w:r>
      <w:proofErr w:type="spellStart"/>
      <w:r w:rsidR="000C201E">
        <w:t>Guimarães</w:t>
      </w:r>
      <w:proofErr w:type="spellEnd"/>
      <w:r w:rsidR="000C201E">
        <w:t xml:space="preserve"> i Pan Pedro Duro ("skarżący"), wniosło do Trybunału dnia 30 kwietnia 2010 roku, zgodnie z artykułem 34 Konwencji o Ochronie Praw Człowieka i Podstawowych Wolności ("Konwencja").</w:t>
      </w:r>
    </w:p>
    <w:p w:rsidR="00594C45" w:rsidRPr="006B0F5A" w:rsidRDefault="00403D74" w:rsidP="006B0F5A">
      <w:pPr>
        <w:pStyle w:val="ECHRPara"/>
      </w:pPr>
      <w:fldSimple w:instr=" SEQ level0 \*arabic ">
        <w:r w:rsidR="00F32FF7">
          <w:rPr>
            <w:noProof/>
          </w:rPr>
          <w:t>2</w:t>
        </w:r>
      </w:fldSimple>
      <w:r w:rsidR="000C201E">
        <w:t xml:space="preserve">.  Skarżący byli reprezentowani przez drugiego i czwartego </w:t>
      </w:r>
      <w:r w:rsidR="00937049">
        <w:t>ze skarżących</w:t>
      </w:r>
      <w:r w:rsidR="000C201E">
        <w:t>, adwokatów p</w:t>
      </w:r>
      <w:r w:rsidR="00ED6CA9">
        <w:t>raktykujących w Lizbonie. Rząd p</w:t>
      </w:r>
      <w:r w:rsidR="000C201E">
        <w:t xml:space="preserve">ortugalski ("Rząd") był reprezentowany przez swojego pełnomocnika Panią M. F. da </w:t>
      </w:r>
      <w:proofErr w:type="spellStart"/>
      <w:r w:rsidR="000C201E">
        <w:t>Graça</w:t>
      </w:r>
      <w:proofErr w:type="spellEnd"/>
      <w:r w:rsidR="000C201E">
        <w:t xml:space="preserve"> </w:t>
      </w:r>
      <w:proofErr w:type="spellStart"/>
      <w:r w:rsidR="000C201E">
        <w:t>Carvalho</w:t>
      </w:r>
      <w:proofErr w:type="spellEnd"/>
      <w:r w:rsidR="000C201E">
        <w:t>, Zastępcę Prokuratora Generalnego.</w:t>
      </w:r>
    </w:p>
    <w:p w:rsidR="0010236F" w:rsidRPr="006B0F5A" w:rsidRDefault="00403D74" w:rsidP="006B0F5A">
      <w:pPr>
        <w:pStyle w:val="ECHRPara"/>
        <w:rPr>
          <w:szCs w:val="24"/>
        </w:rPr>
      </w:pPr>
      <w:fldSimple w:instr=" SEQ level0 \*arabic ">
        <w:r w:rsidR="00F32FF7">
          <w:rPr>
            <w:noProof/>
          </w:rPr>
          <w:t>3</w:t>
        </w:r>
      </w:fldSimple>
      <w:r w:rsidR="000C201E">
        <w:t xml:space="preserve">.  Skarżący </w:t>
      </w:r>
      <w:r w:rsidR="001F2DA0">
        <w:t>zarzucają</w:t>
      </w:r>
      <w:r w:rsidR="000C201E">
        <w:t xml:space="preserve">, że przeszukanie i zatrzymanie dokumentów i danych informatycznych w </w:t>
      </w:r>
      <w:r w:rsidR="00ED6CA9">
        <w:t xml:space="preserve">ich </w:t>
      </w:r>
      <w:r w:rsidR="000C201E">
        <w:t xml:space="preserve">pomieszczeniach służbowych naruszyły ich prawa zagwarantowane przez artykuł 8 Konwencji. </w:t>
      </w:r>
    </w:p>
    <w:p w:rsidR="00D15CEC" w:rsidRPr="006B0F5A" w:rsidRDefault="000C201E" w:rsidP="006B0F5A">
      <w:pPr>
        <w:pStyle w:val="ECHRPara"/>
        <w:rPr>
          <w:rFonts w:ascii="Times New (W1)" w:hAnsi="Times New (W1)"/>
        </w:rPr>
      </w:pPr>
      <w:r>
        <w:rPr>
          <w:rFonts w:ascii="Times New (W1)" w:hAnsi="Times New (W1)"/>
        </w:rPr>
        <w:fldChar w:fldCharType="begin"/>
      </w:r>
      <w:r>
        <w:rPr>
          <w:rFonts w:ascii="Times New (W1)" w:hAnsi="Times New (W1)"/>
        </w:rPr>
        <w:instrText xml:space="preserve"> SEQ level0 \*arabic </w:instrText>
      </w:r>
      <w:r>
        <w:rPr>
          <w:rFonts w:ascii="Times New (W1)" w:hAnsi="Times New (W1)"/>
        </w:rPr>
        <w:fldChar w:fldCharType="separate"/>
      </w:r>
      <w:r w:rsidR="00F32FF7">
        <w:rPr>
          <w:rFonts w:ascii="Times New (W1)" w:hAnsi="Times New (W1)"/>
          <w:noProof/>
        </w:rPr>
        <w:t>4</w:t>
      </w:r>
      <w:r>
        <w:rPr>
          <w:rFonts w:ascii="Times New (W1)" w:hAnsi="Times New (W1)"/>
        </w:rPr>
        <w:fldChar w:fldCharType="end"/>
      </w:r>
      <w:r>
        <w:rPr>
          <w:rFonts w:ascii="Times New (W1)" w:hAnsi="Times New (W1)"/>
        </w:rPr>
        <w:t>.  Decyzją z dnia 10 stycznia 2012 roku, Izba dawnej Drugiej Sekcji uznał</w:t>
      </w:r>
      <w:r w:rsidR="00937049">
        <w:rPr>
          <w:rFonts w:ascii="Times New (W1)" w:hAnsi="Times New (W1)"/>
        </w:rPr>
        <w:t>a</w:t>
      </w:r>
      <w:r>
        <w:rPr>
          <w:rFonts w:ascii="Times New (W1)" w:hAnsi="Times New (W1)"/>
        </w:rPr>
        <w:t xml:space="preserve"> skargę za częściowo niedopuszczalną</w:t>
      </w:r>
      <w:r w:rsidR="00937049">
        <w:rPr>
          <w:rFonts w:ascii="Times New (W1)" w:hAnsi="Times New (W1)"/>
        </w:rPr>
        <w:t>,</w:t>
      </w:r>
      <w:r>
        <w:rPr>
          <w:rFonts w:ascii="Times New (W1)" w:hAnsi="Times New (W1)"/>
        </w:rPr>
        <w:t xml:space="preserve"> a skargi wywiedzione z artykułu 8 Konwencji zostały zakomunikowane Rządowi. Po zmianie w składach sekcji, sprawa została przy</w:t>
      </w:r>
      <w:r w:rsidR="001F2DA0">
        <w:rPr>
          <w:rFonts w:ascii="Times New (W1)" w:hAnsi="Times New (W1)"/>
        </w:rPr>
        <w:t>dzielona</w:t>
      </w:r>
      <w:r>
        <w:rPr>
          <w:rFonts w:ascii="Times New (W1)" w:hAnsi="Times New (W1)"/>
        </w:rPr>
        <w:t xml:space="preserve"> Sekcji Pierwszej. </w:t>
      </w:r>
    </w:p>
    <w:p w:rsidR="0010236F" w:rsidRPr="006B0F5A" w:rsidRDefault="000C201E" w:rsidP="006B0F5A">
      <w:pPr>
        <w:pStyle w:val="ECHRPara"/>
        <w:rPr>
          <w:rFonts w:ascii="Times New (W1)" w:hAnsi="Times New (W1)"/>
        </w:rPr>
      </w:pPr>
      <w:r>
        <w:rPr>
          <w:rFonts w:ascii="Times New (W1)" w:hAnsi="Times New (W1)"/>
        </w:rPr>
        <w:fldChar w:fldCharType="begin"/>
      </w:r>
      <w:r>
        <w:rPr>
          <w:rFonts w:ascii="Times New (W1)" w:hAnsi="Times New (W1)"/>
        </w:rPr>
        <w:instrText xml:space="preserve"> SEQ level0 \*arabic </w:instrText>
      </w:r>
      <w:r>
        <w:rPr>
          <w:rFonts w:ascii="Times New (W1)" w:hAnsi="Times New (W1)"/>
        </w:rPr>
        <w:fldChar w:fldCharType="separate"/>
      </w:r>
      <w:r w:rsidR="00F32FF7">
        <w:rPr>
          <w:rFonts w:ascii="Times New (W1)" w:hAnsi="Times New (W1)"/>
          <w:noProof/>
        </w:rPr>
        <w:t>5</w:t>
      </w:r>
      <w:r>
        <w:rPr>
          <w:rFonts w:ascii="Times New (W1)" w:hAnsi="Times New (W1)"/>
        </w:rPr>
        <w:fldChar w:fldCharType="end"/>
      </w:r>
      <w:r>
        <w:rPr>
          <w:rFonts w:ascii="Times New (W1)" w:hAnsi="Times New (W1)"/>
        </w:rPr>
        <w:t xml:space="preserve">.  W związku z przeniesieniem Pana Paulo </w:t>
      </w:r>
      <w:proofErr w:type="spellStart"/>
      <w:r>
        <w:rPr>
          <w:rFonts w:ascii="Times New (W1)" w:hAnsi="Times New (W1)"/>
        </w:rPr>
        <w:t>Pinto</w:t>
      </w:r>
      <w:proofErr w:type="spellEnd"/>
      <w:r>
        <w:rPr>
          <w:rFonts w:ascii="Times New (W1)" w:hAnsi="Times New (W1)"/>
        </w:rPr>
        <w:t xml:space="preserve"> de Albuquerque, sędziego wybranego jako przedstawiciela Portugalii, Przewodnicząca Izby wyznaczyła, z listy przedłożonej uprzednio przez Rząd Portugalii, Pana P. </w:t>
      </w:r>
      <w:proofErr w:type="spellStart"/>
      <w:r>
        <w:rPr>
          <w:rFonts w:ascii="Times New (W1)" w:hAnsi="Times New (W1)"/>
        </w:rPr>
        <w:t>Saragoça</w:t>
      </w:r>
      <w:proofErr w:type="spellEnd"/>
      <w:r>
        <w:rPr>
          <w:rFonts w:ascii="Times New (W1)" w:hAnsi="Times New (W1)"/>
        </w:rPr>
        <w:t xml:space="preserve"> da Matta do zasiadania w składzie w charakterze sędziego </w:t>
      </w:r>
      <w:r>
        <w:rPr>
          <w:rFonts w:ascii="Times New (W1)" w:hAnsi="Times New (W1)"/>
          <w:i/>
        </w:rPr>
        <w:t>ad hoc</w:t>
      </w:r>
      <w:r>
        <w:rPr>
          <w:rFonts w:ascii="Times New (W1)" w:hAnsi="Times New (W1)"/>
        </w:rPr>
        <w:t xml:space="preserve"> (artykuły 26 § 4 Konwencji i 29 Regulaminu).</w:t>
      </w:r>
    </w:p>
    <w:p w:rsidR="006C5B9E" w:rsidRPr="006B0F5A" w:rsidRDefault="000C201E" w:rsidP="006B0F5A">
      <w:pPr>
        <w:pStyle w:val="ECHRTitle1"/>
      </w:pPr>
      <w:r>
        <w:lastRenderedPageBreak/>
        <w:t>FAKTY</w:t>
      </w:r>
    </w:p>
    <w:p w:rsidR="006C5B9E" w:rsidRPr="006B0F5A" w:rsidRDefault="000C201E" w:rsidP="00A360B8">
      <w:pPr>
        <w:pStyle w:val="ECHRHeading1"/>
        <w:numPr>
          <w:ilvl w:val="0"/>
          <w:numId w:val="0"/>
        </w:numPr>
        <w:ind w:left="357" w:hanging="357"/>
      </w:pPr>
      <w:r>
        <w:t>I.  OKOLICZNOŚCI SPRAWY</w:t>
      </w:r>
    </w:p>
    <w:p w:rsidR="0010236F" w:rsidRPr="006B0F5A" w:rsidRDefault="00403D74" w:rsidP="006B0F5A">
      <w:pPr>
        <w:pStyle w:val="ECHRPara"/>
      </w:pPr>
      <w:fldSimple w:instr=" SEQ level0 \*arabic ">
        <w:r w:rsidR="00F32FF7">
          <w:rPr>
            <w:noProof/>
          </w:rPr>
          <w:t>6</w:t>
        </w:r>
      </w:fldSimple>
      <w:r w:rsidR="000C201E">
        <w:t xml:space="preserve">.  Pierwszym skarżącym jest spółka adwokacka mająca swoją siedzibę w Lizbonie. Skarżący drugi, trzeci, czwarty i piaty urodzili się odpowiednio w latach 1948, 1963, 1975 i 1974 i mieszkają w Lizbonie. </w:t>
      </w:r>
    </w:p>
    <w:p w:rsidR="00F038C1" w:rsidRPr="006B0F5A" w:rsidRDefault="000C201E" w:rsidP="00D00161">
      <w:pPr>
        <w:pStyle w:val="ECHRHeading2"/>
        <w:numPr>
          <w:ilvl w:val="0"/>
          <w:numId w:val="0"/>
        </w:numPr>
        <w:ind w:left="584"/>
      </w:pPr>
      <w:r>
        <w:t>A. Geneza sprawy</w:t>
      </w:r>
    </w:p>
    <w:p w:rsidR="0010236F" w:rsidRPr="006B0F5A" w:rsidRDefault="00403D74" w:rsidP="006B0F5A">
      <w:pPr>
        <w:pStyle w:val="ECHRPara"/>
      </w:pPr>
      <w:fldSimple w:instr=" SEQ level0 \*arabic ">
        <w:r w:rsidR="00F32FF7">
          <w:rPr>
            <w:noProof/>
          </w:rPr>
          <w:t>7</w:t>
        </w:r>
      </w:fldSimple>
      <w:r w:rsidR="000C201E">
        <w:t xml:space="preserve">.  Drugi, trzeci i czwarty skarżący [osoby fizyczne] są adwokatami </w:t>
      </w:r>
      <w:r w:rsidR="00070989">
        <w:t>członkami</w:t>
      </w:r>
      <w:r w:rsidR="000C201E">
        <w:t xml:space="preserve"> (</w:t>
      </w:r>
      <w:proofErr w:type="spellStart"/>
      <w:r w:rsidR="000C201E">
        <w:rPr>
          <w:i/>
        </w:rPr>
        <w:t>sócios</w:t>
      </w:r>
      <w:proofErr w:type="spellEnd"/>
      <w:r w:rsidR="009063E2">
        <w:t>) a pią</w:t>
      </w:r>
      <w:r w:rsidR="000C201E">
        <w:t>ty skarżący [skarżący osoba fizyczna] jest wspólnikiem (</w:t>
      </w:r>
      <w:proofErr w:type="spellStart"/>
      <w:r w:rsidR="000C201E">
        <w:rPr>
          <w:i/>
        </w:rPr>
        <w:t>associado</w:t>
      </w:r>
      <w:proofErr w:type="spellEnd"/>
      <w:r w:rsidR="000C201E">
        <w:t>) skarżącej</w:t>
      </w:r>
      <w:r w:rsidR="009063E2">
        <w:t xml:space="preserve"> spółki</w:t>
      </w:r>
      <w:r w:rsidR="000C201E">
        <w:t>.</w:t>
      </w:r>
    </w:p>
    <w:p w:rsidR="004F1008" w:rsidRPr="006B0F5A" w:rsidRDefault="00403D74" w:rsidP="006B0F5A">
      <w:pPr>
        <w:pStyle w:val="ECHRPara"/>
      </w:pPr>
      <w:fldSimple w:instr=" SEQ level0 \*arabic ">
        <w:r w:rsidR="00F32FF7">
          <w:rPr>
            <w:noProof/>
          </w:rPr>
          <w:t>8</w:t>
        </w:r>
      </w:fldSimple>
      <w:r w:rsidR="000C201E">
        <w:t xml:space="preserve">.  W sierpniu 2006 roku, Centralny Departament ds. </w:t>
      </w:r>
      <w:r w:rsidR="006A4B5A">
        <w:t>Śledztw</w:t>
      </w:r>
      <w:r w:rsidR="000C201E">
        <w:t xml:space="preserve"> i Oskarżenia ("</w:t>
      </w:r>
      <w:proofErr w:type="spellStart"/>
      <w:r w:rsidR="000C201E">
        <w:rPr>
          <w:i/>
        </w:rPr>
        <w:t>Departamento</w:t>
      </w:r>
      <w:proofErr w:type="spellEnd"/>
      <w:r w:rsidR="000C201E">
        <w:rPr>
          <w:i/>
        </w:rPr>
        <w:t xml:space="preserve"> central de </w:t>
      </w:r>
      <w:proofErr w:type="spellStart"/>
      <w:r w:rsidR="000C201E">
        <w:rPr>
          <w:i/>
        </w:rPr>
        <w:t>investigação</w:t>
      </w:r>
      <w:proofErr w:type="spellEnd"/>
      <w:r w:rsidR="000C201E">
        <w:rPr>
          <w:i/>
        </w:rPr>
        <w:t xml:space="preserve"> e </w:t>
      </w:r>
      <w:proofErr w:type="spellStart"/>
      <w:r w:rsidR="000C201E">
        <w:rPr>
          <w:i/>
        </w:rPr>
        <w:t>ação</w:t>
      </w:r>
      <w:proofErr w:type="spellEnd"/>
      <w:r w:rsidR="000C201E">
        <w:rPr>
          <w:i/>
        </w:rPr>
        <w:t xml:space="preserve"> </w:t>
      </w:r>
      <w:proofErr w:type="spellStart"/>
      <w:r w:rsidR="000C201E">
        <w:rPr>
          <w:i/>
        </w:rPr>
        <w:t>penal</w:t>
      </w:r>
      <w:proofErr w:type="spellEnd"/>
      <w:r w:rsidR="000C201E">
        <w:rPr>
          <w:i/>
        </w:rPr>
        <w:t xml:space="preserve">- </w:t>
      </w:r>
      <w:r w:rsidR="000C201E">
        <w:t xml:space="preserve">DCIAP") wszczął  ściganie skierowane przeciwko wielu obywatelom portugalskim i niemieckim pod zarzutem korupcji, </w:t>
      </w:r>
      <w:r w:rsidR="00FF1D5D">
        <w:t>osiągania nielegalnych zysków</w:t>
      </w:r>
      <w:r w:rsidR="000C201E">
        <w:t xml:space="preserve"> i prania pieniędzy w związku z zakupem w dniu 21 kwietnia 2004 roku, dwóch łodzi podwodnych przez rząd portugalski od niemieckiego konsorcjum. </w:t>
      </w:r>
    </w:p>
    <w:p w:rsidR="00745165" w:rsidRPr="006B0F5A" w:rsidRDefault="00403D74" w:rsidP="006B0F5A">
      <w:pPr>
        <w:pStyle w:val="ECHRPara"/>
      </w:pPr>
      <w:fldSimple w:instr=" SEQ level0 \*arabic ">
        <w:r w:rsidR="00F32FF7">
          <w:rPr>
            <w:noProof/>
          </w:rPr>
          <w:t>9</w:t>
        </w:r>
      </w:fldSimple>
      <w:r w:rsidR="000C201E">
        <w:t xml:space="preserve">.  Te czynności zaowocowały dwoma dochodzeniami karnymi, pierwsze dotyczące samego zakupu łodzi podwodnych (postępowanie wewnętrzne nr 56/06.2TELSB następnie postępowanie wewnętrzne nr 222/11.9TELSB) i drugie (postępowanie wewnętrzne nr 125/08.4TELSB) dotyczące </w:t>
      </w:r>
      <w:r w:rsidR="00F44FD9">
        <w:t>wynagrodzeń</w:t>
      </w:r>
      <w:r w:rsidR="000C201E">
        <w:t xml:space="preserve"> rzekomo wypłaconych przez niemieckie konsorcjum niektórym przedsiębiorstwom portugalskim. Departament DCIAP podejrzewał urzędników Państwowych o to</w:t>
      </w:r>
      <w:r w:rsidR="009063E2">
        <w:t>,</w:t>
      </w:r>
      <w:r w:rsidR="000C201E">
        <w:t xml:space="preserve"> że otrzymali korzyści majątkowe w czasie trwania negocjacji, czym działali na szkodę Państwa. </w:t>
      </w:r>
    </w:p>
    <w:p w:rsidR="004F1008" w:rsidRPr="006B0F5A" w:rsidRDefault="00403D74" w:rsidP="006B0F5A">
      <w:pPr>
        <w:pStyle w:val="ECHRPara"/>
      </w:pPr>
      <w:fldSimple w:instr=" SEQ level0 \*arabic ">
        <w:r w:rsidR="00F32FF7">
          <w:rPr>
            <w:noProof/>
          </w:rPr>
          <w:t>10</w:t>
        </w:r>
      </w:fldSimple>
      <w:r w:rsidR="000C201E">
        <w:t>.  Oba dochodzenia były prowadzone pod nadzorem sędziego śledczego (</w:t>
      </w:r>
      <w:proofErr w:type="spellStart"/>
      <w:r w:rsidR="000C201E">
        <w:rPr>
          <w:i/>
        </w:rPr>
        <w:t>juiz</w:t>
      </w:r>
      <w:proofErr w:type="spellEnd"/>
      <w:r w:rsidR="000C201E">
        <w:rPr>
          <w:i/>
        </w:rPr>
        <w:t xml:space="preserve"> de </w:t>
      </w:r>
      <w:proofErr w:type="spellStart"/>
      <w:r w:rsidR="000C201E">
        <w:rPr>
          <w:i/>
        </w:rPr>
        <w:t>instrução</w:t>
      </w:r>
      <w:proofErr w:type="spellEnd"/>
      <w:r w:rsidR="000C201E">
        <w:rPr>
          <w:i/>
        </w:rPr>
        <w:t xml:space="preserve"> </w:t>
      </w:r>
      <w:proofErr w:type="spellStart"/>
      <w:r w:rsidR="000C201E">
        <w:rPr>
          <w:i/>
        </w:rPr>
        <w:t>criminal</w:t>
      </w:r>
      <w:proofErr w:type="spellEnd"/>
      <w:r w:rsidR="000C201E">
        <w:rPr>
          <w:i/>
        </w:rPr>
        <w:t xml:space="preserve">), </w:t>
      </w:r>
      <w:r w:rsidR="000C201E">
        <w:t>C.A., który był, w czasie gdy miały miejsce okoliczności, jedynym sędzią Centralnego Sądu Śledczego ("TCIC").</w:t>
      </w:r>
    </w:p>
    <w:p w:rsidR="004F1008" w:rsidRPr="006B0F5A" w:rsidRDefault="00403D74" w:rsidP="006B0F5A">
      <w:pPr>
        <w:pStyle w:val="ECHRPara"/>
      </w:pPr>
      <w:fldSimple w:instr=" SEQ level0 \*arabic ">
        <w:r w:rsidR="00F32FF7">
          <w:rPr>
            <w:noProof/>
          </w:rPr>
          <w:t>11</w:t>
        </w:r>
      </w:fldSimple>
      <w:r w:rsidR="000C201E">
        <w:t xml:space="preserve">.  Pierwsze </w:t>
      </w:r>
      <w:r w:rsidR="00787ACA">
        <w:t>postępowa</w:t>
      </w:r>
      <w:r w:rsidR="000C201E">
        <w:t xml:space="preserve">nie zostało zakończone przez </w:t>
      </w:r>
      <w:r w:rsidR="009063E2">
        <w:t xml:space="preserve">departament </w:t>
      </w:r>
      <w:r w:rsidR="000C201E">
        <w:t>DCIAP postanowieniem o umorzeniu z dnia</w:t>
      </w:r>
      <w:r w:rsidR="009063E2">
        <w:t xml:space="preserve"> </w:t>
      </w:r>
      <w:r w:rsidR="000C201E">
        <w:t>17 grudnia 2014 (patrz poniżej). Jeżeli chodzi o drugie dochodzenie, wszyscy oskarżeni zostali uniewinnieni od zarzutów, które zostały im postawione, wyrokiem Sądu w Lizbonie z dnia 14 lutego 2014 roku, potwierdzonym wyrokiem Sądu Apelacyjnego w Lizbonie z dnia 19 marca 2015 roku.</w:t>
      </w:r>
    </w:p>
    <w:p w:rsidR="0010236F" w:rsidRPr="006B0F5A" w:rsidRDefault="00403D74" w:rsidP="006B0F5A">
      <w:pPr>
        <w:pStyle w:val="ECHRPara"/>
      </w:pPr>
      <w:fldSimple w:instr=" SEQ level0 \*arabic ">
        <w:r w:rsidR="00F32FF7">
          <w:rPr>
            <w:noProof/>
          </w:rPr>
          <w:t>12</w:t>
        </w:r>
      </w:fldSimple>
      <w:r w:rsidR="009063E2">
        <w:t>.  Pierwsza skarżąc</w:t>
      </w:r>
      <w:r w:rsidR="003E6978">
        <w:t>a</w:t>
      </w:r>
      <w:r w:rsidR="009063E2">
        <w:t xml:space="preserve"> </w:t>
      </w:r>
      <w:r w:rsidR="000C201E">
        <w:t xml:space="preserve">została upoważniona przez Ministerstwo Obrony Portugalii do </w:t>
      </w:r>
      <w:r w:rsidR="009402B0">
        <w:t>pomocy</w:t>
      </w:r>
      <w:r w:rsidR="000C201E">
        <w:t xml:space="preserve"> i reprezentowania </w:t>
      </w:r>
      <w:r w:rsidR="002306BE">
        <w:t xml:space="preserve">go </w:t>
      </w:r>
      <w:r w:rsidR="000C201E">
        <w:t>w ramach negocjacji umów dotycząc</w:t>
      </w:r>
      <w:r w:rsidR="009063E2">
        <w:t>ych zakupu dwóch łodzi podwodnych</w:t>
      </w:r>
      <w:r w:rsidR="000C201E">
        <w:t xml:space="preserve">. Mecenas B.A. był adwokatem w spółce, która koordynowała wsparcie prawne </w:t>
      </w:r>
      <w:r w:rsidR="009063E2">
        <w:t>te</w:t>
      </w:r>
      <w:r w:rsidR="002306BE">
        <w:t>j</w:t>
      </w:r>
      <w:r w:rsidR="009063E2">
        <w:t xml:space="preserve"> </w:t>
      </w:r>
      <w:r w:rsidR="002306BE">
        <w:t>sprawy</w:t>
      </w:r>
      <w:r w:rsidR="000C201E">
        <w:t>.  Wskutek odejścia tego adwokata z</w:t>
      </w:r>
      <w:r w:rsidR="005B260F">
        <w:t>e spółki</w:t>
      </w:r>
      <w:r w:rsidR="000C201E">
        <w:t xml:space="preserve">, sprawa została przejęta przez czwartego ze skarżących. </w:t>
      </w:r>
    </w:p>
    <w:p w:rsidR="00F038C1" w:rsidRPr="006B0F5A" w:rsidRDefault="000C201E" w:rsidP="00200599">
      <w:pPr>
        <w:pStyle w:val="ECHRHeading2"/>
        <w:numPr>
          <w:ilvl w:val="0"/>
          <w:numId w:val="0"/>
        </w:numPr>
      </w:pPr>
      <w:r>
        <w:lastRenderedPageBreak/>
        <w:t xml:space="preserve">B. Przeszukanie w lokalach służbowych skarżących i zatrzymanie dokumentów i danych informatycznych w ramach </w:t>
      </w:r>
      <w:r w:rsidR="00DC090E">
        <w:t>prowadzonego</w:t>
      </w:r>
      <w:r>
        <w:t xml:space="preserve"> śledztwa </w:t>
      </w:r>
    </w:p>
    <w:p w:rsidR="007E3E30" w:rsidRPr="006B0F5A" w:rsidRDefault="00403D74" w:rsidP="006B0F5A">
      <w:pPr>
        <w:pStyle w:val="ECHRPara"/>
      </w:pPr>
      <w:fldSimple w:instr=" SEQ level0 \*arabic ">
        <w:r w:rsidR="00F32FF7">
          <w:rPr>
            <w:noProof/>
          </w:rPr>
          <w:t>13</w:t>
        </w:r>
      </w:fldSimple>
      <w:r w:rsidR="000C201E">
        <w:t xml:space="preserve">.  Dnia 24 września 2009 roku, DCIAP wystąpił do sędziego śledczego TCIC z wnioskiem o przeprowadzenie przeszukania w pomieszczeniach służbowych trzech kancelarii adwokackich, w tym </w:t>
      </w:r>
      <w:r w:rsidR="00DC090E">
        <w:t>w kancelarii</w:t>
      </w:r>
      <w:r w:rsidR="000C201E">
        <w:t xml:space="preserve">, która jest pierwszą skarżącą i zatrzymania wszelkich dokumentów niezbędnych dla prowadzonego śledztwa.  Na poparcie swojego wniosku departament DCIAP argumentował: </w:t>
      </w:r>
    </w:p>
    <w:p w:rsidR="00CE796C" w:rsidRPr="006B0F5A" w:rsidRDefault="000C201E" w:rsidP="006B0F5A">
      <w:pPr>
        <w:pStyle w:val="ECHRPara"/>
      </w:pPr>
      <w:r>
        <w:t xml:space="preserve">- że skarżąca spółka została zaangażowana przez Ministerstwo Obrony do wykonania zadań wsparcia w negocjacjach dotyczących zakupu łodzi podwodnych ; </w:t>
      </w:r>
    </w:p>
    <w:p w:rsidR="007E3E30" w:rsidRPr="006B0F5A" w:rsidRDefault="000C201E" w:rsidP="006B0F5A">
      <w:pPr>
        <w:pStyle w:val="ECHRPara"/>
      </w:pPr>
      <w:r>
        <w:t xml:space="preserve">- że </w:t>
      </w:r>
      <w:r w:rsidR="006B5D16">
        <w:t>p</w:t>
      </w:r>
      <w:r w:rsidR="00F41BFF">
        <w:t>an</w:t>
      </w:r>
      <w:r>
        <w:t xml:space="preserve"> B.A., który zajmował się prowadzeniem tej sprawy, nie wykonywał już swojej działalności we wspomnianej spółce ;</w:t>
      </w:r>
    </w:p>
    <w:p w:rsidR="0010236F" w:rsidRPr="006B0F5A" w:rsidRDefault="000C201E" w:rsidP="006B0F5A">
      <w:pPr>
        <w:pStyle w:val="ECHRPara"/>
      </w:pPr>
      <w:r>
        <w:t xml:space="preserve">- że większa część dokumentów dotyczących kontraktów nie została odnaleziona w Ministerstwie Obrony i że możliwe było, ze znajdują się one w pomieszczeniach skarżącej spółki ; </w:t>
      </w:r>
    </w:p>
    <w:p w:rsidR="00A05338" w:rsidRPr="006B0F5A" w:rsidRDefault="000C201E" w:rsidP="006B0F5A">
      <w:pPr>
        <w:pStyle w:val="ECHRPara"/>
      </w:pPr>
      <w:r>
        <w:t>- że istniały mocne poszlaki wskazujące, że skarżąca spółka uczestniczyła, w szczególności poprzez działanie swoich adwokatów</w:t>
      </w:r>
      <w:r w:rsidR="00F41BFF">
        <w:t>,</w:t>
      </w:r>
      <w:r>
        <w:t xml:space="preserve"> w działaniach przestępczych ; </w:t>
      </w:r>
    </w:p>
    <w:p w:rsidR="00BB1DF3" w:rsidRPr="006B0F5A" w:rsidRDefault="000C201E" w:rsidP="006B0F5A">
      <w:pPr>
        <w:pStyle w:val="ECHRPara"/>
      </w:pPr>
      <w:r>
        <w:t xml:space="preserve">- że istotne dla śledztwa elementy mogą się znajdować w biurach, o których mowa, w szczególności w komputerach i serwerach informatycznych skarżącej spółki i że należy przeprowadzić przeszukanie na podstawie listy 35 słów kluczowych. Na liście widniały między innymi : </w:t>
      </w:r>
    </w:p>
    <w:p w:rsidR="00BB1DF3" w:rsidRPr="006B0F5A" w:rsidRDefault="000C201E" w:rsidP="006B0F5A">
      <w:pPr>
        <w:pStyle w:val="ECHRPara"/>
      </w:pPr>
      <w:r>
        <w:t xml:space="preserve">- nazwisko czwartego ze skarżących, </w:t>
      </w:r>
    </w:p>
    <w:p w:rsidR="0010236F" w:rsidRPr="006B0F5A" w:rsidRDefault="000C201E" w:rsidP="006B0F5A">
      <w:pPr>
        <w:pStyle w:val="ECHRPara"/>
      </w:pPr>
      <w:r>
        <w:t xml:space="preserve">- nazwisko </w:t>
      </w:r>
      <w:r w:rsidR="006B5D16">
        <w:t>pana</w:t>
      </w:r>
      <w:r>
        <w:t xml:space="preserve"> B.A.,</w:t>
      </w:r>
    </w:p>
    <w:p w:rsidR="00BB1DF3" w:rsidRPr="006B0F5A" w:rsidRDefault="000C201E" w:rsidP="006B0F5A">
      <w:pPr>
        <w:pStyle w:val="ECHRPara"/>
      </w:pPr>
      <w:r>
        <w:t xml:space="preserve">- nazwy przedsiębiorstw niemieckich, które sprzedały łodzie podwodne, </w:t>
      </w:r>
    </w:p>
    <w:p w:rsidR="00BB1DF3" w:rsidRPr="006B0F5A" w:rsidRDefault="000C201E" w:rsidP="006B0F5A">
      <w:pPr>
        <w:pStyle w:val="ECHRPara"/>
      </w:pPr>
      <w:r>
        <w:t xml:space="preserve">- nazwisko Ministra Obrony, który pełnił to stanowisko w czasie, kiedy prowadzone były negocjacje dotyczące kontraktów na zakup łodzi podwodnych, obecnego Wicepremiera Portugalii, </w:t>
      </w:r>
    </w:p>
    <w:p w:rsidR="000E1B65" w:rsidRPr="006B0F5A" w:rsidRDefault="000C201E" w:rsidP="006B0F5A">
      <w:pPr>
        <w:pStyle w:val="ECHRPara"/>
      </w:pPr>
      <w:r>
        <w:t xml:space="preserve">- nazwy banków </w:t>
      </w:r>
      <w:proofErr w:type="spellStart"/>
      <w:r>
        <w:rPr>
          <w:i/>
        </w:rPr>
        <w:t>Banco</w:t>
      </w:r>
      <w:proofErr w:type="spellEnd"/>
      <w:r>
        <w:rPr>
          <w:i/>
        </w:rPr>
        <w:t xml:space="preserve"> </w:t>
      </w:r>
      <w:proofErr w:type="spellStart"/>
      <w:r>
        <w:rPr>
          <w:i/>
        </w:rPr>
        <w:t>Espírito</w:t>
      </w:r>
      <w:proofErr w:type="spellEnd"/>
      <w:r>
        <w:rPr>
          <w:i/>
        </w:rPr>
        <w:t xml:space="preserve"> Santo </w:t>
      </w:r>
      <w:r>
        <w:t xml:space="preserve">i </w:t>
      </w:r>
      <w:proofErr w:type="spellStart"/>
      <w:r>
        <w:t>Crédit</w:t>
      </w:r>
      <w:proofErr w:type="spellEnd"/>
      <w:r>
        <w:t xml:space="preserve"> Suisse Boston,</w:t>
      </w:r>
    </w:p>
    <w:p w:rsidR="007E3E30" w:rsidRPr="006B0F5A" w:rsidRDefault="000C201E" w:rsidP="006B0F5A">
      <w:pPr>
        <w:pStyle w:val="ECHRPara"/>
      </w:pPr>
      <w:r>
        <w:t>-  inne słowa takie jak "</w:t>
      </w:r>
      <w:r w:rsidR="00F44FD9">
        <w:t>wynagrodzenie</w:t>
      </w:r>
      <w:r>
        <w:t>", "finansowanie", "</w:t>
      </w:r>
      <w:proofErr w:type="spellStart"/>
      <w:r>
        <w:t>spread</w:t>
      </w:r>
      <w:proofErr w:type="spellEnd"/>
      <w:r>
        <w:rPr>
          <w:rStyle w:val="Odwoanieprzypisudolnego"/>
        </w:rPr>
        <w:footnoteReference w:id="1"/>
      </w:r>
      <w:r>
        <w:t>" lub "</w:t>
      </w:r>
      <w:proofErr w:type="spellStart"/>
      <w:r>
        <w:t>swap</w:t>
      </w:r>
      <w:proofErr w:type="spellEnd"/>
      <w:r>
        <w:rPr>
          <w:rStyle w:val="Odwoanieprzypisudolnego"/>
        </w:rPr>
        <w:footnoteReference w:id="2"/>
      </w:r>
      <w:r>
        <w:t>".</w:t>
      </w:r>
    </w:p>
    <w:p w:rsidR="0010236F" w:rsidRPr="006B0F5A" w:rsidRDefault="00403D74" w:rsidP="006B0F5A">
      <w:pPr>
        <w:pStyle w:val="ECHRPara"/>
      </w:pPr>
      <w:fldSimple w:instr=" SEQ level0 \*arabic ">
        <w:r w:rsidR="00F32FF7">
          <w:rPr>
            <w:noProof/>
          </w:rPr>
          <w:t>14</w:t>
        </w:r>
      </w:fldSimple>
      <w:r w:rsidR="000C201E">
        <w:t xml:space="preserve">.  W dniach 25 i 29 września 2009 roku, sędzia śledczy TCIC wydał dwa nakazy przeszukania, dotyczące pomieszczeń służbowych skarżącej spółki pod dwoma rożnymi adresami w Lizbonie.  Ustalając moment realizacji tych czynności na dzień 29 września 2009 roku, </w:t>
      </w:r>
      <w:r w:rsidR="006D1056">
        <w:t>stwierdzi</w:t>
      </w:r>
      <w:r w:rsidR="000C201E">
        <w:t>ł, że czynności te będą prowadzone (</w:t>
      </w:r>
      <w:proofErr w:type="spellStart"/>
      <w:r w:rsidR="000C201E">
        <w:rPr>
          <w:i/>
        </w:rPr>
        <w:t>presididas</w:t>
      </w:r>
      <w:proofErr w:type="spellEnd"/>
      <w:r w:rsidR="000C201E">
        <w:t xml:space="preserve">) </w:t>
      </w:r>
      <w:r w:rsidR="006D1056">
        <w:t>przez</w:t>
      </w:r>
      <w:r w:rsidR="000C201E">
        <w:t xml:space="preserve"> sędziego śledczego. Z powodu niemożności uczestnictwa w tej czynności, sędzia śledczy zwrócił </w:t>
      </w:r>
      <w:r w:rsidR="000C201E">
        <w:lastRenderedPageBreak/>
        <w:t xml:space="preserve">się o zastępstwo w dniu przeprowadzenia operacji, przez dwóch sędziów śledczych </w:t>
      </w:r>
      <w:r w:rsidR="00464B85">
        <w:t>K</w:t>
      </w:r>
      <w:r w:rsidR="00B147E0">
        <w:t xml:space="preserve">arnego </w:t>
      </w:r>
      <w:r w:rsidR="00464B85">
        <w:t>S</w:t>
      </w:r>
      <w:r w:rsidR="00B147E0">
        <w:t xml:space="preserve">ądu </w:t>
      </w:r>
      <w:r w:rsidR="00464B85">
        <w:t>Ś</w:t>
      </w:r>
      <w:r w:rsidR="00B147E0">
        <w:t xml:space="preserve">ledczego </w:t>
      </w:r>
      <w:r w:rsidR="000C201E">
        <w:t xml:space="preserve">w Lizbonie.  </w:t>
      </w:r>
    </w:p>
    <w:p w:rsidR="00D67675" w:rsidRPr="006B0F5A" w:rsidRDefault="000C201E" w:rsidP="006B0F5A">
      <w:pPr>
        <w:pStyle w:val="ECHRPara"/>
      </w:pPr>
      <w:r>
        <w:t xml:space="preserve">Nakazy upoważniały do dostępu do wszystkich biur skarżącej spółki, które zajmowali lub używali adwokaci, którzy uczestniczyli w negocjacjach </w:t>
      </w:r>
      <w:r w:rsidR="00DC090E">
        <w:t xml:space="preserve">dotyczących zakupu </w:t>
      </w:r>
      <w:r>
        <w:t xml:space="preserve">łodzi podwodnych </w:t>
      </w:r>
      <w:r w:rsidR="00381B9D">
        <w:t>oraz</w:t>
      </w:r>
      <w:r>
        <w:t xml:space="preserve"> wynagrodzeń i nakazywały : </w:t>
      </w:r>
    </w:p>
    <w:p w:rsidR="0010236F" w:rsidRPr="006B0F5A" w:rsidRDefault="000C201E" w:rsidP="006B0F5A">
      <w:pPr>
        <w:pStyle w:val="ECHRPara"/>
      </w:pPr>
      <w:r>
        <w:t xml:space="preserve">- aby zatrzymane zostały wszelkie dokumenty, przedmioty i inne elementy, w szczególności nośniki informatyczne, mające związek z przestępstwami będącymi obiektem śledztwa, </w:t>
      </w:r>
    </w:p>
    <w:p w:rsidR="0010236F" w:rsidRPr="006B0F5A" w:rsidRDefault="000C201E" w:rsidP="006B0F5A">
      <w:pPr>
        <w:pStyle w:val="ECHRPara"/>
      </w:pPr>
      <w:r>
        <w:t xml:space="preserve">- aby została </w:t>
      </w:r>
      <w:r w:rsidR="00BC0DC7">
        <w:t>uchylona</w:t>
      </w:r>
      <w:r>
        <w:t xml:space="preserve"> tajemnica korespondencji, wskazując że dostęp do plików informatycznych ma się odbywać na podstawie 35 słów kluczowych wskazanych przez departament DCIAP.</w:t>
      </w:r>
    </w:p>
    <w:p w:rsidR="0010236F" w:rsidRPr="006B0F5A" w:rsidRDefault="000C201E" w:rsidP="006B0F5A">
      <w:pPr>
        <w:pStyle w:val="ECHRPara"/>
      </w:pPr>
      <w:r>
        <w:t xml:space="preserve">- aby pliki, których dotyczy tajemnica </w:t>
      </w:r>
      <w:r w:rsidR="00EE0E51">
        <w:t>zawodowa</w:t>
      </w:r>
      <w:r>
        <w:t xml:space="preserve"> zostały skopiowane na odrębny nośnik cyfrowy i zostały przedstawione sędziemu śledczemu zgodnie z artykułem 179 § 3 i artykuł</w:t>
      </w:r>
      <w:r w:rsidR="00DC090E">
        <w:t>em</w:t>
      </w:r>
      <w:r>
        <w:t xml:space="preserve"> 188 §§ 1 i 4 Ko</w:t>
      </w:r>
      <w:r w:rsidR="00DC090E">
        <w:t>deksu Postępowania Karnego ("KPK</w:t>
      </w:r>
      <w:r>
        <w:t>").</w:t>
      </w:r>
    </w:p>
    <w:p w:rsidR="0010236F" w:rsidRPr="006B0F5A" w:rsidRDefault="000C201E" w:rsidP="006B0F5A">
      <w:pPr>
        <w:pStyle w:val="ECHRPara"/>
      </w:pPr>
      <w:r>
        <w:t xml:space="preserve">Na koniec sędzia śledczy zażądał obecności przedstawiciela Izby Adwokackiej podczas trwania tych czynności zgodnie z artykułami 177 § 3 KPK i 70 Statutu Izby Adwokackiej. </w:t>
      </w:r>
    </w:p>
    <w:p w:rsidR="0010236F" w:rsidRPr="006B0F5A" w:rsidRDefault="00403D74" w:rsidP="006B0F5A">
      <w:pPr>
        <w:pStyle w:val="ECHRPara"/>
      </w:pPr>
      <w:fldSimple w:instr=" SEQ level0 \*arabic ">
        <w:r w:rsidR="00F32FF7">
          <w:rPr>
            <w:noProof/>
          </w:rPr>
          <w:t>15</w:t>
        </w:r>
      </w:fldSimple>
      <w:r w:rsidR="000C201E">
        <w:t>.  Dnia 29 września 2009 roku, adwokat</w:t>
      </w:r>
      <w:r w:rsidR="00754A36">
        <w:t>owi</w:t>
      </w:r>
      <w:r w:rsidR="000C201E">
        <w:t xml:space="preserve"> B.A. </w:t>
      </w:r>
      <w:r w:rsidR="00B6699E">
        <w:t>postawiono zarzut</w:t>
      </w:r>
      <w:r w:rsidR="000C201E">
        <w:t xml:space="preserve"> (</w:t>
      </w:r>
      <w:proofErr w:type="spellStart"/>
      <w:r w:rsidR="000C201E">
        <w:rPr>
          <w:i/>
        </w:rPr>
        <w:t>constituído</w:t>
      </w:r>
      <w:proofErr w:type="spellEnd"/>
      <w:r w:rsidR="000C201E">
        <w:rPr>
          <w:i/>
        </w:rPr>
        <w:t xml:space="preserve"> </w:t>
      </w:r>
      <w:proofErr w:type="spellStart"/>
      <w:r w:rsidR="000C201E">
        <w:rPr>
          <w:i/>
        </w:rPr>
        <w:t>arguido</w:t>
      </w:r>
      <w:proofErr w:type="spellEnd"/>
      <w:r w:rsidR="00DC090E">
        <w:t>) sprzeniewierzenia</w:t>
      </w:r>
      <w:r w:rsidR="000C201E">
        <w:t xml:space="preserve"> w ramach śledztwa dotyczącego zakupu łodzi podwodnych. </w:t>
      </w:r>
    </w:p>
    <w:p w:rsidR="00F038C1" w:rsidRPr="006B0F5A" w:rsidRDefault="00403D74" w:rsidP="006B0F5A">
      <w:pPr>
        <w:pStyle w:val="ECHRPara"/>
      </w:pPr>
      <w:fldSimple w:instr=" SEQ level0 \*arabic ">
        <w:r w:rsidR="00F32FF7">
          <w:rPr>
            <w:noProof/>
          </w:rPr>
          <w:t>16</w:t>
        </w:r>
      </w:fldSimple>
      <w:r w:rsidR="000C201E">
        <w:t xml:space="preserve">.  Tego samego dnia, w godzinach od 13:05 do 21:00 odbyły się opisane wyżej czynności, w pomieszczeniach służbowych skarżącej spółki, czyli pod dwoma adresami wskazanymi w nakazie przeszukania.  Przeszukanie pod adresem głównym było prowadzone pod przewodnictwem sędziego A.C.S., sędziego śledczego </w:t>
      </w:r>
      <w:r w:rsidR="003502BB">
        <w:t>K</w:t>
      </w:r>
      <w:r w:rsidR="00464B85">
        <w:t xml:space="preserve">arnego </w:t>
      </w:r>
      <w:r w:rsidR="003502BB">
        <w:t>S</w:t>
      </w:r>
      <w:r w:rsidR="00464B85">
        <w:t xml:space="preserve">ądu </w:t>
      </w:r>
      <w:r w:rsidR="003502BB">
        <w:t>Ś</w:t>
      </w:r>
      <w:r w:rsidR="00464B85">
        <w:t>l</w:t>
      </w:r>
      <w:r w:rsidR="003502BB">
        <w:t>e</w:t>
      </w:r>
      <w:r w:rsidR="00464B85">
        <w:t>dczego</w:t>
      </w:r>
      <w:r w:rsidR="000C201E">
        <w:t xml:space="preserve"> w Lizbonie, w obecności przedstawiciela Izby Adwokackiej oraz drugiego, trzeciego i piątego ze skarżących. </w:t>
      </w:r>
    </w:p>
    <w:p w:rsidR="000E51A7" w:rsidRPr="006B0F5A" w:rsidRDefault="00403D74" w:rsidP="006B0F5A">
      <w:pPr>
        <w:pStyle w:val="ECHRPara"/>
      </w:pPr>
      <w:fldSimple w:instr=" SEQ level0 \*arabic ">
        <w:r w:rsidR="00F32FF7">
          <w:rPr>
            <w:noProof/>
          </w:rPr>
          <w:t>17</w:t>
        </w:r>
      </w:fldSimple>
      <w:r w:rsidR="000C201E">
        <w:t>.  Przed rozpoczęciem przeszukania, skarżący złożyli sprzeciw od nakazu przeszukania do Pr</w:t>
      </w:r>
      <w:r w:rsidR="007A3D9B">
        <w:t>ezesa</w:t>
      </w:r>
      <w:r w:rsidR="000C201E">
        <w:t xml:space="preserve"> Sądu Apelacyjnego w Lizbonie, na mocy artykuł</w:t>
      </w:r>
      <w:r w:rsidR="007A3D9B">
        <w:t>u</w:t>
      </w:r>
      <w:r w:rsidR="000C201E">
        <w:t xml:space="preserve"> 72 </w:t>
      </w:r>
      <w:r w:rsidR="007A3D9B">
        <w:t>S</w:t>
      </w:r>
      <w:r w:rsidR="000C201E">
        <w:t>tatutu Izby Adwokackiej.  Powołali się na tajemnicę adwokacką i podkreślali, że żaden adwokat z kancelarii nie był oskarżony, w ramach post</w:t>
      </w:r>
      <w:r w:rsidR="00B80D7F">
        <w:t>ępowania, o którym mowa, co stało</w:t>
      </w:r>
      <w:r w:rsidR="000C201E">
        <w:t xml:space="preserve"> w sprzeczności z artykułem 71 § 4 statutu Izby Adwokackiej. Pod</w:t>
      </w:r>
      <w:r w:rsidR="00B80D7F">
        <w:t>nosili</w:t>
      </w:r>
      <w:r w:rsidR="000C201E">
        <w:t xml:space="preserve"> również, że użycie terminów potocznie stosowanych w ramach negocjac</w:t>
      </w:r>
      <w:r w:rsidR="00DA6804">
        <w:t>ji, jak "wynagrodzenie</w:t>
      </w:r>
      <w:r w:rsidR="000C201E">
        <w:t xml:space="preserve">" i "finansowanie" </w:t>
      </w:r>
      <w:r w:rsidR="00DA6804">
        <w:t>przy</w:t>
      </w:r>
      <w:r w:rsidR="000C201E">
        <w:t xml:space="preserve"> przeprowadz</w:t>
      </w:r>
      <w:r w:rsidR="00DA6804">
        <w:t>eniu</w:t>
      </w:r>
      <w:r w:rsidR="000C201E">
        <w:t xml:space="preserve"> p</w:t>
      </w:r>
      <w:r w:rsidR="007B668F">
        <w:t xml:space="preserve">oszukiwania </w:t>
      </w:r>
      <w:r w:rsidR="000C201E">
        <w:t xml:space="preserve"> informatyczne</w:t>
      </w:r>
      <w:r w:rsidR="007B668F">
        <w:t>go</w:t>
      </w:r>
      <w:r w:rsidR="000C201E">
        <w:t xml:space="preserve"> mogło prowadzić do nieproporcjonalne</w:t>
      </w:r>
      <w:r w:rsidR="007B668F">
        <w:t>go</w:t>
      </w:r>
      <w:r w:rsidR="000C201E">
        <w:t xml:space="preserve"> zakresu przeszukania</w:t>
      </w:r>
      <w:r w:rsidR="00D97C50">
        <w:t xml:space="preserve"> i zatrzymania rzeczy</w:t>
      </w:r>
      <w:r w:rsidR="000C201E">
        <w:t xml:space="preserve">. </w:t>
      </w:r>
    </w:p>
    <w:p w:rsidR="0010236F" w:rsidRPr="006B0F5A" w:rsidRDefault="000C201E" w:rsidP="006B0F5A">
      <w:pPr>
        <w:pStyle w:val="ECHRPara"/>
      </w:pPr>
      <w:r>
        <w:t xml:space="preserve">Stwierdzając, że z wyjątkiem adwokata, </w:t>
      </w:r>
      <w:r w:rsidR="0001125B">
        <w:t>będącego byłym</w:t>
      </w:r>
      <w:r>
        <w:t xml:space="preserve"> wspólnikiem w skarżącej spółce</w:t>
      </w:r>
      <w:r w:rsidR="0001125B">
        <w:t>,</w:t>
      </w:r>
      <w:r>
        <w:t xml:space="preserve"> </w:t>
      </w:r>
      <w:r w:rsidR="0001125B">
        <w:t xml:space="preserve">pana </w:t>
      </w:r>
      <w:r>
        <w:t xml:space="preserve">B.A., adwokaci pracujący w spółce nie </w:t>
      </w:r>
      <w:r w:rsidR="0001125B">
        <w:t>zosta</w:t>
      </w:r>
      <w:r>
        <w:t>li oskarżeni w ramach śledztwa, o którym mowa, sędzia śledcz</w:t>
      </w:r>
      <w:r w:rsidR="00136923">
        <w:t>a</w:t>
      </w:r>
      <w:r>
        <w:t xml:space="preserve"> przyjęła sprzeciw i nakazała opieczętowanie</w:t>
      </w:r>
      <w:r w:rsidR="00136923">
        <w:t>, bez zapoznania się,</w:t>
      </w:r>
      <w:r>
        <w:t xml:space="preserve"> </w:t>
      </w:r>
      <w:r w:rsidR="00DB1F62">
        <w:t>oraz</w:t>
      </w:r>
      <w:r>
        <w:t xml:space="preserve"> przekazanie wszystkich zatrzymanych dokumentów Pr</w:t>
      </w:r>
      <w:r w:rsidR="00136923">
        <w:t>ezesowi</w:t>
      </w:r>
      <w:r>
        <w:t xml:space="preserve"> Sądu Apelacyjnego w Lizbonie, aby wypowiedział się </w:t>
      </w:r>
      <w:r w:rsidR="00C03CAC">
        <w:t xml:space="preserve">on </w:t>
      </w:r>
      <w:r>
        <w:t>w kwestii</w:t>
      </w:r>
      <w:r w:rsidR="000C0547">
        <w:t xml:space="preserve"> zasadności powołania się</w:t>
      </w:r>
      <w:r>
        <w:t xml:space="preserve"> </w:t>
      </w:r>
      <w:r w:rsidR="000C0547">
        <w:t xml:space="preserve">na </w:t>
      </w:r>
      <w:r>
        <w:lastRenderedPageBreak/>
        <w:t>tajemnic</w:t>
      </w:r>
      <w:r w:rsidR="000C0547">
        <w:t>ę</w:t>
      </w:r>
      <w:r>
        <w:t xml:space="preserve"> </w:t>
      </w:r>
      <w:r w:rsidR="000C0547">
        <w:t>zawodową</w:t>
      </w:r>
      <w:r>
        <w:t xml:space="preserve"> zgodnie z artykułem 72 §§ 2 i 3 Statutu Izby Adwokackiej.</w:t>
      </w:r>
    </w:p>
    <w:p w:rsidR="0010236F" w:rsidRPr="006B0F5A" w:rsidRDefault="00403D74" w:rsidP="006B0F5A">
      <w:pPr>
        <w:pStyle w:val="ECHRPara"/>
      </w:pPr>
      <w:fldSimple w:instr=" SEQ level0 \*arabic ">
        <w:r w:rsidR="00F32FF7">
          <w:rPr>
            <w:noProof/>
          </w:rPr>
          <w:t>18</w:t>
        </w:r>
      </w:fldSimple>
      <w:r w:rsidR="000C201E">
        <w:t>.  </w:t>
      </w:r>
      <w:r w:rsidR="00472FAB">
        <w:t xml:space="preserve">Następnie rozpoczęło się przeszukanie </w:t>
      </w:r>
      <w:r w:rsidR="000C201E">
        <w:t xml:space="preserve">w pomieszczeniach skarżącej spółki. Było ono prowadzone przez jednego z prokuratorów prowadzących śledztwo, któremu towarzyszyło dziewięciu funkcjonariuszy sił porządkowych. </w:t>
      </w:r>
      <w:r w:rsidR="00472FAB">
        <w:t xml:space="preserve"> </w:t>
      </w:r>
    </w:p>
    <w:p w:rsidR="000E4CFA" w:rsidRPr="006B0F5A" w:rsidRDefault="00403D74" w:rsidP="006B0F5A">
      <w:pPr>
        <w:pStyle w:val="ECHRPara"/>
      </w:pPr>
      <w:fldSimple w:instr=" SEQ level0 \*arabic ">
        <w:r w:rsidR="00F32FF7">
          <w:rPr>
            <w:noProof/>
          </w:rPr>
          <w:t>19</w:t>
        </w:r>
      </w:fldSimple>
      <w:r w:rsidR="000C201E">
        <w:t xml:space="preserve">.  Po zakończeniu czynności sporządzono protokół, który podpisały wszystkie obecne </w:t>
      </w:r>
      <w:r w:rsidR="00611475">
        <w:t>osob</w:t>
      </w:r>
      <w:r w:rsidR="000C201E">
        <w:t xml:space="preserve">y, z wyjątkiem jednego z funkcjonariuszy, który musiał wyjść przed zakończeniem czynności.   Do protokołu załączono listę zatrzymanych dokumentów i dowodów. Wskazano w nim, że w biurze czwartego ze skarżących zatrzymano następujące rzeczy : </w:t>
      </w:r>
    </w:p>
    <w:p w:rsidR="000E4CFA" w:rsidRPr="006B0F5A" w:rsidRDefault="000C201E" w:rsidP="006B0F5A">
      <w:pPr>
        <w:pStyle w:val="ECHRPara"/>
      </w:pPr>
      <w:r>
        <w:t xml:space="preserve">- </w:t>
      </w:r>
      <w:r w:rsidR="00C03CAC">
        <w:t xml:space="preserve">  </w:t>
      </w:r>
      <w:r>
        <w:t xml:space="preserve">czternaście pudełek i koszulek biurowych zawierających dokumenty ; </w:t>
      </w:r>
    </w:p>
    <w:p w:rsidR="000E4CFA" w:rsidRPr="006B0F5A" w:rsidRDefault="000C201E" w:rsidP="006B0F5A">
      <w:pPr>
        <w:pStyle w:val="ECHRPara"/>
      </w:pPr>
      <w:r>
        <w:t>- pliki informatyczne i zawartość skrzynek poczty elektronicznej przegrane na cztery płyty DVD, z komputera czwartego ze skarżących i różnych serwerów z kancelarii adwokackiej, wyselekcjonowane na podstawie słów kluczowych wskazanych w nakazie przeszukania ;</w:t>
      </w:r>
    </w:p>
    <w:p w:rsidR="000E4CFA" w:rsidRPr="006B0F5A" w:rsidRDefault="000C201E" w:rsidP="006B0F5A">
      <w:pPr>
        <w:pStyle w:val="ECHRPara"/>
      </w:pPr>
      <w:r>
        <w:t xml:space="preserve">- </w:t>
      </w:r>
      <w:r w:rsidR="00C03CAC">
        <w:t xml:space="preserve"> </w:t>
      </w:r>
      <w:r>
        <w:t>twardy dysk zewnętrzny zawierający archiwa,</w:t>
      </w:r>
    </w:p>
    <w:p w:rsidR="00BF0F8E" w:rsidRPr="006B0F5A" w:rsidRDefault="000C201E" w:rsidP="006B0F5A">
      <w:pPr>
        <w:pStyle w:val="ECHRPara"/>
      </w:pPr>
      <w:r>
        <w:t xml:space="preserve">- twardy dysk z komputera przenośnego, który był użytkowany przez </w:t>
      </w:r>
      <w:r w:rsidR="00D300A7">
        <w:t>pana</w:t>
      </w:r>
      <w:r>
        <w:t xml:space="preserve"> B.A., i który znajdował się w </w:t>
      </w:r>
      <w:r w:rsidR="00D300A7">
        <w:t>urządzeniach</w:t>
      </w:r>
      <w:r>
        <w:t xml:space="preserve"> informatycznych spółki. </w:t>
      </w:r>
    </w:p>
    <w:p w:rsidR="0010236F" w:rsidRPr="006B0F5A" w:rsidRDefault="00403D74" w:rsidP="006B0F5A">
      <w:pPr>
        <w:pStyle w:val="ECHRPara"/>
      </w:pPr>
      <w:fldSimple w:instr=" SEQ level0 \*arabic ">
        <w:r w:rsidR="00F32FF7">
          <w:rPr>
            <w:noProof/>
          </w:rPr>
          <w:t>20</w:t>
        </w:r>
      </w:fldSimple>
      <w:r w:rsidR="000C201E">
        <w:t>.  Wszystkie zatrzymane dokumenty i dane informatyczne zostały opieczętowane na polecenie sędziego śledczego TCIC w celu przeprowadzenia postępowania przed Pr</w:t>
      </w:r>
      <w:r w:rsidR="00E77840">
        <w:t>ezesem</w:t>
      </w:r>
      <w:r w:rsidR="000C201E">
        <w:t xml:space="preserve"> Sądu Apelacyjnego w Lizbonie. </w:t>
      </w:r>
    </w:p>
    <w:p w:rsidR="0010236F" w:rsidRPr="006B0F5A" w:rsidRDefault="00403D74" w:rsidP="006B0F5A">
      <w:pPr>
        <w:pStyle w:val="ECHRPara"/>
      </w:pPr>
      <w:fldSimple w:instr=" SEQ level0 \*arabic ">
        <w:r w:rsidR="00F32FF7">
          <w:rPr>
            <w:noProof/>
          </w:rPr>
          <w:t>21</w:t>
        </w:r>
      </w:fldSimple>
      <w:r w:rsidR="000C201E">
        <w:t>.  </w:t>
      </w:r>
      <w:r w:rsidR="00276416">
        <w:t>Postanowieniem</w:t>
      </w:r>
      <w:r w:rsidR="000C201E">
        <w:t xml:space="preserve"> z dnia 6 października 2009 roku, czwarty ze skarżących, </w:t>
      </w:r>
      <w:r w:rsidR="00E77840">
        <w:t>p</w:t>
      </w:r>
      <w:r w:rsidR="000C201E">
        <w:t xml:space="preserve">an Ricardo </w:t>
      </w:r>
      <w:proofErr w:type="spellStart"/>
      <w:r w:rsidR="000C201E">
        <w:t>Guimarães</w:t>
      </w:r>
      <w:proofErr w:type="spellEnd"/>
      <w:r w:rsidR="000C201E">
        <w:t xml:space="preserve">, został postawiony w stan oskarżenia, </w:t>
      </w:r>
      <w:r w:rsidR="00690EA2">
        <w:t>z uwagi na to,</w:t>
      </w:r>
      <w:r w:rsidR="000C201E">
        <w:t xml:space="preserve"> że w trakcie przeszukania okazało się, że on również pomagał Rządowi w ramach negocjacji </w:t>
      </w:r>
      <w:r w:rsidR="00AE2A8B">
        <w:t xml:space="preserve">i </w:t>
      </w:r>
      <w:r w:rsidR="000C201E">
        <w:t>umów, które były przedmiotem śledztwa.</w:t>
      </w:r>
    </w:p>
    <w:p w:rsidR="0010236F" w:rsidRPr="006B0F5A" w:rsidRDefault="00403D74" w:rsidP="006B0F5A">
      <w:pPr>
        <w:pStyle w:val="ECHRPara"/>
      </w:pPr>
      <w:fldSimple w:instr=" SEQ level0 \*arabic ">
        <w:r w:rsidR="00F32FF7">
          <w:rPr>
            <w:noProof/>
          </w:rPr>
          <w:t>22</w:t>
        </w:r>
      </w:fldSimple>
      <w:r w:rsidR="000C201E">
        <w:t xml:space="preserve">.  W dniu 8 października 2009 roku, skarżący </w:t>
      </w:r>
      <w:r w:rsidR="00AE2A8B">
        <w:t>złożyli</w:t>
      </w:r>
      <w:r w:rsidR="000C201E">
        <w:t xml:space="preserve"> </w:t>
      </w:r>
      <w:r w:rsidR="008578DD">
        <w:t>do</w:t>
      </w:r>
      <w:r w:rsidR="000C201E">
        <w:t xml:space="preserve"> TCIC </w:t>
      </w:r>
      <w:r w:rsidR="008578DD">
        <w:t>pismo procesowe</w:t>
      </w:r>
      <w:r w:rsidR="000C201E">
        <w:t xml:space="preserve"> skierowane do Pr</w:t>
      </w:r>
      <w:r w:rsidR="008578DD">
        <w:t>ezesa</w:t>
      </w:r>
      <w:r w:rsidR="000C201E">
        <w:t xml:space="preserve"> Sądu Apelacyjnego w Lizbonie.</w:t>
      </w:r>
    </w:p>
    <w:p w:rsidR="009916CB" w:rsidRPr="006B0F5A" w:rsidRDefault="001479DF" w:rsidP="006B0F5A">
      <w:pPr>
        <w:pStyle w:val="ECHRPara"/>
      </w:pPr>
      <w:r>
        <w:t>Kwestionowali</w:t>
      </w:r>
      <w:r w:rsidR="000C201E">
        <w:t xml:space="preserve"> zatrzymanie dokumentów, plików informatycznych i </w:t>
      </w:r>
      <w:r w:rsidR="00C03CAC">
        <w:t xml:space="preserve">wiadomości </w:t>
      </w:r>
      <w:r w:rsidR="000C201E">
        <w:t>poczty elektronicznej ze stanowiska pracy czwartego ze skarżących  oraz serwerów skarżącej spółki</w:t>
      </w:r>
      <w:r w:rsidR="008128E7">
        <w:t>,</w:t>
      </w:r>
      <w:r w:rsidR="000C201E">
        <w:t xml:space="preserve"> na podstawie słów kluczowych powszechnych w kontekście prawnym.  Skarżyli się również na zatrzymanie dwóch twardych dysków. </w:t>
      </w:r>
    </w:p>
    <w:p w:rsidR="0010236F" w:rsidRPr="006B0F5A" w:rsidRDefault="000C201E" w:rsidP="006B0F5A">
      <w:pPr>
        <w:pStyle w:val="ECHRPara"/>
      </w:pPr>
      <w:r>
        <w:t xml:space="preserve">Podnosili również, że ilość zatrzymanych dokumentów i danych informatycznych była tak duża, że </w:t>
      </w:r>
      <w:r w:rsidR="00F02835">
        <w:t xml:space="preserve">zostały niewątpliwie zajęte </w:t>
      </w:r>
      <w:r>
        <w:t xml:space="preserve">dane których dotyczy tajemnica </w:t>
      </w:r>
      <w:r w:rsidR="00F02835">
        <w:t>zawodowa</w:t>
      </w:r>
      <w:r>
        <w:t>, w szczególności korespondencja adwokatów, którzy nie zostali oskarżeni w ramach niniejszego postępowania lub dokumentów, które dotyczyły innych postępowań karnych toczących się przed TCIC, w których skarżący działa</w:t>
      </w:r>
      <w:r w:rsidR="00C257B1">
        <w:t>li</w:t>
      </w:r>
      <w:r>
        <w:t xml:space="preserve"> w charakterze obrońców.  Jako przykład, podali dwa postępowania, w ramach których trzeci i piąty ze skarżących </w:t>
      </w:r>
      <w:r w:rsidR="00C03CAC">
        <w:t>występowali jako przedstawiciele</w:t>
      </w:r>
      <w:r>
        <w:t xml:space="preserve"> oskarżonych. </w:t>
      </w:r>
    </w:p>
    <w:p w:rsidR="0010236F" w:rsidRPr="006B0F5A" w:rsidRDefault="000C201E" w:rsidP="006B0F5A">
      <w:pPr>
        <w:pStyle w:val="ECHRPara"/>
      </w:pPr>
      <w:r>
        <w:t>Skarżący podkreślili, że jako jedyny sędzia śledczy w TCIC,</w:t>
      </w:r>
      <w:r w:rsidR="00C0528C">
        <w:t xml:space="preserve"> sędzia C.A z pewnością </w:t>
      </w:r>
      <w:r w:rsidR="006A3ED0">
        <w:t>poznałby dowody</w:t>
      </w:r>
      <w:r>
        <w:t xml:space="preserve"> objęt</w:t>
      </w:r>
      <w:r w:rsidR="006A3ED0">
        <w:t>e</w:t>
      </w:r>
      <w:r>
        <w:t xml:space="preserve"> zakresem tajemnicy </w:t>
      </w:r>
      <w:r w:rsidR="006A3ED0">
        <w:t>zawodowej</w:t>
      </w:r>
      <w:r>
        <w:t xml:space="preserve">.  </w:t>
      </w:r>
      <w:r>
        <w:lastRenderedPageBreak/>
        <w:t>Zwrócili się w z</w:t>
      </w:r>
      <w:r w:rsidR="006A3ED0">
        <w:t>wiązku z tym do Prezesa</w:t>
      </w:r>
      <w:r>
        <w:t xml:space="preserve"> Sądu Apelacyjnego</w:t>
      </w:r>
      <w:r w:rsidR="00EB0820">
        <w:t>,</w:t>
      </w:r>
      <w:r>
        <w:t xml:space="preserve"> aby to on otworzył i wyselekcjonował </w:t>
      </w:r>
      <w:r w:rsidR="0008455A">
        <w:t>spośród opieczętowanych dokumentów i danych informatycznych</w:t>
      </w:r>
      <w:r>
        <w:t xml:space="preserve"> i aby nie przesyłał sędziemu </w:t>
      </w:r>
      <w:r w:rsidR="00EB0820">
        <w:t>C.A.</w:t>
      </w:r>
      <w:r>
        <w:t xml:space="preserve"> tych, które obejmowały tajemnice adwokacką i które nie były związane ze śledztwami dotyczącymi łodzi podwodnych, </w:t>
      </w:r>
      <w:r w:rsidR="004E106C">
        <w:t>pod rygorem naruszenia</w:t>
      </w:r>
      <w:r>
        <w:t xml:space="preserve"> prawa </w:t>
      </w:r>
      <w:r w:rsidR="002124A4">
        <w:t xml:space="preserve">do poszanowania </w:t>
      </w:r>
      <w:r>
        <w:t>życia prywatnego, miejsca zamieszkania i korespondencji zagwarantowan</w:t>
      </w:r>
      <w:r w:rsidR="002124A4">
        <w:t>ego</w:t>
      </w:r>
      <w:r>
        <w:t xml:space="preserve"> przez Konwencję.  </w:t>
      </w:r>
    </w:p>
    <w:p w:rsidR="00F038C1" w:rsidRPr="006B0F5A" w:rsidRDefault="000C201E" w:rsidP="006B0F5A">
      <w:pPr>
        <w:pStyle w:val="ECHRPara"/>
        <w:rPr>
          <w:i/>
        </w:rPr>
      </w:pPr>
      <w:r>
        <w:t>Na koniec skarżący podni</w:t>
      </w:r>
      <w:r w:rsidR="00942F5E">
        <w:t>eśli</w:t>
      </w:r>
      <w:r>
        <w:t xml:space="preserve"> argumenty przeciwko oskarżeniu czwartego ze skarżących, gdyż według ich oceny miało to na celu obejście obowiązujących przepisów dotyczących ochrony tajemnicy </w:t>
      </w:r>
      <w:r w:rsidR="00942F5E">
        <w:t>zawodowej</w:t>
      </w:r>
      <w:r>
        <w:t>, żaden czyn nie został mu przypisany ani wcześniej</w:t>
      </w:r>
      <w:r w:rsidR="0029718E">
        <w:t>,</w:t>
      </w:r>
      <w:r>
        <w:t xml:space="preserve"> ani w chwili objęcia oskarżeniem. </w:t>
      </w:r>
    </w:p>
    <w:p w:rsidR="0010236F" w:rsidRPr="006B0F5A" w:rsidRDefault="00403D74" w:rsidP="006B0F5A">
      <w:pPr>
        <w:pStyle w:val="ECHRPara"/>
      </w:pPr>
      <w:fldSimple w:instr=" SEQ level0 \*arabic ">
        <w:r w:rsidR="00F32FF7">
          <w:rPr>
            <w:noProof/>
          </w:rPr>
          <w:t>23</w:t>
        </w:r>
      </w:fldSimple>
      <w:r w:rsidR="000C201E">
        <w:t xml:space="preserve">.  W dniu 14 października 2009 roku, sędzia śledczy TCIC skierował </w:t>
      </w:r>
      <w:r w:rsidR="00300B96">
        <w:t>pismo</w:t>
      </w:r>
      <w:r w:rsidR="00A51B5D">
        <w:t xml:space="preserve"> </w:t>
      </w:r>
      <w:r w:rsidR="000C201E">
        <w:t>do Pr</w:t>
      </w:r>
      <w:r w:rsidR="00A51B5D">
        <w:t>ezesa</w:t>
      </w:r>
      <w:r w:rsidR="000C201E">
        <w:t xml:space="preserve"> Sądu Apelacyjnego. W swoich uwagach, sędzia śledczy TCIC, powtórzył, że wszystkie zatrzymane elementy miały stanowić środki dowodowe w ramach toczących się śledztw. </w:t>
      </w:r>
    </w:p>
    <w:p w:rsidR="0010236F" w:rsidRPr="006B0F5A" w:rsidRDefault="00403D74" w:rsidP="006B0F5A">
      <w:pPr>
        <w:pStyle w:val="ECHRPara"/>
      </w:pPr>
      <w:fldSimple w:instr=" SEQ level0 \*arabic ">
        <w:r w:rsidR="00F32FF7">
          <w:rPr>
            <w:noProof/>
          </w:rPr>
          <w:t>24</w:t>
        </w:r>
      </w:fldSimple>
      <w:r w:rsidR="000C201E">
        <w:t>.  Dnia 19 października 2009 roku, czwarty ze skarżących zwrócił się do sędziego śledczego TCIC z wnioskiem o unieważnienie jego oskarżenia.  Podnosił w nim fakt, że nie został przesłuchany w charakterze oskarżonego i nie został  poinformowany o faktach, które mu się zarzuca.  Powoływał się również na to, iż oskarżenie miało na celu jedynie uzasadnienie zatrzymani</w:t>
      </w:r>
      <w:r w:rsidR="0008455A">
        <w:t>a</w:t>
      </w:r>
      <w:r w:rsidR="000C201E">
        <w:t xml:space="preserve"> danych informatycznych, które miało miejsce. </w:t>
      </w:r>
    </w:p>
    <w:p w:rsidR="00F038C1" w:rsidRPr="006B0F5A" w:rsidRDefault="00403D74" w:rsidP="006B0F5A">
      <w:pPr>
        <w:pStyle w:val="ECHRPara"/>
      </w:pPr>
      <w:fldSimple w:instr=" SEQ level0 \*arabic ">
        <w:r w:rsidR="00F32FF7">
          <w:rPr>
            <w:noProof/>
          </w:rPr>
          <w:t>25</w:t>
        </w:r>
      </w:fldSimple>
      <w:r w:rsidR="000C201E">
        <w:t>.  W dniu 21 października 2009 roku, skarżący</w:t>
      </w:r>
      <w:r w:rsidR="00300B96">
        <w:t xml:space="preserve"> złożyli</w:t>
      </w:r>
      <w:r w:rsidR="000C201E">
        <w:t xml:space="preserve"> skargę </w:t>
      </w:r>
      <w:r w:rsidR="00300B96">
        <w:t>do</w:t>
      </w:r>
      <w:r w:rsidR="000C201E">
        <w:t xml:space="preserve">  Pr</w:t>
      </w:r>
      <w:r w:rsidR="00300B96">
        <w:t>ezesa</w:t>
      </w:r>
      <w:r w:rsidR="000C201E">
        <w:t xml:space="preserve"> Sądu Apelacyjnego w Lizbonie</w:t>
      </w:r>
      <w:r w:rsidR="00300B96">
        <w:t>.</w:t>
      </w:r>
      <w:r w:rsidR="000C201E">
        <w:t xml:space="preserve"> Ponownie zakwestionowali oskarżenie czwartego ze skarżących. Powołując się na tajemnicę </w:t>
      </w:r>
      <w:r w:rsidR="00311F76">
        <w:t>zawodową</w:t>
      </w:r>
      <w:r w:rsidR="000C201E">
        <w:t>, ponownie podnieśli, że to do Pr</w:t>
      </w:r>
      <w:r w:rsidR="007A04C8">
        <w:t>ezesa</w:t>
      </w:r>
      <w:r w:rsidR="000C201E">
        <w:t xml:space="preserve"> Sądu Apelacyjnego należy przeprowadzanie otwarcia i selekcji zatrzymanych materiałów z uwagi na to, że sędzia śledc</w:t>
      </w:r>
      <w:r w:rsidR="0008455A">
        <w:t>zy TCIC był jedynym sędzią</w:t>
      </w:r>
      <w:r w:rsidR="000C201E">
        <w:t xml:space="preserve"> śledczym prowadzącym "duże sprawy" w kraju. </w:t>
      </w:r>
    </w:p>
    <w:p w:rsidR="00351C1C" w:rsidRPr="006B0F5A" w:rsidRDefault="00403D74" w:rsidP="006B0F5A">
      <w:pPr>
        <w:pStyle w:val="ECHRPara"/>
      </w:pPr>
      <w:fldSimple w:instr=" SEQ level0 \*arabic ">
        <w:r w:rsidR="00F32FF7">
          <w:rPr>
            <w:noProof/>
          </w:rPr>
          <w:t>26</w:t>
        </w:r>
      </w:fldSimple>
      <w:r w:rsidR="000C201E">
        <w:t>.  Decyzją z dnia 29 października 2009 roku, Wicepr</w:t>
      </w:r>
      <w:r w:rsidR="00836EAB">
        <w:t>ezes</w:t>
      </w:r>
      <w:r w:rsidR="000C201E">
        <w:t xml:space="preserve"> Sądu Apelacyjnego w Lizbonie odrzucił zażalenie skarżących wniesione </w:t>
      </w:r>
      <w:r w:rsidR="00DD0F89">
        <w:br/>
      </w:r>
      <w:r w:rsidR="000C201E">
        <w:t xml:space="preserve">8 października. Na wstępie przypomniał, że jego interwencja w przedmiotowej sprawie miała na celu sprawdzenie czy istniało rażące i </w:t>
      </w:r>
      <w:r w:rsidR="004A4DAE">
        <w:t>nieproporcjonalne ryzyko</w:t>
      </w:r>
      <w:r w:rsidR="000C201E">
        <w:t xml:space="preserve"> narusz</w:t>
      </w:r>
      <w:r w:rsidR="00A27B79">
        <w:t>enia</w:t>
      </w:r>
      <w:r w:rsidR="000C201E">
        <w:t xml:space="preserve"> tajemnic</w:t>
      </w:r>
      <w:r w:rsidR="00A27B79">
        <w:t>y</w:t>
      </w:r>
      <w:r w:rsidR="000C201E">
        <w:t xml:space="preserve"> </w:t>
      </w:r>
      <w:r w:rsidR="00A27B79">
        <w:t>zawodowej</w:t>
      </w:r>
      <w:r w:rsidR="000C201E">
        <w:t xml:space="preserve">. Następnie </w:t>
      </w:r>
      <w:r w:rsidR="00A27B79">
        <w:t>podniósł, że</w:t>
      </w:r>
      <w:r w:rsidR="000C201E">
        <w:t xml:space="preserve"> : </w:t>
      </w:r>
    </w:p>
    <w:p w:rsidR="00174351" w:rsidRPr="006B0F5A" w:rsidRDefault="000C201E" w:rsidP="006B0F5A">
      <w:pPr>
        <w:pStyle w:val="ECHRPara"/>
      </w:pPr>
      <w:r>
        <w:t xml:space="preserve">- adwokat B.A. i czwarty ze skarżących uczestniczyli w negocjacjach, które były przedmiotem śledztwa ; </w:t>
      </w:r>
    </w:p>
    <w:p w:rsidR="0010236F" w:rsidRPr="006B0F5A" w:rsidRDefault="000C201E" w:rsidP="006B0F5A">
      <w:pPr>
        <w:pStyle w:val="ECHRPara"/>
      </w:pPr>
      <w:r>
        <w:t xml:space="preserve">- zatrzymanie danych informatycznych ze stanowiska pracy czwartego ze skarżących było zgodne z artykułem 71 § 4 Statutu Izby Adwokackiej w związku z tym, iż został on w międzyczasie oskarżony oraz ponieważ te dane nie były przeglądane z uwagi na ich opieczętowanie po złożeniu </w:t>
      </w:r>
      <w:r w:rsidR="003A6738">
        <w:t>sprzeciwu</w:t>
      </w:r>
      <w:r>
        <w:t xml:space="preserve"> na mocy artykułu 72 Statutu Izby Adwokackiej ;</w:t>
      </w:r>
    </w:p>
    <w:p w:rsidR="00626184" w:rsidRPr="006B0F5A" w:rsidRDefault="000C201E" w:rsidP="006B0F5A">
      <w:pPr>
        <w:pStyle w:val="ECHRPara"/>
      </w:pPr>
      <w:r>
        <w:lastRenderedPageBreak/>
        <w:t xml:space="preserve">- kwestia unieważnienia oskarżenia wobec czwartego ze skarżących nie </w:t>
      </w:r>
      <w:r w:rsidR="0020299F">
        <w:t>stanowiła przedmiotu rozpoznania</w:t>
      </w:r>
      <w:r>
        <w:t xml:space="preserve"> w tym konkretnym przypadku, </w:t>
      </w:r>
      <w:r w:rsidR="0020299F">
        <w:t>który obejmował</w:t>
      </w:r>
      <w:r>
        <w:t xml:space="preserve"> jedynie zapisy artykułu 72 Statutu Izby Adwokackiej ; </w:t>
      </w:r>
    </w:p>
    <w:p w:rsidR="0040041C" w:rsidRPr="006B0F5A" w:rsidRDefault="000C201E" w:rsidP="006B0F5A">
      <w:pPr>
        <w:pStyle w:val="ECHRPara"/>
      </w:pPr>
      <w:r>
        <w:t xml:space="preserve">- po ich otwarciu i przejrzeniu, wszystkie zatrzymane dokumenty i pliki informatyczne wydawały się </w:t>
      </w:r>
      <w:r w:rsidR="009E12BF">
        <w:t>mieć znaczenie</w:t>
      </w:r>
      <w:r>
        <w:t>, bezpośredni</w:t>
      </w:r>
      <w:r w:rsidR="009E12BF">
        <w:t>e</w:t>
      </w:r>
      <w:r>
        <w:t xml:space="preserve"> lub pośredni</w:t>
      </w:r>
      <w:r w:rsidR="009E12BF">
        <w:t>e</w:t>
      </w:r>
      <w:r>
        <w:t xml:space="preserve">, dla przedmiotowego śledztwa i samo w sobie sporne zatrzymanie nie stanowiło, na pierwszy rzut oka, naruszenia tajemnicy </w:t>
      </w:r>
      <w:r w:rsidR="009E12BF">
        <w:t>adwoka</w:t>
      </w:r>
      <w:r w:rsidR="003465FA">
        <w:t>ckiej</w:t>
      </w:r>
      <w:r>
        <w:t xml:space="preserve"> ; </w:t>
      </w:r>
    </w:p>
    <w:p w:rsidR="0040041C" w:rsidRPr="006B0F5A" w:rsidRDefault="000C201E" w:rsidP="006B0F5A">
      <w:pPr>
        <w:pStyle w:val="ECHRPara"/>
      </w:pPr>
      <w:r>
        <w:t>- słowa kluczowe użyte do prz</w:t>
      </w:r>
      <w:r w:rsidR="00E93781">
        <w:t>eprowadzenia przeszukania wydawały</w:t>
      </w:r>
      <w:r>
        <w:t xml:space="preserve"> się wykazywać związek z prowadzonym śledztwem i</w:t>
      </w:r>
      <w:r w:rsidR="00E93781">
        <w:t>,</w:t>
      </w:r>
      <w:r>
        <w:t xml:space="preserve"> nawet jeżeli mogły</w:t>
      </w:r>
      <w:r w:rsidR="00E93781">
        <w:t xml:space="preserve"> </w:t>
      </w:r>
      <w:r>
        <w:t xml:space="preserve"> </w:t>
      </w:r>
      <w:r w:rsidR="00C869BD">
        <w:t>pozwolić dotrzeć</w:t>
      </w:r>
      <w:r>
        <w:t xml:space="preserve"> do innych kwestii, to do sędziego śledczego należała weryfikacj</w:t>
      </w:r>
      <w:r w:rsidR="00C869BD">
        <w:t>a</w:t>
      </w:r>
      <w:r>
        <w:t xml:space="preserve"> tych materiałów ; </w:t>
      </w:r>
    </w:p>
    <w:p w:rsidR="0010236F" w:rsidRPr="006B0F5A" w:rsidRDefault="000C201E" w:rsidP="006B0F5A">
      <w:pPr>
        <w:pStyle w:val="ECHRPara"/>
      </w:pPr>
      <w:r>
        <w:t xml:space="preserve">- </w:t>
      </w:r>
      <w:r w:rsidR="002F5C32">
        <w:t>po</w:t>
      </w:r>
      <w:r>
        <w:t xml:space="preserve"> dokonan</w:t>
      </w:r>
      <w:r w:rsidR="002F5C32">
        <w:t>iu</w:t>
      </w:r>
      <w:r>
        <w:t xml:space="preserve"> wyważeni</w:t>
      </w:r>
      <w:r w:rsidR="002F5C32">
        <w:t>a</w:t>
      </w:r>
      <w:r>
        <w:t xml:space="preserve"> interesów będących </w:t>
      </w:r>
      <w:r w:rsidR="002F5C32">
        <w:t xml:space="preserve">wchodzących w grę w tej </w:t>
      </w:r>
      <w:r>
        <w:t xml:space="preserve"> konkretn</w:t>
      </w:r>
      <w:r w:rsidR="002F5C32">
        <w:t>ej</w:t>
      </w:r>
      <w:r>
        <w:t xml:space="preserve"> </w:t>
      </w:r>
      <w:r w:rsidR="002F5C32">
        <w:t>sprawie</w:t>
      </w:r>
      <w:r>
        <w:t xml:space="preserve">, działanie wymiaru sprawiedliwości i dojście do prawdy przeważyły nad tajemnicą </w:t>
      </w:r>
      <w:r w:rsidR="00E402A4">
        <w:t>adwoka</w:t>
      </w:r>
      <w:r w:rsidR="003465FA">
        <w:t>cką</w:t>
      </w:r>
      <w:r>
        <w:t xml:space="preserve">. </w:t>
      </w:r>
    </w:p>
    <w:p w:rsidR="00F038C1" w:rsidRPr="006B0F5A" w:rsidRDefault="000C201E" w:rsidP="006B0F5A">
      <w:pPr>
        <w:pStyle w:val="ECHRPara"/>
      </w:pPr>
      <w:r>
        <w:t>Wicepr</w:t>
      </w:r>
      <w:r w:rsidR="00836EAB">
        <w:t>ezes</w:t>
      </w:r>
      <w:r>
        <w:t xml:space="preserve"> Sądu Apelacyjnego wniosk</w:t>
      </w:r>
      <w:r w:rsidR="00836EAB">
        <w:t>ował</w:t>
      </w:r>
      <w:r>
        <w:t xml:space="preserve"> z tego, że zatrzymanie dokumentów i plików informatycznych było proporcjonalne w stosunku do </w:t>
      </w:r>
      <w:r w:rsidR="00AF42DE">
        <w:t xml:space="preserve">zamierzonego </w:t>
      </w:r>
      <w:r>
        <w:t>celu, czyli działania wymiaru sprawiedliwości w spraw</w:t>
      </w:r>
      <w:r w:rsidR="00AF42DE">
        <w:t>ach</w:t>
      </w:r>
      <w:r>
        <w:t xml:space="preserve"> o dużej złożoności i że nie miało miejsca żadne naruszenie konstytucyjnej zasady poszanowania życia prywatnego.  Oceniając, że obawy wyrażone w stosunku do sędziego śledczego TCIC były wątpliwe i że prawo nie przewid</w:t>
      </w:r>
      <w:r w:rsidR="00A87FBE">
        <w:t>ywało,</w:t>
      </w:r>
      <w:r>
        <w:t xml:space="preserve"> aby można go było wyłączyć z przywołanych przyczyn, a ponad to że kwestia nie należała w tym konkretnym przypadku do jego </w:t>
      </w:r>
      <w:r w:rsidR="00415475">
        <w:t>właściwości</w:t>
      </w:r>
      <w:r>
        <w:t xml:space="preserve">, nakazał zgodnie z prawem ponowne opieczętowanie zatrzymanych dokumentów i przekazanie ich do TCIC. </w:t>
      </w:r>
    </w:p>
    <w:p w:rsidR="0010236F" w:rsidRPr="006B0F5A" w:rsidRDefault="00403D74" w:rsidP="006B0F5A">
      <w:pPr>
        <w:pStyle w:val="ECHRPara"/>
      </w:pPr>
      <w:fldSimple w:instr=" SEQ level0 \*arabic ">
        <w:r w:rsidR="00F32FF7">
          <w:rPr>
            <w:noProof/>
          </w:rPr>
          <w:t>27</w:t>
        </w:r>
      </w:fldSimple>
      <w:r w:rsidR="000C201E">
        <w:t>.  </w:t>
      </w:r>
      <w:r w:rsidR="007C6A4E">
        <w:t>Postanowieniem</w:t>
      </w:r>
      <w:r w:rsidR="000C201E">
        <w:t xml:space="preserve"> z dnia 3 listopada 2009 roku, sędzia śledczy TCIC odrzucił wniosek o unieważnienie złożony w dniu 19 października przez czwartego ze skarżących dotyczący jego oskarżenia. Czwarty ze skarżących zaskarżył to </w:t>
      </w:r>
      <w:r w:rsidR="00812500">
        <w:t>postanowienie</w:t>
      </w:r>
      <w:r w:rsidR="000C201E">
        <w:t xml:space="preserve"> </w:t>
      </w:r>
      <w:r w:rsidR="00812500">
        <w:t>do</w:t>
      </w:r>
      <w:r w:rsidR="000C201E">
        <w:t xml:space="preserve"> Sąd</w:t>
      </w:r>
      <w:r w:rsidR="00812500">
        <w:t>u</w:t>
      </w:r>
      <w:r w:rsidR="000C201E">
        <w:t xml:space="preserve"> Apelacyjn</w:t>
      </w:r>
      <w:r w:rsidR="00812500">
        <w:t>ego</w:t>
      </w:r>
      <w:r w:rsidR="000C201E">
        <w:t xml:space="preserve"> w Lizbonie. </w:t>
      </w:r>
    </w:p>
    <w:p w:rsidR="0010236F" w:rsidRPr="006B0F5A" w:rsidRDefault="00403D74" w:rsidP="006B0F5A">
      <w:pPr>
        <w:pStyle w:val="ECHRPara"/>
      </w:pPr>
      <w:fldSimple w:instr=" SEQ level0 \*arabic ">
        <w:r w:rsidR="00F32FF7">
          <w:rPr>
            <w:noProof/>
          </w:rPr>
          <w:t>28</w:t>
        </w:r>
      </w:fldSimple>
      <w:r w:rsidR="000C201E">
        <w:t xml:space="preserve">.  W dniu 12 listopada 2009 roku, skarżący wnieśli skargę konstytucyjną </w:t>
      </w:r>
      <w:r w:rsidR="00812500">
        <w:t>do</w:t>
      </w:r>
      <w:r w:rsidR="000C201E">
        <w:t xml:space="preserve"> Trybunał</w:t>
      </w:r>
      <w:r w:rsidR="00812500">
        <w:t>u</w:t>
      </w:r>
      <w:r w:rsidR="000C201E">
        <w:t xml:space="preserve"> Konstytucyjn</w:t>
      </w:r>
      <w:r w:rsidR="00812500">
        <w:t>ego</w:t>
      </w:r>
      <w:r w:rsidR="000C201E">
        <w:t xml:space="preserve"> przeciwko decyzji z dnia 29 października 2009 roku wydanej przez Wicepr</w:t>
      </w:r>
      <w:r w:rsidR="00812500">
        <w:t>ezesa</w:t>
      </w:r>
      <w:r w:rsidR="000C201E">
        <w:t xml:space="preserve"> Sądu Apelacyjnego w Lizbonie. Podn</w:t>
      </w:r>
      <w:r w:rsidR="005550CF">
        <w:t>ieśli</w:t>
      </w:r>
      <w:r w:rsidR="000C201E">
        <w:t xml:space="preserve"> w niej między innymi </w:t>
      </w:r>
      <w:r w:rsidR="00597CC0">
        <w:t>kwestię tajemnicy korespondencji i prawa</w:t>
      </w:r>
      <w:r w:rsidR="000C201E">
        <w:t xml:space="preserve"> do </w:t>
      </w:r>
      <w:r w:rsidR="00AA6CB2">
        <w:t>życia prywatnego</w:t>
      </w:r>
      <w:r w:rsidR="000C201E">
        <w:t xml:space="preserve"> swoich klientów, </w:t>
      </w:r>
      <w:r w:rsidR="009B12A6">
        <w:t>kwestionując</w:t>
      </w:r>
      <w:r w:rsidR="000C201E">
        <w:t xml:space="preserve"> oskarż</w:t>
      </w:r>
      <w:r w:rsidR="00597CC0">
        <w:t xml:space="preserve">enie czwartego ze skarżących oraz </w:t>
      </w:r>
      <w:r w:rsidR="000C201E">
        <w:t>uprawnienia sędziego śledczego TCIC.</w:t>
      </w:r>
    </w:p>
    <w:p w:rsidR="00810322" w:rsidRPr="006B0F5A" w:rsidRDefault="00403D74" w:rsidP="006B0F5A">
      <w:pPr>
        <w:pStyle w:val="ECHRPara"/>
      </w:pPr>
      <w:fldSimple w:instr=" SEQ level0 \*arabic ">
        <w:r w:rsidR="00F32FF7">
          <w:rPr>
            <w:noProof/>
          </w:rPr>
          <w:t>29</w:t>
        </w:r>
      </w:fldSimple>
      <w:r w:rsidR="000C201E">
        <w:t xml:space="preserve">.  W skardze złożonej w dniu 17 grudnia 2009 roku </w:t>
      </w:r>
      <w:r w:rsidR="009B12A6">
        <w:t>do</w:t>
      </w:r>
      <w:r w:rsidR="000C201E">
        <w:t xml:space="preserve"> Sąd</w:t>
      </w:r>
      <w:r w:rsidR="009B12A6">
        <w:t>u Apelacyjnego</w:t>
      </w:r>
      <w:r w:rsidR="000C201E">
        <w:t xml:space="preserve"> w Lizbonie, skarżący oświadczyl</w:t>
      </w:r>
      <w:r w:rsidR="00A515F1">
        <w:t>i, że odst</w:t>
      </w:r>
      <w:r w:rsidR="0073116A">
        <w:t>ępują</w:t>
      </w:r>
      <w:r w:rsidR="000C201E">
        <w:t>, zgodnie z zaleceni</w:t>
      </w:r>
      <w:r w:rsidR="008E2BA1">
        <w:t>e</w:t>
      </w:r>
      <w:r w:rsidR="000C201E">
        <w:t>m Ministerstwa Obrony, od części zarzutów podniesionych w skardze konstytucyjnej dotycząc</w:t>
      </w:r>
      <w:r w:rsidR="0073116A">
        <w:t>ych</w:t>
      </w:r>
      <w:r w:rsidR="000C201E">
        <w:t xml:space="preserve"> zatrzymania dokumentacji w formie papierowej dotyczącej negocjacji prowadzonych pomiędzy Państwem Portugalskim a niemieckim konsorcjum </w:t>
      </w:r>
      <w:r w:rsidR="00BE03F4">
        <w:t>w zakresie</w:t>
      </w:r>
      <w:r w:rsidR="000C201E">
        <w:t xml:space="preserve"> nabycia łodzi podwodnych.  W związku z tym </w:t>
      </w:r>
      <w:r w:rsidR="002E3605">
        <w:t>wnieśli</w:t>
      </w:r>
      <w:r w:rsidR="000C201E">
        <w:t xml:space="preserve"> </w:t>
      </w:r>
      <w:r w:rsidR="002E3605">
        <w:t>o</w:t>
      </w:r>
      <w:r w:rsidR="000C201E">
        <w:t xml:space="preserve"> otwarci</w:t>
      </w:r>
      <w:r w:rsidR="002E3605">
        <w:t>e</w:t>
      </w:r>
      <w:r w:rsidR="000C201E">
        <w:t xml:space="preserve"> tych  dokumentów i ich przekazani</w:t>
      </w:r>
      <w:r w:rsidR="002E3605">
        <w:t>e</w:t>
      </w:r>
      <w:r w:rsidR="000C201E">
        <w:t xml:space="preserve"> sędziemu śledczemu TCIC. Oświadczyli, że podtrzymują </w:t>
      </w:r>
      <w:r w:rsidR="002E3605">
        <w:t xml:space="preserve">jednakże </w:t>
      </w:r>
      <w:r w:rsidR="000C201E">
        <w:t>częś</w:t>
      </w:r>
      <w:r w:rsidR="002E3605">
        <w:t>ć</w:t>
      </w:r>
      <w:r w:rsidR="000C201E">
        <w:t xml:space="preserve"> swoj</w:t>
      </w:r>
      <w:r w:rsidR="002E3605">
        <w:t>ej</w:t>
      </w:r>
      <w:r w:rsidR="000C201E">
        <w:t xml:space="preserve"> skarg</w:t>
      </w:r>
      <w:r w:rsidR="002E3605">
        <w:t>i</w:t>
      </w:r>
      <w:r w:rsidR="000C201E">
        <w:t xml:space="preserve"> dotyczącą zatrzymania danych </w:t>
      </w:r>
      <w:r w:rsidR="000C201E">
        <w:lastRenderedPageBreak/>
        <w:t>informatycznych znajdujących się na zatrzymanych dwóch twardych dyskach oraz tych, które zostały zapisane na czterech płytach DVD.</w:t>
      </w:r>
    </w:p>
    <w:p w:rsidR="0010236F" w:rsidRPr="006B0F5A" w:rsidRDefault="00403D74" w:rsidP="006B0F5A">
      <w:pPr>
        <w:pStyle w:val="ECHRPara"/>
      </w:pPr>
      <w:fldSimple w:instr=" SEQ level0 \*arabic ">
        <w:r w:rsidR="00F32FF7">
          <w:rPr>
            <w:noProof/>
          </w:rPr>
          <w:t>30</w:t>
        </w:r>
      </w:fldSimple>
      <w:r w:rsidR="000C201E">
        <w:t xml:space="preserve">.  Wyrokiem z dnia 15 kwietnia 2010 roku, Sąd Apelacyjny w Lizbonie </w:t>
      </w:r>
      <w:r w:rsidR="00D86927">
        <w:t>uchylił</w:t>
      </w:r>
      <w:r w:rsidR="000C201E">
        <w:t xml:space="preserve"> decyzję </w:t>
      </w:r>
      <w:r w:rsidR="00D86927">
        <w:t xml:space="preserve">sędziego śledczego TCIC </w:t>
      </w:r>
      <w:r w:rsidR="000C201E">
        <w:t>z dnia 3 listopada 2009 roku, oceniając, że oskarżenie przeciwko czwartemu skarżącemu było nielegalne.  Sąd uznał, że prawo nie zezwala</w:t>
      </w:r>
      <w:r w:rsidR="00D86927">
        <w:t>ło</w:t>
      </w:r>
      <w:r w:rsidR="000C201E">
        <w:t xml:space="preserve"> na to</w:t>
      </w:r>
      <w:r w:rsidR="00D86927">
        <w:t>,</w:t>
      </w:r>
      <w:r w:rsidR="000C201E">
        <w:t xml:space="preserve"> aby </w:t>
      </w:r>
      <w:r w:rsidR="00433CEC">
        <w:t xml:space="preserve">postawienie w stan </w:t>
      </w:r>
      <w:r w:rsidR="000C201E">
        <w:t>oskarżeni</w:t>
      </w:r>
      <w:r w:rsidR="00433CEC">
        <w:t>a</w:t>
      </w:r>
      <w:r w:rsidR="000C201E">
        <w:t xml:space="preserve"> </w:t>
      </w:r>
      <w:r w:rsidR="00433CEC">
        <w:t>nastąpiło</w:t>
      </w:r>
      <w:r w:rsidR="000C201E">
        <w:t xml:space="preserve"> po przeszukaniu, w celu uzasadnienia zatrzymania dokumentów służbowych. Poza anulowaniem oskarżenia w stosunku do czwartego ze skarżących, Sąd Apelacyjny nakazał zwrot wszelkiej "korespondencji", która go dotyczy</w:t>
      </w:r>
      <w:r w:rsidR="001373C9">
        <w:t>ła</w:t>
      </w:r>
      <w:r w:rsidR="00597CC0">
        <w:t>,</w:t>
      </w:r>
      <w:r w:rsidR="000C201E">
        <w:t xml:space="preserve"> a która została zatrzymana. </w:t>
      </w:r>
    </w:p>
    <w:p w:rsidR="0010236F" w:rsidRPr="006B0F5A" w:rsidRDefault="00403D74" w:rsidP="006B0F5A">
      <w:pPr>
        <w:pStyle w:val="ECHRPara"/>
      </w:pPr>
      <w:fldSimple w:instr=" SEQ level0 \*arabic ">
        <w:r w:rsidR="00F32FF7">
          <w:rPr>
            <w:noProof/>
          </w:rPr>
          <w:t>31</w:t>
        </w:r>
      </w:fldSimple>
      <w:r w:rsidR="000C201E">
        <w:t xml:space="preserve">.  Dnia 14 lipca 2010 roku, Trybunał Konstytucyjny wydał swoje orzeczenie dotyczące skargi, która została sformułowana przez skarżących.  Przede wszystkim postanowił, że w kwestii zatrzymania korespondencji dotyczącej czwartego ze skarżących skarga konstytucyjna była bezcelowa, gdyż Sąd Apelacyjny w Lizbonie nakazał już zwrot wszelkiej zatrzymanej korespondencji, która go do dotyczyła.  Jeżeli chodzi o kwestię dotyczącą zatrzymania dokumentów i danych informatycznych i kompetencji sędziego śledczego TCIC, Trybunał Konstytucyjny uznał skargę za niedopuszczalną, uznając, że żadna kwestia dotycząca normatywnej niekonstytucyjności nie została podniesiona w odpowiedni sposób przez zainteresowanych, skarżący zakwestionowali wyłącznie decyzje sądowe </w:t>
      </w:r>
      <w:r w:rsidR="00597CC0">
        <w:t xml:space="preserve">wydane </w:t>
      </w:r>
      <w:r w:rsidR="000C201E">
        <w:t xml:space="preserve">w ramach postępowania. </w:t>
      </w:r>
    </w:p>
    <w:p w:rsidR="0010236F" w:rsidRPr="006B0F5A" w:rsidRDefault="00403D74" w:rsidP="006B0F5A">
      <w:pPr>
        <w:pStyle w:val="ECHRPara"/>
      </w:pPr>
      <w:fldSimple w:instr=" SEQ level0 \*arabic ">
        <w:r w:rsidR="00F32FF7">
          <w:rPr>
            <w:noProof/>
          </w:rPr>
          <w:t>32</w:t>
        </w:r>
      </w:fldSimple>
      <w:r w:rsidR="000C201E">
        <w:t xml:space="preserve">.  Dnia 10 listopada 2010 roku sędzia śledczy TCIC przystąpił do otwarcia plomb, w obecności drugiego, czwartego i piątego ze skarżących, dwóch prokuratorów, sekretarza DCIAP i trzech ekspertów w dziedzinie informatyki. </w:t>
      </w:r>
    </w:p>
    <w:p w:rsidR="0010236F" w:rsidRPr="006B0F5A" w:rsidRDefault="00403D74" w:rsidP="006B0F5A">
      <w:pPr>
        <w:pStyle w:val="ECHRPara"/>
      </w:pPr>
      <w:fldSimple w:instr=" SEQ level0 \*arabic ">
        <w:r w:rsidR="00F32FF7">
          <w:rPr>
            <w:noProof/>
          </w:rPr>
          <w:t>33</w:t>
        </w:r>
      </w:fldSimple>
      <w:r w:rsidR="000C201E">
        <w:t>.  Uwzględniając wniosek prokuratorów, sędzia śledczy nakazał aby w zakresie w jakim przedstawiają wartość dla śledztwa, wszystkie dokumenty w formie papierowej zostały dołączone do akt śledztwa</w:t>
      </w:r>
      <w:r w:rsidR="00A44445">
        <w:t>,</w:t>
      </w:r>
      <w:r w:rsidR="000C201E">
        <w:t xml:space="preserve"> z wyjątkiem jednego segregatora i listu, które zostały zwrócone skarżącym.</w:t>
      </w:r>
    </w:p>
    <w:p w:rsidR="00C9641B" w:rsidRPr="006B0F5A" w:rsidRDefault="00403D74" w:rsidP="006B0F5A">
      <w:pPr>
        <w:pStyle w:val="ECHRPara"/>
      </w:pPr>
      <w:fldSimple w:instr=" SEQ level0 \*arabic ">
        <w:r w:rsidR="00F32FF7">
          <w:rPr>
            <w:noProof/>
          </w:rPr>
          <w:t>34</w:t>
        </w:r>
      </w:fldSimple>
      <w:r w:rsidR="000C201E">
        <w:t xml:space="preserve">.  Następnie sędzia śledczy otworzył plomby na czterech płytach DVD, na których zostały </w:t>
      </w:r>
      <w:r w:rsidR="00A44445">
        <w:t>zapisane</w:t>
      </w:r>
      <w:r w:rsidR="000C201E">
        <w:t xml:space="preserve"> pliki informatyczne oraz zawartość skrzynek poczty elektronicznej skopiowan</w:t>
      </w:r>
      <w:r w:rsidR="00AA4E66">
        <w:t>ych</w:t>
      </w:r>
      <w:r w:rsidR="000C201E">
        <w:t xml:space="preserve"> z komputera czwartego ze skarżących oraz różnych serwerów </w:t>
      </w:r>
      <w:r w:rsidR="00597CC0">
        <w:t xml:space="preserve">z </w:t>
      </w:r>
      <w:r w:rsidR="000C201E">
        <w:t xml:space="preserve">kancelarii adwokackiej, </w:t>
      </w:r>
      <w:r w:rsidR="00FC1B72">
        <w:t>po</w:t>
      </w:r>
      <w:r w:rsidR="000C201E">
        <w:t xml:space="preserve"> wyselekcjonowan</w:t>
      </w:r>
      <w:r w:rsidR="00FC1B72">
        <w:t>iu</w:t>
      </w:r>
      <w:r w:rsidR="000C201E">
        <w:t xml:space="preserve"> na podstawie słów kluczowych wskazanych w nakazie przeszukania (patrz wyżej paragraf 19).  Po </w:t>
      </w:r>
      <w:r w:rsidR="00075468">
        <w:t>prze</w:t>
      </w:r>
      <w:r w:rsidR="000C201E">
        <w:t xml:space="preserve">słuchaniu stron, sędzia śledczy nakazał aby zawartość dwóch skrzynek poczty elektronicznej adwokata B.A. i pliki informatyczne przedstawiające wartość </w:t>
      </w:r>
      <w:r w:rsidR="007A61E8">
        <w:t>d</w:t>
      </w:r>
      <w:r w:rsidR="000C201E">
        <w:t xml:space="preserve">la śledztwa, które zostały </w:t>
      </w:r>
      <w:r w:rsidR="007A61E8">
        <w:t>zapisa</w:t>
      </w:r>
      <w:r w:rsidR="000C201E">
        <w:t>ne na płytach DVD</w:t>
      </w:r>
      <w:r w:rsidR="007A61E8">
        <w:t>,</w:t>
      </w:r>
      <w:r w:rsidR="000C201E">
        <w:t xml:space="preserve"> zostały skopiowane i opieczętowane </w:t>
      </w:r>
      <w:r w:rsidR="007A61E8">
        <w:t>oraz</w:t>
      </w:r>
      <w:r w:rsidR="000C201E">
        <w:t xml:space="preserve"> aby oryginały płyt DVD zostały zwrócone skarżącej spółce. Następnie oświadczył, że TCIC przeprowadzi przegląd skopiowanych materiałów w terminie sześćdziesięciu dni. </w:t>
      </w:r>
    </w:p>
    <w:p w:rsidR="0010236F" w:rsidRPr="006B0F5A" w:rsidRDefault="00403D74" w:rsidP="006B0F5A">
      <w:pPr>
        <w:pStyle w:val="ECHRPara"/>
      </w:pPr>
      <w:fldSimple w:instr=" SEQ level0 \*arabic ">
        <w:r w:rsidR="00F32FF7">
          <w:rPr>
            <w:noProof/>
          </w:rPr>
          <w:t>35</w:t>
        </w:r>
      </w:fldSimple>
      <w:r w:rsidR="000C201E">
        <w:t xml:space="preserve">.  Wszystkie pliki informatyczne zidentyfikowane jako "korespondencja" trzeciego ze skarżących zostały mu zwrócone. </w:t>
      </w:r>
    </w:p>
    <w:p w:rsidR="0010236F" w:rsidRPr="006B0F5A" w:rsidRDefault="00403D74" w:rsidP="006B0F5A">
      <w:pPr>
        <w:pStyle w:val="ECHRPara"/>
      </w:pPr>
      <w:fldSimple w:instr=" SEQ level0 \*arabic ">
        <w:r w:rsidR="00F32FF7">
          <w:rPr>
            <w:noProof/>
          </w:rPr>
          <w:t>36</w:t>
        </w:r>
      </w:fldSimple>
      <w:r w:rsidR="000C201E">
        <w:t>.  Jeżeli chodzi o dwa twarde dyski, które zostały zatrzymane,</w:t>
      </w:r>
      <w:r w:rsidR="00597CC0">
        <w:t xml:space="preserve"> sędzia śledczy</w:t>
      </w:r>
      <w:r w:rsidR="000C201E">
        <w:t xml:space="preserve"> nakazał przeprowadzenie ekspertom z zakresu informatyki, czynności mających na celu selekcję plików informatycznych na podstawie słów kluczowych, które były użyte podczas przeszukania. </w:t>
      </w:r>
    </w:p>
    <w:p w:rsidR="0010236F" w:rsidRPr="006B0F5A" w:rsidRDefault="00403D74" w:rsidP="006B0F5A">
      <w:pPr>
        <w:pStyle w:val="ECHRPara"/>
      </w:pPr>
      <w:fldSimple w:instr=" SEQ level0 \*arabic ">
        <w:r w:rsidR="00F32FF7">
          <w:rPr>
            <w:noProof/>
          </w:rPr>
          <w:t>37</w:t>
        </w:r>
      </w:fldSimple>
      <w:r w:rsidR="000C201E">
        <w:t>.  Dnia 17 stycznia 2011 roku, eksperci z zakresu informatyki przedłożyli DCIAP dwa raporty wraz z dwoma twardymi dyskami i ich kopiami. Załączyli też trzeci twardy dysk zawierający kopię wyselekcjonowanych plików z dwóch twardych dysków na podstawie słów kluczowych użytych w ramach śledztwa.  Opieczętowane materiały zostały przekazane sędziemu śledczemu TCIC.</w:t>
      </w:r>
    </w:p>
    <w:p w:rsidR="0010236F" w:rsidRPr="006B0F5A" w:rsidRDefault="00403D74" w:rsidP="006B0F5A">
      <w:pPr>
        <w:pStyle w:val="ECHRPara"/>
      </w:pPr>
      <w:fldSimple w:instr=" SEQ level0 \*arabic ">
        <w:r w:rsidR="00F32FF7">
          <w:rPr>
            <w:noProof/>
          </w:rPr>
          <w:t>38</w:t>
        </w:r>
      </w:fldSimple>
      <w:r w:rsidR="000C201E">
        <w:t>.  </w:t>
      </w:r>
      <w:r w:rsidR="00316B02">
        <w:t>Postanowieniem</w:t>
      </w:r>
      <w:r w:rsidR="000C201E">
        <w:t xml:space="preserve"> z dnia 2 lutego 2011 roku, sędzia śledczy </w:t>
      </w:r>
      <w:r w:rsidR="00316B02">
        <w:t>stwierdził</w:t>
      </w:r>
      <w:r w:rsidR="000C201E">
        <w:t>, że eksperci z zakresu informatyki dokonali analizy plików informatycznych na twardych dyskach i że wybrane na podstawie słów kluczowych pliki (poczty elektronicznej) zostały skopiowane na odrębnym twardym dysku i opieczętowane. Nakazał złoż</w:t>
      </w:r>
      <w:r w:rsidR="00DB3DE4">
        <w:t>enie tej kopii</w:t>
      </w:r>
      <w:r w:rsidR="000C201E">
        <w:t xml:space="preserve"> do sejfu w oczekiwaniu na ustalenie </w:t>
      </w:r>
      <w:r w:rsidR="00FB62CD">
        <w:t xml:space="preserve">przez niego </w:t>
      </w:r>
      <w:r w:rsidR="000C201E">
        <w:t xml:space="preserve">daty wglądu do ich zawartości i </w:t>
      </w:r>
      <w:r w:rsidR="00A04C72">
        <w:t>usunięcie</w:t>
      </w:r>
      <w:r w:rsidR="000C201E">
        <w:t xml:space="preserve"> plików dotyczących życia prywatnego osób, których dotyczą. </w:t>
      </w:r>
    </w:p>
    <w:p w:rsidR="002164E6" w:rsidRPr="006B0F5A" w:rsidRDefault="00403D74" w:rsidP="006B0F5A">
      <w:pPr>
        <w:pStyle w:val="ECHRPara"/>
      </w:pPr>
      <w:fldSimple w:instr=" SEQ level0 \*arabic ">
        <w:r w:rsidR="00F32FF7">
          <w:rPr>
            <w:noProof/>
          </w:rPr>
          <w:t>39</w:t>
        </w:r>
      </w:fldSimple>
      <w:r w:rsidR="000C201E">
        <w:t xml:space="preserve">.  W dniach 1, 4, 5, 6 i 11 kwietnia 2011 roku, sędzia śledczy TCIC dokonał </w:t>
      </w:r>
      <w:r w:rsidR="00AF140C">
        <w:t>zdjęcia</w:t>
      </w:r>
      <w:r w:rsidR="000C201E">
        <w:t xml:space="preserve"> plom</w:t>
      </w:r>
      <w:r w:rsidR="00AF140C">
        <w:t>b</w:t>
      </w:r>
      <w:r w:rsidR="000C201E">
        <w:t xml:space="preserve"> płyt DVD. </w:t>
      </w:r>
      <w:r w:rsidR="00A945BA">
        <w:t>Przejrzał</w:t>
      </w:r>
      <w:r w:rsidR="000C201E">
        <w:t xml:space="preserve"> skopiowan</w:t>
      </w:r>
      <w:r w:rsidR="00A945BA">
        <w:t>e</w:t>
      </w:r>
      <w:r w:rsidR="000C201E">
        <w:t xml:space="preserve"> plik</w:t>
      </w:r>
      <w:r w:rsidR="00A945BA">
        <w:t>i</w:t>
      </w:r>
      <w:r w:rsidR="000C201E">
        <w:t xml:space="preserve"> informatyczn</w:t>
      </w:r>
      <w:r w:rsidR="00A945BA">
        <w:t>e</w:t>
      </w:r>
      <w:r w:rsidR="000C201E">
        <w:t xml:space="preserve"> (patrz powyżej paragraf 34), nakazując usunięcie plików, </w:t>
      </w:r>
      <w:r w:rsidR="00CC5807">
        <w:t>zawierających</w:t>
      </w:r>
      <w:r w:rsidR="000C201E">
        <w:t xml:space="preserve"> informacje o charakterze osobistym, objętych tajemnicą zawodową lub nie dotyczących osób </w:t>
      </w:r>
      <w:r w:rsidR="00072EE4">
        <w:t xml:space="preserve">postawionych w stan oskarżenia </w:t>
      </w:r>
      <w:r w:rsidR="000C201E">
        <w:t xml:space="preserve">zgodnie z artykułem 188 § 6 </w:t>
      </w:r>
      <w:r w:rsidR="00807C80">
        <w:t>pkt</w:t>
      </w:r>
      <w:r w:rsidR="000C201E">
        <w:t xml:space="preserve"> a) do c) KPK</w:t>
      </w:r>
      <w:r w:rsidR="00D955B9">
        <w:t>,</w:t>
      </w:r>
      <w:r w:rsidR="000C201E">
        <w:t xml:space="preserve"> jak poniżej :</w:t>
      </w:r>
    </w:p>
    <w:p w:rsidR="002164E6" w:rsidRPr="006B0F5A" w:rsidRDefault="000C201E" w:rsidP="006B0F5A">
      <w:pPr>
        <w:pStyle w:val="ECHRPara"/>
      </w:pPr>
      <w:r>
        <w:t>- Sesja z dnia 1-go kwi</w:t>
      </w:r>
      <w:r w:rsidR="002B7A54">
        <w:t>etnia 2011 roku (rano) : dokona</w:t>
      </w:r>
      <w:r w:rsidR="00D955B9">
        <w:t>ł wglądu do 4500 plików, spośród</w:t>
      </w:r>
      <w:r>
        <w:t xml:space="preserve"> których usunięto 115 plików ;</w:t>
      </w:r>
    </w:p>
    <w:p w:rsidR="002164E6" w:rsidRPr="006B0F5A" w:rsidRDefault="000C201E" w:rsidP="006B0F5A">
      <w:pPr>
        <w:pStyle w:val="ECHRPara"/>
      </w:pPr>
      <w:r>
        <w:t>- Sesja z dnia 1-go kwietnia 2</w:t>
      </w:r>
      <w:r w:rsidR="002B7A54">
        <w:t>011 roku (po południu) : dokona</w:t>
      </w:r>
      <w:r w:rsidR="0012493A">
        <w:t>ł</w:t>
      </w:r>
      <w:r>
        <w:t xml:space="preserve"> wglądu do 4356 plików, </w:t>
      </w:r>
      <w:r w:rsidR="0012493A" w:rsidRPr="0012493A">
        <w:t>spośród</w:t>
      </w:r>
      <w:r>
        <w:t xml:space="preserve"> których usunięto 100 plików ;</w:t>
      </w:r>
    </w:p>
    <w:p w:rsidR="002164E6" w:rsidRPr="006B0F5A" w:rsidRDefault="000C201E" w:rsidP="006B0F5A">
      <w:pPr>
        <w:pStyle w:val="ECHRPara"/>
      </w:pPr>
      <w:r>
        <w:t>- Sesja z dnia 4-go kwietnia 2011 roku (rano) : dokona</w:t>
      </w:r>
      <w:r w:rsidR="0012493A">
        <w:t>ł</w:t>
      </w:r>
      <w:r>
        <w:t xml:space="preserve"> wglądu do 2698 plików, </w:t>
      </w:r>
      <w:r w:rsidR="0012493A" w:rsidRPr="0012493A">
        <w:t>spośród</w:t>
      </w:r>
      <w:r>
        <w:t xml:space="preserve"> których usunięto 16 plików ;</w:t>
      </w:r>
      <w:r w:rsidR="0012493A">
        <w:t xml:space="preserve"> </w:t>
      </w:r>
    </w:p>
    <w:p w:rsidR="0066487B" w:rsidRPr="006B0F5A" w:rsidRDefault="000C201E" w:rsidP="006B0F5A">
      <w:pPr>
        <w:pStyle w:val="ECHRPara"/>
      </w:pPr>
      <w:r>
        <w:t>- Sesja z dnia 5-go kwietnia 2</w:t>
      </w:r>
      <w:r w:rsidR="002B7A54">
        <w:t>011 roku (po południu) : dokona</w:t>
      </w:r>
      <w:r w:rsidR="0012493A">
        <w:t>ł</w:t>
      </w:r>
      <w:r>
        <w:t xml:space="preserve"> wglądu do 4946 plików, </w:t>
      </w:r>
      <w:r w:rsidR="00854AA8" w:rsidRPr="00854AA8">
        <w:t>spośród</w:t>
      </w:r>
      <w:r>
        <w:t xml:space="preserve"> których usunięto 260 plików ;</w:t>
      </w:r>
      <w:r w:rsidR="0012493A">
        <w:t xml:space="preserve"> </w:t>
      </w:r>
    </w:p>
    <w:p w:rsidR="00A4614B" w:rsidRPr="006B0F5A" w:rsidRDefault="000C201E" w:rsidP="006B0F5A">
      <w:pPr>
        <w:pStyle w:val="ECHRPara"/>
      </w:pPr>
      <w:r>
        <w:t>- Sesja z dnia 6-go kwietnia 2011 roku (po południu) : dokona</w:t>
      </w:r>
      <w:r w:rsidR="00854AA8">
        <w:t>ł</w:t>
      </w:r>
      <w:r>
        <w:t xml:space="preserve"> wglądu do 6802 plików, z których usunięto 336 plików ;</w:t>
      </w:r>
      <w:r w:rsidR="00854AA8">
        <w:t xml:space="preserve"> </w:t>
      </w:r>
    </w:p>
    <w:p w:rsidR="0010236F" w:rsidRPr="006B0F5A" w:rsidRDefault="000C201E" w:rsidP="006B0F5A">
      <w:pPr>
        <w:pStyle w:val="ECHRPara"/>
      </w:pPr>
      <w:r>
        <w:t>- Sesja z dnia 11-go kwietnia 2</w:t>
      </w:r>
      <w:r w:rsidR="002B7A54">
        <w:t>011 roku (po południu) : dokona</w:t>
      </w:r>
      <w:r w:rsidR="007644C6">
        <w:t>ł</w:t>
      </w:r>
      <w:r>
        <w:t xml:space="preserve"> wglądu do 1504 plików, z których usunięt</w:t>
      </w:r>
      <w:r w:rsidR="002B7A54">
        <w:t>o 36 plików</w:t>
      </w:r>
      <w:r w:rsidR="006E2B9B">
        <w:t>.</w:t>
      </w:r>
      <w:r w:rsidR="002B7A54">
        <w:t xml:space="preserve"> Następnie dokona</w:t>
      </w:r>
      <w:r w:rsidR="006E2B9B">
        <w:t>ł</w:t>
      </w:r>
      <w:r w:rsidR="002B7A54">
        <w:t xml:space="preserve"> </w:t>
      </w:r>
      <w:r>
        <w:t>wglądu do 3539 plików na drugi</w:t>
      </w:r>
      <w:r w:rsidR="002B7A54">
        <w:t xml:space="preserve">ej płycie DVD </w:t>
      </w:r>
      <w:r w:rsidR="006E2B9B">
        <w:t>oceniając</w:t>
      </w:r>
      <w:r>
        <w:t>, że nie zawierała ona żadnych plików, które miałyby być usunięte.</w:t>
      </w:r>
    </w:p>
    <w:p w:rsidR="0010236F" w:rsidRPr="006B0F5A" w:rsidRDefault="000C201E" w:rsidP="006B0F5A">
      <w:pPr>
        <w:pStyle w:val="ECHRPara"/>
      </w:pPr>
      <w:r>
        <w:t xml:space="preserve">Na koniec sesji z dnia 11 kwietnia, sędzia śledczy nakazał aby pliki informatyczne z pierwszej płyty DVD uznane za istotne dla śledztwa zostały skopiowane na odrębny nośnik, co nastąpiło w dniu 12 kwietnia 2011 roku. Wykonana kopia została następnie zaplombowana. </w:t>
      </w:r>
    </w:p>
    <w:p w:rsidR="00784F4A" w:rsidRPr="006B0F5A" w:rsidRDefault="00403D74" w:rsidP="006B0F5A">
      <w:pPr>
        <w:pStyle w:val="ECHRPara"/>
      </w:pPr>
      <w:fldSimple w:instr=" SEQ level0 \*arabic ">
        <w:r w:rsidR="00F32FF7">
          <w:rPr>
            <w:noProof/>
          </w:rPr>
          <w:t>40</w:t>
        </w:r>
      </w:fldSimple>
      <w:r w:rsidR="000C201E">
        <w:t xml:space="preserve">.  W trakcie sesji z dnia 4-go kwietnia 2011 roku, sędzia śledczy zakończył również </w:t>
      </w:r>
      <w:r w:rsidR="00684093">
        <w:t>przegląd</w:t>
      </w:r>
      <w:r w:rsidR="000C201E">
        <w:t xml:space="preserve"> wiadomości poczty elektronicznej, które zostały wyselekcjonowane z twardych dysków (patrz powyżej paragrafy 37-</w:t>
      </w:r>
      <w:r w:rsidR="000C201E">
        <w:lastRenderedPageBreak/>
        <w:t xml:space="preserve">38). Po </w:t>
      </w:r>
      <w:r w:rsidR="00684093">
        <w:t>całościowej analizie</w:t>
      </w:r>
      <w:r w:rsidR="000C201E">
        <w:t xml:space="preserve"> ich </w:t>
      </w:r>
      <w:r w:rsidR="00947380">
        <w:t>zawartości</w:t>
      </w:r>
      <w:r w:rsidR="000C201E">
        <w:t>, uzn</w:t>
      </w:r>
      <w:r w:rsidR="002B7A54">
        <w:t>ał że nie zawiera</w:t>
      </w:r>
      <w:r w:rsidR="00947380">
        <w:t>ły one</w:t>
      </w:r>
      <w:r w:rsidR="000C201E">
        <w:t xml:space="preserve"> informacji o charakterze osobistym, objętych tajemnicą </w:t>
      </w:r>
      <w:r w:rsidR="00947380">
        <w:t>zawodową</w:t>
      </w:r>
      <w:r w:rsidR="000C201E">
        <w:t xml:space="preserve"> lub dotyczących innych osób, niż te które </w:t>
      </w:r>
      <w:r w:rsidR="005E71BD">
        <w:t xml:space="preserve">zostały </w:t>
      </w:r>
      <w:r w:rsidR="005E71BD" w:rsidRPr="005E71BD">
        <w:t>postawion</w:t>
      </w:r>
      <w:r w:rsidR="005E71BD">
        <w:t>e</w:t>
      </w:r>
      <w:r w:rsidR="005E71BD" w:rsidRPr="005E71BD">
        <w:t xml:space="preserve"> w stan oskarżenia </w:t>
      </w:r>
      <w:r w:rsidR="000C201E">
        <w:t xml:space="preserve">zgodnie z artykułem  188 § 6 </w:t>
      </w:r>
      <w:r w:rsidR="005E71BD">
        <w:t>pkt</w:t>
      </w:r>
      <w:r w:rsidR="000C201E">
        <w:t xml:space="preserve"> a) do c) KPK. W związku z tym nakazał aby te pliki zostały przesłane do DCIAP w celu przeprowadzenia selekcji materiałów </w:t>
      </w:r>
      <w:r w:rsidR="004B6B84">
        <w:t>istotnych dla</w:t>
      </w:r>
      <w:r w:rsidR="000C201E">
        <w:t xml:space="preserve"> śledztwa. </w:t>
      </w:r>
    </w:p>
    <w:p w:rsidR="00402520" w:rsidRPr="006B0F5A" w:rsidRDefault="00403D74" w:rsidP="006B0F5A">
      <w:pPr>
        <w:pStyle w:val="ECHRPara"/>
      </w:pPr>
      <w:fldSimple w:instr=" SEQ level0 \*arabic ">
        <w:r w:rsidR="00F32FF7">
          <w:rPr>
            <w:noProof/>
          </w:rPr>
          <w:t>41</w:t>
        </w:r>
      </w:fldSimple>
      <w:r w:rsidR="004B6B84">
        <w:t>.  Postanowieniem</w:t>
      </w:r>
      <w:r w:rsidR="000C201E">
        <w:t xml:space="preserve"> z dnia 21 czerwca 2011 roku, DCIAP uznał za konieczne wy</w:t>
      </w:r>
      <w:r w:rsidR="00783634">
        <w:t>łączenie</w:t>
      </w:r>
      <w:r w:rsidR="000C201E">
        <w:t xml:space="preserve"> śledztwa dotyczącego faktów, w których </w:t>
      </w:r>
      <w:r w:rsidR="00D91555">
        <w:t>adwokat</w:t>
      </w:r>
      <w:r w:rsidR="000C201E">
        <w:t xml:space="preserve"> B.A, nie uczestniczył, tak jak to stwierdzono poniżej :</w:t>
      </w:r>
    </w:p>
    <w:p w:rsidR="0010236F" w:rsidRPr="006B0F5A" w:rsidRDefault="000C201E" w:rsidP="006B0F5A">
      <w:pPr>
        <w:pStyle w:val="ECHRParaQuote"/>
      </w:pPr>
      <w:r>
        <w:t>"(...)</w:t>
      </w:r>
    </w:p>
    <w:p w:rsidR="00402520" w:rsidRPr="006B0F5A" w:rsidRDefault="000C201E" w:rsidP="006B0F5A">
      <w:pPr>
        <w:pStyle w:val="ECHRParaQuote"/>
      </w:pPr>
      <w:r>
        <w:t>Istota okoliczności będących przedmiotem niniejszego śledztwa, przynajmniej jeżeli chodzi o osobę oskarżoną B.A., dotyczy uczestnictwa przez niego podczas negocjacj</w:t>
      </w:r>
      <w:r w:rsidR="002A7612">
        <w:t>i i zawieraniu umów (...), faktach</w:t>
      </w:r>
      <w:r>
        <w:t xml:space="preserve"> mogąc</w:t>
      </w:r>
      <w:r w:rsidR="002A7612">
        <w:t>ych</w:t>
      </w:r>
      <w:r>
        <w:t xml:space="preserve"> </w:t>
      </w:r>
      <w:r w:rsidR="002B7A54">
        <w:t>obejmować, między innymi</w:t>
      </w:r>
      <w:r w:rsidR="002A7612">
        <w:t>,</w:t>
      </w:r>
      <w:r w:rsidR="002B7A54">
        <w:t xml:space="preserve"> przestępstwo sprzeniewierzenia</w:t>
      </w:r>
      <w:r>
        <w:t xml:space="preserve"> (...).</w:t>
      </w:r>
    </w:p>
    <w:p w:rsidR="008228FF" w:rsidRPr="006B0F5A" w:rsidRDefault="000C201E" w:rsidP="006B0F5A">
      <w:pPr>
        <w:pStyle w:val="ECHRParaQuote"/>
      </w:pPr>
      <w:r>
        <w:t>(...) te okoliczności były przedmiotem wspólnego śledztwa wraz całością z czynności śledczych dotyczących wykonania "Programu dotyczącego nabycia łodzi podwodnych" (PRAS), jedynie z uwagi na szybkość i ekonomikę postępowania.</w:t>
      </w:r>
    </w:p>
    <w:p w:rsidR="008228FF" w:rsidRPr="006B0F5A" w:rsidRDefault="000C201E" w:rsidP="006B0F5A">
      <w:pPr>
        <w:pStyle w:val="ECHRParaQuote"/>
      </w:pPr>
      <w:r>
        <w:t xml:space="preserve">W rezultacie, pomimo, iż można przyznać istnienie związku z okolicznościami będącymi przedmiotem wspomnianych czynności śledczych, to pewne jest, że oskarżony B.A. nie miał </w:t>
      </w:r>
      <w:r w:rsidR="00783634">
        <w:t xml:space="preserve">z nimi nic </w:t>
      </w:r>
      <w:r>
        <w:t xml:space="preserve">wspólnego. </w:t>
      </w:r>
      <w:r w:rsidR="00783634">
        <w:t xml:space="preserve"> </w:t>
      </w:r>
    </w:p>
    <w:p w:rsidR="008228FF" w:rsidRPr="006B0F5A" w:rsidRDefault="000C201E" w:rsidP="006B0F5A">
      <w:pPr>
        <w:pStyle w:val="ECHRParaQuote"/>
      </w:pPr>
      <w:r>
        <w:t>(...) prokuratura uzna</w:t>
      </w:r>
      <w:r w:rsidR="00783634">
        <w:t>je</w:t>
      </w:r>
      <w:r>
        <w:t xml:space="preserve">, że należy dokonać </w:t>
      </w:r>
      <w:r w:rsidR="007472AD">
        <w:t>wyłączenia</w:t>
      </w:r>
      <w:r>
        <w:t xml:space="preserve"> śledztwa dotyczącego okoliczności, które nie dotyczą działań oskarżonego B.A., przy jednoczesnym zagwarantowaniu możliwości korzystania z jego prawa do obrony, zachowując jednakże i umożliwiając ochronę interesu publicznego poprzez prowadzenie szybkiego i skutecznego śledztwa w sprawie powyżej wskazanych okoliczności. </w:t>
      </w:r>
    </w:p>
    <w:p w:rsidR="000D7EDC" w:rsidRPr="006B0F5A" w:rsidRDefault="000C201E" w:rsidP="006B0F5A">
      <w:pPr>
        <w:pStyle w:val="ECHRParaQuote"/>
      </w:pPr>
      <w:r>
        <w:t>(...)</w:t>
      </w:r>
    </w:p>
    <w:p w:rsidR="0010236F" w:rsidRPr="006B0F5A" w:rsidRDefault="000C201E" w:rsidP="006B0F5A">
      <w:pPr>
        <w:pStyle w:val="ECHRParaQuote"/>
      </w:pPr>
      <w:r>
        <w:t xml:space="preserve">(...) po to aby śledztwo zostało </w:t>
      </w:r>
      <w:r w:rsidR="00F76F08">
        <w:t>wszczęte aby z</w:t>
      </w:r>
      <w:r>
        <w:t>bada</w:t>
      </w:r>
      <w:r w:rsidR="00F76F08">
        <w:t>ć</w:t>
      </w:r>
      <w:r>
        <w:t xml:space="preserve"> w niezależny sposób fakt</w:t>
      </w:r>
      <w:r w:rsidR="00F76F08">
        <w:t>y</w:t>
      </w:r>
      <w:r>
        <w:t xml:space="preserve"> dotycząc</w:t>
      </w:r>
      <w:r w:rsidR="00A274E0">
        <w:t>e</w:t>
      </w:r>
      <w:r>
        <w:t xml:space="preserve"> okoliczności, w jakich były negocjowane umowy z GSC dot</w:t>
      </w:r>
      <w:r w:rsidR="002B7A54">
        <w:t xml:space="preserve">yczące nabycia łodzi podwodnych, </w:t>
      </w:r>
      <w:r>
        <w:t>wynagrodzeń i finansowania, zwracamy się do sędziego śledczego aby zezwolił na wyłączenie niniejszej dokumentacji śledczej oraz załączników 54, 58, 62, 63, 70, 73 do 82, 86, 87, 89, 90, 91, 92, 94, 95, 97 i 98.</w:t>
      </w:r>
    </w:p>
    <w:p w:rsidR="000D7EDC" w:rsidRPr="006B0F5A" w:rsidRDefault="000C201E" w:rsidP="006B0F5A">
      <w:pPr>
        <w:pStyle w:val="ECHRParaQuote"/>
      </w:pPr>
      <w:r>
        <w:t>(...) "</w:t>
      </w:r>
    </w:p>
    <w:p w:rsidR="007A1A5D" w:rsidRPr="006B0F5A" w:rsidRDefault="00403D74" w:rsidP="006B0F5A">
      <w:pPr>
        <w:pStyle w:val="ECHRPara"/>
      </w:pPr>
      <w:fldSimple w:instr=" SEQ level0 \*arabic ">
        <w:r w:rsidR="00F32FF7">
          <w:rPr>
            <w:noProof/>
          </w:rPr>
          <w:t>42</w:t>
        </w:r>
      </w:fldSimple>
      <w:r w:rsidR="000C201E">
        <w:t>.  </w:t>
      </w:r>
      <w:r w:rsidR="007A6458">
        <w:t>Postanowieniem</w:t>
      </w:r>
      <w:r w:rsidR="000C201E">
        <w:t xml:space="preserve"> z dnia 24 czerwca 2011 roku, sędzia śledczy TCIC uwzględnił wniosek DCIAP, jak następuje :</w:t>
      </w:r>
    </w:p>
    <w:p w:rsidR="00AF5870" w:rsidRPr="006B0F5A" w:rsidRDefault="000C201E" w:rsidP="006B0F5A">
      <w:pPr>
        <w:pStyle w:val="ECHRParaQuote"/>
      </w:pPr>
      <w:r>
        <w:t>"(...)</w:t>
      </w:r>
    </w:p>
    <w:p w:rsidR="00B86D31" w:rsidRPr="006B0F5A" w:rsidRDefault="000C201E" w:rsidP="006B0F5A">
      <w:pPr>
        <w:pStyle w:val="ECHRParaQuote"/>
      </w:pPr>
      <w:r>
        <w:t xml:space="preserve">Odnośnie oddzielenia postępowań, w świetle </w:t>
      </w:r>
      <w:r w:rsidR="00482B7F">
        <w:t>dowodów</w:t>
      </w:r>
      <w:r>
        <w:t xml:space="preserve"> wskazanych przez prokuraturę / DCIAP,</w:t>
      </w:r>
      <w:r w:rsidR="00DB672C">
        <w:t xml:space="preserve"> które</w:t>
      </w:r>
      <w:r>
        <w:t xml:space="preserve"> </w:t>
      </w:r>
      <w:r w:rsidR="00460852">
        <w:t>w okolicznościach sprawy</w:t>
      </w:r>
      <w:r>
        <w:t xml:space="preserve"> </w:t>
      </w:r>
      <w:r w:rsidR="00460852">
        <w:t xml:space="preserve">i co </w:t>
      </w:r>
      <w:r>
        <w:t xml:space="preserve"> </w:t>
      </w:r>
      <w:r w:rsidR="00460852">
        <w:t>do</w:t>
      </w:r>
      <w:r>
        <w:t xml:space="preserve"> istoty postawionego pytania, otrzymały pisemną zgodę oskarżonego B.A., </w:t>
      </w:r>
      <w:r w:rsidR="003F5C20">
        <w:t>akceptuję wniosek</w:t>
      </w:r>
      <w:r>
        <w:t xml:space="preserve">, wyrażając na niego zgodę </w:t>
      </w:r>
      <w:r w:rsidR="00066B13">
        <w:t>w jego dokładnym i precyzyjnym brzmieniu</w:t>
      </w:r>
      <w:r w:rsidR="00E10CF0">
        <w:t>,</w:t>
      </w:r>
      <w:r>
        <w:t xml:space="preserve"> i przytaczam go tu w całości (nawet jeżeli nie znam całej zawartości elementów proceduralnych (załączników), które są w nim wskazane).</w:t>
      </w:r>
    </w:p>
    <w:p w:rsidR="00AF5870" w:rsidRPr="006B0F5A" w:rsidRDefault="000C201E" w:rsidP="006B0F5A">
      <w:pPr>
        <w:pStyle w:val="ECHRParaQuote"/>
      </w:pPr>
      <w:r>
        <w:t>(...) "</w:t>
      </w:r>
    </w:p>
    <w:p w:rsidR="0010236F" w:rsidRPr="006B0F5A" w:rsidRDefault="00403D74" w:rsidP="006B0F5A">
      <w:pPr>
        <w:pStyle w:val="ECHRPara"/>
      </w:pPr>
      <w:fldSimple w:instr=" SEQ level0 \*arabic ">
        <w:r w:rsidR="00F32FF7">
          <w:rPr>
            <w:noProof/>
          </w:rPr>
          <w:t>43</w:t>
        </w:r>
      </w:fldSimple>
      <w:r w:rsidR="000C201E">
        <w:t xml:space="preserve">.  Dnia 1-go lipca 2011 roku DCIAP </w:t>
      </w:r>
      <w:r w:rsidR="00384897">
        <w:t>nakazał</w:t>
      </w:r>
      <w:r w:rsidR="000C201E">
        <w:t xml:space="preserve"> sporządz</w:t>
      </w:r>
      <w:r w:rsidR="00384897">
        <w:t>enie</w:t>
      </w:r>
      <w:r w:rsidR="000C201E">
        <w:t xml:space="preserve"> kopi</w:t>
      </w:r>
      <w:r w:rsidR="00384897">
        <w:t>i</w:t>
      </w:r>
      <w:r w:rsidR="000C201E">
        <w:t xml:space="preserve"> </w:t>
      </w:r>
      <w:r w:rsidR="00C53DCA">
        <w:t xml:space="preserve">odpowiedniej </w:t>
      </w:r>
      <w:r w:rsidR="000C201E">
        <w:t xml:space="preserve">dokumentacji w celu wszczęcia nowego śledztwa </w:t>
      </w:r>
      <w:r w:rsidR="000C201E">
        <w:lastRenderedPageBreak/>
        <w:t xml:space="preserve">dotyczącego innych podejrzanych i </w:t>
      </w:r>
      <w:r w:rsidR="009D4DA8">
        <w:t>działań</w:t>
      </w:r>
      <w:r w:rsidR="000C201E">
        <w:t>. To śledztwo zostało zarejestrowane pod numerem 222/11.9TELSB.</w:t>
      </w:r>
    </w:p>
    <w:p w:rsidR="0069701A" w:rsidRPr="006B0F5A" w:rsidRDefault="00403D74" w:rsidP="006B0F5A">
      <w:pPr>
        <w:pStyle w:val="ECHRPara"/>
      </w:pPr>
      <w:fldSimple w:instr=" SEQ level0 \*arabic ">
        <w:r w:rsidR="00F32FF7">
          <w:rPr>
            <w:noProof/>
          </w:rPr>
          <w:t>44</w:t>
        </w:r>
      </w:fldSimple>
      <w:r w:rsidR="000C201E">
        <w:t>.  Dnia 17 maja 2012 roku, funkcjonariusze DCIAP zakończyli analizę 89 000 plików informatycznych i 29 000</w:t>
      </w:r>
      <w:r w:rsidR="00494A81">
        <w:t xml:space="preserve"> wiadomości elektronicznych za</w:t>
      </w:r>
      <w:r w:rsidR="000C201E">
        <w:t xml:space="preserve">jętych </w:t>
      </w:r>
      <w:r w:rsidR="00494A81">
        <w:t>w</w:t>
      </w:r>
      <w:r w:rsidR="000C201E">
        <w:t xml:space="preserve"> nośnik</w:t>
      </w:r>
      <w:r w:rsidR="00494A81">
        <w:t>ach</w:t>
      </w:r>
      <w:r w:rsidR="000C201E">
        <w:t xml:space="preserve"> elektronicznych skarżącej spółki oraz tych zajętych w miejscu zamieszkania B.A. i sporządzili raport dotyczący uczestnictwa adwokata B.A. w negocjacjach będących przedmiotem śledztwa. </w:t>
      </w:r>
    </w:p>
    <w:p w:rsidR="0010236F" w:rsidRPr="006B0F5A" w:rsidRDefault="00403D74" w:rsidP="006B0F5A">
      <w:pPr>
        <w:pStyle w:val="ECHRPara"/>
      </w:pPr>
      <w:fldSimple w:instr=" SEQ level0 \*arabic ">
        <w:r w:rsidR="00F32FF7">
          <w:rPr>
            <w:noProof/>
          </w:rPr>
          <w:t>45</w:t>
        </w:r>
      </w:fldSimple>
      <w:r w:rsidR="000C201E">
        <w:t xml:space="preserve">.  Dnia 4 czerwca 2012 roku, DCIAP </w:t>
      </w:r>
      <w:r w:rsidR="00307B88">
        <w:t>umorzył</w:t>
      </w:r>
      <w:r w:rsidR="000C201E">
        <w:t xml:space="preserve"> śledztwo </w:t>
      </w:r>
      <w:r w:rsidR="00307B88">
        <w:t>wszczęte</w:t>
      </w:r>
      <w:r w:rsidR="000C201E">
        <w:t xml:space="preserve"> przeciwko adwokatowi B.A. Uznano</w:t>
      </w:r>
      <w:r w:rsidR="00066B13">
        <w:t>,</w:t>
      </w:r>
      <w:r w:rsidR="000C201E">
        <w:t xml:space="preserve"> że żaden ze zgromadzonych </w:t>
      </w:r>
      <w:r w:rsidR="00307B88">
        <w:t>dowodów</w:t>
      </w:r>
      <w:r w:rsidR="000C201E">
        <w:t xml:space="preserve"> nie pozwala</w:t>
      </w:r>
      <w:r w:rsidR="00307B88">
        <w:t>ł</w:t>
      </w:r>
      <w:r w:rsidR="000C201E">
        <w:t xml:space="preserve"> stwierdzić, że popełnił on zarzucane mu przestępstwa.  DCIAP wziął między innymi pod uwagę wiadomości  elektroniczne wymieniane pomiędzy </w:t>
      </w:r>
      <w:r w:rsidR="003D0101">
        <w:t>B</w:t>
      </w:r>
      <w:r w:rsidR="000C201E">
        <w:t xml:space="preserve">.A. i przedstawicielami Ministerstwa Obrony oraz innymi adwokatami.  Ponieważ nie wpłynęły żadne zażalenia, ta decyzja stała się ostateczna. </w:t>
      </w:r>
    </w:p>
    <w:p w:rsidR="0010236F" w:rsidRPr="006B0F5A" w:rsidRDefault="00403D74" w:rsidP="006B0F5A">
      <w:pPr>
        <w:pStyle w:val="ECHRPara"/>
      </w:pPr>
      <w:fldSimple w:instr=" SEQ level0 \*arabic ">
        <w:r w:rsidR="00F32FF7">
          <w:rPr>
            <w:noProof/>
          </w:rPr>
          <w:t>46</w:t>
        </w:r>
      </w:fldSimple>
      <w:r w:rsidR="000C201E">
        <w:t>.  Dnia 6 czerwca 2012 roku, dwa zewnętrzne twarde dyski, które zostały zatrzymane zostały zwrócone skarżącej spółce.</w:t>
      </w:r>
    </w:p>
    <w:p w:rsidR="009F47B5" w:rsidRPr="006B0F5A" w:rsidRDefault="00403D74" w:rsidP="006B0F5A">
      <w:pPr>
        <w:pStyle w:val="ECHRPara"/>
      </w:pPr>
      <w:fldSimple w:instr=" SEQ level0 \*arabic ">
        <w:r w:rsidR="00F32FF7">
          <w:rPr>
            <w:noProof/>
          </w:rPr>
          <w:t>47</w:t>
        </w:r>
      </w:fldSimple>
      <w:r w:rsidR="000C201E">
        <w:t xml:space="preserve">.  W dniu 15 lipca 2013 roku, po stwierdzeniu, że decyzja o </w:t>
      </w:r>
      <w:r w:rsidR="000B2D5A">
        <w:t xml:space="preserve">umorzeniu </w:t>
      </w:r>
      <w:r w:rsidR="000C201E">
        <w:t>śledztw</w:t>
      </w:r>
      <w:r w:rsidR="000B2D5A">
        <w:t>a</w:t>
      </w:r>
      <w:r w:rsidR="000C201E">
        <w:t xml:space="preserve"> </w:t>
      </w:r>
      <w:r w:rsidR="00A33CD3">
        <w:t>dotyczącego</w:t>
      </w:r>
      <w:r w:rsidR="000C201E">
        <w:t xml:space="preserve"> adwokat</w:t>
      </w:r>
      <w:r w:rsidR="00A33CD3">
        <w:t>a</w:t>
      </w:r>
      <w:r w:rsidR="000C201E">
        <w:t xml:space="preserve"> B.A. stała się ostateczna, DCIAP zarządził aby materiały, których kopia była </w:t>
      </w:r>
      <w:r w:rsidR="00A33CD3">
        <w:t>żądana,</w:t>
      </w:r>
      <w:r w:rsidR="000C201E">
        <w:t xml:space="preserve"> zostały wyłączone z akt sprawy </w:t>
      </w:r>
      <w:r w:rsidR="00A33CD3">
        <w:br/>
      </w:r>
      <w:r w:rsidR="000C201E">
        <w:t>i dołączone do śledztwa dotyczącego innych podejrzanych i faktów (postępowanie nr 222/11.9TELSB).</w:t>
      </w:r>
    </w:p>
    <w:p w:rsidR="0010236F" w:rsidRPr="006B0F5A" w:rsidRDefault="00403D74" w:rsidP="006B0F5A">
      <w:pPr>
        <w:pStyle w:val="ECHRPara"/>
      </w:pPr>
      <w:fldSimple w:instr=" SEQ level0 \*arabic ">
        <w:r w:rsidR="00F32FF7">
          <w:rPr>
            <w:noProof/>
          </w:rPr>
          <w:t>48</w:t>
        </w:r>
      </w:fldSimple>
      <w:r w:rsidR="000C201E">
        <w:t>.  </w:t>
      </w:r>
      <w:r w:rsidR="00F0642F">
        <w:t>Postanowieniem</w:t>
      </w:r>
      <w:r w:rsidR="000C201E">
        <w:t xml:space="preserve"> DCIAP z dnia 17 grudnia 2014 roku </w:t>
      </w:r>
      <w:r w:rsidR="00C3684C">
        <w:t xml:space="preserve">to ostatnie śledztwo </w:t>
      </w:r>
      <w:r w:rsidR="000C201E">
        <w:t>został</w:t>
      </w:r>
      <w:r w:rsidR="00C3684C">
        <w:t>o</w:t>
      </w:r>
      <w:r w:rsidR="000C201E">
        <w:t xml:space="preserve"> </w:t>
      </w:r>
      <w:r w:rsidR="00C3684C">
        <w:t>umorzone</w:t>
      </w:r>
      <w:r w:rsidR="000C201E">
        <w:t xml:space="preserve">. </w:t>
      </w:r>
    </w:p>
    <w:p w:rsidR="006C5B9E" w:rsidRPr="006B0F5A" w:rsidRDefault="000C201E" w:rsidP="00CE51A7">
      <w:pPr>
        <w:pStyle w:val="ECHRHeading1"/>
        <w:numPr>
          <w:ilvl w:val="0"/>
          <w:numId w:val="0"/>
        </w:numPr>
      </w:pPr>
      <w:r>
        <w:t>II.  </w:t>
      </w:r>
      <w:r w:rsidR="008774D3">
        <w:t xml:space="preserve">WŁAŚCIWE </w:t>
      </w:r>
      <w:r>
        <w:t>PRAWO KRAJOWE I PRAKTYKA</w:t>
      </w:r>
    </w:p>
    <w:p w:rsidR="00A22F1E" w:rsidRPr="006B0F5A" w:rsidRDefault="000C201E" w:rsidP="003F4EB9">
      <w:pPr>
        <w:pStyle w:val="ECHRHeading2"/>
        <w:numPr>
          <w:ilvl w:val="0"/>
          <w:numId w:val="0"/>
        </w:numPr>
      </w:pPr>
      <w:r>
        <w:t>A. Ogólnie o postępowaniu karnym w Portugalii</w:t>
      </w:r>
    </w:p>
    <w:p w:rsidR="002363BC" w:rsidRPr="008B3621" w:rsidRDefault="00403D74" w:rsidP="006B0F5A">
      <w:pPr>
        <w:pStyle w:val="ECHRPara"/>
      </w:pPr>
      <w:fldSimple w:instr=" SEQ level0 \*arabic ">
        <w:r w:rsidR="00F32FF7">
          <w:rPr>
            <w:noProof/>
          </w:rPr>
          <w:t>49</w:t>
        </w:r>
      </w:fldSimple>
      <w:r w:rsidR="000C201E">
        <w:t>.  W Portugalii prowa</w:t>
      </w:r>
      <w:r w:rsidR="00066B13">
        <w:t>dzanie śledztw</w:t>
      </w:r>
      <w:r w:rsidR="003F4EB9">
        <w:t>a</w:t>
      </w:r>
      <w:r w:rsidR="00066B13">
        <w:t xml:space="preserve"> należ</w:t>
      </w:r>
      <w:r w:rsidR="000C201E">
        <w:t xml:space="preserve">y do </w:t>
      </w:r>
      <w:r w:rsidR="003F4EB9">
        <w:t>P</w:t>
      </w:r>
      <w:r w:rsidR="000C201E">
        <w:t xml:space="preserve">rokuratury, która podlega Prokuratorowi Generalnemu Republiki. </w:t>
      </w:r>
    </w:p>
    <w:p w:rsidR="0010236F" w:rsidRPr="008B3621" w:rsidRDefault="00403D74" w:rsidP="006B0F5A">
      <w:pPr>
        <w:pStyle w:val="ECHRPara"/>
      </w:pPr>
      <w:fldSimple w:instr=" SEQ level0 \*arabic ">
        <w:r w:rsidR="00F32FF7">
          <w:rPr>
            <w:noProof/>
          </w:rPr>
          <w:t>50</w:t>
        </w:r>
      </w:fldSimple>
      <w:r w:rsidR="000C201E">
        <w:t xml:space="preserve">.  W ramach </w:t>
      </w:r>
      <w:r w:rsidR="00BA45C5">
        <w:t>P</w:t>
      </w:r>
      <w:r w:rsidR="000C201E">
        <w:t>rokuratury, Centralny Departament ds.</w:t>
      </w:r>
      <w:r w:rsidR="00307635">
        <w:t xml:space="preserve"> </w:t>
      </w:r>
      <w:r w:rsidR="00BA45C5">
        <w:t>Śledztw</w:t>
      </w:r>
      <w:r w:rsidR="000C201E">
        <w:t xml:space="preserve"> i Oskarżenia jest </w:t>
      </w:r>
      <w:r w:rsidR="00BA45C5">
        <w:t>władzą</w:t>
      </w:r>
      <w:r w:rsidR="000C201E">
        <w:t>, któr</w:t>
      </w:r>
      <w:r w:rsidR="00BA45C5">
        <w:t>a</w:t>
      </w:r>
      <w:r w:rsidR="000C201E">
        <w:t xml:space="preserve"> koordynuje i prowadzi wszelkie śledztwa dotyczące przestępczości wysoko zorganizowanej lub szczególnie skomplikowan</w:t>
      </w:r>
      <w:r w:rsidR="00795774">
        <w:t>e</w:t>
      </w:r>
      <w:r w:rsidR="000C201E">
        <w:t xml:space="preserve"> (artykuł 46 ustawy nr 47/86 z dnia 15 października 1986 roku </w:t>
      </w:r>
      <w:r w:rsidR="00945EEA">
        <w:t xml:space="preserve">w brzmieniu wprowadzonym </w:t>
      </w:r>
      <w:r w:rsidR="000C201E">
        <w:t>ustaw</w:t>
      </w:r>
      <w:r w:rsidR="00945EEA">
        <w:t>ą</w:t>
      </w:r>
      <w:r w:rsidR="000C201E">
        <w:t xml:space="preserve"> nr 60/98 z dnia 27 sierpnia</w:t>
      </w:r>
      <w:r w:rsidR="00945EEA">
        <w:t xml:space="preserve"> </w:t>
      </w:r>
      <w:r w:rsidR="000C201E">
        <w:t>1998 roku).</w:t>
      </w:r>
    </w:p>
    <w:p w:rsidR="00795F6D" w:rsidRPr="006B0F5A" w:rsidRDefault="00403D74" w:rsidP="006B0F5A">
      <w:pPr>
        <w:pStyle w:val="ECHRPara"/>
      </w:pPr>
      <w:fldSimple w:instr=" SEQ level0 \*arabic ">
        <w:r w:rsidR="00F32FF7">
          <w:rPr>
            <w:noProof/>
          </w:rPr>
          <w:t>51</w:t>
        </w:r>
      </w:fldSimple>
      <w:r w:rsidR="000C201E">
        <w:t xml:space="preserve">.  Przez </w:t>
      </w:r>
      <w:r w:rsidR="00F85808">
        <w:t>nadzór</w:t>
      </w:r>
      <w:r w:rsidR="000C201E">
        <w:t xml:space="preserve"> </w:t>
      </w:r>
      <w:r w:rsidR="00AE2832">
        <w:t xml:space="preserve">[będący zadaniem sędziego śledczego] </w:t>
      </w:r>
      <w:r w:rsidR="000C201E">
        <w:t>(</w:t>
      </w:r>
      <w:proofErr w:type="spellStart"/>
      <w:r w:rsidR="000C201E">
        <w:rPr>
          <w:i/>
        </w:rPr>
        <w:t>instrução</w:t>
      </w:r>
      <w:proofErr w:type="spellEnd"/>
      <w:r w:rsidR="000C201E">
        <w:t xml:space="preserve">) rozumie się </w:t>
      </w:r>
      <w:r w:rsidR="009F6392">
        <w:t>kontrolę</w:t>
      </w:r>
      <w:r w:rsidR="00F85808">
        <w:t xml:space="preserve"> są</w:t>
      </w:r>
      <w:r w:rsidR="000C201E">
        <w:t>dow</w:t>
      </w:r>
      <w:r w:rsidR="009F6392">
        <w:t>ą</w:t>
      </w:r>
      <w:r w:rsidR="000C201E">
        <w:t xml:space="preserve"> nad </w:t>
      </w:r>
      <w:r w:rsidR="009F6392">
        <w:t>śledztwem</w:t>
      </w:r>
      <w:r w:rsidR="000C201E">
        <w:t xml:space="preserve"> prowadzon</w:t>
      </w:r>
      <w:r w:rsidR="009F6392">
        <w:t>ą</w:t>
      </w:r>
      <w:r w:rsidR="000C201E">
        <w:t xml:space="preserve"> przez sędziego śledczego. W tej kwestii, w odpowiednich fragmentach, artykuł 286 KPK stanowi :</w:t>
      </w:r>
    </w:p>
    <w:p w:rsidR="0010236F" w:rsidRPr="006B0F5A" w:rsidRDefault="000C201E" w:rsidP="006B0F5A">
      <w:pPr>
        <w:pStyle w:val="ECHRParaQuote"/>
      </w:pPr>
      <w:r>
        <w:t>" 1.  </w:t>
      </w:r>
      <w:r w:rsidR="002B0349">
        <w:t>Nadzór</w:t>
      </w:r>
      <w:r>
        <w:t xml:space="preserve"> ma na celu </w:t>
      </w:r>
      <w:r w:rsidR="002B0349">
        <w:t>kontrolę</w:t>
      </w:r>
      <w:r>
        <w:t xml:space="preserve"> sądow</w:t>
      </w:r>
      <w:r w:rsidR="002B0349">
        <w:t>ą</w:t>
      </w:r>
      <w:r>
        <w:t xml:space="preserve"> nad decyzją o oskarżeniu  (</w:t>
      </w:r>
      <w:proofErr w:type="spellStart"/>
      <w:r>
        <w:rPr>
          <w:i/>
        </w:rPr>
        <w:t>acusar</w:t>
      </w:r>
      <w:proofErr w:type="spellEnd"/>
      <w:r>
        <w:rPr>
          <w:i/>
        </w:rPr>
        <w:t xml:space="preserve">) </w:t>
      </w:r>
      <w:r>
        <w:t xml:space="preserve">lub o  </w:t>
      </w:r>
      <w:r w:rsidR="004060DD">
        <w:t>umorzeniu</w:t>
      </w:r>
      <w:r>
        <w:t xml:space="preserve"> postępowania (</w:t>
      </w:r>
      <w:proofErr w:type="spellStart"/>
      <w:r>
        <w:rPr>
          <w:i/>
        </w:rPr>
        <w:t>arquivar</w:t>
      </w:r>
      <w:proofErr w:type="spellEnd"/>
      <w:r>
        <w:rPr>
          <w:i/>
        </w:rPr>
        <w:t xml:space="preserve">) </w:t>
      </w:r>
      <w:r w:rsidR="000045C8" w:rsidRPr="00861A3A">
        <w:t>w</w:t>
      </w:r>
      <w:r>
        <w:t xml:space="preserve"> celu prze</w:t>
      </w:r>
      <w:r w:rsidR="000045C8">
        <w:t>kazania</w:t>
      </w:r>
      <w:r>
        <w:t xml:space="preserve"> lub nie </w:t>
      </w:r>
      <w:r w:rsidR="00861A3A">
        <w:t xml:space="preserve">przekazania </w:t>
      </w:r>
      <w:r>
        <w:t>sprawy do osądzenia.</w:t>
      </w:r>
    </w:p>
    <w:p w:rsidR="00B97BA7" w:rsidRPr="006B0F5A" w:rsidRDefault="00861A3A" w:rsidP="006B0F5A">
      <w:pPr>
        <w:pStyle w:val="ECHRParaQuote"/>
      </w:pPr>
      <w:r>
        <w:lastRenderedPageBreak/>
        <w:t>2.  Nadzór</w:t>
      </w:r>
      <w:r w:rsidR="000C201E">
        <w:t xml:space="preserve"> jest fakultatywn</w:t>
      </w:r>
      <w:r>
        <w:t>y</w:t>
      </w:r>
      <w:r w:rsidR="000C201E">
        <w:t xml:space="preserve">. </w:t>
      </w:r>
    </w:p>
    <w:p w:rsidR="00B97BA7" w:rsidRPr="006B0F5A" w:rsidRDefault="000C201E" w:rsidP="006B0F5A">
      <w:pPr>
        <w:pStyle w:val="ECHRParaQuote"/>
      </w:pPr>
      <w:r>
        <w:t>(...) "</w:t>
      </w:r>
    </w:p>
    <w:p w:rsidR="00BC0636" w:rsidRPr="006B0F5A" w:rsidRDefault="000C201E" w:rsidP="006B0F5A">
      <w:pPr>
        <w:pStyle w:val="ECHRPara"/>
      </w:pPr>
      <w:r>
        <w:t xml:space="preserve">Ponadto artykuł 32 § 4 Konstytucji stanowi : </w:t>
      </w:r>
    </w:p>
    <w:p w:rsidR="00E64F82" w:rsidRPr="006B0F5A" w:rsidRDefault="000C201E" w:rsidP="006B0F5A">
      <w:pPr>
        <w:pStyle w:val="ECHRParaQuote"/>
      </w:pPr>
      <w:r>
        <w:t>"</w:t>
      </w:r>
      <w:r w:rsidR="000A5B98">
        <w:t xml:space="preserve">Całość nadzoru leży w kompetencji sędziego, który może, na podstawie prawa, </w:t>
      </w:r>
      <w:r w:rsidR="009A1E24">
        <w:t>przekazać</w:t>
      </w:r>
      <w:r w:rsidR="000A5B98">
        <w:t xml:space="preserve"> </w:t>
      </w:r>
      <w:r w:rsidR="009A1E24">
        <w:t xml:space="preserve">innej jednostce </w:t>
      </w:r>
      <w:r w:rsidR="00D7129B">
        <w:t>praktykę wykonania działań nadzorczych</w:t>
      </w:r>
      <w:r w:rsidR="0030171E">
        <w:t xml:space="preserve">, nie </w:t>
      </w:r>
      <w:r w:rsidR="003A421B">
        <w:t xml:space="preserve">odnoszących się </w:t>
      </w:r>
      <w:r w:rsidR="005567CB">
        <w:t>do praw podstawowych”</w:t>
      </w:r>
      <w:r w:rsidR="003A421B">
        <w:t xml:space="preserve"> </w:t>
      </w:r>
      <w:r w:rsidR="0030171E">
        <w:t xml:space="preserve"> </w:t>
      </w:r>
      <w:r w:rsidR="000A5B98">
        <w:t xml:space="preserve"> </w:t>
      </w:r>
    </w:p>
    <w:p w:rsidR="00AB62D1" w:rsidRPr="006B0F5A" w:rsidRDefault="00403D74" w:rsidP="006B0F5A">
      <w:pPr>
        <w:pStyle w:val="ECHRPara"/>
      </w:pPr>
      <w:fldSimple w:instr=" SEQ level0 \*arabic ">
        <w:r w:rsidR="00F32FF7">
          <w:rPr>
            <w:noProof/>
          </w:rPr>
          <w:t>52</w:t>
        </w:r>
      </w:fldSimple>
      <w:r w:rsidR="005567CB">
        <w:t>.  Do P</w:t>
      </w:r>
      <w:r w:rsidR="000C201E">
        <w:t xml:space="preserve">rokuratury należy kierowanie </w:t>
      </w:r>
      <w:r w:rsidR="005567CB">
        <w:t>śledztwem</w:t>
      </w:r>
      <w:r w:rsidR="000C201E">
        <w:t>, z pomocą organów policji kryminalnej (artykuł 263 KPK), jednakże niektóre czynności mogą być wykonywane wyłącznie przez sędziego śledczego, a inne wymagają jego zgody. W tym względzie odpowiednie dyspozycje KPK stanowią co następuje :</w:t>
      </w:r>
    </w:p>
    <w:p w:rsidR="000E02F0" w:rsidRPr="006B0F5A" w:rsidRDefault="000C201E" w:rsidP="006B0F5A">
      <w:pPr>
        <w:pStyle w:val="ECHRTitleCentre3"/>
      </w:pPr>
      <w:r>
        <w:t>Artykuł 17</w:t>
      </w:r>
      <w:r>
        <w:br/>
        <w:t>Kompetencj</w:t>
      </w:r>
      <w:r w:rsidR="00BD2F7D">
        <w:t>a</w:t>
      </w:r>
      <w:r>
        <w:t xml:space="preserve"> sędziego śledczego</w:t>
      </w:r>
    </w:p>
    <w:p w:rsidR="000E02F0" w:rsidRPr="006B0F5A" w:rsidRDefault="000C201E" w:rsidP="006B0F5A">
      <w:pPr>
        <w:pStyle w:val="ECHRParaQuote"/>
      </w:pPr>
      <w:r>
        <w:t xml:space="preserve">"Do kompetencji sędziego śledczego należy przystąpienie do śledztwa, decydowanie o przesłaniu sprawy do </w:t>
      </w:r>
      <w:r w:rsidR="00164418">
        <w:t>osądzenia</w:t>
      </w:r>
      <w:r>
        <w:t xml:space="preserve"> i wykonywanie wszelkich funkcji jurysdykcyjnych</w:t>
      </w:r>
      <w:r w:rsidR="00164418">
        <w:t xml:space="preserve"> do czasu</w:t>
      </w:r>
      <w:r>
        <w:t xml:space="preserve">, aż sprawa zostanie przekazana do </w:t>
      </w:r>
      <w:r w:rsidR="009B143F">
        <w:t>osądzen</w:t>
      </w:r>
      <w:r>
        <w:t>ia, zgodnie z zapisami</w:t>
      </w:r>
      <w:r w:rsidR="009B143F">
        <w:t xml:space="preserve"> tego</w:t>
      </w:r>
      <w:r>
        <w:t xml:space="preserve"> Kodeksu. "</w:t>
      </w:r>
    </w:p>
    <w:p w:rsidR="00844BF8" w:rsidRPr="006B0F5A" w:rsidRDefault="000C201E" w:rsidP="006B0F5A">
      <w:pPr>
        <w:pStyle w:val="ECHRTitleCentre3"/>
      </w:pPr>
      <w:r>
        <w:t>Artykuł 268</w:t>
      </w:r>
      <w:r>
        <w:br/>
        <w:t>Czynności podlegające kompetencji sędziego śledczego</w:t>
      </w:r>
    </w:p>
    <w:p w:rsidR="00844BF8" w:rsidRPr="006B0F5A" w:rsidRDefault="000C201E" w:rsidP="006B0F5A">
      <w:pPr>
        <w:pStyle w:val="ECHRParaQuote"/>
      </w:pPr>
      <w:r>
        <w:t xml:space="preserve">" 1.  W trakcie trwania śledztwa, do wyłącznej kompetencji sędziego śledczego należy : </w:t>
      </w:r>
    </w:p>
    <w:p w:rsidR="00844BF8" w:rsidRPr="006B0F5A" w:rsidRDefault="000C201E" w:rsidP="006B0F5A">
      <w:pPr>
        <w:pStyle w:val="ECHRParaQuote"/>
      </w:pPr>
      <w:r>
        <w:t xml:space="preserve">a) </w:t>
      </w:r>
      <w:r w:rsidR="00DC5426">
        <w:t>Przystąpienie</w:t>
      </w:r>
      <w:r>
        <w:t xml:space="preserve"> </w:t>
      </w:r>
      <w:r w:rsidR="00DC5426">
        <w:t>do</w:t>
      </w:r>
      <w:r>
        <w:t xml:space="preserve"> pierwsz</w:t>
      </w:r>
      <w:r w:rsidR="00DC5426">
        <w:t>ego</w:t>
      </w:r>
      <w:r>
        <w:t xml:space="preserve"> sądow</w:t>
      </w:r>
      <w:r w:rsidR="00CB3C9C">
        <w:t>ego</w:t>
      </w:r>
      <w:r>
        <w:t xml:space="preserve"> przesłuchani</w:t>
      </w:r>
      <w:r w:rsidR="00CB3C9C">
        <w:t>a</w:t>
      </w:r>
      <w:r>
        <w:t xml:space="preserve"> osadzonego oskarżonego ;</w:t>
      </w:r>
    </w:p>
    <w:p w:rsidR="0057659C" w:rsidRPr="006B0F5A" w:rsidRDefault="000C201E" w:rsidP="006B0F5A">
      <w:pPr>
        <w:pStyle w:val="ECHRParaQuote"/>
      </w:pPr>
      <w:r>
        <w:t xml:space="preserve">b) </w:t>
      </w:r>
      <w:r w:rsidR="00CB3C9C" w:rsidRPr="00CB3C9C">
        <w:t xml:space="preserve">Przystąpienie do </w:t>
      </w:r>
      <w:r>
        <w:t>zastosowani</w:t>
      </w:r>
      <w:r w:rsidR="00CB3C9C">
        <w:t>a</w:t>
      </w:r>
      <w:r>
        <w:t xml:space="preserve"> środka przymusu lub zabezpieczenia majątkowego (...) ;</w:t>
      </w:r>
    </w:p>
    <w:p w:rsidR="00844BF8" w:rsidRPr="006B0F5A" w:rsidRDefault="000C201E" w:rsidP="006B0F5A">
      <w:pPr>
        <w:pStyle w:val="ECHRParaQuote"/>
      </w:pPr>
      <w:r>
        <w:t xml:space="preserve">c) </w:t>
      </w:r>
      <w:r w:rsidR="00CB3C9C" w:rsidRPr="00CB3C9C">
        <w:t xml:space="preserve">Przystąpienie do </w:t>
      </w:r>
      <w:r>
        <w:t>przeszuka</w:t>
      </w:r>
      <w:r w:rsidR="00CB3C9C">
        <w:t>ń</w:t>
      </w:r>
      <w:r>
        <w:t xml:space="preserve"> i za</w:t>
      </w:r>
      <w:r w:rsidR="00293071">
        <w:t>trzymań</w:t>
      </w:r>
      <w:r>
        <w:t xml:space="preserve"> w kancelariach adwokackich, gabinetach lekarskich lub siedzibie banku (...) ;</w:t>
      </w:r>
    </w:p>
    <w:p w:rsidR="00844BF8" w:rsidRPr="006B0F5A" w:rsidRDefault="000C201E" w:rsidP="006B0F5A">
      <w:pPr>
        <w:pStyle w:val="ECHRParaQuote"/>
      </w:pPr>
      <w:r>
        <w:t>d) Zapoznanie się w pierwsz</w:t>
      </w:r>
      <w:r w:rsidR="00FA39F0">
        <w:t xml:space="preserve">ej kolejności </w:t>
      </w:r>
      <w:r>
        <w:t xml:space="preserve">z treścią korespondencji </w:t>
      </w:r>
      <w:r w:rsidR="00C048FD">
        <w:t>zatrzymanej na podstawie</w:t>
      </w:r>
      <w:r>
        <w:t xml:space="preserve"> artykułu 179 § 3 ;</w:t>
      </w:r>
    </w:p>
    <w:p w:rsidR="00844BF8" w:rsidRPr="006B0F5A" w:rsidRDefault="000C201E" w:rsidP="006B0F5A">
      <w:pPr>
        <w:pStyle w:val="ECHRParaQuote"/>
      </w:pPr>
      <w:r>
        <w:t xml:space="preserve">e) Orzekanie przepadku na rzecz Państwa wszelkich </w:t>
      </w:r>
      <w:r w:rsidR="00641B03">
        <w:t xml:space="preserve">zajętych </w:t>
      </w:r>
      <w:r>
        <w:t xml:space="preserve">składników majątkowych w razie decyzji o </w:t>
      </w:r>
      <w:r w:rsidR="00641B03">
        <w:t>umorzeniu</w:t>
      </w:r>
      <w:r>
        <w:t xml:space="preserve"> postępowania przez </w:t>
      </w:r>
      <w:r w:rsidR="004B5356">
        <w:t>p</w:t>
      </w:r>
      <w:r>
        <w:t>rokuraturę (...) ;</w:t>
      </w:r>
    </w:p>
    <w:p w:rsidR="00F7169F" w:rsidRPr="006B0F5A" w:rsidRDefault="000C201E" w:rsidP="006B0F5A">
      <w:pPr>
        <w:pStyle w:val="ECHRParaQuote"/>
      </w:pPr>
      <w:r>
        <w:t xml:space="preserve">f) Wykonywanie wszelkich czynności wyraźnie zastrzeżonych przez ustawę </w:t>
      </w:r>
      <w:r w:rsidR="00CD74F9">
        <w:t>dla</w:t>
      </w:r>
      <w:r>
        <w:t xml:space="preserve"> sędziego śledczego. </w:t>
      </w:r>
    </w:p>
    <w:p w:rsidR="00844BF8" w:rsidRPr="006B0F5A" w:rsidRDefault="000C201E" w:rsidP="006B0F5A">
      <w:pPr>
        <w:pStyle w:val="ECHRParaQuote"/>
      </w:pPr>
      <w:r>
        <w:t xml:space="preserve">2.  Sędzia wykonuje czynności wskazane w poprzednim paragrafie na wniosek </w:t>
      </w:r>
      <w:r w:rsidR="004B5356">
        <w:t>p</w:t>
      </w:r>
      <w:r>
        <w:t xml:space="preserve">rokuratury, organów policji kryminalnej w razie wystąpienia nagłej konieczności lub ryzyka wystąpienia opóźnienia, oskarżonego lub </w:t>
      </w:r>
      <w:proofErr w:type="spellStart"/>
      <w:r>
        <w:rPr>
          <w:i/>
        </w:rPr>
        <w:t>assistente</w:t>
      </w:r>
      <w:proofErr w:type="spellEnd"/>
      <w:r>
        <w:rPr>
          <w:i/>
        </w:rPr>
        <w:t xml:space="preserve"> (asystenta </w:t>
      </w:r>
      <w:r w:rsidR="00743C6E">
        <w:rPr>
          <w:i/>
        </w:rPr>
        <w:t>p</w:t>
      </w:r>
      <w:r>
        <w:rPr>
          <w:i/>
        </w:rPr>
        <w:t>rokuratury).</w:t>
      </w:r>
    </w:p>
    <w:p w:rsidR="00844BF8" w:rsidRPr="006B0F5A" w:rsidRDefault="000C201E" w:rsidP="006B0F5A">
      <w:pPr>
        <w:pStyle w:val="ECHRParaQuote"/>
      </w:pPr>
      <w:r>
        <w:t>(...) "</w:t>
      </w:r>
    </w:p>
    <w:p w:rsidR="00844BF8" w:rsidRPr="006B0F5A" w:rsidRDefault="000C201E" w:rsidP="006B0F5A">
      <w:pPr>
        <w:pStyle w:val="ECHRTitleCentre3"/>
      </w:pPr>
      <w:r>
        <w:t>Artykuł 269</w:t>
      </w:r>
      <w:r>
        <w:br/>
        <w:t>Czynności, które musi zarządzić sędzia śledczy lub wyrazić na nie zgodę</w:t>
      </w:r>
    </w:p>
    <w:p w:rsidR="00844BF8" w:rsidRPr="006B0F5A" w:rsidRDefault="000C201E" w:rsidP="006B0F5A">
      <w:pPr>
        <w:pStyle w:val="ECHRParaQuote"/>
      </w:pPr>
      <w:r>
        <w:t>" 1.  W trakcie trwania śledztwa, do wyłącznej kompetencji sędziego śledczego należy zarządzenie następujących czynności lub wyrażenie na nie zgody  :</w:t>
      </w:r>
    </w:p>
    <w:p w:rsidR="00844BF8" w:rsidRPr="006B0F5A" w:rsidRDefault="00066B13" w:rsidP="006B0F5A">
      <w:pPr>
        <w:pStyle w:val="ECHRParaQuote"/>
      </w:pPr>
      <w:r>
        <w:lastRenderedPageBreak/>
        <w:t>a) p</w:t>
      </w:r>
      <w:r w:rsidR="000C201E">
        <w:t>rzeprowadzanie ekspertyz (...) ;</w:t>
      </w:r>
    </w:p>
    <w:p w:rsidR="00844BF8" w:rsidRPr="006B0F5A" w:rsidRDefault="00066B13" w:rsidP="006B0F5A">
      <w:pPr>
        <w:pStyle w:val="ECHRParaQuote"/>
      </w:pPr>
      <w:r>
        <w:t>b) p</w:t>
      </w:r>
      <w:r w:rsidR="000C201E">
        <w:t>rzeprowadzanie przesłuchań (...) ;</w:t>
      </w:r>
    </w:p>
    <w:p w:rsidR="00844BF8" w:rsidRPr="006B0F5A" w:rsidRDefault="00066B13" w:rsidP="006B0F5A">
      <w:pPr>
        <w:pStyle w:val="ECHRParaQuote"/>
      </w:pPr>
      <w:r>
        <w:t>c) p</w:t>
      </w:r>
      <w:r w:rsidR="000C201E">
        <w:t>rzeszukania w miejscu zamieszkania w rozumieniu i w granicach określonych przez artykuł 177 ;</w:t>
      </w:r>
    </w:p>
    <w:p w:rsidR="00F7169F" w:rsidRPr="006B0F5A" w:rsidRDefault="000C201E" w:rsidP="006B0F5A">
      <w:pPr>
        <w:pStyle w:val="ECHRParaQuote"/>
      </w:pPr>
      <w:r>
        <w:t>d) zatrzymanie korespondencji w rozumieniu artykułu 179 § 1 ;</w:t>
      </w:r>
    </w:p>
    <w:p w:rsidR="009E3A6E" w:rsidRPr="006B0F5A" w:rsidRDefault="000C201E" w:rsidP="006B0F5A">
      <w:pPr>
        <w:pStyle w:val="ECHRParaQuote"/>
      </w:pPr>
      <w:r>
        <w:t>e) przejęcie, zarejestrowanie lub ewidencja rozmów lub połączeń w świetle artykułów 187 i 189 ;</w:t>
      </w:r>
    </w:p>
    <w:p w:rsidR="0068301A" w:rsidRPr="006B0F5A" w:rsidRDefault="00066B13" w:rsidP="006B0F5A">
      <w:pPr>
        <w:pStyle w:val="ECHRParaQuote"/>
      </w:pPr>
      <w:r>
        <w:t>f) p</w:t>
      </w:r>
      <w:r w:rsidR="000C201E">
        <w:t xml:space="preserve">rzeprowadzanie wszelkich czynności, co do których ustawa przewiduje, że zależą one od zarządzenia lub zgody sędziego śledczego. </w:t>
      </w:r>
    </w:p>
    <w:p w:rsidR="00E62FE6" w:rsidRPr="006B0F5A" w:rsidRDefault="000C201E" w:rsidP="006B0F5A">
      <w:pPr>
        <w:pStyle w:val="ECHRParaQuote"/>
      </w:pPr>
      <w:r>
        <w:t>(...) "</w:t>
      </w:r>
    </w:p>
    <w:p w:rsidR="00F04268" w:rsidRPr="006B0F5A" w:rsidRDefault="000C201E" w:rsidP="006B0F5A">
      <w:pPr>
        <w:pStyle w:val="ECHRPara"/>
      </w:pPr>
      <w:r>
        <w:t>W wyroku z dnia 18 maja 2006 roku (postępowanie nr 54/2006-9) Sąd Apelacyjny w Lizbonie zauważył :</w:t>
      </w:r>
    </w:p>
    <w:p w:rsidR="009A66CF" w:rsidRPr="006B0F5A" w:rsidRDefault="000C201E" w:rsidP="006B0F5A">
      <w:pPr>
        <w:pStyle w:val="ECHRParaQuote"/>
      </w:pPr>
      <w:r>
        <w:t>"(...)</w:t>
      </w:r>
    </w:p>
    <w:p w:rsidR="00152CCE" w:rsidRPr="006B0F5A" w:rsidRDefault="000C201E" w:rsidP="006B0F5A">
      <w:pPr>
        <w:pStyle w:val="ECHRParaQuote"/>
      </w:pPr>
      <w:r>
        <w:t xml:space="preserve">Śledztwo składa się ze zbioru kroków mających na celu </w:t>
      </w:r>
      <w:r w:rsidR="00C60297">
        <w:t xml:space="preserve">poczynienie ustaleń  co do </w:t>
      </w:r>
      <w:r>
        <w:t xml:space="preserve"> zaistnienia przestępstwa, zidentyfikowanie jego sprawców i ich odpowiedzialności </w:t>
      </w:r>
      <w:r w:rsidR="00C60297">
        <w:t>oraz</w:t>
      </w:r>
      <w:r>
        <w:t xml:space="preserve"> odkrycia i zebrania dowodów w celu podjęcia decyzji o </w:t>
      </w:r>
      <w:r w:rsidR="00D240F4">
        <w:t>oskarżeniu</w:t>
      </w:r>
      <w:r>
        <w:t xml:space="preserve"> (</w:t>
      </w:r>
      <w:proofErr w:type="spellStart"/>
      <w:r>
        <w:rPr>
          <w:i/>
        </w:rPr>
        <w:t>acusação</w:t>
      </w:r>
      <w:proofErr w:type="spellEnd"/>
      <w:r>
        <w:rPr>
          <w:i/>
        </w:rPr>
        <w:t xml:space="preserve">) </w:t>
      </w:r>
      <w:r>
        <w:t>(...).</w:t>
      </w:r>
    </w:p>
    <w:p w:rsidR="00152CCE" w:rsidRPr="006B0F5A" w:rsidRDefault="000C201E" w:rsidP="006B0F5A">
      <w:pPr>
        <w:pStyle w:val="ECHRParaQuote"/>
      </w:pPr>
      <w:r>
        <w:t xml:space="preserve">Zadaniem prokuratury jest kierowanie nim, z pomocą organów policji kryminalnej (...). </w:t>
      </w:r>
    </w:p>
    <w:p w:rsidR="00152CCE" w:rsidRPr="006B0F5A" w:rsidRDefault="000C201E" w:rsidP="006B0F5A">
      <w:pPr>
        <w:pStyle w:val="ECHRParaQuote"/>
      </w:pPr>
      <w:r>
        <w:t>Śledztwo jest więc procedurą należącą do kompetencji prokuratury a nie sędziego, a więc to zadaniem prokuratury</w:t>
      </w:r>
      <w:r w:rsidR="00F35234">
        <w:t>,</w:t>
      </w:r>
      <w:r>
        <w:t xml:space="preserve"> a nie sędziego</w:t>
      </w:r>
      <w:r w:rsidR="00743C6E">
        <w:t>,</w:t>
      </w:r>
      <w:r>
        <w:t xml:space="preserve"> jest wybór i zebranie dowodów. </w:t>
      </w:r>
    </w:p>
    <w:p w:rsidR="00F04268" w:rsidRPr="006B0F5A" w:rsidRDefault="000C201E" w:rsidP="006B0F5A">
      <w:pPr>
        <w:pStyle w:val="ECHRParaQuote"/>
      </w:pPr>
      <w:r>
        <w:t xml:space="preserve">Niezaprzeczalne jest, </w:t>
      </w:r>
      <w:r w:rsidR="00F35234">
        <w:t xml:space="preserve">że </w:t>
      </w:r>
      <w:r w:rsidR="00743C6E">
        <w:t>czynności śledcze</w:t>
      </w:r>
      <w:r w:rsidR="00F35234">
        <w:t xml:space="preserve"> należ</w:t>
      </w:r>
      <w:r w:rsidR="00743C6E">
        <w:t>ą</w:t>
      </w:r>
      <w:r>
        <w:t xml:space="preserve"> do kompetencji prokuratury podczas trwania śledztwa, jednakże sędzia śledczy, </w:t>
      </w:r>
      <w:r w:rsidR="00F35234">
        <w:t xml:space="preserve">na </w:t>
      </w:r>
      <w:r>
        <w:t xml:space="preserve">mocy nakazów konstytucji, posiada kompetencje w zakresie czynności, które dotyczą bezpośrednio praw podstawowych. </w:t>
      </w:r>
    </w:p>
    <w:p w:rsidR="006C6535" w:rsidRPr="006B0F5A" w:rsidRDefault="000C201E" w:rsidP="006B0F5A">
      <w:pPr>
        <w:pStyle w:val="ECHRParaQuote"/>
      </w:pPr>
      <w:r>
        <w:t>(...)</w:t>
      </w:r>
    </w:p>
    <w:p w:rsidR="0010236F" w:rsidRPr="006B0F5A" w:rsidRDefault="000C201E" w:rsidP="006B0F5A">
      <w:pPr>
        <w:pStyle w:val="ECHRParaQuote"/>
      </w:pPr>
      <w:r>
        <w:t>W związku z tym, o ile sędzia śledczy jest sędzią wolności i gwarancji, należy do niego "zaledwie" zapewnienie (...) aby zbieranie dowodów - których wybór, chcemy to przypomnieć</w:t>
      </w:r>
      <w:r w:rsidR="00DE5704">
        <w:t>,</w:t>
      </w:r>
      <w:r>
        <w:t xml:space="preserve"> należy do kompe</w:t>
      </w:r>
      <w:r w:rsidR="00F35234">
        <w:t>tencji prokuratury - dokonywan</w:t>
      </w:r>
      <w:r w:rsidR="00DE5704">
        <w:t>e</w:t>
      </w:r>
      <w:r>
        <w:t xml:space="preserve"> jest zgodnie z prawem (i zgodnie z Konstytucją). </w:t>
      </w:r>
    </w:p>
    <w:p w:rsidR="006C6535" w:rsidRPr="006B0F5A" w:rsidRDefault="000C201E" w:rsidP="006B0F5A">
      <w:pPr>
        <w:pStyle w:val="ECHRParaQuote"/>
      </w:pPr>
      <w:r>
        <w:t>(...) "</w:t>
      </w:r>
    </w:p>
    <w:p w:rsidR="001D2833" w:rsidRPr="006B0F5A" w:rsidRDefault="00403D74" w:rsidP="006B0F5A">
      <w:pPr>
        <w:pStyle w:val="ECHRPara"/>
      </w:pPr>
      <w:fldSimple w:instr=" SEQ level0 \*arabic ">
        <w:r w:rsidR="00F32FF7">
          <w:rPr>
            <w:noProof/>
          </w:rPr>
          <w:t>53</w:t>
        </w:r>
      </w:fldSimple>
      <w:r w:rsidR="000C201E">
        <w:t xml:space="preserve">.  Artykuł 399 Kodeku Postępowania Karnego formułuje ogólną zasadę w zakresie </w:t>
      </w:r>
      <w:r w:rsidR="009312AB">
        <w:t>odwołania w sprawie karnej</w:t>
      </w:r>
      <w:r w:rsidR="000C201E">
        <w:t>, któr</w:t>
      </w:r>
      <w:r w:rsidR="009312AB">
        <w:t>a</w:t>
      </w:r>
      <w:r w:rsidR="000C201E">
        <w:t xml:space="preserve"> stanowi co następuje : </w:t>
      </w:r>
    </w:p>
    <w:p w:rsidR="001D2833" w:rsidRPr="006B0F5A" w:rsidRDefault="000C201E" w:rsidP="006B0F5A">
      <w:pPr>
        <w:pStyle w:val="ECHRParaQuote"/>
      </w:pPr>
      <w:r>
        <w:t>"Dozwolone jest wnoszenie apelacji od wyroków</w:t>
      </w:r>
      <w:r w:rsidR="00C23EE6">
        <w:t>, postanowień</w:t>
      </w:r>
      <w:r>
        <w:t xml:space="preserve"> i zarządzeń, co do których przepisy ustawy nie wyłączają takiej możliwości.  "</w:t>
      </w:r>
    </w:p>
    <w:p w:rsidR="00A127AB" w:rsidRPr="006B0F5A" w:rsidRDefault="000C201E" w:rsidP="00105F65">
      <w:pPr>
        <w:pStyle w:val="ECHRHeading2"/>
        <w:numPr>
          <w:ilvl w:val="0"/>
          <w:numId w:val="0"/>
        </w:numPr>
      </w:pPr>
      <w:r>
        <w:t xml:space="preserve">B. O </w:t>
      </w:r>
      <w:r w:rsidR="00105F65">
        <w:t>procedurze</w:t>
      </w:r>
      <w:r>
        <w:t xml:space="preserve"> przeszukania i zajęcia </w:t>
      </w:r>
    </w:p>
    <w:p w:rsidR="00F038C1" w:rsidRPr="006B0F5A" w:rsidRDefault="00403D74" w:rsidP="006B0F5A">
      <w:pPr>
        <w:pStyle w:val="ECHRPara"/>
      </w:pPr>
      <w:fldSimple w:instr=" SEQ level0 \*arabic ">
        <w:r w:rsidR="00F32FF7">
          <w:rPr>
            <w:noProof/>
          </w:rPr>
          <w:t>54</w:t>
        </w:r>
      </w:fldSimple>
      <w:r w:rsidR="000C201E">
        <w:t xml:space="preserve">.  Odnośnie </w:t>
      </w:r>
      <w:r w:rsidR="00105F65">
        <w:t>procedury</w:t>
      </w:r>
      <w:r w:rsidR="000C201E">
        <w:t xml:space="preserve"> przeszukania i zajęcia, Kodeks Postępowania Karnego przewiduje co następuje :</w:t>
      </w:r>
    </w:p>
    <w:p w:rsidR="0032583E" w:rsidRPr="006B0F5A" w:rsidRDefault="000C201E" w:rsidP="006B0F5A">
      <w:pPr>
        <w:pStyle w:val="ECHRTitleCentre3"/>
      </w:pPr>
      <w:r>
        <w:lastRenderedPageBreak/>
        <w:t>Artykuł 174</w:t>
      </w:r>
      <w:r>
        <w:br/>
        <w:t>Warunki</w:t>
      </w:r>
    </w:p>
    <w:p w:rsidR="00005B89" w:rsidRPr="006B0F5A" w:rsidRDefault="000C201E" w:rsidP="006B0F5A">
      <w:pPr>
        <w:pStyle w:val="ECHRParaQuote"/>
      </w:pPr>
      <w:r>
        <w:t xml:space="preserve">" 1.  Jeżeli istnieją przesłanki, że jakaś osoba ukrywa na sobie przedmioty mające związek z przestępstwem lub mogące </w:t>
      </w:r>
      <w:r w:rsidR="009B48E6">
        <w:t>służyć jako</w:t>
      </w:r>
      <w:r>
        <w:t xml:space="preserve"> dow</w:t>
      </w:r>
      <w:r w:rsidR="009B48E6">
        <w:t>ód</w:t>
      </w:r>
      <w:r>
        <w:t xml:space="preserve">, </w:t>
      </w:r>
      <w:r w:rsidR="009B48E6">
        <w:t>zarządza się</w:t>
      </w:r>
      <w:r w:rsidR="00F35234">
        <w:t xml:space="preserve"> </w:t>
      </w:r>
      <w:r w:rsidR="009B48E6">
        <w:t>rewizję</w:t>
      </w:r>
      <w:r>
        <w:t xml:space="preserve"> osobist</w:t>
      </w:r>
      <w:r w:rsidR="009B48E6">
        <w:t>ą</w:t>
      </w:r>
      <w:r>
        <w:t xml:space="preserve">. </w:t>
      </w:r>
    </w:p>
    <w:p w:rsidR="0010236F" w:rsidRPr="006B0F5A" w:rsidRDefault="000C201E" w:rsidP="006B0F5A">
      <w:pPr>
        <w:pStyle w:val="ECHRParaQuote"/>
      </w:pPr>
      <w:r>
        <w:t xml:space="preserve">2.  Jeżeli istnieją przesłanki, że przedmioty wspomniane w poprzednim </w:t>
      </w:r>
      <w:r w:rsidR="001070FA">
        <w:t>punkcie</w:t>
      </w:r>
      <w:r>
        <w:t>, lub jeżeli osoba podejrzana (</w:t>
      </w:r>
      <w:proofErr w:type="spellStart"/>
      <w:r>
        <w:rPr>
          <w:i/>
        </w:rPr>
        <w:t>arguido</w:t>
      </w:r>
      <w:proofErr w:type="spellEnd"/>
      <w:r>
        <w:rPr>
          <w:i/>
        </w:rPr>
        <w:t xml:space="preserve">) </w:t>
      </w:r>
      <w:r>
        <w:t xml:space="preserve">lub inna osoba mająca być </w:t>
      </w:r>
      <w:r w:rsidR="006B1066">
        <w:t>zatrzymana</w:t>
      </w:r>
      <w:r>
        <w:t xml:space="preserve">, mogą się znajdować w miejscu zastrzeżonym lub bez swobodnego dostępu, </w:t>
      </w:r>
      <w:r w:rsidR="008D7F45">
        <w:t>zarządza się</w:t>
      </w:r>
      <w:r>
        <w:t xml:space="preserve"> przeszukanie.</w:t>
      </w:r>
    </w:p>
    <w:p w:rsidR="007E1A78" w:rsidRPr="006B0F5A" w:rsidRDefault="000C201E" w:rsidP="006B0F5A">
      <w:pPr>
        <w:pStyle w:val="ECHRParaQuote"/>
      </w:pPr>
      <w:r>
        <w:t xml:space="preserve">3.  Na </w:t>
      </w:r>
      <w:r w:rsidR="008D7F45">
        <w:t>rewizje osobiste</w:t>
      </w:r>
      <w:r>
        <w:t xml:space="preserve"> i przeszukania jest wyrażana zgoda lub są one </w:t>
      </w:r>
      <w:r w:rsidR="00C67CF5">
        <w:t xml:space="preserve">zarządzane </w:t>
      </w:r>
      <w:r>
        <w:t xml:space="preserve">  przez właściwy organ władzy sądow</w:t>
      </w:r>
      <w:r w:rsidR="00C67CF5">
        <w:t>niczej</w:t>
      </w:r>
      <w:r>
        <w:t xml:space="preserve">, który powinien w miarę możliwości przewodniczyć przeprowadzeniu tej czynności. </w:t>
      </w:r>
    </w:p>
    <w:p w:rsidR="007E1A78" w:rsidRPr="006B0F5A" w:rsidRDefault="000C201E" w:rsidP="006B0F5A">
      <w:pPr>
        <w:pStyle w:val="ECHRParaQuote"/>
      </w:pPr>
      <w:r>
        <w:t>4.  </w:t>
      </w:r>
      <w:r w:rsidR="00CE723A">
        <w:t>Postanowienie</w:t>
      </w:r>
      <w:r>
        <w:t xml:space="preserve"> przewidzian</w:t>
      </w:r>
      <w:r w:rsidR="00CE723A">
        <w:t>e</w:t>
      </w:r>
      <w:r>
        <w:t xml:space="preserve"> w poprzednim </w:t>
      </w:r>
      <w:r w:rsidR="001070FA" w:rsidRPr="001070FA">
        <w:t xml:space="preserve">punkcie </w:t>
      </w:r>
      <w:r>
        <w:t>jest ważn</w:t>
      </w:r>
      <w:r w:rsidR="00CE723A">
        <w:t>e</w:t>
      </w:r>
      <w:r>
        <w:t xml:space="preserve"> przez 30 dni, pod rygorem nieważności. </w:t>
      </w:r>
    </w:p>
    <w:p w:rsidR="007E1A78" w:rsidRPr="006B0F5A" w:rsidRDefault="000C201E" w:rsidP="006B0F5A">
      <w:pPr>
        <w:pStyle w:val="ECHRParaQuote"/>
      </w:pPr>
      <w:r>
        <w:t xml:space="preserve">5.  Wymogi przewidziane w </w:t>
      </w:r>
      <w:r w:rsidR="001070FA" w:rsidRPr="001070FA">
        <w:t>punkcie</w:t>
      </w:r>
      <w:r>
        <w:t xml:space="preserve"> 3 nie mają zastosowania do </w:t>
      </w:r>
      <w:r w:rsidR="005E0990">
        <w:t>rewizji</w:t>
      </w:r>
      <w:r>
        <w:t xml:space="preserve"> osobistych i do przeszukań przeprowadzonych przez organ policji kryminalnej w następujących przypadkach : </w:t>
      </w:r>
    </w:p>
    <w:p w:rsidR="007E1A78" w:rsidRPr="006B0F5A" w:rsidRDefault="000C201E" w:rsidP="006B0F5A">
      <w:pPr>
        <w:pStyle w:val="ECHRParaQuote"/>
      </w:pPr>
      <w:r>
        <w:t xml:space="preserve">a) Terroryzmu, brutalnych przestępstw lub przestępczości zorganizowanej, kiedy istnieją uzasadnione przesłanki </w:t>
      </w:r>
      <w:r w:rsidR="00C46BD1">
        <w:t xml:space="preserve">nieuchronnego </w:t>
      </w:r>
      <w:r>
        <w:t>popełnieni</w:t>
      </w:r>
      <w:r w:rsidR="00C46BD1">
        <w:t>a</w:t>
      </w:r>
      <w:r>
        <w:t xml:space="preserve"> przestępstwa mogącego poważnie narazić życie lub </w:t>
      </w:r>
      <w:r w:rsidR="00A36C83">
        <w:t>integralność</w:t>
      </w:r>
      <w:r>
        <w:t xml:space="preserve"> cielesną innej osoby ;</w:t>
      </w:r>
    </w:p>
    <w:p w:rsidR="007E1A78" w:rsidRPr="006B0F5A" w:rsidRDefault="000C201E" w:rsidP="006B0F5A">
      <w:pPr>
        <w:pStyle w:val="ECHRParaQuote"/>
      </w:pPr>
      <w:r>
        <w:t>b) Lub gdy osoby, których czynność ta ma dotyczyć</w:t>
      </w:r>
      <w:r w:rsidR="00A36C83">
        <w:t>,</w:t>
      </w:r>
      <w:r>
        <w:t xml:space="preserve"> wyrażą na to zgodę (...) ;</w:t>
      </w:r>
    </w:p>
    <w:p w:rsidR="007E1A78" w:rsidRPr="006B0F5A" w:rsidRDefault="000C201E" w:rsidP="006B0F5A">
      <w:pPr>
        <w:pStyle w:val="ECHRParaQuote"/>
      </w:pPr>
      <w:r>
        <w:t xml:space="preserve">c) W momencie zatrzymania na gorącym uczynku </w:t>
      </w:r>
      <w:r w:rsidR="00687034">
        <w:t xml:space="preserve">popełnienia </w:t>
      </w:r>
      <w:r>
        <w:t xml:space="preserve">przestępstwa zagrożonego karą </w:t>
      </w:r>
      <w:r w:rsidR="00EF0FA6">
        <w:t>pozbawienia wolności</w:t>
      </w:r>
      <w:r>
        <w:t xml:space="preserve">. </w:t>
      </w:r>
    </w:p>
    <w:p w:rsidR="00005B89" w:rsidRPr="006B0F5A" w:rsidRDefault="00F35234" w:rsidP="006B0F5A">
      <w:pPr>
        <w:pStyle w:val="ECHRParaQuote"/>
      </w:pPr>
      <w:r>
        <w:t>6.  W</w:t>
      </w:r>
      <w:r w:rsidR="000C201E">
        <w:t xml:space="preserve"> przypadku wskazanym w literze a) poprzedniego </w:t>
      </w:r>
      <w:r w:rsidR="001070FA" w:rsidRPr="001070FA">
        <w:t>punk</w:t>
      </w:r>
      <w:r w:rsidR="001070FA">
        <w:t>tu</w:t>
      </w:r>
      <w:r w:rsidR="000C201E">
        <w:t>, o realizacji operacji</w:t>
      </w:r>
      <w:r w:rsidR="001070FA">
        <w:t>,</w:t>
      </w:r>
      <w:r w:rsidR="000C201E">
        <w:t xml:space="preserve">  pod rygorem nieważności</w:t>
      </w:r>
      <w:r w:rsidR="005B4B2C">
        <w:t>,</w:t>
      </w:r>
      <w:r w:rsidR="000C201E">
        <w:t xml:space="preserve"> jest natychmiast zawiadamiany sędzia śledczy, który musi ją ocenić po to aby móc ją zatwierdzić.  "</w:t>
      </w:r>
    </w:p>
    <w:p w:rsidR="0032583E" w:rsidRPr="006B0F5A" w:rsidRDefault="000C201E" w:rsidP="006B0F5A">
      <w:pPr>
        <w:pStyle w:val="ECHRTitleCentre3"/>
      </w:pPr>
      <w:r>
        <w:t>Artykuł 176</w:t>
      </w:r>
      <w:r>
        <w:br/>
        <w:t>Formalności związane z przeszukaniem</w:t>
      </w:r>
    </w:p>
    <w:p w:rsidR="00837199" w:rsidRPr="006B0F5A" w:rsidRDefault="000C201E" w:rsidP="006B0F5A">
      <w:pPr>
        <w:pStyle w:val="ECHRParaQuote"/>
      </w:pPr>
      <w:r>
        <w:t xml:space="preserve">" 1.  Z wyjątkiem przypadków wskazanych w </w:t>
      </w:r>
      <w:r w:rsidR="005B4B2C">
        <w:t>punkcie</w:t>
      </w:r>
      <w:r>
        <w:t xml:space="preserve"> 5 artykułu 174, przed przeprowadzeniem przeszukania, osoba zajmująca miejsce, w którym ma być ono przeprowadzone otrzymuje kopię nakazu przeszukania zawierającego informacje o tym :</w:t>
      </w:r>
    </w:p>
    <w:p w:rsidR="0010236F" w:rsidRPr="006B0F5A" w:rsidRDefault="000C201E" w:rsidP="006B0F5A">
      <w:pPr>
        <w:pStyle w:val="ECHRParaQuote"/>
      </w:pPr>
      <w:r>
        <w:t xml:space="preserve">- że może ona uczestniczyć w czynności </w:t>
      </w:r>
      <w:r w:rsidR="00AA5E51">
        <w:t>oraz</w:t>
      </w:r>
    </w:p>
    <w:p w:rsidR="00005B89" w:rsidRPr="006B0F5A" w:rsidRDefault="000C201E" w:rsidP="006B0F5A">
      <w:pPr>
        <w:pStyle w:val="ECHRParaQuote"/>
      </w:pPr>
      <w:r>
        <w:t>- że może jej towarzyszyć lub zastąpić ją zaufana osoba ;</w:t>
      </w:r>
    </w:p>
    <w:p w:rsidR="00837199" w:rsidRPr="006B0F5A" w:rsidRDefault="000C201E" w:rsidP="006B0F5A">
      <w:pPr>
        <w:pStyle w:val="ECHRParaQuote"/>
      </w:pPr>
      <w:r>
        <w:t xml:space="preserve">- aby się niezwłocznie </w:t>
      </w:r>
      <w:r w:rsidR="00797D1A">
        <w:t>stawiła</w:t>
      </w:r>
      <w:r>
        <w:t>.</w:t>
      </w:r>
    </w:p>
    <w:p w:rsidR="0010236F" w:rsidRPr="006B0F5A" w:rsidRDefault="000C201E" w:rsidP="006B0F5A">
      <w:pPr>
        <w:pStyle w:val="ECHRParaQuote"/>
      </w:pPr>
      <w:r>
        <w:t>2.  Jeżeli osoby, o których mowa w</w:t>
      </w:r>
      <w:r w:rsidR="006A77D5">
        <w:t xml:space="preserve"> </w:t>
      </w:r>
      <w:r w:rsidR="00797D1A">
        <w:t>punkcie</w:t>
      </w:r>
      <w:r w:rsidR="006A77D5">
        <w:t xml:space="preserve"> poprzednim są nieobecne</w:t>
      </w:r>
      <w:r>
        <w:t xml:space="preserve"> kopia jest</w:t>
      </w:r>
      <w:r w:rsidR="006A77D5">
        <w:t>,</w:t>
      </w:r>
      <w:r>
        <w:t xml:space="preserve"> w miarę możliwości</w:t>
      </w:r>
      <w:r w:rsidR="006A77D5">
        <w:t>,</w:t>
      </w:r>
      <w:r>
        <w:t xml:space="preserve"> przekazana członko</w:t>
      </w:r>
      <w:r w:rsidR="00797D1A">
        <w:t>wi</w:t>
      </w:r>
      <w:r>
        <w:t xml:space="preserve"> rodziny, sąsiado</w:t>
      </w:r>
      <w:r w:rsidR="00797D1A">
        <w:t>wi</w:t>
      </w:r>
      <w:r>
        <w:t>, portierowi lub osob</w:t>
      </w:r>
      <w:r w:rsidR="00CB6F9E">
        <w:t>ie,</w:t>
      </w:r>
      <w:r>
        <w:t xml:space="preserve"> która go zastępuje. </w:t>
      </w:r>
    </w:p>
    <w:p w:rsidR="00C020D4" w:rsidRPr="006B0F5A" w:rsidRDefault="000C201E" w:rsidP="006B0F5A">
      <w:pPr>
        <w:pStyle w:val="ECHRParaQuote"/>
      </w:pPr>
      <w:r>
        <w:t>(...) "</w:t>
      </w:r>
    </w:p>
    <w:p w:rsidR="00F038C1" w:rsidRPr="006B0F5A" w:rsidRDefault="000C201E" w:rsidP="006B0F5A">
      <w:pPr>
        <w:pStyle w:val="ECHRTitleCentre3"/>
      </w:pPr>
      <w:r>
        <w:t>Artykuł 177</w:t>
      </w:r>
      <w:r>
        <w:br/>
        <w:t>Przeszukanie</w:t>
      </w:r>
    </w:p>
    <w:p w:rsidR="00F038C1" w:rsidRPr="006B0F5A" w:rsidRDefault="000C201E" w:rsidP="006B0F5A">
      <w:pPr>
        <w:pStyle w:val="ECHRParaQuote"/>
      </w:pPr>
      <w:r>
        <w:t>"(...)</w:t>
      </w:r>
    </w:p>
    <w:p w:rsidR="00F038C1" w:rsidRPr="006B0F5A" w:rsidRDefault="000C201E" w:rsidP="006B0F5A">
      <w:pPr>
        <w:pStyle w:val="ECHRParaQuote"/>
      </w:pPr>
      <w:r>
        <w:lastRenderedPageBreak/>
        <w:t>5.  Przeszukanie kancelarii adwokackiej (...) jest, pod rygorem nieważności, prowadzone (</w:t>
      </w:r>
      <w:proofErr w:type="spellStart"/>
      <w:r>
        <w:rPr>
          <w:i/>
        </w:rPr>
        <w:t>presidida</w:t>
      </w:r>
      <w:proofErr w:type="spellEnd"/>
      <w:r>
        <w:rPr>
          <w:i/>
        </w:rPr>
        <w:t xml:space="preserve">) </w:t>
      </w:r>
      <w:r>
        <w:t xml:space="preserve">przez samego sędziego, który wcześniej informuje przewodniczącego </w:t>
      </w:r>
      <w:r w:rsidR="00134A24">
        <w:t xml:space="preserve">lokalnej </w:t>
      </w:r>
      <w:r>
        <w:t>rady Izby Adwokackiej (...) tak aby był on obecny lub</w:t>
      </w:r>
      <w:r w:rsidR="00485EAC">
        <w:t xml:space="preserve"> też</w:t>
      </w:r>
      <w:r>
        <w:t xml:space="preserve"> inna osoba działająca w jego imieniu. </w:t>
      </w:r>
    </w:p>
    <w:p w:rsidR="00F038C1" w:rsidRPr="006B0F5A" w:rsidRDefault="000C201E" w:rsidP="006B0F5A">
      <w:pPr>
        <w:pStyle w:val="ECHRParaQuote"/>
      </w:pPr>
      <w:r>
        <w:t>(...) "</w:t>
      </w:r>
    </w:p>
    <w:p w:rsidR="00C72833" w:rsidRPr="006B0F5A" w:rsidRDefault="000C201E" w:rsidP="006B0F5A">
      <w:pPr>
        <w:pStyle w:val="ECHRTitleCentre3"/>
      </w:pPr>
      <w:r>
        <w:t>Artykuł 178</w:t>
      </w:r>
      <w:r>
        <w:br/>
        <w:t>Przedmioty, które mogą być zatrzymane i pod jakimi warunkami</w:t>
      </w:r>
    </w:p>
    <w:p w:rsidR="00132928" w:rsidRPr="006B0F5A" w:rsidRDefault="000C201E" w:rsidP="006B0F5A">
      <w:pPr>
        <w:pStyle w:val="ECHRParaQuote"/>
      </w:pPr>
      <w:r>
        <w:t>" 1.  Zatrzymane zostają przedmioty, które służyły lub były przeznaczone do popełnienia przestępstwa, te które z niego pochodzą, korzyś</w:t>
      </w:r>
      <w:r w:rsidR="0056641D">
        <w:t>ć, nagroda</w:t>
      </w:r>
      <w:r>
        <w:t xml:space="preserve"> lub wynagrodzenie i wszelkie przedmioty pozostawione przez osobę popełniającą przestępstwo </w:t>
      </w:r>
      <w:r w:rsidR="00D9259A">
        <w:t xml:space="preserve">na jego </w:t>
      </w:r>
      <w:r>
        <w:t xml:space="preserve">miejscu oraz inne przedmioty mogące posłużyć za dowód. </w:t>
      </w:r>
    </w:p>
    <w:p w:rsidR="00602BD0" w:rsidRPr="006B0F5A" w:rsidRDefault="000C201E" w:rsidP="006B0F5A">
      <w:pPr>
        <w:pStyle w:val="ECHRParaQuote"/>
      </w:pPr>
      <w:r>
        <w:t xml:space="preserve">2.  Zatrzymane przedmioty zostają dołączone do akt postępowania (...). </w:t>
      </w:r>
    </w:p>
    <w:p w:rsidR="00602BD0" w:rsidRPr="006B0F5A" w:rsidRDefault="000C201E" w:rsidP="006B0F5A">
      <w:pPr>
        <w:pStyle w:val="ECHRParaQuote"/>
      </w:pPr>
      <w:r>
        <w:t>3.  </w:t>
      </w:r>
      <w:r w:rsidR="00D338A1">
        <w:t>Zgoda na z</w:t>
      </w:r>
      <w:r>
        <w:t>a</w:t>
      </w:r>
      <w:r w:rsidR="00D9259A">
        <w:t>trzymania</w:t>
      </w:r>
      <w:r w:rsidR="00D338A1">
        <w:t>,</w:t>
      </w:r>
      <w:r>
        <w:t xml:space="preserve"> </w:t>
      </w:r>
      <w:r w:rsidR="00234D45">
        <w:t>ich zarządzenie i</w:t>
      </w:r>
      <w:r>
        <w:t xml:space="preserve"> zatwierdz</w:t>
      </w:r>
      <w:r w:rsidR="006A77D5">
        <w:t>e</w:t>
      </w:r>
      <w:r w:rsidR="00234D45">
        <w:t>nie</w:t>
      </w:r>
      <w:r>
        <w:t xml:space="preserve"> </w:t>
      </w:r>
      <w:r w:rsidR="00234D45">
        <w:t>następuje</w:t>
      </w:r>
      <w:r>
        <w:t xml:space="preserve"> </w:t>
      </w:r>
      <w:r w:rsidR="00234D45">
        <w:t>w</w:t>
      </w:r>
      <w:r>
        <w:t xml:space="preserve"> drodze </w:t>
      </w:r>
      <w:r w:rsidR="00234D45">
        <w:t>postanowienia</w:t>
      </w:r>
      <w:r>
        <w:t xml:space="preserve"> organu sądowego. </w:t>
      </w:r>
    </w:p>
    <w:p w:rsidR="00602BD0" w:rsidRPr="006B0F5A" w:rsidRDefault="000C201E" w:rsidP="006B0F5A">
      <w:pPr>
        <w:pStyle w:val="ECHRParaQuote"/>
      </w:pPr>
      <w:r>
        <w:t>4.  Organy policji kryminalnej mogą dokonywać za</w:t>
      </w:r>
      <w:r w:rsidR="00837B60">
        <w:t>trzymań</w:t>
      </w:r>
      <w:r>
        <w:t xml:space="preserve"> w trakcie </w:t>
      </w:r>
      <w:r w:rsidR="00AC35D9">
        <w:t xml:space="preserve">rewizji </w:t>
      </w:r>
      <w:r>
        <w:t xml:space="preserve"> osobistych lub przeszukań</w:t>
      </w:r>
      <w:r w:rsidR="006A77D5">
        <w:t>,</w:t>
      </w:r>
      <w:r>
        <w:t xml:space="preserve"> kiedy występuje pilna potrzeba lub ryzyko utraty dowodu w razie opóźnienia (...).</w:t>
      </w:r>
    </w:p>
    <w:p w:rsidR="00602BD0" w:rsidRPr="006B0F5A" w:rsidRDefault="000C201E" w:rsidP="006B0F5A">
      <w:pPr>
        <w:pStyle w:val="ECHRParaQuote"/>
      </w:pPr>
      <w:r>
        <w:t>(...)</w:t>
      </w:r>
    </w:p>
    <w:p w:rsidR="00602BD0" w:rsidRPr="006B0F5A" w:rsidRDefault="000C201E" w:rsidP="006B0F5A">
      <w:pPr>
        <w:pStyle w:val="ECHRParaQuote"/>
      </w:pPr>
      <w:r>
        <w:t>6.  Właściciele przedmiotów lub posiadacze za</w:t>
      </w:r>
      <w:r w:rsidR="00AC35D9">
        <w:t>jętych</w:t>
      </w:r>
      <w:r>
        <w:t xml:space="preserve"> składników majątkowych mogą zwrócić się do sędziego śledczego o zmianę lub anulowanie tego środka.  (...)</w:t>
      </w:r>
    </w:p>
    <w:p w:rsidR="00C72833" w:rsidRPr="006B0F5A" w:rsidRDefault="000C201E" w:rsidP="006B0F5A">
      <w:pPr>
        <w:pStyle w:val="ECHRParaQuote"/>
      </w:pPr>
      <w:r>
        <w:t>(...) "</w:t>
      </w:r>
    </w:p>
    <w:p w:rsidR="00F038C1" w:rsidRPr="006B0F5A" w:rsidRDefault="000C201E" w:rsidP="006B0F5A">
      <w:pPr>
        <w:pStyle w:val="ECHRTitleCentre3"/>
      </w:pPr>
      <w:r>
        <w:t>Artykuł 179</w:t>
      </w:r>
      <w:r>
        <w:br/>
        <w:t>Zatrzymanie korespondencji</w:t>
      </w:r>
    </w:p>
    <w:p w:rsidR="004F5C5B" w:rsidRPr="006B0F5A" w:rsidRDefault="000C201E" w:rsidP="006B0F5A">
      <w:pPr>
        <w:pStyle w:val="ECHRParaQuote"/>
      </w:pPr>
      <w:r>
        <w:t xml:space="preserve">" 1.  Sędzia pod rygorem nieważności może wyrazić zgodę lub zażądać, </w:t>
      </w:r>
      <w:r w:rsidR="003A2568">
        <w:t>w drodze postanowienia, zatrzymanie</w:t>
      </w:r>
      <w:r>
        <w:t xml:space="preserve"> (...) listów, paczek, przekazów pieniężnych, telegramów lub innej korespondencji jeżeli istnieją uzasadnione powody aby przypuszczać, że : </w:t>
      </w:r>
    </w:p>
    <w:p w:rsidR="009C7378" w:rsidRPr="006B0F5A" w:rsidRDefault="000C201E" w:rsidP="006B0F5A">
      <w:pPr>
        <w:pStyle w:val="ECHRParaQuote"/>
      </w:pPr>
      <w:r>
        <w:t>a) Korespondencja została wysłana lub otrzymana przez podejrzanego (...) ;</w:t>
      </w:r>
    </w:p>
    <w:p w:rsidR="009C7378" w:rsidRPr="006B0F5A" w:rsidRDefault="000C201E" w:rsidP="006B0F5A">
      <w:pPr>
        <w:pStyle w:val="ECHRParaQuote"/>
      </w:pPr>
      <w:r>
        <w:t>b)</w:t>
      </w:r>
      <w:r w:rsidR="005101C0">
        <w:t xml:space="preserve"> </w:t>
      </w:r>
      <w:r w:rsidR="00D56E9E">
        <w:t>Dotyczy p</w:t>
      </w:r>
      <w:r>
        <w:t>rzestępstwa  zagrożone</w:t>
      </w:r>
      <w:r w:rsidR="00D56E9E">
        <w:t>go</w:t>
      </w:r>
      <w:r>
        <w:t xml:space="preserve"> kar</w:t>
      </w:r>
      <w:r w:rsidR="00D56E9E">
        <w:t>ą</w:t>
      </w:r>
      <w:r>
        <w:t xml:space="preserve"> przewyższając</w:t>
      </w:r>
      <w:r w:rsidR="00D56E9E">
        <w:t>ą</w:t>
      </w:r>
      <w:r>
        <w:t xml:space="preserve"> trzy lata pozbawienia wolności ; </w:t>
      </w:r>
    </w:p>
    <w:p w:rsidR="0010236F" w:rsidRPr="006B0F5A" w:rsidRDefault="00EF0FA6" w:rsidP="006B0F5A">
      <w:pPr>
        <w:pStyle w:val="ECHRParaQuote"/>
      </w:pPr>
      <w:r>
        <w:t>c) Czynność</w:t>
      </w:r>
      <w:r w:rsidR="000C201E">
        <w:t xml:space="preserve"> jest niezmiernie istotna dla dojścia do prawdy lub w sferze dowodowej. </w:t>
      </w:r>
    </w:p>
    <w:p w:rsidR="004F5C5B" w:rsidRPr="006B0F5A" w:rsidRDefault="000C201E" w:rsidP="006B0F5A">
      <w:pPr>
        <w:pStyle w:val="ECHRParaQuote"/>
      </w:pPr>
      <w:r>
        <w:t>2.  Zabronione jest, pod rygorem nieważności</w:t>
      </w:r>
      <w:r w:rsidR="006A77D5">
        <w:t xml:space="preserve">, </w:t>
      </w:r>
      <w:r w:rsidR="00E60C69">
        <w:t xml:space="preserve">zatrzymanie lub </w:t>
      </w:r>
      <w:r w:rsidR="006A77D5">
        <w:t>prowadzenie kontroli, pod inną</w:t>
      </w:r>
      <w:r>
        <w:t xml:space="preserve"> postacią, wszelkiej korespondencji pomiędzy oskarżonym i jego obrońcą, z wyjątkiem sytuacji</w:t>
      </w:r>
      <w:r w:rsidR="006A77D5">
        <w:t>,</w:t>
      </w:r>
      <w:r>
        <w:t xml:space="preserve"> kiedy sędzia z uzasadnionych przyczyn uzna, że ta korespondencja stanowi przedmiot lub element przestępstwa. </w:t>
      </w:r>
    </w:p>
    <w:p w:rsidR="004F5C5B" w:rsidRPr="006B0F5A" w:rsidRDefault="000C201E" w:rsidP="006B0F5A">
      <w:pPr>
        <w:pStyle w:val="ECHRParaQuote"/>
      </w:pPr>
      <w:r>
        <w:t xml:space="preserve">3.  Sędzia, </w:t>
      </w:r>
      <w:r w:rsidR="006A77D5">
        <w:t>który wyraził zgodę lub nakazał</w:t>
      </w:r>
      <w:r>
        <w:t xml:space="preserve"> taką czynność jest pierwszą osobą, która zapoznaje się z zawartością </w:t>
      </w:r>
      <w:r w:rsidR="00413D20">
        <w:t>zatrzymanej</w:t>
      </w:r>
      <w:r>
        <w:t xml:space="preserve"> korespondencji.  Jeżeli uzna</w:t>
      </w:r>
      <w:r w:rsidR="006A77D5">
        <w:t>,</w:t>
      </w:r>
      <w:r>
        <w:t xml:space="preserve"> że stanowi on istotny materiał dowodowy, załączy ją do akt postępowania ; w przeciwnym wypadku</w:t>
      </w:r>
      <w:r w:rsidR="00C37BE2">
        <w:t>, zwraca ją osobie uprawnionej,</w:t>
      </w:r>
      <w:r>
        <w:t xml:space="preserve"> nie może być ona wykorzystana jako materiał dowodowy, a sędzia jest związany tajemnicą w stosunku do wszystkich informacji, o których powziął wiedzę</w:t>
      </w:r>
      <w:r w:rsidR="006A77D5">
        <w:t>,</w:t>
      </w:r>
      <w:r>
        <w:t xml:space="preserve"> a które nie </w:t>
      </w:r>
      <w:r w:rsidR="00C37BE2">
        <w:t>mają</w:t>
      </w:r>
      <w:r>
        <w:t xml:space="preserve"> wartości dowodowej.  "</w:t>
      </w:r>
    </w:p>
    <w:p w:rsidR="00F038C1" w:rsidRPr="006B0F5A" w:rsidRDefault="00A01766" w:rsidP="006B0F5A">
      <w:pPr>
        <w:pStyle w:val="ECHRTitleCentre3"/>
      </w:pPr>
      <w:r>
        <w:lastRenderedPageBreak/>
        <w:t>Artykuł 180</w:t>
      </w:r>
      <w:r>
        <w:br/>
        <w:t>Zatrzymanie</w:t>
      </w:r>
      <w:r w:rsidR="000C201E">
        <w:t xml:space="preserve"> w kancelarii adwokackiej lub gabinecie medycznym</w:t>
      </w:r>
    </w:p>
    <w:p w:rsidR="00F038C1" w:rsidRPr="006B0F5A" w:rsidRDefault="000C201E" w:rsidP="006B0F5A">
      <w:pPr>
        <w:pStyle w:val="ECHRParaQuote"/>
      </w:pPr>
      <w:r>
        <w:t xml:space="preserve">" 1.  To co jest przewidziane w </w:t>
      </w:r>
      <w:r w:rsidR="00A01766">
        <w:t>punkcie</w:t>
      </w:r>
      <w:r>
        <w:t xml:space="preserve"> 5 (...) artykułu 177 ma zastosowanie do za</w:t>
      </w:r>
      <w:r w:rsidR="006E46FC">
        <w:t>trzymań</w:t>
      </w:r>
      <w:r>
        <w:t xml:space="preserve"> realizowanych w kancelarii adwokackiej (...). </w:t>
      </w:r>
    </w:p>
    <w:p w:rsidR="00F038C1" w:rsidRPr="006B0F5A" w:rsidRDefault="000C201E" w:rsidP="006B0F5A">
      <w:pPr>
        <w:pStyle w:val="ECHRParaQuote"/>
      </w:pPr>
      <w:r>
        <w:t>2.  Zabronione jest, pod rygorem nieważności, za</w:t>
      </w:r>
      <w:r w:rsidR="006E46FC">
        <w:t>trzymanie</w:t>
      </w:r>
      <w:r>
        <w:t xml:space="preserve"> dokumentów objętych tajemnicą </w:t>
      </w:r>
      <w:r w:rsidR="006E46FC">
        <w:t>zawodow</w:t>
      </w:r>
      <w:r>
        <w:t xml:space="preserve">ą (...) chyba, że te dokumenty, jako takie, były przedmiotem lub elementem przestępstwa. </w:t>
      </w:r>
    </w:p>
    <w:p w:rsidR="00F038C1" w:rsidRPr="006B0F5A" w:rsidRDefault="000C201E" w:rsidP="006B0F5A">
      <w:pPr>
        <w:pStyle w:val="ECHRParaQuote"/>
      </w:pPr>
      <w:r>
        <w:t xml:space="preserve">3.  To co jest przewidziane w </w:t>
      </w:r>
      <w:r w:rsidR="00D37147">
        <w:t>punkcie</w:t>
      </w:r>
      <w:r>
        <w:t xml:space="preserve"> 3 poprzedniego artykułu stosuje się odpowiednio.  "</w:t>
      </w:r>
    </w:p>
    <w:p w:rsidR="00C948EB" w:rsidRPr="006B0F5A" w:rsidRDefault="000C201E" w:rsidP="006B0F5A">
      <w:pPr>
        <w:pStyle w:val="ECHRTitleCentre3"/>
      </w:pPr>
      <w:r>
        <w:t>Artykuł 183</w:t>
      </w:r>
      <w:r>
        <w:br/>
        <w:t>Fotokopie i kopie potwierdzone za zgodność (</w:t>
      </w:r>
      <w:proofErr w:type="spellStart"/>
      <w:r>
        <w:rPr>
          <w:i/>
        </w:rPr>
        <w:t>certidões</w:t>
      </w:r>
      <w:proofErr w:type="spellEnd"/>
      <w:r>
        <w:t>)</w:t>
      </w:r>
    </w:p>
    <w:p w:rsidR="00C948EB" w:rsidRPr="006B0F5A" w:rsidRDefault="000C201E" w:rsidP="006B0F5A">
      <w:pPr>
        <w:pStyle w:val="ECHRParaQuote"/>
      </w:pPr>
      <w:r>
        <w:t>" 1.  Istnieje możliwość dołączenia fotokopii za</w:t>
      </w:r>
      <w:r w:rsidR="003C687D">
        <w:t>trzymanych</w:t>
      </w:r>
      <w:r>
        <w:t xml:space="preserve"> dokumentów do akt postępowania (</w:t>
      </w:r>
      <w:proofErr w:type="spellStart"/>
      <w:r>
        <w:rPr>
          <w:i/>
        </w:rPr>
        <w:t>autos</w:t>
      </w:r>
      <w:proofErr w:type="spellEnd"/>
      <w:r>
        <w:rPr>
          <w:i/>
        </w:rPr>
        <w:t xml:space="preserve">), </w:t>
      </w:r>
      <w:r>
        <w:t>jeśli oryginał musi zostać zwrócony. Jeżeli konieczne jest zachowanie oryginału, możliwe jest sporządzenie fotokopii lub kopii poświadczonej za zgodność (</w:t>
      </w:r>
      <w:proofErr w:type="spellStart"/>
      <w:r>
        <w:rPr>
          <w:i/>
        </w:rPr>
        <w:t>certidão</w:t>
      </w:r>
      <w:proofErr w:type="spellEnd"/>
      <w:r>
        <w:rPr>
          <w:i/>
        </w:rPr>
        <w:t>)</w:t>
      </w:r>
      <w:r>
        <w:t xml:space="preserve"> i przekazanie </w:t>
      </w:r>
      <w:r w:rsidR="00A277E2">
        <w:t>jej</w:t>
      </w:r>
      <w:r>
        <w:t xml:space="preserve"> właścicielowi oryginału.(...) (...)</w:t>
      </w:r>
    </w:p>
    <w:p w:rsidR="00C948EB" w:rsidRPr="006B0F5A" w:rsidRDefault="000C201E" w:rsidP="006B0F5A">
      <w:pPr>
        <w:pStyle w:val="ECHRParaQuote"/>
      </w:pPr>
      <w:r>
        <w:t>(...) "</w:t>
      </w:r>
    </w:p>
    <w:p w:rsidR="00746B69" w:rsidRPr="006B0F5A" w:rsidRDefault="000C201E" w:rsidP="006B0F5A">
      <w:pPr>
        <w:pStyle w:val="ECHRTitleCentre3"/>
      </w:pPr>
      <w:r>
        <w:t>Artykuł 184</w:t>
      </w:r>
      <w:r>
        <w:br/>
        <w:t>Opieczętowanie i otwarcie materiałów opieczętowanych</w:t>
      </w:r>
    </w:p>
    <w:p w:rsidR="00D42108" w:rsidRPr="006B0F5A" w:rsidRDefault="000C201E" w:rsidP="006B0F5A">
      <w:pPr>
        <w:pStyle w:val="ECHRParaQuote"/>
      </w:pPr>
      <w:r>
        <w:t>"W miarę możliwości za</w:t>
      </w:r>
      <w:r w:rsidR="0086329C">
        <w:t>trzymane</w:t>
      </w:r>
      <w:r>
        <w:t xml:space="preserve"> przedmioty powinny zostać zaplombowane.  Otwarcie plomb jest dokonywane</w:t>
      </w:r>
      <w:r w:rsidR="0086329C">
        <w:t>, o ile to możliwe,</w:t>
      </w:r>
      <w:r>
        <w:t xml:space="preserve"> w obecności osób, które były obecne w momencie plombowania materiałów, aby </w:t>
      </w:r>
      <w:r w:rsidR="000D409B">
        <w:t>sprawdziły one</w:t>
      </w:r>
      <w:r>
        <w:t xml:space="preserve"> czy plomby ni</w:t>
      </w:r>
      <w:r w:rsidR="000D409B">
        <w:t>e zostały naruszone i czy zatrzymane</w:t>
      </w:r>
      <w:r>
        <w:t xml:space="preserve"> przedmioty nie zostały zmienione.  "</w:t>
      </w:r>
    </w:p>
    <w:p w:rsidR="0090796D" w:rsidRPr="006B0F5A" w:rsidRDefault="000C201E" w:rsidP="006B0F5A">
      <w:pPr>
        <w:pStyle w:val="ECHRTitleCentre3"/>
      </w:pPr>
      <w:r>
        <w:t>Artykuł 186</w:t>
      </w:r>
      <w:r>
        <w:br/>
        <w:t>Zwrot za</w:t>
      </w:r>
      <w:r w:rsidR="000D409B">
        <w:t>trzymanych</w:t>
      </w:r>
      <w:r>
        <w:t xml:space="preserve"> przedmiotów</w:t>
      </w:r>
    </w:p>
    <w:p w:rsidR="0010236F" w:rsidRPr="006B0F5A" w:rsidRDefault="000D409B" w:rsidP="006B0F5A">
      <w:pPr>
        <w:pStyle w:val="ECHRParaQuote"/>
      </w:pPr>
      <w:r>
        <w:t>" 1.  Zatrzymane</w:t>
      </w:r>
      <w:r w:rsidR="000C201E">
        <w:t xml:space="preserve"> przedmioty zostają zwrócone temu do kogo należą</w:t>
      </w:r>
      <w:r w:rsidR="006A77D5">
        <w:t>,</w:t>
      </w:r>
      <w:r w:rsidR="000C201E">
        <w:t xml:space="preserve"> z chwilą kiedy stwierdzone zostanie, że dalsze utrzymywanie ich zajęcia w celach dowodowych nie jest już konieczne. </w:t>
      </w:r>
    </w:p>
    <w:p w:rsidR="0090796D" w:rsidRPr="006B0F5A" w:rsidRDefault="000C201E" w:rsidP="006B0F5A">
      <w:pPr>
        <w:pStyle w:val="ECHRParaQuote"/>
      </w:pPr>
      <w:r>
        <w:t>2.  </w:t>
      </w:r>
      <w:r w:rsidR="006B3C6C">
        <w:t>K</w:t>
      </w:r>
      <w:r>
        <w:t>iedy wyrok stanie się prawomocny, za</w:t>
      </w:r>
      <w:r w:rsidR="003A5146">
        <w:t>trzymane</w:t>
      </w:r>
      <w:r>
        <w:t xml:space="preserve"> przedmioty zostają zwrócone osobie uprawnionej, chyba że orzeczono ich przepadek na rzecz Państwa.  "</w:t>
      </w:r>
    </w:p>
    <w:p w:rsidR="00851E62" w:rsidRPr="006B0F5A" w:rsidRDefault="000C201E" w:rsidP="006B0F5A">
      <w:pPr>
        <w:pStyle w:val="ECHRTitleCentre3"/>
      </w:pPr>
      <w:r>
        <w:t>Artykuł 187</w:t>
      </w:r>
      <w:r>
        <w:br/>
        <w:t>Dopuszczalność [podsłuchy telefoniczne]</w:t>
      </w:r>
    </w:p>
    <w:p w:rsidR="00B07287" w:rsidRPr="006B0F5A" w:rsidRDefault="000C201E" w:rsidP="006B0F5A">
      <w:pPr>
        <w:pStyle w:val="ECHRParaQuote"/>
      </w:pPr>
      <w:r>
        <w:t xml:space="preserve">" 1.  Przechwycenie i zarejestrowanie rozmów lub komunikacji telefonicznych może być wykorzystane w trakcie śledztwa jedynie, jeżeli istnieją przesłanki uzasadniające, że ten środek jest niezbędny do dojścia do prawdy lub jeżeli nie można w inny sposób uzyskać dowodu lub byłoby to bardzo trudne, na podstawie uzasadnionego </w:t>
      </w:r>
      <w:r w:rsidR="00721490">
        <w:t>postanowienia</w:t>
      </w:r>
      <w:r>
        <w:t xml:space="preserve"> sędziego śledczego</w:t>
      </w:r>
      <w:r w:rsidR="009F28A0">
        <w:t xml:space="preserve"> oraz</w:t>
      </w:r>
      <w:r>
        <w:t xml:space="preserve"> na wniosek prokuratury</w:t>
      </w:r>
      <w:r w:rsidR="009F28A0">
        <w:t>,</w:t>
      </w:r>
      <w:r>
        <w:t xml:space="preserve"> w odniesieniu do przestępstw :</w:t>
      </w:r>
    </w:p>
    <w:p w:rsidR="00B07287" w:rsidRPr="006B0F5A" w:rsidRDefault="000C201E" w:rsidP="006B0F5A">
      <w:pPr>
        <w:pStyle w:val="ECHRParaQuote"/>
      </w:pPr>
      <w:r>
        <w:t xml:space="preserve">a) karanych pozbawieniem wolności w wymiarze maksymalnym powyżej lat trzech ; </w:t>
      </w:r>
    </w:p>
    <w:p w:rsidR="00B07287" w:rsidRPr="006B0F5A" w:rsidRDefault="000C201E" w:rsidP="006B0F5A">
      <w:pPr>
        <w:pStyle w:val="ECHRParaQuote"/>
      </w:pPr>
      <w:r>
        <w:t xml:space="preserve">b) dotyczących </w:t>
      </w:r>
      <w:r w:rsidR="00365330">
        <w:t>handlu</w:t>
      </w:r>
      <w:r>
        <w:t xml:space="preserve"> środk</w:t>
      </w:r>
      <w:r w:rsidR="00365330">
        <w:t>ami</w:t>
      </w:r>
      <w:r>
        <w:t xml:space="preserve"> odurzający</w:t>
      </w:r>
      <w:r w:rsidR="00365330">
        <w:t>mi</w:t>
      </w:r>
      <w:r>
        <w:t xml:space="preserve"> ; </w:t>
      </w:r>
    </w:p>
    <w:p w:rsidR="00B07287" w:rsidRPr="006B0F5A" w:rsidRDefault="000C201E" w:rsidP="006B0F5A">
      <w:pPr>
        <w:pStyle w:val="ECHRParaQuote"/>
      </w:pPr>
      <w:r>
        <w:t xml:space="preserve">c) dotyczących </w:t>
      </w:r>
      <w:r w:rsidR="009F28A0">
        <w:t xml:space="preserve">nielegalnego </w:t>
      </w:r>
      <w:r>
        <w:t xml:space="preserve">posiadania broni lub </w:t>
      </w:r>
      <w:r w:rsidR="00365330">
        <w:t>handlu</w:t>
      </w:r>
      <w:r>
        <w:t xml:space="preserve"> broni</w:t>
      </w:r>
      <w:r w:rsidR="00365330">
        <w:t>ą</w:t>
      </w:r>
      <w:r>
        <w:t xml:space="preserve"> ;</w:t>
      </w:r>
    </w:p>
    <w:p w:rsidR="00B07287" w:rsidRPr="006B0F5A" w:rsidRDefault="000C201E" w:rsidP="006B0F5A">
      <w:pPr>
        <w:pStyle w:val="ECHRParaQuote"/>
      </w:pPr>
      <w:r>
        <w:t>d ) dotyczących przemytu ;</w:t>
      </w:r>
    </w:p>
    <w:p w:rsidR="00B07287" w:rsidRPr="006B0F5A" w:rsidRDefault="000C201E" w:rsidP="006B0F5A">
      <w:pPr>
        <w:pStyle w:val="ECHRParaQuote"/>
      </w:pPr>
      <w:r>
        <w:lastRenderedPageBreak/>
        <w:t>e) dotyczących zniewagi, gr</w:t>
      </w:r>
      <w:r w:rsidR="00365330">
        <w:t>oźby</w:t>
      </w:r>
      <w:r>
        <w:t>, wymuszenia, wtargnięci</w:t>
      </w:r>
      <w:r w:rsidR="00DD31F3">
        <w:t>a w życie prywatne</w:t>
      </w:r>
      <w:r>
        <w:t xml:space="preserve"> </w:t>
      </w:r>
      <w:r w:rsidR="00DD31F3">
        <w:t>lub</w:t>
      </w:r>
      <w:r>
        <w:t xml:space="preserve">  zakłócenie porządku i spokoju,</w:t>
      </w:r>
      <w:r w:rsidR="00235DF3">
        <w:t xml:space="preserve"> </w:t>
      </w:r>
      <w:r>
        <w:t>kiedy czyny te są popełniane za pośrednictwem drogi telefonicznej ;</w:t>
      </w:r>
    </w:p>
    <w:p w:rsidR="00B07287" w:rsidRPr="006B0F5A" w:rsidRDefault="000C201E" w:rsidP="006B0F5A">
      <w:pPr>
        <w:pStyle w:val="ECHRParaQuote"/>
      </w:pPr>
      <w:r>
        <w:t xml:space="preserve">f) dotyczących gróźb karalnych </w:t>
      </w:r>
      <w:r w:rsidR="00D050A7">
        <w:t>lub nadużycia i symulowania sygnałów</w:t>
      </w:r>
      <w:r>
        <w:t xml:space="preserve"> niebezpieczeństwa ; lub</w:t>
      </w:r>
    </w:p>
    <w:p w:rsidR="00BF6F2D" w:rsidRPr="006B0F5A" w:rsidRDefault="000C201E" w:rsidP="006B0F5A">
      <w:pPr>
        <w:pStyle w:val="ECHRParaQuote"/>
      </w:pPr>
      <w:r>
        <w:t xml:space="preserve">g) ucieczki, kiedy oskarżony został skazany za jedno z przestępstw wskazanych w punktach </w:t>
      </w:r>
      <w:r w:rsidR="00C338EF">
        <w:t>poprzedzających</w:t>
      </w:r>
      <w:r>
        <w:t xml:space="preserve">. </w:t>
      </w:r>
    </w:p>
    <w:p w:rsidR="00851E62" w:rsidRPr="006B0F5A" w:rsidRDefault="000C201E" w:rsidP="006B0F5A">
      <w:pPr>
        <w:pStyle w:val="ECHRParaQuote"/>
      </w:pPr>
      <w:r>
        <w:t>(...)</w:t>
      </w:r>
    </w:p>
    <w:p w:rsidR="00851E62" w:rsidRPr="006B0F5A" w:rsidRDefault="000C201E" w:rsidP="006B0F5A">
      <w:pPr>
        <w:pStyle w:val="ECHRParaQuote"/>
      </w:pPr>
      <w:r>
        <w:t xml:space="preserve">4.  Można wyrazić zgodę (...) na przechwycenie i zarejestrowanie (...) jedynie w stosunku do : </w:t>
      </w:r>
    </w:p>
    <w:p w:rsidR="00851E62" w:rsidRPr="006B0F5A" w:rsidRDefault="000C201E" w:rsidP="006B0F5A">
      <w:pPr>
        <w:pStyle w:val="ECHRParaQuote"/>
        <w:rPr>
          <w:i/>
        </w:rPr>
      </w:pPr>
      <w:r>
        <w:t xml:space="preserve">a) Podejrzanego albo osoby oskarżonej ; </w:t>
      </w:r>
    </w:p>
    <w:p w:rsidR="00A0332A" w:rsidRPr="006B0F5A" w:rsidRDefault="000C201E" w:rsidP="006B0F5A">
      <w:pPr>
        <w:pStyle w:val="ECHRParaQuote"/>
      </w:pPr>
      <w:r>
        <w:t>b) Osoby wykorzystywanej jako pośrednik, w stosunku do której istnieją uzasadnione przesłanki, które pozwalają przypuszczać, że otrzymuje ona lub przekazuje wiadomości przeznaczone lub pochodzące od osoby podejrzanej lub osoby oskarżonej lub ;</w:t>
      </w:r>
    </w:p>
    <w:p w:rsidR="00851E62" w:rsidRPr="006B0F5A" w:rsidRDefault="000C201E" w:rsidP="006B0F5A">
      <w:pPr>
        <w:pStyle w:val="ECHRParaQuote"/>
      </w:pPr>
      <w:r>
        <w:t xml:space="preserve">c) Ofiary przestępstwa za jej zgodą (...). </w:t>
      </w:r>
    </w:p>
    <w:p w:rsidR="00A0332A" w:rsidRPr="006B0F5A" w:rsidRDefault="000C201E" w:rsidP="006B0F5A">
      <w:pPr>
        <w:pStyle w:val="ECHRParaQuote"/>
      </w:pPr>
      <w:r>
        <w:t xml:space="preserve">5.  Przechwytywanie i rejestrowanie rozmów i komunikacji pomiędzy osobą oskarżoną i jej obrońcą jest zabronione, z wyjątkiem przypadków, w których sędzia ma uzasadnione powody by przypuszczać że mogą one stanowić przedmiot lub element przestępstwa. </w:t>
      </w:r>
    </w:p>
    <w:p w:rsidR="00BF6F2D" w:rsidRPr="006B0F5A" w:rsidRDefault="000C201E" w:rsidP="006B0F5A">
      <w:pPr>
        <w:pStyle w:val="ECHRParaQuote"/>
      </w:pPr>
      <w:r>
        <w:t>(...)</w:t>
      </w:r>
    </w:p>
    <w:p w:rsidR="004505F1" w:rsidRPr="006B0F5A" w:rsidRDefault="000C201E" w:rsidP="006B0F5A">
      <w:pPr>
        <w:pStyle w:val="ECHRParaQuote"/>
      </w:pPr>
      <w:r>
        <w:t>7.  Bez uszczerbku dla zapisów artykułu 248</w:t>
      </w:r>
      <w:r w:rsidR="00CA0E3E">
        <w:t>,</w:t>
      </w:r>
      <w:r>
        <w:t xml:space="preserve"> zarejestrowane rozmowy lub komunikacja mogą zostać wykorzystane w innym toczącym się lub mającym zostać wszczętym postępowaniu, jedynie wówczas jeżeli rejestracja wynika z przechwyconego środka komunikacji, użytego przez osobę wskazaną w </w:t>
      </w:r>
      <w:r w:rsidR="00E43272">
        <w:t>punkcie</w:t>
      </w:r>
      <w:r>
        <w:t xml:space="preserve"> 4 i o ile jest to konieczne do udowodnienia przestępstw wskazanych w </w:t>
      </w:r>
      <w:r w:rsidR="00E43272">
        <w:t>punkcie</w:t>
      </w:r>
      <w:r>
        <w:t xml:space="preserve"> 1. </w:t>
      </w:r>
    </w:p>
    <w:p w:rsidR="004505F1" w:rsidRPr="006B0F5A" w:rsidRDefault="000C201E" w:rsidP="006B0F5A">
      <w:pPr>
        <w:pStyle w:val="ECHRParaQuote"/>
      </w:pPr>
      <w:r>
        <w:t>8</w:t>
      </w:r>
      <w:r w:rsidR="00E43272">
        <w:t>.</w:t>
      </w:r>
      <w:r>
        <w:t xml:space="preserve"> W przypadkach przewidzianych w poprzednim </w:t>
      </w:r>
      <w:r w:rsidR="00E43272">
        <w:t>punkcie</w:t>
      </w:r>
      <w:r>
        <w:t xml:space="preserve">, nośniki techniczne rozmów lub komunikacji i </w:t>
      </w:r>
      <w:r w:rsidR="00E11E53">
        <w:t>postanowienia</w:t>
      </w:r>
      <w:r>
        <w:t xml:space="preserve">, które umożliwiły te przyjęcia zostają załączone, </w:t>
      </w:r>
      <w:r w:rsidR="00E11E53">
        <w:t xml:space="preserve">postanowieniem </w:t>
      </w:r>
      <w:r>
        <w:t>sąd</w:t>
      </w:r>
      <w:r w:rsidR="00E11E53">
        <w:t>u,</w:t>
      </w:r>
      <w:r>
        <w:t xml:space="preserve"> do postępowania</w:t>
      </w:r>
      <w:r w:rsidR="00E11E53">
        <w:t>,</w:t>
      </w:r>
      <w:r>
        <w:t xml:space="preserve"> </w:t>
      </w:r>
      <w:r w:rsidR="007C0032">
        <w:t>w</w:t>
      </w:r>
      <w:r>
        <w:t xml:space="preserve"> któr</w:t>
      </w:r>
      <w:r w:rsidR="007C0032">
        <w:t>ym</w:t>
      </w:r>
      <w:r>
        <w:t xml:space="preserve"> dane te mają być wykorzystane w charakterze materiału dowodowego, a w razie potrzeby można sporządzić jego kopię.  "</w:t>
      </w:r>
    </w:p>
    <w:p w:rsidR="00DB04D2" w:rsidRPr="006B0F5A" w:rsidRDefault="000C201E" w:rsidP="006B0F5A">
      <w:pPr>
        <w:pStyle w:val="ECHRTitleCentre3"/>
      </w:pPr>
      <w:r>
        <w:t>Artykuł 188</w:t>
      </w:r>
      <w:r>
        <w:br/>
        <w:t>Formalności dotyczące czynności [podsłuchy telefoniczne]</w:t>
      </w:r>
    </w:p>
    <w:p w:rsidR="00DB04D2" w:rsidRPr="006B0F5A" w:rsidRDefault="000C201E" w:rsidP="006B0F5A">
      <w:pPr>
        <w:pStyle w:val="ECHRParaQuote"/>
      </w:pPr>
      <w:r>
        <w:t>"(...)</w:t>
      </w:r>
    </w:p>
    <w:p w:rsidR="00DB04D2" w:rsidRPr="006B0F5A" w:rsidRDefault="000C201E" w:rsidP="006B0F5A">
      <w:pPr>
        <w:pStyle w:val="ECHRParaQuote"/>
      </w:pPr>
      <w:r>
        <w:t>6.  (..) sędzia nakazuje natychmiastowe zniszczenie nośników technicznych i raportów, które w sposób oczywisty nie mają związku z postępowaniem :</w:t>
      </w:r>
    </w:p>
    <w:p w:rsidR="00DB04D2" w:rsidRPr="006B0F5A" w:rsidRDefault="000C201E" w:rsidP="006B0F5A">
      <w:pPr>
        <w:pStyle w:val="ECHRParaQuote"/>
      </w:pPr>
      <w:r>
        <w:t xml:space="preserve">a)  Które dotyczą rozmów lub nie miały miejsca pomiędzy osobami wskazanymi w </w:t>
      </w:r>
      <w:r w:rsidR="00BB4663">
        <w:t>punkcie</w:t>
      </w:r>
      <w:r>
        <w:t xml:space="preserve"> 4 poprzedniego artykułu ;  </w:t>
      </w:r>
    </w:p>
    <w:p w:rsidR="00851E62" w:rsidRPr="006B0F5A" w:rsidRDefault="000C201E" w:rsidP="006B0F5A">
      <w:pPr>
        <w:pStyle w:val="ECHRParaQuote"/>
      </w:pPr>
      <w:r>
        <w:t xml:space="preserve">b) Które dotyczą zakresu objętego tajemnicą zawodową, tajemnicą służbową lub </w:t>
      </w:r>
      <w:r w:rsidR="00425A03">
        <w:t>p</w:t>
      </w:r>
      <w:r>
        <w:t>aństwową ; lub</w:t>
      </w:r>
    </w:p>
    <w:p w:rsidR="00851E62" w:rsidRPr="006B0F5A" w:rsidRDefault="000C201E" w:rsidP="006B0F5A">
      <w:pPr>
        <w:pStyle w:val="ECHRParaQuote"/>
      </w:pPr>
      <w:r>
        <w:t xml:space="preserve">c) Których </w:t>
      </w:r>
      <w:r w:rsidR="00425A03">
        <w:t>ujawnienie</w:t>
      </w:r>
      <w:r>
        <w:t xml:space="preserve"> może w poważny sposób naruszyć prawa, wolności i </w:t>
      </w:r>
      <w:r w:rsidR="0068360D">
        <w:t>bezpieczeństwo</w:t>
      </w:r>
      <w:r>
        <w:t xml:space="preserve"> ;</w:t>
      </w:r>
    </w:p>
    <w:p w:rsidR="00851E62" w:rsidRPr="006B0F5A" w:rsidRDefault="000C201E" w:rsidP="006B0F5A">
      <w:pPr>
        <w:pStyle w:val="ECHRParaQuote"/>
      </w:pPr>
      <w:r>
        <w:t>(...). "</w:t>
      </w:r>
    </w:p>
    <w:p w:rsidR="00132928" w:rsidRPr="006B0F5A" w:rsidRDefault="000C201E" w:rsidP="006B0F5A">
      <w:pPr>
        <w:pStyle w:val="ECHRTitleCentre3"/>
      </w:pPr>
      <w:r>
        <w:lastRenderedPageBreak/>
        <w:t>Artykuł 248</w:t>
      </w:r>
      <w:r>
        <w:br/>
      </w:r>
      <w:r w:rsidR="0038600E">
        <w:t>Przekazywanie</w:t>
      </w:r>
      <w:r>
        <w:t xml:space="preserve"> </w:t>
      </w:r>
      <w:proofErr w:type="spellStart"/>
      <w:r>
        <w:rPr>
          <w:i/>
        </w:rPr>
        <w:t>notitia</w:t>
      </w:r>
      <w:proofErr w:type="spellEnd"/>
      <w:r>
        <w:rPr>
          <w:i/>
        </w:rPr>
        <w:t xml:space="preserve"> </w:t>
      </w:r>
      <w:proofErr w:type="spellStart"/>
      <w:r>
        <w:rPr>
          <w:i/>
        </w:rPr>
        <w:t>criminis</w:t>
      </w:r>
      <w:proofErr w:type="spellEnd"/>
    </w:p>
    <w:p w:rsidR="00132928" w:rsidRPr="006B0F5A" w:rsidRDefault="000C201E" w:rsidP="006B0F5A">
      <w:pPr>
        <w:pStyle w:val="ECHRParaQuote"/>
      </w:pPr>
      <w:r>
        <w:t xml:space="preserve">" 1.  Organy policji kryminalnej, które powzięły wiadomość </w:t>
      </w:r>
      <w:r w:rsidR="000D34CF">
        <w:t xml:space="preserve">o </w:t>
      </w:r>
      <w:r>
        <w:t>przestępstw</w:t>
      </w:r>
      <w:r w:rsidR="000D34CF">
        <w:t>ie</w:t>
      </w:r>
      <w:r>
        <w:t>, we własnym zakresie lub na skutek doniesienia, przekazują tę informacj</w:t>
      </w:r>
      <w:r w:rsidR="000D34CF">
        <w:t>ę</w:t>
      </w:r>
      <w:r>
        <w:t xml:space="preserve"> prokuraturze w jak najkrótszym terminie, który nie może przekroczyć dziesięciu dni. </w:t>
      </w:r>
    </w:p>
    <w:p w:rsidR="0010236F" w:rsidRPr="006B0F5A" w:rsidRDefault="000C201E" w:rsidP="006B0F5A">
      <w:pPr>
        <w:pStyle w:val="ECHRParaQuote"/>
      </w:pPr>
      <w:r>
        <w:t>(...) "</w:t>
      </w:r>
    </w:p>
    <w:p w:rsidR="00A0332A" w:rsidRPr="006B0F5A" w:rsidRDefault="000C201E" w:rsidP="006B0F5A">
      <w:pPr>
        <w:pStyle w:val="ECHRTitleCentre3"/>
      </w:pPr>
      <w:r>
        <w:t>Artykuł 189</w:t>
      </w:r>
      <w:r>
        <w:br/>
        <w:t>Rozszerzenie</w:t>
      </w:r>
    </w:p>
    <w:p w:rsidR="00A0332A" w:rsidRPr="006B0F5A" w:rsidRDefault="000C201E" w:rsidP="006B0F5A">
      <w:pPr>
        <w:pStyle w:val="ECHRParaQuote"/>
      </w:pPr>
      <w:r>
        <w:t>" 1.  Dyspozycje przewidziane w artykułach 187 i 188 mają zastosowanie do rozmów lub komunikacji przekazanych za pomocą jakichkolwiek środków technicznych innych niż telefon, w szczególności za pomocą poczty elektronicznej (...).</w:t>
      </w:r>
    </w:p>
    <w:p w:rsidR="00A0332A" w:rsidRPr="006B0F5A" w:rsidRDefault="000C201E" w:rsidP="006B0F5A">
      <w:pPr>
        <w:pStyle w:val="ECHRParaQuote"/>
      </w:pPr>
      <w:r>
        <w:t>(...) "</w:t>
      </w:r>
    </w:p>
    <w:p w:rsidR="00534B1B" w:rsidRPr="006B0F5A" w:rsidRDefault="00403D74" w:rsidP="006B0F5A">
      <w:pPr>
        <w:pStyle w:val="ECHRPara"/>
      </w:pPr>
      <w:fldSimple w:instr=" SEQ level0 \*arabic ">
        <w:r w:rsidR="00F32FF7">
          <w:rPr>
            <w:noProof/>
          </w:rPr>
          <w:t>55</w:t>
        </w:r>
      </w:fldSimple>
      <w:r w:rsidR="000C201E">
        <w:t>.  W wyroku z dnia 23 października 2002 roku (postępowanie nr 125/00), Sąd Najwyższy uznał, że należy odróżnić informacje dotyczące śledztwa (</w:t>
      </w:r>
      <w:proofErr w:type="spellStart"/>
      <w:r w:rsidR="000C201E">
        <w:rPr>
          <w:i/>
        </w:rPr>
        <w:t>conhecimentos</w:t>
      </w:r>
      <w:proofErr w:type="spellEnd"/>
      <w:r w:rsidR="000C201E">
        <w:rPr>
          <w:i/>
        </w:rPr>
        <w:t xml:space="preserve"> de </w:t>
      </w:r>
      <w:proofErr w:type="spellStart"/>
      <w:r w:rsidR="000C201E">
        <w:rPr>
          <w:i/>
        </w:rPr>
        <w:t>investigação</w:t>
      </w:r>
      <w:proofErr w:type="spellEnd"/>
      <w:r w:rsidR="000C201E">
        <w:rPr>
          <w:i/>
        </w:rPr>
        <w:t xml:space="preserve">) </w:t>
      </w:r>
      <w:r w:rsidR="000C201E">
        <w:t xml:space="preserve">od "informacji </w:t>
      </w:r>
      <w:r w:rsidR="0030189A">
        <w:t>przypadkowych</w:t>
      </w:r>
      <w:r w:rsidR="000C201E">
        <w:t>" (</w:t>
      </w:r>
      <w:proofErr w:type="spellStart"/>
      <w:r w:rsidR="000C201E">
        <w:rPr>
          <w:i/>
        </w:rPr>
        <w:t>conhecimentos</w:t>
      </w:r>
      <w:proofErr w:type="spellEnd"/>
      <w:r w:rsidR="000C201E">
        <w:rPr>
          <w:i/>
        </w:rPr>
        <w:t xml:space="preserve"> </w:t>
      </w:r>
      <w:proofErr w:type="spellStart"/>
      <w:r w:rsidR="000C201E">
        <w:rPr>
          <w:i/>
        </w:rPr>
        <w:t>fortuitos</w:t>
      </w:r>
      <w:proofErr w:type="spellEnd"/>
      <w:r w:rsidR="000C201E">
        <w:rPr>
          <w:i/>
        </w:rPr>
        <w:t>)</w:t>
      </w:r>
      <w:r w:rsidR="000C201E">
        <w:t>. W pierwszym przypadku, informacje zostały otrzymane w ramach właściwego, toczącego się śledztwa</w:t>
      </w:r>
      <w:r w:rsidR="00624B1C">
        <w:t>,</w:t>
      </w:r>
      <w:r w:rsidR="000C201E">
        <w:t xml:space="preserve"> istnieje więc pewna mniej lub bardziej znaczna bliskość pomiędzy poszukiwanymi sytuacjami (chodzi na przykład o </w:t>
      </w:r>
      <w:r w:rsidR="00725781">
        <w:t>zbieg realny</w:t>
      </w:r>
      <w:r w:rsidR="000C201E">
        <w:t xml:space="preserve"> w przestępstw, o przypadki współudziału).  W takich sytuacjach nic nie stoi na przeszkodzie i jest to nawet uzasadnione, aby dane otrzymane w zgodny z prawem sposób w skutek podsłuchów telefonicznych dotyczące pewnych faktów były wykorzystane w celu udowodnienia innych faktów </w:t>
      </w:r>
      <w:r w:rsidR="0030189A">
        <w:t>mających</w:t>
      </w:r>
      <w:r w:rsidR="000C201E">
        <w:t xml:space="preserve"> z nimi pewne po</w:t>
      </w:r>
      <w:r w:rsidR="0030189A">
        <w:t>krewieństwo</w:t>
      </w:r>
      <w:r w:rsidR="000C201E">
        <w:t xml:space="preserve">. W drugim przypadku, informacje zostają pozyskane w sposób poboczny i pozostają bez związku z prowadzonym śledztwem.  Informacje otrzymane w sposób </w:t>
      </w:r>
      <w:r w:rsidR="001704A0">
        <w:t>przypadkowy</w:t>
      </w:r>
      <w:r w:rsidR="000C201E">
        <w:t xml:space="preserve"> w ramach podsłuchów telefonicznych mogą zostać dopuszczone w ramach innego postępowania, jeżeli te podsłuchy zostały zrealizowane zgodnie z prawem, jeżeli przestępstwo będące przedmiotem innego postępowania należy do przestępstw wymienionych w artykule 187 § 1 KPK, jeżeli informacje te </w:t>
      </w:r>
      <w:r w:rsidR="00F1029F">
        <w:t>są istotne</w:t>
      </w:r>
      <w:r w:rsidR="000C201E">
        <w:t xml:space="preserve"> dla dojścia do prawdy lub </w:t>
      </w:r>
      <w:r w:rsidR="0069436B">
        <w:t xml:space="preserve">stanowią </w:t>
      </w:r>
      <w:r w:rsidR="000C201E">
        <w:t xml:space="preserve">dowód w postępowaniu do którego mają zostać przeniesione, jeżeli oskarżony ma możliwość kontrolowania lub </w:t>
      </w:r>
      <w:r w:rsidR="00C93DB6">
        <w:t>zakwestionowania</w:t>
      </w:r>
      <w:r w:rsidR="000C201E">
        <w:t xml:space="preserve"> wyników otrzymanych tą drogą. </w:t>
      </w:r>
    </w:p>
    <w:p w:rsidR="0010236F" w:rsidRPr="006B0F5A" w:rsidRDefault="000C201E" w:rsidP="006B0F5A">
      <w:pPr>
        <w:pStyle w:val="ECHRPara"/>
      </w:pPr>
      <w:r>
        <w:t xml:space="preserve">W wyroku z dnia 29 kwietnia 2010 roku (postępowanie nr 128/05.0JDLSB-A.S1) Sąd Najwyższy podniósł, że </w:t>
      </w:r>
      <w:r w:rsidR="006B5439">
        <w:t>poprzez "informacje przypadkowe</w:t>
      </w:r>
      <w:r>
        <w:t xml:space="preserve">" należy rozumieć informacje zebrane w sposób zgodny z prawem </w:t>
      </w:r>
      <w:r w:rsidR="00523790">
        <w:t xml:space="preserve">szczególnie </w:t>
      </w:r>
      <w:r>
        <w:t xml:space="preserve">w trakcie rejestrowania rozmów telefonicznych, nie dotyczących przestępstwa będącego powodem zastosowania tego sposobu pozyskania dowodów. </w:t>
      </w:r>
    </w:p>
    <w:p w:rsidR="00017896" w:rsidRPr="006B0F5A" w:rsidRDefault="000C201E" w:rsidP="00523790">
      <w:pPr>
        <w:pStyle w:val="ECHRHeading2"/>
        <w:numPr>
          <w:ilvl w:val="0"/>
          <w:numId w:val="0"/>
        </w:numPr>
      </w:pPr>
      <w:r>
        <w:lastRenderedPageBreak/>
        <w:t>C. Przechowywanie akt dotyczących postępowania karnego</w:t>
      </w:r>
    </w:p>
    <w:p w:rsidR="00D21E83" w:rsidRPr="006B0F5A" w:rsidRDefault="00403D74" w:rsidP="006B0F5A">
      <w:pPr>
        <w:pStyle w:val="ECHRPara"/>
      </w:pPr>
      <w:fldSimple w:instr=" SEQ level0 \*arabic ">
        <w:r w:rsidR="00F32FF7">
          <w:rPr>
            <w:noProof/>
          </w:rPr>
          <w:t>56</w:t>
        </w:r>
      </w:fldSimple>
      <w:r w:rsidR="000C201E">
        <w:t xml:space="preserve">.  W momencie zajścia okoliczności w przedmiotowej sprawie, jeżeli chodzi o przechowywanie nośników technicznych rozmów lub komunikacji telefonicznych w ramach śledztwa karnego, </w:t>
      </w:r>
      <w:r w:rsidR="0081107C">
        <w:t>punkt</w:t>
      </w:r>
      <w:r w:rsidR="000C201E">
        <w:t xml:space="preserve"> 3 dyrektywy Prokuratora Generalnego Republiki z dnia 9 stycznia 2008 roku stanowi</w:t>
      </w:r>
      <w:r w:rsidR="0081107C">
        <w:t>ł</w:t>
      </w:r>
      <w:r w:rsidR="000C201E">
        <w:t xml:space="preserve"> co następuje : </w:t>
      </w:r>
    </w:p>
    <w:p w:rsidR="0010236F" w:rsidRPr="006B0F5A" w:rsidRDefault="000C201E" w:rsidP="006B0F5A">
      <w:pPr>
        <w:pStyle w:val="ECHRParaQuote"/>
      </w:pPr>
      <w:r>
        <w:t>"(...)</w:t>
      </w:r>
    </w:p>
    <w:p w:rsidR="00D21E83" w:rsidRPr="006B0F5A" w:rsidRDefault="000C201E" w:rsidP="006B0F5A">
      <w:pPr>
        <w:pStyle w:val="ECHRParaQuote"/>
      </w:pPr>
      <w:r>
        <w:t xml:space="preserve">Nośniki techniczne rozmów lub komunikacji telefonicznych zarejestrowanych w ramach śledztwa, w którym wydano </w:t>
      </w:r>
      <w:r w:rsidR="007F1E10">
        <w:t>ostateczne postanowienie o umorzeniu postępowania,</w:t>
      </w:r>
      <w:r>
        <w:t xml:space="preserve"> są przechowywane przez czas odpowiadający czasowi przedawnienia śledztwa, ponieważ z prawnego punktu widzenia możliwe jest wznowienie śledztwa (...) "</w:t>
      </w:r>
    </w:p>
    <w:p w:rsidR="0010236F" w:rsidRPr="006B0F5A" w:rsidRDefault="000C201E" w:rsidP="006B0F5A">
      <w:pPr>
        <w:pStyle w:val="ECHRPara"/>
      </w:pPr>
      <w:r>
        <w:t>Przyjęte w dniu 24 grudnia 2013 roku</w:t>
      </w:r>
      <w:r w:rsidR="00406534">
        <w:t>,</w:t>
      </w:r>
      <w:r>
        <w:t xml:space="preserve"> na mocy rozporządzenia wydanego przez </w:t>
      </w:r>
      <w:r w:rsidR="00406534">
        <w:t>M</w:t>
      </w:r>
      <w:r>
        <w:t>inistra (</w:t>
      </w:r>
      <w:proofErr w:type="spellStart"/>
      <w:r>
        <w:rPr>
          <w:i/>
        </w:rPr>
        <w:t>Portaria</w:t>
      </w:r>
      <w:proofErr w:type="spellEnd"/>
      <w:r>
        <w:t>) nr</w:t>
      </w:r>
      <w:r>
        <w:rPr>
          <w:vertAlign w:val="superscript"/>
        </w:rPr>
        <w:t> </w:t>
      </w:r>
      <w:r w:rsidR="00406534">
        <w:rPr>
          <w:vertAlign w:val="superscript"/>
        </w:rPr>
        <w:t xml:space="preserve"> </w:t>
      </w:r>
      <w:r>
        <w:t>368/2013</w:t>
      </w:r>
      <w:r w:rsidR="00406534">
        <w:t>,</w:t>
      </w:r>
      <w:r>
        <w:t xml:space="preserve"> przepisy dotyczące przechowywania w archiwach sądów</w:t>
      </w:r>
      <w:r w:rsidR="00406534">
        <w:t>,</w:t>
      </w:r>
      <w:r>
        <w:t xml:space="preserve"> przewidują przechowywanie i włączanie do archiwów wszelkich materiałów z postępowania karnego dotyczącego </w:t>
      </w:r>
      <w:r w:rsidR="00E92B9A">
        <w:t>umorzonego</w:t>
      </w:r>
      <w:r>
        <w:t xml:space="preserve"> śledztwa do</w:t>
      </w:r>
      <w:r w:rsidR="006E39C2">
        <w:t xml:space="preserve"> czasu</w:t>
      </w:r>
      <w:r>
        <w:t xml:space="preserve"> upływu terminu przedawnienia cz</w:t>
      </w:r>
      <w:r w:rsidR="006E39C2">
        <w:t xml:space="preserve">ynu stanowiącego </w:t>
      </w:r>
      <w:r>
        <w:t xml:space="preserve">przedmiot śledztwa. </w:t>
      </w:r>
    </w:p>
    <w:p w:rsidR="00CE40E8" w:rsidRPr="006B0F5A" w:rsidRDefault="000C201E" w:rsidP="006B0F5A">
      <w:pPr>
        <w:pStyle w:val="ECHRPara"/>
      </w:pPr>
      <w:r>
        <w:t>Zgodnie z artykułem 118 § 1 a) i c) Kodeksu Karnego (w brzmieniu nadanym mu przez ustawę nr 32/2010 z dnia 2 września 2010 roku), terminy przedawnienia są następujące :</w:t>
      </w:r>
    </w:p>
    <w:p w:rsidR="0024703A" w:rsidRPr="006B0F5A" w:rsidRDefault="000C201E" w:rsidP="006B0F5A">
      <w:pPr>
        <w:pStyle w:val="JuParaSub"/>
      </w:pPr>
      <w:r>
        <w:t xml:space="preserve">-  15 lat jeżeli chodzi o przestępstwa korupcji, </w:t>
      </w:r>
      <w:r w:rsidR="0005575A" w:rsidRPr="0005575A">
        <w:t xml:space="preserve">osiągania nielegalnych zysków </w:t>
      </w:r>
      <w:r>
        <w:t>i prania pieniędzy ;</w:t>
      </w:r>
      <w:r w:rsidR="0005575A">
        <w:t xml:space="preserve"> </w:t>
      </w:r>
    </w:p>
    <w:p w:rsidR="00017896" w:rsidRPr="006B0F5A" w:rsidRDefault="000C201E" w:rsidP="006B0F5A">
      <w:pPr>
        <w:pStyle w:val="JuParaSub"/>
      </w:pPr>
      <w:r>
        <w:t xml:space="preserve">- 10 lat w przypadku przestępstwa sprzeniewierzenia. </w:t>
      </w:r>
    </w:p>
    <w:p w:rsidR="005D0290" w:rsidRPr="006B0F5A" w:rsidRDefault="000C201E" w:rsidP="0005575A">
      <w:pPr>
        <w:pStyle w:val="ECHRHeading2"/>
        <w:numPr>
          <w:ilvl w:val="0"/>
          <w:numId w:val="0"/>
        </w:numPr>
      </w:pPr>
      <w:r>
        <w:t>D. Zajęcie danych informatycznych</w:t>
      </w:r>
    </w:p>
    <w:p w:rsidR="005D0290" w:rsidRPr="006B0F5A" w:rsidRDefault="00403D74" w:rsidP="006B0F5A">
      <w:pPr>
        <w:pStyle w:val="ECHRPara"/>
      </w:pPr>
      <w:fldSimple w:instr=" SEQ level0 \*arabic ">
        <w:r w:rsidR="00F32FF7">
          <w:rPr>
            <w:noProof/>
          </w:rPr>
          <w:t>57</w:t>
        </w:r>
      </w:fldSimple>
      <w:r w:rsidR="000C201E">
        <w:t>.  Ustawa o cyberprzestępczości, która weszła w życie w dniu 15 października 2009 roku (zatwierdzona ustawą nr 109/2009 z dnia 15 września 2009 roku) transponuje do portugalskiego porządku prawnego dyrektywę Rady Unii Europejskiej nr 2005/222/JAI z dnia 24 lutego 2005, dotycząc</w:t>
      </w:r>
      <w:r w:rsidR="0034046A">
        <w:t>ą</w:t>
      </w:r>
      <w:r w:rsidR="000C201E">
        <w:t xml:space="preserve"> atak</w:t>
      </w:r>
      <w:r w:rsidR="0034046A">
        <w:t>ów</w:t>
      </w:r>
      <w:r w:rsidR="000C201E">
        <w:t xml:space="preserve"> wymierzon</w:t>
      </w:r>
      <w:r w:rsidR="0034046A">
        <w:t>ych</w:t>
      </w:r>
      <w:r w:rsidR="000C201E">
        <w:t xml:space="preserve"> w systemy informatyczne. Odpowiednie dyspozycje tej ustawy brzmią następująco : </w:t>
      </w:r>
    </w:p>
    <w:p w:rsidR="005C76B7" w:rsidRPr="006B0F5A" w:rsidRDefault="000C201E" w:rsidP="006B0F5A">
      <w:pPr>
        <w:pStyle w:val="ECHRTitleCentre3"/>
      </w:pPr>
      <w:r>
        <w:t>Artykuł 15</w:t>
      </w:r>
      <w:r>
        <w:br/>
        <w:t>Poszukiwanie danych informatycznych</w:t>
      </w:r>
    </w:p>
    <w:p w:rsidR="005C76B7" w:rsidRPr="006B0F5A" w:rsidRDefault="000C201E" w:rsidP="006B0F5A">
      <w:pPr>
        <w:pStyle w:val="ECHRParaQuote"/>
        <w:rPr>
          <w:i/>
        </w:rPr>
      </w:pPr>
      <w:r>
        <w:t>" 1.  Jeżeli w czasie trwania postępowania, konieczne staje się w celu pozyskania dowodu, mającego umożliwić dojście do prawdy, pozyskanie specyficznych i określonych danych informatycznych, przechowywanych w systemie informatycznym, kompetentny organ władzy sądow</w:t>
      </w:r>
      <w:r w:rsidR="00EE3359">
        <w:t>niczej</w:t>
      </w:r>
      <w:r>
        <w:t xml:space="preserve"> zezwala lub nakazuje w formie </w:t>
      </w:r>
      <w:r w:rsidR="00EE3359">
        <w:t>postanowienia</w:t>
      </w:r>
      <w:r>
        <w:t xml:space="preserve"> aby przeprowadzone został</w:t>
      </w:r>
      <w:r w:rsidR="00EE3359">
        <w:t>y</w:t>
      </w:r>
      <w:r>
        <w:t xml:space="preserve"> p</w:t>
      </w:r>
      <w:r w:rsidR="00EE3359">
        <w:t>oszukiwania</w:t>
      </w:r>
      <w:r>
        <w:t xml:space="preserve"> w tym systemie informatycznym, i</w:t>
      </w:r>
      <w:r w:rsidR="00390ED4">
        <w:t>,</w:t>
      </w:r>
      <w:r>
        <w:t xml:space="preserve"> w miarę możliwości</w:t>
      </w:r>
      <w:r w:rsidR="00EE3359">
        <w:t>,</w:t>
      </w:r>
      <w:r>
        <w:t xml:space="preserve"> przewodniczy (</w:t>
      </w:r>
      <w:proofErr w:type="spellStart"/>
      <w:r>
        <w:rPr>
          <w:i/>
        </w:rPr>
        <w:t>presidir</w:t>
      </w:r>
      <w:proofErr w:type="spellEnd"/>
      <w:r>
        <w:t>) tej operacji (</w:t>
      </w:r>
      <w:proofErr w:type="spellStart"/>
      <w:r>
        <w:rPr>
          <w:i/>
        </w:rPr>
        <w:t>diligência</w:t>
      </w:r>
      <w:proofErr w:type="spellEnd"/>
      <w:r>
        <w:rPr>
          <w:i/>
        </w:rPr>
        <w:t>).</w:t>
      </w:r>
    </w:p>
    <w:p w:rsidR="005C76B7" w:rsidRPr="006B0F5A" w:rsidRDefault="000C201E" w:rsidP="006B0F5A">
      <w:pPr>
        <w:pStyle w:val="ECHRParaQuote"/>
      </w:pPr>
      <w:r>
        <w:t>2.  </w:t>
      </w:r>
      <w:r w:rsidR="00390ED4">
        <w:t>Postanowienie</w:t>
      </w:r>
      <w:r>
        <w:t xml:space="preserve"> przewidzian</w:t>
      </w:r>
      <w:r w:rsidR="00390ED4">
        <w:t>e</w:t>
      </w:r>
      <w:r>
        <w:t xml:space="preserve"> w poprzednim </w:t>
      </w:r>
      <w:r w:rsidR="00390ED4">
        <w:t>punkcie</w:t>
      </w:r>
      <w:r w:rsidR="002E59F4">
        <w:t>,</w:t>
      </w:r>
      <w:r>
        <w:t xml:space="preserve"> </w:t>
      </w:r>
      <w:r w:rsidR="002E59F4">
        <w:t>pod rygorem nieważności, może być wydane na okres do</w:t>
      </w:r>
      <w:r>
        <w:t xml:space="preserve"> 30 dni. </w:t>
      </w:r>
    </w:p>
    <w:p w:rsidR="00DB110E" w:rsidRPr="006B0F5A" w:rsidRDefault="000C201E" w:rsidP="006B0F5A">
      <w:pPr>
        <w:pStyle w:val="ECHRParaQuote"/>
      </w:pPr>
      <w:r>
        <w:lastRenderedPageBreak/>
        <w:t>(...) "</w:t>
      </w:r>
    </w:p>
    <w:p w:rsidR="00FF6F67" w:rsidRPr="006B0F5A" w:rsidRDefault="000C201E" w:rsidP="006B0F5A">
      <w:pPr>
        <w:pStyle w:val="ECHRTitleCentre3"/>
      </w:pPr>
      <w:r>
        <w:t>Artykuł 16</w:t>
      </w:r>
      <w:r>
        <w:br/>
        <w:t>Zajęcie danych informatycznych</w:t>
      </w:r>
    </w:p>
    <w:p w:rsidR="0010236F" w:rsidRPr="006B0F5A" w:rsidRDefault="000C201E" w:rsidP="006B0F5A">
      <w:pPr>
        <w:pStyle w:val="ECHRParaQuote"/>
      </w:pPr>
      <w:r>
        <w:t>" 1.  Jeżeli w trakcie przeszukania informatycznego lub każdego innego legalnego dostępu do systemu informatycznego, odkryte zostaną dane lub dokumenty informatyczne niezbędne aby stanowić dowód mający na celu dojście do prawdy, kompetentny organ sądow</w:t>
      </w:r>
      <w:r w:rsidR="00DE5203">
        <w:t>niczy</w:t>
      </w:r>
      <w:r>
        <w:t xml:space="preserve"> zezwala lub nakazuje ich zajęcie </w:t>
      </w:r>
      <w:r w:rsidR="00DE5203">
        <w:t>w drodze postanowienia</w:t>
      </w:r>
      <w:r>
        <w:t xml:space="preserve">. </w:t>
      </w:r>
    </w:p>
    <w:p w:rsidR="00FF6F67" w:rsidRPr="006B0F5A" w:rsidRDefault="000C201E" w:rsidP="006B0F5A">
      <w:pPr>
        <w:pStyle w:val="ECHRParaQuote"/>
      </w:pPr>
      <w:r>
        <w:t>2.  Organ policji kryminalnej może przeprowadzić zajęcie, bez wcześniejszej zgody organu sądow</w:t>
      </w:r>
      <w:r w:rsidR="00DE5203">
        <w:t>niczego</w:t>
      </w:r>
      <w:r>
        <w:t xml:space="preserve">, w trakcie przeszukania informatycznego </w:t>
      </w:r>
      <w:r w:rsidR="00B66B4F">
        <w:t>nakazanego</w:t>
      </w:r>
      <w:r>
        <w:t xml:space="preserve"> w sposób zgodny z prawem w myśl poprzedniego artykułu lub kiedy istnieje pilna potrzeba lub ryzyko utraty w razie opóźnienia w ich zajęciu. </w:t>
      </w:r>
    </w:p>
    <w:p w:rsidR="00FC431A" w:rsidRPr="006B0F5A" w:rsidRDefault="000C201E" w:rsidP="006B0F5A">
      <w:pPr>
        <w:pStyle w:val="ECHRParaQuote"/>
      </w:pPr>
      <w:r>
        <w:t xml:space="preserve">3.  Jeżeli zajęte dane lub dokumentacja informatyczna zawierają elementy osobiste lub intymne, mogące narazić życie prywatne </w:t>
      </w:r>
      <w:r w:rsidR="007C34CB">
        <w:t xml:space="preserve">danej </w:t>
      </w:r>
      <w:r>
        <w:t xml:space="preserve">osoby lub osoby trzeciej, dane te są pod rygorem nieważności, przedstawiane sędziemu, który zadecyduje o ich włączeniu do akt śledztwa biorąc pod uwagę wszystkie interesy w konkretnym przypadku.  </w:t>
      </w:r>
    </w:p>
    <w:p w:rsidR="00FC431A" w:rsidRPr="006B0F5A" w:rsidRDefault="000C201E" w:rsidP="006B0F5A">
      <w:pPr>
        <w:pStyle w:val="ECHRParaQuote"/>
      </w:pPr>
      <w:r>
        <w:t>4.  Zajęcia dokonane przez organ policji kryminalnej zawsze polegają zatwierdzeniu przez organ sądow</w:t>
      </w:r>
      <w:r w:rsidR="00D1448B">
        <w:t>niczy</w:t>
      </w:r>
      <w:r>
        <w:t xml:space="preserve">, w nieprzekraczanym terminie 72 godzin. </w:t>
      </w:r>
    </w:p>
    <w:p w:rsidR="00FC431A" w:rsidRPr="006B0F5A" w:rsidRDefault="000C201E" w:rsidP="006B0F5A">
      <w:pPr>
        <w:pStyle w:val="ECHRParaQuote"/>
      </w:pPr>
      <w:r>
        <w:t>5.  Zajęcia dotyczące systemów informatycznych uży</w:t>
      </w:r>
      <w:r w:rsidR="00BF2796">
        <w:t>wanych</w:t>
      </w:r>
      <w:r>
        <w:t xml:space="preserve"> w ramach wykonywania zawodu adwokata i działalnoś</w:t>
      </w:r>
      <w:r w:rsidR="00BF2796">
        <w:t>ci</w:t>
      </w:r>
      <w:r>
        <w:t xml:space="preserve"> medyczn</w:t>
      </w:r>
      <w:r w:rsidR="00BF2796">
        <w:t>ej</w:t>
      </w:r>
      <w:r>
        <w:t xml:space="preserve"> lub bankow</w:t>
      </w:r>
      <w:r w:rsidR="00BF2796">
        <w:t>ej</w:t>
      </w:r>
      <w:r>
        <w:t xml:space="preserve"> podlegają, z niezbędnymi </w:t>
      </w:r>
      <w:r w:rsidR="00A41960">
        <w:t>dostosowaniami</w:t>
      </w:r>
      <w:r>
        <w:t xml:space="preserve">, zasadom i </w:t>
      </w:r>
      <w:r w:rsidR="00A15414">
        <w:t>formalnościom</w:t>
      </w:r>
      <w:r>
        <w:t xml:space="preserve"> przewidzianym w Kodeksie Postępowania Karnego (...).</w:t>
      </w:r>
    </w:p>
    <w:p w:rsidR="00FC431A" w:rsidRPr="006B0F5A" w:rsidRDefault="000C201E" w:rsidP="006B0F5A">
      <w:pPr>
        <w:pStyle w:val="ECHRParaQuote"/>
      </w:pPr>
      <w:r>
        <w:t>(...)</w:t>
      </w:r>
    </w:p>
    <w:p w:rsidR="002A32EE" w:rsidRPr="006B0F5A" w:rsidRDefault="000C201E" w:rsidP="006B0F5A">
      <w:pPr>
        <w:pStyle w:val="ECHRParaQuote"/>
      </w:pPr>
      <w:r>
        <w:t xml:space="preserve">7.  Zajęcie danych informatycznych (...) może w szczególności przybierać następujące formy : </w:t>
      </w:r>
    </w:p>
    <w:p w:rsidR="002A32EE" w:rsidRPr="006B0F5A" w:rsidRDefault="000C201E" w:rsidP="006B0F5A">
      <w:pPr>
        <w:pStyle w:val="ECHRParaQuote"/>
      </w:pPr>
      <w:r>
        <w:t>a) Zajęci</w:t>
      </w:r>
      <w:r w:rsidR="00DB4C8D">
        <w:t>a</w:t>
      </w:r>
      <w:r>
        <w:t xml:space="preserve"> nośnika, na którym zainstalowany jest system lub zajęci</w:t>
      </w:r>
      <w:r w:rsidR="00DB4C8D">
        <w:t>a</w:t>
      </w:r>
      <w:r>
        <w:t xml:space="preserve"> nośnika</w:t>
      </w:r>
      <w:r w:rsidR="00DB4C8D">
        <w:t>,</w:t>
      </w:r>
      <w:r>
        <w:t xml:space="preserve"> na którym są przechowywane dan</w:t>
      </w:r>
      <w:r w:rsidR="005B6B40">
        <w:t>e informatyczne, oraz urządzeń</w:t>
      </w:r>
      <w:r>
        <w:t xml:space="preserve"> niezbędn</w:t>
      </w:r>
      <w:r w:rsidR="005B6B40">
        <w:t>ych</w:t>
      </w:r>
      <w:r>
        <w:t xml:space="preserve"> do ich właściwego odczytu ; </w:t>
      </w:r>
    </w:p>
    <w:p w:rsidR="002A32EE" w:rsidRPr="006B0F5A" w:rsidRDefault="000C201E" w:rsidP="006B0F5A">
      <w:pPr>
        <w:pStyle w:val="ECHRParaQuote"/>
      </w:pPr>
      <w:r>
        <w:t>b) Wykonani</w:t>
      </w:r>
      <w:r w:rsidR="005B6B40">
        <w:t>a</w:t>
      </w:r>
      <w:r>
        <w:t xml:space="preserve"> kopii danych, na niezależnym nośniku, który zostanie dołączony do akt sprawy ; </w:t>
      </w:r>
    </w:p>
    <w:p w:rsidR="002A32EE" w:rsidRPr="006B0F5A" w:rsidRDefault="000C201E" w:rsidP="006B0F5A">
      <w:pPr>
        <w:pStyle w:val="ECHRParaQuote"/>
      </w:pPr>
      <w:r>
        <w:t>c) Zabezpieczeni</w:t>
      </w:r>
      <w:r w:rsidR="00211916">
        <w:t>a</w:t>
      </w:r>
      <w:r>
        <w:t xml:space="preserve"> za pomocą środków technicznych całości danych, bez wykonywania kopii lub </w:t>
      </w:r>
      <w:r w:rsidR="00C42528">
        <w:t>ich skasowania</w:t>
      </w:r>
      <w:r>
        <w:t xml:space="preserve"> ; lub </w:t>
      </w:r>
    </w:p>
    <w:p w:rsidR="005D0290" w:rsidRPr="006B0F5A" w:rsidRDefault="000C201E" w:rsidP="006B0F5A">
      <w:pPr>
        <w:pStyle w:val="ECHRParaQuote"/>
      </w:pPr>
      <w:r>
        <w:t>d) Bezpowrotne</w:t>
      </w:r>
      <w:r w:rsidR="00C42528">
        <w:t>go</w:t>
      </w:r>
      <w:r>
        <w:t xml:space="preserve"> usunięci</w:t>
      </w:r>
      <w:r w:rsidR="00C42528">
        <w:t>a</w:t>
      </w:r>
      <w:r>
        <w:t xml:space="preserve"> lub zablokowani</w:t>
      </w:r>
      <w:r w:rsidR="00C42528">
        <w:t>a</w:t>
      </w:r>
      <w:r>
        <w:t xml:space="preserve"> dostępu do danych. </w:t>
      </w:r>
    </w:p>
    <w:p w:rsidR="00FE1DDA" w:rsidRPr="006B0F5A" w:rsidRDefault="000C201E" w:rsidP="006B0F5A">
      <w:pPr>
        <w:pStyle w:val="ECHRParaQuote"/>
      </w:pPr>
      <w:r>
        <w:t>(...) "</w:t>
      </w:r>
    </w:p>
    <w:p w:rsidR="00F038C1" w:rsidRPr="008B3621" w:rsidRDefault="000A44CD" w:rsidP="008B52D8">
      <w:pPr>
        <w:pStyle w:val="ECHRHeading2"/>
        <w:numPr>
          <w:ilvl w:val="0"/>
          <w:numId w:val="0"/>
        </w:numPr>
      </w:pPr>
      <w:r>
        <w:t>E.  </w:t>
      </w:r>
      <w:r w:rsidR="000C201E">
        <w:t>Centraln</w:t>
      </w:r>
      <w:r>
        <w:t>y Sąd</w:t>
      </w:r>
      <w:r w:rsidR="000C201E">
        <w:t xml:space="preserve"> </w:t>
      </w:r>
      <w:r w:rsidR="008B0D05">
        <w:t>ds. Śledztwa</w:t>
      </w:r>
    </w:p>
    <w:p w:rsidR="00A22F1E" w:rsidRPr="006B0F5A" w:rsidRDefault="00403D74" w:rsidP="006B0F5A">
      <w:pPr>
        <w:pStyle w:val="ECHRPara"/>
      </w:pPr>
      <w:fldSimple w:instr=" SEQ level0 \*arabic ">
        <w:r w:rsidR="00F32FF7">
          <w:rPr>
            <w:noProof/>
          </w:rPr>
          <w:t>58</w:t>
        </w:r>
      </w:fldSimple>
      <w:r w:rsidR="000C201E">
        <w:t>.  Ustawa dotycząca organizacji sądów (ustawa nr 3/99, z dnia 13 stycznia 1999 roku) przewiduje w artykule 80 § 1 że, jeżeli działalność przestępcza  ma miejsce w okręgach (</w:t>
      </w:r>
      <w:proofErr w:type="spellStart"/>
      <w:r w:rsidR="000C201E">
        <w:rPr>
          <w:i/>
        </w:rPr>
        <w:t>comarcas</w:t>
      </w:r>
      <w:proofErr w:type="spellEnd"/>
      <w:r w:rsidR="000C201E">
        <w:t xml:space="preserve">) należących do różnych </w:t>
      </w:r>
      <w:r w:rsidR="008B52D8">
        <w:t>ok</w:t>
      </w:r>
      <w:r w:rsidR="008B0D05">
        <w:t>ręgów są</w:t>
      </w:r>
      <w:r w:rsidR="000C201E">
        <w:t xml:space="preserve">dowych, </w:t>
      </w:r>
      <w:r w:rsidR="00D0437D">
        <w:t>nadzór nad śledztwami</w:t>
      </w:r>
      <w:r w:rsidR="000C201E">
        <w:t xml:space="preserve"> z zakresu spraw dotyczących "brutalnych przestępstw, przestępczości </w:t>
      </w:r>
      <w:r w:rsidR="00764D45">
        <w:t xml:space="preserve">wysoko </w:t>
      </w:r>
      <w:r w:rsidR="000C201E">
        <w:t>zorganizowanej lub wyjątkowo skomplikowanych" podlega</w:t>
      </w:r>
      <w:r w:rsidR="00764D45">
        <w:t>ją</w:t>
      </w:r>
      <w:r w:rsidR="000C201E">
        <w:t xml:space="preserve"> Centralnemu Sądowi </w:t>
      </w:r>
      <w:r w:rsidR="00764D45">
        <w:t xml:space="preserve">ds. </w:t>
      </w:r>
      <w:r w:rsidR="000C201E">
        <w:lastRenderedPageBreak/>
        <w:t>Śled</w:t>
      </w:r>
      <w:r w:rsidR="00764D45">
        <w:t>ztwa</w:t>
      </w:r>
      <w:r w:rsidR="000C201E">
        <w:t xml:space="preserve">. Zgodnie z treścią </w:t>
      </w:r>
      <w:r w:rsidR="00596401">
        <w:t>R</w:t>
      </w:r>
      <w:r w:rsidR="000C201E">
        <w:t>ozporządzenia wykonawczego do ustawy o organizacji sądów (dekret-ustawa nr 186-A/99 z dnia 31 maja 1999), ten sąd ma swoją siedzibę w Lizbonie.  W momencie zajścia okoliczności</w:t>
      </w:r>
      <w:r w:rsidR="00596401">
        <w:t xml:space="preserve"> sprawy</w:t>
      </w:r>
      <w:r w:rsidR="000C201E">
        <w:t xml:space="preserve">, ten sąd miał tylko jednego sędziego śledczego.  Począwszy od września 2014 roku, w jego skład wchodzi dwóch sędziów śledczych. </w:t>
      </w:r>
    </w:p>
    <w:p w:rsidR="0010236F" w:rsidRPr="006B0F5A" w:rsidRDefault="000C201E" w:rsidP="000A44CD">
      <w:pPr>
        <w:pStyle w:val="ECHRHeading2"/>
        <w:numPr>
          <w:ilvl w:val="0"/>
          <w:numId w:val="0"/>
        </w:numPr>
      </w:pPr>
      <w:r>
        <w:t xml:space="preserve">F. Tajemnica </w:t>
      </w:r>
      <w:r w:rsidR="000A44CD">
        <w:t>zawodowa</w:t>
      </w:r>
    </w:p>
    <w:p w:rsidR="00746B69" w:rsidRPr="006B0F5A" w:rsidRDefault="00403D74" w:rsidP="006B0F5A">
      <w:pPr>
        <w:pStyle w:val="ECHRPara"/>
      </w:pPr>
      <w:fldSimple w:instr=" SEQ level0 \*arabic ">
        <w:r w:rsidR="00F32FF7">
          <w:rPr>
            <w:noProof/>
          </w:rPr>
          <w:t>59</w:t>
        </w:r>
      </w:fldSimple>
      <w:r w:rsidR="000C201E">
        <w:t>.  Artykuł 87 Statutu Izby Adwokackiej (</w:t>
      </w:r>
      <w:proofErr w:type="spellStart"/>
      <w:r w:rsidR="000C201E">
        <w:rPr>
          <w:i/>
        </w:rPr>
        <w:t>Estatuto</w:t>
      </w:r>
      <w:proofErr w:type="spellEnd"/>
      <w:r w:rsidR="000C201E">
        <w:rPr>
          <w:i/>
        </w:rPr>
        <w:t xml:space="preserve"> da </w:t>
      </w:r>
      <w:proofErr w:type="spellStart"/>
      <w:r w:rsidR="000C201E">
        <w:rPr>
          <w:i/>
        </w:rPr>
        <w:t>Ordem</w:t>
      </w:r>
      <w:proofErr w:type="spellEnd"/>
      <w:r w:rsidR="000C201E">
        <w:rPr>
          <w:i/>
        </w:rPr>
        <w:t xml:space="preserve"> </w:t>
      </w:r>
      <w:proofErr w:type="spellStart"/>
      <w:r w:rsidR="000C201E">
        <w:rPr>
          <w:i/>
        </w:rPr>
        <w:t>dos</w:t>
      </w:r>
      <w:proofErr w:type="spellEnd"/>
      <w:r w:rsidR="000C201E">
        <w:rPr>
          <w:i/>
        </w:rPr>
        <w:t xml:space="preserve"> </w:t>
      </w:r>
      <w:proofErr w:type="spellStart"/>
      <w:r w:rsidR="000C201E">
        <w:rPr>
          <w:i/>
        </w:rPr>
        <w:t>Advogados</w:t>
      </w:r>
      <w:proofErr w:type="spellEnd"/>
      <w:r w:rsidR="000C201E">
        <w:rPr>
          <w:i/>
        </w:rPr>
        <w:t xml:space="preserve">), </w:t>
      </w:r>
      <w:r w:rsidR="000C201E">
        <w:t>zatwierdzonego ustawą nr 15/2005 z dnia 26 stycznia 2005, stanowi :</w:t>
      </w:r>
    </w:p>
    <w:p w:rsidR="00746B69" w:rsidRPr="006B0F5A" w:rsidRDefault="000C201E" w:rsidP="006B0F5A">
      <w:pPr>
        <w:pStyle w:val="ECHRParaQuote"/>
      </w:pPr>
      <w:r>
        <w:t xml:space="preserve">" 1.  Adwokat jest związany tajemnicą zawodową dotyczącą faktów, o których powziął wiadomość w związku z wykonywaniem swoich funkcji lub świadczeniem usług (...). </w:t>
      </w:r>
    </w:p>
    <w:p w:rsidR="00746B69" w:rsidRPr="006B0F5A" w:rsidRDefault="000C201E" w:rsidP="006B0F5A">
      <w:pPr>
        <w:pStyle w:val="ECHRParaQuote"/>
      </w:pPr>
      <w:r>
        <w:t>(...) "</w:t>
      </w:r>
    </w:p>
    <w:p w:rsidR="00F038C1" w:rsidRPr="006B0F5A" w:rsidRDefault="00403D74" w:rsidP="006B0F5A">
      <w:pPr>
        <w:pStyle w:val="ECHRPara"/>
      </w:pPr>
      <w:fldSimple w:instr=" SEQ level0 \*arabic ">
        <w:r w:rsidR="00F32FF7">
          <w:rPr>
            <w:noProof/>
          </w:rPr>
          <w:t>60</w:t>
        </w:r>
      </w:fldSimple>
      <w:r w:rsidR="000C201E">
        <w:t xml:space="preserve">.  Inne odpowiednie dyspozycje Statutu Izby Adwokackiej są następujące : </w:t>
      </w:r>
    </w:p>
    <w:p w:rsidR="00DE4D30" w:rsidRPr="006B0F5A" w:rsidRDefault="000C201E" w:rsidP="006B0F5A">
      <w:pPr>
        <w:pStyle w:val="ECHRTitleCentre3"/>
      </w:pPr>
      <w:r>
        <w:t>Artykuł 70</w:t>
      </w:r>
      <w:r>
        <w:br/>
        <w:t>(...) przeszukani</w:t>
      </w:r>
      <w:r w:rsidR="006A5B42">
        <w:t>a</w:t>
      </w:r>
      <w:r>
        <w:t xml:space="preserve"> (</w:t>
      </w:r>
      <w:proofErr w:type="spellStart"/>
      <w:r>
        <w:rPr>
          <w:i/>
        </w:rPr>
        <w:t>buscas</w:t>
      </w:r>
      <w:proofErr w:type="spellEnd"/>
      <w:r>
        <w:rPr>
          <w:i/>
        </w:rPr>
        <w:t xml:space="preserve">) </w:t>
      </w:r>
      <w:r>
        <w:t>w kancelarii adwokackiej</w:t>
      </w:r>
    </w:p>
    <w:p w:rsidR="0010236F" w:rsidRPr="006B0F5A" w:rsidRDefault="000C201E" w:rsidP="006B0F5A">
      <w:pPr>
        <w:pStyle w:val="ECHRParaQuote"/>
      </w:pPr>
      <w:r>
        <w:t>" 1.  (...) przeszukania (...) w kancelarii adwokackiej lub we wszelkich innych pomieszczeniach przeznaczonych do archiwizowania, przejęcie i rejestrowanie konwersacji lub komunikacji prowadzonych drogą telefoniczną lub elektroniczną, używanych przez adwokatów w trakcie wykonywania swojego zawodu, figurujących w rejestrze Izby Adwokatów, mogą być nakazane i prowadzone wyłącznie przez</w:t>
      </w:r>
      <w:r w:rsidR="0088613F">
        <w:t xml:space="preserve"> właściwego</w:t>
      </w:r>
      <w:r>
        <w:t xml:space="preserve"> sędziego. </w:t>
      </w:r>
    </w:p>
    <w:p w:rsidR="0010236F" w:rsidRPr="006B0F5A" w:rsidRDefault="000C201E" w:rsidP="006B0F5A">
      <w:pPr>
        <w:pStyle w:val="ECHRParaQuote"/>
      </w:pPr>
      <w:r>
        <w:t>2.  (...) sędzia musi przywołać do uczestnictwa (...) w przeszukani</w:t>
      </w:r>
      <w:r w:rsidR="00D733A5">
        <w:t>ach</w:t>
      </w:r>
      <w:r>
        <w:t xml:space="preserve">, adwokata, którego sprawa dotyczy, </w:t>
      </w:r>
      <w:r w:rsidR="00D733A5">
        <w:t>P</w:t>
      </w:r>
      <w:r>
        <w:t xml:space="preserve">rzewodniczącego </w:t>
      </w:r>
      <w:r w:rsidR="00D733A5">
        <w:t>R</w:t>
      </w:r>
      <w:r>
        <w:t xml:space="preserve">ady </w:t>
      </w:r>
      <w:r w:rsidR="00D733A5">
        <w:t>O</w:t>
      </w:r>
      <w:r>
        <w:t xml:space="preserve">kręgowej, </w:t>
      </w:r>
      <w:r w:rsidR="00D733A5">
        <w:t>P</w:t>
      </w:r>
      <w:r>
        <w:t xml:space="preserve">rzewodniczącego </w:t>
      </w:r>
      <w:r w:rsidR="00D733A5">
        <w:t>D</w:t>
      </w:r>
      <w:r>
        <w:t>elega</w:t>
      </w:r>
      <w:r w:rsidR="00D733A5">
        <w:t>cji</w:t>
      </w:r>
      <w:r>
        <w:t xml:space="preserve"> lub delegata Izby Adwokackiej, w zależności od przypadku, którzy mogą delegować innego członka </w:t>
      </w:r>
      <w:r w:rsidR="00D551E7">
        <w:t>R</w:t>
      </w:r>
      <w:r>
        <w:t xml:space="preserve">ady </w:t>
      </w:r>
      <w:r w:rsidR="00D551E7">
        <w:t>O</w:t>
      </w:r>
      <w:r>
        <w:t xml:space="preserve">kręgowej lub </w:t>
      </w:r>
      <w:r w:rsidR="00D551E7">
        <w:t>D</w:t>
      </w:r>
      <w:r>
        <w:t>elega</w:t>
      </w:r>
      <w:r w:rsidR="00D551E7">
        <w:t>cji</w:t>
      </w:r>
      <w:r>
        <w:t xml:space="preserve">. </w:t>
      </w:r>
    </w:p>
    <w:p w:rsidR="00BF1BC2" w:rsidRPr="006B0F5A" w:rsidRDefault="000C201E" w:rsidP="006B0F5A">
      <w:pPr>
        <w:pStyle w:val="ECHRParaQuote"/>
      </w:pPr>
      <w:r>
        <w:t>(...)</w:t>
      </w:r>
    </w:p>
    <w:p w:rsidR="00BF1BC2" w:rsidRPr="006B0F5A" w:rsidRDefault="000C201E" w:rsidP="006B0F5A">
      <w:pPr>
        <w:pStyle w:val="ECHRParaQuote"/>
      </w:pPr>
      <w:r>
        <w:t xml:space="preserve">4.  Członkowie rodziny lub pracownicy adwokata, którego dotyczą czynności mogą również uczestniczyć w czynnościach wskazanych w </w:t>
      </w:r>
      <w:r w:rsidR="00054C9A">
        <w:t>punkcie</w:t>
      </w:r>
      <w:r>
        <w:t xml:space="preserve"> 2 tego artykułu jeżeli </w:t>
      </w:r>
      <w:r w:rsidR="00214BFF">
        <w:t>stawią się na</w:t>
      </w:r>
      <w:r>
        <w:t xml:space="preserve"> tych czynności</w:t>
      </w:r>
      <w:r w:rsidR="00214BFF">
        <w:t>ach</w:t>
      </w:r>
      <w:r>
        <w:t xml:space="preserve"> lub jeżeli sędzia ich powoła. </w:t>
      </w:r>
    </w:p>
    <w:p w:rsidR="00BF1BC2" w:rsidRPr="006B0F5A" w:rsidRDefault="000C201E" w:rsidP="006B0F5A">
      <w:pPr>
        <w:pStyle w:val="ECHRParaQuote"/>
      </w:pPr>
      <w:r>
        <w:t>(...)</w:t>
      </w:r>
    </w:p>
    <w:p w:rsidR="00BF1BC2" w:rsidRPr="006B0F5A" w:rsidRDefault="000C201E" w:rsidP="006B0F5A">
      <w:pPr>
        <w:pStyle w:val="ECHRParaQuote"/>
      </w:pPr>
      <w:r>
        <w:t>6.  Protokół z przeprowadzonych czynności wyraźnie wskazuje osoby obecne oraz wszelkie wydarzenia jakie miały miejsce podczas tych czynności."</w:t>
      </w:r>
    </w:p>
    <w:p w:rsidR="003866E6" w:rsidRPr="006B0F5A" w:rsidRDefault="000C201E" w:rsidP="006B0F5A">
      <w:pPr>
        <w:pStyle w:val="ECHRTitleCentre3"/>
      </w:pPr>
      <w:r>
        <w:t>Artykuł 71</w:t>
      </w:r>
      <w:r>
        <w:br/>
        <w:t>Zajęcie dokumentów</w:t>
      </w:r>
    </w:p>
    <w:p w:rsidR="003866E6" w:rsidRPr="006B0F5A" w:rsidRDefault="000C201E" w:rsidP="006B0F5A">
      <w:pPr>
        <w:pStyle w:val="ECHRParaQuote"/>
      </w:pPr>
      <w:r>
        <w:t>" 1.  Niezależnie od użytego nośnika, nie jest możliwe zaj</w:t>
      </w:r>
      <w:r w:rsidR="004E5991">
        <w:t>ęcie</w:t>
      </w:r>
      <w:r>
        <w:t xml:space="preserve"> korespondencj</w:t>
      </w:r>
      <w:r w:rsidR="004E5991">
        <w:t>i</w:t>
      </w:r>
      <w:r>
        <w:t xml:space="preserve"> dotycząc</w:t>
      </w:r>
      <w:r w:rsidR="004E5991">
        <w:t>ej</w:t>
      </w:r>
      <w:r>
        <w:t xml:space="preserve"> wykonywania czynności zawodowych. </w:t>
      </w:r>
    </w:p>
    <w:p w:rsidR="003866E6" w:rsidRPr="006B0F5A" w:rsidRDefault="000C201E" w:rsidP="006B0F5A">
      <w:pPr>
        <w:pStyle w:val="ECHRParaQuote"/>
      </w:pPr>
      <w:r>
        <w:t>(...)</w:t>
      </w:r>
    </w:p>
    <w:p w:rsidR="0010236F" w:rsidRPr="006B0F5A" w:rsidRDefault="000C201E" w:rsidP="006B0F5A">
      <w:pPr>
        <w:pStyle w:val="ECHRParaQuote"/>
      </w:pPr>
      <w:r>
        <w:lastRenderedPageBreak/>
        <w:t xml:space="preserve">3.  Do korespondencji zaliczają się instrukcje i informacje </w:t>
      </w:r>
      <w:r w:rsidR="00744DF1">
        <w:t>s</w:t>
      </w:r>
      <w:r>
        <w:t xml:space="preserve">pisane </w:t>
      </w:r>
      <w:r w:rsidR="00744DF1">
        <w:t xml:space="preserve">w celu wyznaczenia </w:t>
      </w:r>
      <w:r>
        <w:t xml:space="preserve">[z urzędu] lub </w:t>
      </w:r>
      <w:r w:rsidR="00B968A8">
        <w:t>pełnomocnictw</w:t>
      </w:r>
      <w:r w:rsidR="006A3A66">
        <w:t>a</w:t>
      </w:r>
      <w:r>
        <w:t xml:space="preserve"> lub wnioskowanej opinii.</w:t>
      </w:r>
    </w:p>
    <w:p w:rsidR="003866E6" w:rsidRPr="006B0F5A" w:rsidRDefault="000C201E" w:rsidP="006B0F5A">
      <w:pPr>
        <w:pStyle w:val="ECHRParaQuote"/>
      </w:pPr>
      <w:r>
        <w:t>4.  Z tego zakresu wyłączona jest korespondencja dotycząca czynu kryminalnego</w:t>
      </w:r>
      <w:r w:rsidR="00EF171B">
        <w:t>,</w:t>
      </w:r>
      <w:r>
        <w:t xml:space="preserve"> </w:t>
      </w:r>
      <w:r w:rsidR="00EF171B">
        <w:t>o</w:t>
      </w:r>
      <w:r>
        <w:t xml:space="preserve"> </w:t>
      </w:r>
      <w:r w:rsidR="00EF171B">
        <w:t>który</w:t>
      </w:r>
      <w:r>
        <w:t xml:space="preserve"> adwokat został oskarżony.  "</w:t>
      </w:r>
    </w:p>
    <w:p w:rsidR="003866E6" w:rsidRPr="006B0F5A" w:rsidRDefault="000C201E" w:rsidP="006B0F5A">
      <w:pPr>
        <w:pStyle w:val="ECHRTitleCentre3"/>
      </w:pPr>
      <w:r>
        <w:t>Artykuł 72</w:t>
      </w:r>
      <w:r>
        <w:br/>
        <w:t>Sprzeciw</w:t>
      </w:r>
    </w:p>
    <w:p w:rsidR="0010236F" w:rsidRPr="006B0F5A" w:rsidRDefault="000C201E" w:rsidP="006B0F5A">
      <w:pPr>
        <w:pStyle w:val="ECHRParaQuote"/>
      </w:pPr>
      <w:r>
        <w:t xml:space="preserve">" 1.  W trakcie [przeszukania] adwokat, którego sprawa dotyczy (...) może zgłosić sprzeciw. </w:t>
      </w:r>
    </w:p>
    <w:p w:rsidR="0010236F" w:rsidRPr="006B0F5A" w:rsidRDefault="000C201E" w:rsidP="006B0F5A">
      <w:pPr>
        <w:pStyle w:val="ECHRParaQuote"/>
      </w:pPr>
      <w:r>
        <w:t xml:space="preserve">2.  W razie sprzeciwu mającego na celu zachowanie tajemnicy </w:t>
      </w:r>
      <w:r w:rsidR="00341E81">
        <w:t>zawodowej</w:t>
      </w:r>
      <w:r>
        <w:t xml:space="preserve">, sędzia musi natychmiast wziąć pod uwagę wniosek odnośnie dokumentów lub odpowiednich przedmiotów ; następnie sędzia plombuje te dokumenty i przedmioty, bez ich czytania lub badania. </w:t>
      </w:r>
    </w:p>
    <w:p w:rsidR="0010236F" w:rsidRPr="006B0F5A" w:rsidRDefault="000C201E" w:rsidP="006B0F5A">
      <w:pPr>
        <w:pStyle w:val="ECHRParaQuote"/>
      </w:pPr>
      <w:r>
        <w:t>3.  Uzasadnienie sprzeciwu musi być złożone w ciągu pięciu dni, przed sądem</w:t>
      </w:r>
      <w:r w:rsidR="00D350F6">
        <w:t>,</w:t>
      </w:r>
      <w:r>
        <w:t xml:space="preserve"> przed którym toczy się postępowanie; sędzia przedkłada sprzeciw wraz z własną opinią Pr</w:t>
      </w:r>
      <w:r w:rsidR="00210664">
        <w:t>ezesowi</w:t>
      </w:r>
      <w:r>
        <w:t xml:space="preserve"> Sądu Apelacyjnego, w</w:t>
      </w:r>
      <w:r w:rsidR="000D28E2">
        <w:t xml:space="preserve"> tym samym </w:t>
      </w:r>
      <w:r>
        <w:t>terminie, wraz z zaplombowanymi dokumentami i przedmiotami.</w:t>
      </w:r>
    </w:p>
    <w:p w:rsidR="00F038C1" w:rsidRPr="006B0F5A" w:rsidRDefault="000C201E" w:rsidP="006B0F5A">
      <w:pPr>
        <w:pStyle w:val="ECHRParaQuote"/>
      </w:pPr>
      <w:r>
        <w:t>4.  Pr</w:t>
      </w:r>
      <w:r w:rsidR="00702B71">
        <w:t>ezes</w:t>
      </w:r>
      <w:r>
        <w:t xml:space="preserve"> Sądu Apelacyjnego może, z zastrzeżeniem zachowania tajemnicy, przystąpić do otwarcia plomb, zwracając je wraz ze swoją decyzją po ponownym zaplombowaniu.  "</w:t>
      </w:r>
    </w:p>
    <w:p w:rsidR="00795F6D" w:rsidRPr="006B0F5A" w:rsidRDefault="000C201E" w:rsidP="00702B71">
      <w:pPr>
        <w:pStyle w:val="ECHRHeading2"/>
        <w:numPr>
          <w:ilvl w:val="0"/>
          <w:numId w:val="0"/>
        </w:numPr>
      </w:pPr>
      <w:r>
        <w:t xml:space="preserve">G. </w:t>
      </w:r>
      <w:r w:rsidR="0031252B">
        <w:t>S</w:t>
      </w:r>
      <w:r>
        <w:t>karg</w:t>
      </w:r>
      <w:r w:rsidR="0031252B">
        <w:t>a</w:t>
      </w:r>
      <w:r>
        <w:t xml:space="preserve"> </w:t>
      </w:r>
      <w:r w:rsidR="0031252B">
        <w:t>na</w:t>
      </w:r>
      <w:r>
        <w:t xml:space="preserve"> niekonstytucyjność </w:t>
      </w:r>
    </w:p>
    <w:p w:rsidR="000B74EA" w:rsidRPr="006B0F5A" w:rsidRDefault="00403D74" w:rsidP="006B0F5A">
      <w:pPr>
        <w:pStyle w:val="ECHRPara"/>
      </w:pPr>
      <w:fldSimple w:instr=" SEQ level0 \*arabic ">
        <w:r w:rsidR="00F32FF7">
          <w:rPr>
            <w:noProof/>
          </w:rPr>
          <w:t>61</w:t>
        </w:r>
      </w:fldSimple>
      <w:r w:rsidR="000C201E">
        <w:t xml:space="preserve">.  Jeżeli chodzi o skargę </w:t>
      </w:r>
      <w:r w:rsidR="0044590A">
        <w:t>na</w:t>
      </w:r>
      <w:r w:rsidR="000C201E">
        <w:t xml:space="preserve"> niekonstytucyjnoś</w:t>
      </w:r>
      <w:r w:rsidR="0044590A">
        <w:t>ć</w:t>
      </w:r>
      <w:r w:rsidR="000C201E">
        <w:t>, zgodnie ze stałą</w:t>
      </w:r>
      <w:r w:rsidR="0059645D">
        <w:t xml:space="preserve"> i</w:t>
      </w:r>
      <w:r w:rsidR="000C201E">
        <w:t xml:space="preserve"> </w:t>
      </w:r>
      <w:r w:rsidR="0059645D">
        <w:t xml:space="preserve">podtrzymywaną </w:t>
      </w:r>
      <w:r w:rsidR="000C201E">
        <w:t>linią orzeczniczą Trybunał</w:t>
      </w:r>
      <w:r w:rsidR="0059645D">
        <w:t>u</w:t>
      </w:r>
      <w:r w:rsidR="000C201E">
        <w:t xml:space="preserve"> Konstytucyjn</w:t>
      </w:r>
      <w:r w:rsidR="0059645D">
        <w:t>ego</w:t>
      </w:r>
      <w:r w:rsidR="000C201E">
        <w:t xml:space="preserve">, jedynie kwestie niekonstytucyjności "normatywnej" mogą być badane w ramach skargi konstytucyjnej, </w:t>
      </w:r>
      <w:r w:rsidR="008409EC">
        <w:t>a</w:t>
      </w:r>
      <w:r w:rsidR="000C201E">
        <w:t xml:space="preserve"> skarga bezpośrednia o ochronę prawa podstawowego nie istnieje w portugalskim prawie konstytucyjnym. Każda skarga kierowana przeciwko decyzji sądowej jako takiej jest </w:t>
      </w:r>
      <w:r w:rsidR="008409EC">
        <w:t xml:space="preserve">więc </w:t>
      </w:r>
      <w:r w:rsidR="000C201E">
        <w:t>uznana za niedopuszczalną przez Trybunał Konstytucyjny (patrz</w:t>
      </w:r>
      <w:r w:rsidR="006659E6">
        <w:t>,</w:t>
      </w:r>
      <w:r w:rsidR="000C201E">
        <w:t xml:space="preserve"> na przykład, wyroki Trybunału Konstytucyjnego nr </w:t>
      </w:r>
      <w:r w:rsidR="000C201E" w:rsidRPr="006659E6">
        <w:rPr>
          <w:u w:val="single"/>
        </w:rPr>
        <w:t>192/94</w:t>
      </w:r>
      <w:r w:rsidR="000C201E">
        <w:t xml:space="preserve"> z dnia 1-go marca 1994 roku, </w:t>
      </w:r>
      <w:r w:rsidR="000C201E" w:rsidRPr="006659E6">
        <w:rPr>
          <w:u w:val="single"/>
        </w:rPr>
        <w:t>178/95</w:t>
      </w:r>
      <w:r w:rsidR="000C201E">
        <w:t xml:space="preserve"> z dnia 5 kwietnia 1995 roku i </w:t>
      </w:r>
      <w:r w:rsidR="000C201E" w:rsidRPr="006659E6">
        <w:rPr>
          <w:u w:val="single"/>
        </w:rPr>
        <w:t>18/96</w:t>
      </w:r>
      <w:r w:rsidR="000C201E">
        <w:t xml:space="preserve"> z dnia 16 stycznia 1996 roku).</w:t>
      </w:r>
    </w:p>
    <w:p w:rsidR="00A230F0" w:rsidRPr="006B0F5A" w:rsidRDefault="000C201E" w:rsidP="006659E6">
      <w:pPr>
        <w:pStyle w:val="ECHRHeading2"/>
        <w:numPr>
          <w:ilvl w:val="0"/>
          <w:numId w:val="0"/>
        </w:numPr>
      </w:pPr>
      <w:r>
        <w:t xml:space="preserve">H. </w:t>
      </w:r>
      <w:r w:rsidR="0083770D">
        <w:t>S</w:t>
      </w:r>
      <w:r>
        <w:t>półk</w:t>
      </w:r>
      <w:r w:rsidR="0083770D">
        <w:t>i</w:t>
      </w:r>
      <w:r>
        <w:t xml:space="preserve"> adwokacki</w:t>
      </w:r>
      <w:r w:rsidR="0083770D">
        <w:t>e</w:t>
      </w:r>
      <w:r>
        <w:t xml:space="preserve"> </w:t>
      </w:r>
    </w:p>
    <w:p w:rsidR="0010236F" w:rsidRPr="006B0F5A" w:rsidRDefault="00403D74" w:rsidP="006B0F5A">
      <w:pPr>
        <w:pStyle w:val="ECHRPara"/>
      </w:pPr>
      <w:fldSimple w:instr=" SEQ level0 \*arabic ">
        <w:r w:rsidR="00F32FF7">
          <w:rPr>
            <w:noProof/>
          </w:rPr>
          <w:t>62</w:t>
        </w:r>
      </w:fldSimple>
      <w:r w:rsidR="000C201E">
        <w:t xml:space="preserve">.  Spółki adwokackie są spółkami cywilnymi utworzonymi przez dwóch lub więcej adwokatów w celu wykonywania wspólnie ich działalności zawodowej i dokonywania </w:t>
      </w:r>
      <w:r w:rsidR="00F834D3">
        <w:t xml:space="preserve">pomiędzy nimi </w:t>
      </w:r>
      <w:r w:rsidR="000C201E">
        <w:t>podziału dochodów (artykuł 1 dekretu-ustawy nr 229/2004 z dnia 10 grudnia 2004 roku).  Przeciwnie do członków (</w:t>
      </w:r>
      <w:proofErr w:type="spellStart"/>
      <w:r w:rsidR="000C201E">
        <w:rPr>
          <w:i/>
        </w:rPr>
        <w:t>sócios</w:t>
      </w:r>
      <w:proofErr w:type="spellEnd"/>
      <w:r w:rsidR="000C201E">
        <w:t>), wspólnicy (</w:t>
      </w:r>
      <w:proofErr w:type="spellStart"/>
      <w:r w:rsidR="000C201E">
        <w:rPr>
          <w:i/>
        </w:rPr>
        <w:t>associados</w:t>
      </w:r>
      <w:proofErr w:type="spellEnd"/>
      <w:r w:rsidR="000C201E">
        <w:t xml:space="preserve">) nie dysponują udziałami w spółce i nie uczestniczą w walnych zgromadzeniach (artykuł 6, 12, 13 i 25). Wszyscy członkowie spółki są związani tajemnicą </w:t>
      </w:r>
      <w:r w:rsidR="00EC73E6">
        <w:t>zawodową</w:t>
      </w:r>
      <w:r w:rsidR="000C201E">
        <w:t xml:space="preserve"> (artykuł 5). </w:t>
      </w:r>
    </w:p>
    <w:p w:rsidR="006C5B9E" w:rsidRPr="006B0F5A" w:rsidRDefault="000C201E" w:rsidP="006B0F5A">
      <w:pPr>
        <w:pStyle w:val="ECHRTitle1"/>
      </w:pPr>
      <w:r>
        <w:lastRenderedPageBreak/>
        <w:t>PRAW</w:t>
      </w:r>
      <w:r w:rsidR="00EC73E6">
        <w:t>O</w:t>
      </w:r>
    </w:p>
    <w:p w:rsidR="006C5B9E" w:rsidRPr="006B0F5A" w:rsidRDefault="000C201E" w:rsidP="00EC73E6">
      <w:pPr>
        <w:pStyle w:val="ECHRHeading1"/>
        <w:numPr>
          <w:ilvl w:val="0"/>
          <w:numId w:val="0"/>
        </w:numPr>
      </w:pPr>
      <w:r>
        <w:t xml:space="preserve">I. ODNOŚNIE </w:t>
      </w:r>
      <w:r w:rsidR="00EC73E6">
        <w:t>ZARZUCONEGO</w:t>
      </w:r>
      <w:r>
        <w:t xml:space="preserve"> NARUSZENIA ARTYKUŁU 8 KONWENCJI</w:t>
      </w:r>
    </w:p>
    <w:p w:rsidR="00985E74" w:rsidRPr="006B0F5A" w:rsidRDefault="00403D74" w:rsidP="006B0F5A">
      <w:pPr>
        <w:pStyle w:val="ECHRPara"/>
      </w:pPr>
      <w:fldSimple w:instr=" SEQ level0 \*arabic ">
        <w:r w:rsidR="00F32FF7">
          <w:rPr>
            <w:noProof/>
          </w:rPr>
          <w:t>63</w:t>
        </w:r>
      </w:fldSimple>
      <w:r w:rsidR="000C201E">
        <w:t xml:space="preserve">.  Skarżący </w:t>
      </w:r>
      <w:r w:rsidR="00262956">
        <w:t>oceniają</w:t>
      </w:r>
      <w:r w:rsidR="000C201E">
        <w:t xml:space="preserve">, że przeszukanie i zatrzymanie </w:t>
      </w:r>
      <w:r w:rsidR="00F26989">
        <w:t>plików</w:t>
      </w:r>
      <w:r w:rsidR="000C201E">
        <w:t xml:space="preserve"> informatycznych i wiadomości elektroniczn</w:t>
      </w:r>
      <w:r w:rsidR="00F26989">
        <w:t>ych</w:t>
      </w:r>
      <w:r w:rsidR="000C201E">
        <w:t xml:space="preserve"> z systemu informatycznego w </w:t>
      </w:r>
      <w:r w:rsidR="00FC26F2">
        <w:t xml:space="preserve">ich </w:t>
      </w:r>
      <w:r w:rsidR="000C201E">
        <w:t>pomieszczeniach służbowych naruszyły ich prawa zagwarantowane przez artykuł 8 Konwencji</w:t>
      </w:r>
      <w:r w:rsidR="00FC26F2">
        <w:t>,</w:t>
      </w:r>
      <w:r w:rsidR="000C201E">
        <w:t xml:space="preserve"> przytoczon</w:t>
      </w:r>
      <w:r w:rsidR="00FC26F2">
        <w:t>y</w:t>
      </w:r>
      <w:r w:rsidR="000C201E">
        <w:t xml:space="preserve"> poniżej : </w:t>
      </w:r>
    </w:p>
    <w:p w:rsidR="00202A3F" w:rsidRPr="006B0F5A" w:rsidRDefault="000C201E" w:rsidP="006B0F5A">
      <w:pPr>
        <w:pStyle w:val="ECHRParaQuote"/>
      </w:pPr>
      <w:r>
        <w:t>" 1.  Każdy ma prawo do poszanowania swojego życia prywatnego i</w:t>
      </w:r>
      <w:r w:rsidR="00E17F2B">
        <w:t xml:space="preserve"> </w:t>
      </w:r>
      <w:r>
        <w:t>rodzinnego, swojego mieszkania i swojej korespondencji.</w:t>
      </w:r>
    </w:p>
    <w:p w:rsidR="00E062A0" w:rsidRPr="006B0F5A" w:rsidRDefault="000C201E" w:rsidP="006B0F5A">
      <w:pPr>
        <w:pStyle w:val="ECHRParaQuote"/>
      </w:pPr>
      <w:r>
        <w:t>2.  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osób. "</w:t>
      </w:r>
    </w:p>
    <w:p w:rsidR="00202A3F" w:rsidRPr="006B0F5A" w:rsidRDefault="00403D74" w:rsidP="006B0F5A">
      <w:pPr>
        <w:pStyle w:val="ECHRPara"/>
      </w:pPr>
      <w:fldSimple w:instr=" SEQ level0 \*arabic ">
        <w:r w:rsidR="00F32FF7">
          <w:rPr>
            <w:noProof/>
          </w:rPr>
          <w:t>64</w:t>
        </w:r>
      </w:fldSimple>
      <w:r w:rsidR="000C201E">
        <w:t xml:space="preserve">.  Rząd odrzuca twierdzenia skarżącego. </w:t>
      </w:r>
    </w:p>
    <w:p w:rsidR="00202A3F" w:rsidRPr="006B0F5A" w:rsidRDefault="000C201E" w:rsidP="006E65D9">
      <w:pPr>
        <w:pStyle w:val="ECHRHeading2"/>
        <w:numPr>
          <w:ilvl w:val="0"/>
          <w:numId w:val="0"/>
        </w:numPr>
      </w:pPr>
      <w:r>
        <w:t>A. Dopuszczalność</w:t>
      </w:r>
    </w:p>
    <w:p w:rsidR="00E062A0" w:rsidRPr="006B0F5A" w:rsidRDefault="000C201E" w:rsidP="00361069">
      <w:pPr>
        <w:pStyle w:val="ECHRHeading3"/>
        <w:numPr>
          <w:ilvl w:val="0"/>
          <w:numId w:val="0"/>
        </w:numPr>
        <w:ind w:left="288"/>
      </w:pPr>
      <w:r>
        <w:t>1.  Odnośnie nie wyczerpania wszystkich krajowych środków odwoławczych</w:t>
      </w:r>
    </w:p>
    <w:p w:rsidR="00E062A0" w:rsidRPr="006B0F5A" w:rsidRDefault="00403D74" w:rsidP="006B0F5A">
      <w:pPr>
        <w:pStyle w:val="ECHRPara"/>
      </w:pPr>
      <w:fldSimple w:instr=" SEQ level0 \*arabic ">
        <w:r w:rsidR="00F32FF7">
          <w:rPr>
            <w:noProof/>
          </w:rPr>
          <w:t>65</w:t>
        </w:r>
      </w:fldSimple>
      <w:r w:rsidR="000C201E">
        <w:t xml:space="preserve">.  Rząd </w:t>
      </w:r>
      <w:r w:rsidR="000D2710">
        <w:t>podnosi zarzut</w:t>
      </w:r>
      <w:r w:rsidR="000C201E">
        <w:t xml:space="preserve"> nie wyczerpani</w:t>
      </w:r>
      <w:r w:rsidR="000D2710">
        <w:t>a</w:t>
      </w:r>
      <w:r w:rsidR="000C201E">
        <w:t xml:space="preserve"> krajowych środków odwoławczych. Podkreśla, że kontrola przeprowadzona przez Trybunał Konstytucyjny może dotyczyć sposobu, w ja</w:t>
      </w:r>
      <w:r w:rsidR="00B973D3">
        <w:t>ki jakaś konkretna norma</w:t>
      </w:r>
      <w:r w:rsidR="00A360B8">
        <w:t xml:space="preserve"> </w:t>
      </w:r>
      <w:r w:rsidR="00B973D3">
        <w:t>jest</w:t>
      </w:r>
      <w:r w:rsidR="000C201E">
        <w:t xml:space="preserve"> stosowana w konkretnym przypadku. W tym celu konieczne było aby skarżący podnieśli przed Sądem Apelacyjnym w Lizbonie, konkretną kwestię niekonstytucyjności, czego nie zrobili. Zdaniem Rządu, zainteresowani nie dali sądownictwu krajowemu w ten sposób - z przyczyn które </w:t>
      </w:r>
      <w:r w:rsidR="00496026">
        <w:t>leżą po ich stronie</w:t>
      </w:r>
      <w:r w:rsidR="000C201E">
        <w:t xml:space="preserve"> - okazji do naprawienia kwestii, które podnoszą. </w:t>
      </w:r>
    </w:p>
    <w:p w:rsidR="00E062A0" w:rsidRPr="006B0F5A" w:rsidRDefault="00403D74" w:rsidP="006B0F5A">
      <w:pPr>
        <w:pStyle w:val="ECHRPara"/>
      </w:pPr>
      <w:fldSimple w:instr=" SEQ level0 \*arabic ">
        <w:r w:rsidR="00F32FF7">
          <w:rPr>
            <w:noProof/>
          </w:rPr>
          <w:t>66</w:t>
        </w:r>
      </w:fldSimple>
      <w:r w:rsidR="000C201E">
        <w:t xml:space="preserve">.  Skarżący przyznają, że warunki dopuszczalności złożonej przez nich skargi konstytucyjnej nie zostały spełnione, biorąc pod uwagę, że skarga do Trybunału Konstytucyjnego może dotyczyć jedynie niekonstytucyjności normatywnej.  Oceniają, iż do realizacji celów wskazanych w artykule 35 § 1, ta skarga nie musiała być wykorzystana gdyż nie zapewniłaby ona naprawienia </w:t>
      </w:r>
      <w:r w:rsidR="00C54530">
        <w:t>zarzucanego</w:t>
      </w:r>
      <w:r w:rsidR="000C201E">
        <w:t xml:space="preserve"> naruszenia, podkreślając, że bezpośrednia skarga o ochronę praw podstawowych nie istnieje w portugalskim prawie konstytucyjnym.  Zatem wyrok Sądu Apelacyjnego w Lizbonie musi zostać uznany </w:t>
      </w:r>
      <w:r w:rsidR="00C54530">
        <w:t>za</w:t>
      </w:r>
      <w:r w:rsidR="000C201E">
        <w:t xml:space="preserve"> ostateczn</w:t>
      </w:r>
      <w:r w:rsidR="00C54530">
        <w:t>ą</w:t>
      </w:r>
      <w:r w:rsidR="000C201E">
        <w:t xml:space="preserve"> decyzj</w:t>
      </w:r>
      <w:r w:rsidR="00C54530">
        <w:t>ę</w:t>
      </w:r>
      <w:r w:rsidR="000C201E">
        <w:t xml:space="preserve"> krajow</w:t>
      </w:r>
      <w:r w:rsidR="00C54530">
        <w:t>ą</w:t>
      </w:r>
      <w:r w:rsidR="000C201E">
        <w:t xml:space="preserve"> w przedmiotowej sprawie. </w:t>
      </w:r>
    </w:p>
    <w:p w:rsidR="00E062A0" w:rsidRPr="006B0F5A" w:rsidRDefault="00403D74" w:rsidP="006B0F5A">
      <w:pPr>
        <w:pStyle w:val="ECHRPara"/>
      </w:pPr>
      <w:fldSimple w:instr=" SEQ level0 \*arabic ">
        <w:r w:rsidR="00F32FF7">
          <w:rPr>
            <w:noProof/>
          </w:rPr>
          <w:t>67</w:t>
        </w:r>
      </w:fldSimple>
      <w:r w:rsidR="000C201E">
        <w:t xml:space="preserve">.  Trybunał przypomina, że zgodnie z artykułem 35 § 1 Konwencji, skargę do Trybunału można wnieść </w:t>
      </w:r>
      <w:r w:rsidR="00C53B99">
        <w:t xml:space="preserve">tylko </w:t>
      </w:r>
      <w:r w:rsidR="000C201E">
        <w:t xml:space="preserve">po uprzednim wyczerpaniu krajowych środków odwoławczych.  Każdy skarżący musi dać </w:t>
      </w:r>
      <w:r w:rsidR="007B73A2">
        <w:t xml:space="preserve">wcześniej </w:t>
      </w:r>
      <w:r w:rsidR="000C201E">
        <w:lastRenderedPageBreak/>
        <w:t>sądom krajowym okazję do spełnienia tej dyspozycji, która ma na celu umo</w:t>
      </w:r>
      <w:r w:rsidR="005727E7">
        <w:t>żliwienie co do zasady Państwom-Stronom</w:t>
      </w:r>
      <w:r w:rsidR="000C201E">
        <w:t xml:space="preserve"> : zapobieżenie lub naprawienie zarzucanych im naruszeń zanim te zarzuty nie zostaną wniesione przed organy wskazane przez Konwencję (patrz na przykład, </w:t>
      </w:r>
      <w:proofErr w:type="spellStart"/>
      <w:r w:rsidR="000C201E">
        <w:rPr>
          <w:i/>
        </w:rPr>
        <w:t>Moreira</w:t>
      </w:r>
      <w:proofErr w:type="spellEnd"/>
      <w:r w:rsidR="000C201E">
        <w:rPr>
          <w:i/>
        </w:rPr>
        <w:t xml:space="preserve"> </w:t>
      </w:r>
      <w:proofErr w:type="spellStart"/>
      <w:r w:rsidR="000C201E">
        <w:rPr>
          <w:i/>
        </w:rPr>
        <w:t>Barbosa</w:t>
      </w:r>
      <w:proofErr w:type="spellEnd"/>
      <w:r w:rsidR="000C201E">
        <w:rPr>
          <w:i/>
        </w:rPr>
        <w:t xml:space="preserve"> przeciwko Portugalii</w:t>
      </w:r>
      <w:r w:rsidR="000C201E">
        <w:t xml:space="preserve"> (decyzja.), nr 65681/01, CEDH 2004-V, i </w:t>
      </w:r>
      <w:proofErr w:type="spellStart"/>
      <w:r w:rsidR="000C201E">
        <w:rPr>
          <w:i/>
        </w:rPr>
        <w:t>Cardot</w:t>
      </w:r>
      <w:proofErr w:type="spellEnd"/>
      <w:r w:rsidR="000C201E">
        <w:rPr>
          <w:i/>
        </w:rPr>
        <w:t xml:space="preserve"> przeciwko Francji</w:t>
      </w:r>
      <w:r w:rsidR="000C201E">
        <w:t>, 19 marzec 1991, § 36, seria A nr 200). Ta reguła opiera się na hipotezie - przedmiot artykułu 13 Konwencji, z którym łączy się ona ściśle - że prawny porządek krajowy oferuje skuteczny środek odwoławczy w kwestii zarzucan</w:t>
      </w:r>
      <w:r w:rsidR="00F460CD">
        <w:t>ego</w:t>
      </w:r>
      <w:r w:rsidR="000C201E">
        <w:t xml:space="preserve"> narusze</w:t>
      </w:r>
      <w:r w:rsidR="00F460CD">
        <w:t>nia</w:t>
      </w:r>
      <w:r w:rsidR="000C201E">
        <w:t xml:space="preserve"> (patrz na przykład, </w:t>
      </w:r>
      <w:proofErr w:type="spellStart"/>
      <w:r w:rsidR="000C201E">
        <w:rPr>
          <w:i/>
        </w:rPr>
        <w:t>Selmouni</w:t>
      </w:r>
      <w:proofErr w:type="spellEnd"/>
      <w:r w:rsidR="000C201E">
        <w:rPr>
          <w:i/>
        </w:rPr>
        <w:t xml:space="preserve"> przeciwko Francji</w:t>
      </w:r>
      <w:r w:rsidR="000C201E">
        <w:t xml:space="preserve"> [GC], nr 25803/94, § 74, CEDH 1999-V).</w:t>
      </w:r>
    </w:p>
    <w:p w:rsidR="00E062A0" w:rsidRPr="006B0F5A" w:rsidRDefault="00403D74" w:rsidP="006B0F5A">
      <w:pPr>
        <w:pStyle w:val="ECHRPara"/>
      </w:pPr>
      <w:fldSimple w:instr=" SEQ level0 \*arabic ">
        <w:r w:rsidR="00F32FF7">
          <w:rPr>
            <w:noProof/>
          </w:rPr>
          <w:t>68</w:t>
        </w:r>
      </w:fldSimple>
      <w:r w:rsidR="000C201E">
        <w:t xml:space="preserve">.  Trybunał przypomina ponadto, że artykuł 35 Konwencji mówi wyłącznie o wyczerpaniu środków odwoławczych zarazem odnoszących się do </w:t>
      </w:r>
      <w:r w:rsidR="007A2B64">
        <w:t>wskazywanych</w:t>
      </w:r>
      <w:r w:rsidR="000C201E">
        <w:t xml:space="preserve"> naruszeń, a także dostępnych i  odpowiednich. Te środki zaskarżenia muszą istnieć na wystarczającym stopniu pewności, nie tylko w teorii</w:t>
      </w:r>
      <w:r w:rsidR="00193140">
        <w:t>,</w:t>
      </w:r>
      <w:r w:rsidR="000C201E">
        <w:t xml:space="preserve"> ale również w praktyce, bez czego brak im wymaganych skuteczności i dostępności (patrz pośród wielu innych </w:t>
      </w:r>
      <w:proofErr w:type="spellStart"/>
      <w:r w:rsidR="000C201E">
        <w:rPr>
          <w:i/>
        </w:rPr>
        <w:t>Vernillo</w:t>
      </w:r>
      <w:proofErr w:type="spellEnd"/>
      <w:r w:rsidR="000C201E">
        <w:rPr>
          <w:i/>
        </w:rPr>
        <w:t xml:space="preserve"> przeciwko Francji</w:t>
      </w:r>
      <w:r w:rsidR="000C201E">
        <w:t xml:space="preserve">, 20 luty 1991, § 27, seria A nr 198, i </w:t>
      </w:r>
      <w:r w:rsidR="000C201E">
        <w:rPr>
          <w:i/>
        </w:rPr>
        <w:t>Dalia przeciwko Francji</w:t>
      </w:r>
      <w:r w:rsidR="000C201E">
        <w:t xml:space="preserve">, 19 luty 1998, § 38, </w:t>
      </w:r>
      <w:r w:rsidR="000C201E">
        <w:rPr>
          <w:i/>
        </w:rPr>
        <w:t>Zbiór wyroków i decyzji</w:t>
      </w:r>
      <w:r w:rsidR="000C201E">
        <w:t xml:space="preserve"> 1998-I).</w:t>
      </w:r>
    </w:p>
    <w:p w:rsidR="0010236F" w:rsidRPr="006B0F5A" w:rsidRDefault="00403D74" w:rsidP="006B0F5A">
      <w:pPr>
        <w:pStyle w:val="ECHRPara"/>
      </w:pPr>
      <w:fldSimple w:instr=" SEQ level0 \*arabic ">
        <w:r w:rsidR="00F32FF7">
          <w:rPr>
            <w:noProof/>
          </w:rPr>
          <w:t>69</w:t>
        </w:r>
      </w:fldSimple>
      <w:r w:rsidR="000C201E">
        <w:t>.  Pochyl</w:t>
      </w:r>
      <w:r w:rsidR="002F66F7">
        <w:t>ając się nad przedmiotową sprawą</w:t>
      </w:r>
      <w:r w:rsidR="000C201E">
        <w:t>, Trybunał stwierdza przede wszystkim, że</w:t>
      </w:r>
      <w:r w:rsidR="002F66F7">
        <w:t xml:space="preserve"> nie jest kwestionowane, iż</w:t>
      </w:r>
      <w:r w:rsidR="000C201E">
        <w:t xml:space="preserve"> skarga konstytucyjna w Portugalii może dotyczyć jedynie dyspozycji "normatywnej" a nie decyzji sądowej (</w:t>
      </w:r>
      <w:proofErr w:type="spellStart"/>
      <w:r w:rsidR="000C201E">
        <w:rPr>
          <w:i/>
        </w:rPr>
        <w:t>Colaço</w:t>
      </w:r>
      <w:proofErr w:type="spellEnd"/>
      <w:r w:rsidR="000C201E">
        <w:rPr>
          <w:i/>
        </w:rPr>
        <w:t xml:space="preserve"> </w:t>
      </w:r>
      <w:proofErr w:type="spellStart"/>
      <w:r w:rsidR="000C201E">
        <w:rPr>
          <w:i/>
        </w:rPr>
        <w:t>Mestre</w:t>
      </w:r>
      <w:proofErr w:type="spellEnd"/>
      <w:r w:rsidR="000C201E">
        <w:rPr>
          <w:i/>
        </w:rPr>
        <w:t xml:space="preserve"> i SIC – </w:t>
      </w:r>
      <w:proofErr w:type="spellStart"/>
      <w:r w:rsidR="000C201E">
        <w:rPr>
          <w:i/>
        </w:rPr>
        <w:t>Sociedade</w:t>
      </w:r>
      <w:proofErr w:type="spellEnd"/>
      <w:r w:rsidR="000C201E">
        <w:rPr>
          <w:i/>
        </w:rPr>
        <w:t xml:space="preserve"> </w:t>
      </w:r>
      <w:proofErr w:type="spellStart"/>
      <w:r w:rsidR="000C201E">
        <w:rPr>
          <w:i/>
        </w:rPr>
        <w:t>Independente</w:t>
      </w:r>
      <w:proofErr w:type="spellEnd"/>
      <w:r w:rsidR="000C201E">
        <w:rPr>
          <w:i/>
        </w:rPr>
        <w:t xml:space="preserve"> de </w:t>
      </w:r>
      <w:proofErr w:type="spellStart"/>
      <w:r w:rsidR="000C201E">
        <w:rPr>
          <w:i/>
        </w:rPr>
        <w:t>Comunicação</w:t>
      </w:r>
      <w:proofErr w:type="spellEnd"/>
      <w:r w:rsidR="000C201E">
        <w:rPr>
          <w:i/>
        </w:rPr>
        <w:t>, S.A. przeciwko Portugalii</w:t>
      </w:r>
      <w:r w:rsidR="000C201E">
        <w:t xml:space="preserve"> (decyzje), nr 11182/03 i 11319/03, 18 październik</w:t>
      </w:r>
      <w:r w:rsidR="00C156DF">
        <w:t>a</w:t>
      </w:r>
      <w:r w:rsidR="000C201E">
        <w:t xml:space="preserve"> 2005). W swoim wyroku z dnia 14 lipca 2010 roku, w kwestii zajęcia dokumentów i danych informatycznych, Trybunał Konstytucyjny podniósł, że skarżący </w:t>
      </w:r>
      <w:r w:rsidR="006E55F1">
        <w:t>kwestionowali</w:t>
      </w:r>
      <w:r w:rsidR="000C201E">
        <w:t xml:space="preserve"> przede wszystkim decyzje sądowe podjęte w ramach postępowania i że nie był on kompetentny aby badać skargi w tym zakresie. </w:t>
      </w:r>
    </w:p>
    <w:p w:rsidR="00E062A0" w:rsidRPr="006B0F5A" w:rsidRDefault="00403D74" w:rsidP="006B0F5A">
      <w:pPr>
        <w:pStyle w:val="ECHRPara"/>
      </w:pPr>
      <w:fldSimple w:instr=" SEQ level0 \*arabic ">
        <w:r w:rsidR="00F32FF7">
          <w:rPr>
            <w:noProof/>
          </w:rPr>
          <w:t>70</w:t>
        </w:r>
      </w:fldSimple>
      <w:r w:rsidR="000C201E">
        <w:t xml:space="preserve">.  Trybunał wnioskuje z tego, że skarga konstytucyjna złożona przez skarżących nie miała takiego charakteru aby </w:t>
      </w:r>
      <w:r w:rsidR="00ED6699">
        <w:t>możliwe było</w:t>
      </w:r>
      <w:r w:rsidR="000C201E">
        <w:t xml:space="preserve"> naprawienie zarzucanych naruszeń w</w:t>
      </w:r>
      <w:r w:rsidR="002F73DC">
        <w:t xml:space="preserve"> zakresie</w:t>
      </w:r>
      <w:r w:rsidR="000C201E">
        <w:t xml:space="preserve"> </w:t>
      </w:r>
      <w:r w:rsidR="00ED6699">
        <w:t xml:space="preserve">skargi, </w:t>
      </w:r>
      <w:r w:rsidR="000C201E">
        <w:t>któr</w:t>
      </w:r>
      <w:r w:rsidR="00ED6699">
        <w:t>ą</w:t>
      </w:r>
      <w:r w:rsidR="000C201E">
        <w:t xml:space="preserve"> skarżący </w:t>
      </w:r>
      <w:r w:rsidR="002F73DC">
        <w:t>wnieśli</w:t>
      </w:r>
      <w:r w:rsidR="000C201E">
        <w:t xml:space="preserve"> </w:t>
      </w:r>
      <w:r w:rsidR="00ED6699">
        <w:t xml:space="preserve">do Trybunału, </w:t>
      </w:r>
      <w:r w:rsidR="000C201E">
        <w:t>dotycząc</w:t>
      </w:r>
      <w:r w:rsidR="002F73DC">
        <w:t>ej</w:t>
      </w:r>
      <w:r w:rsidR="000C201E">
        <w:t xml:space="preserve"> zajęci</w:t>
      </w:r>
      <w:r w:rsidR="002F73DC">
        <w:t>a</w:t>
      </w:r>
      <w:r w:rsidR="000C201E">
        <w:t xml:space="preserve"> dokumentów i danych informatycznych.  </w:t>
      </w:r>
      <w:r w:rsidR="002F73DC">
        <w:t xml:space="preserve">Zarzut </w:t>
      </w:r>
      <w:r w:rsidR="000C201E">
        <w:t>podniesion</w:t>
      </w:r>
      <w:r w:rsidR="002F73DC">
        <w:t>y</w:t>
      </w:r>
      <w:r w:rsidR="000C201E">
        <w:t xml:space="preserve"> przez Rząd musi więc zostać odrzucon</w:t>
      </w:r>
      <w:r w:rsidR="002F73DC">
        <w:t>y</w:t>
      </w:r>
      <w:r w:rsidR="000C201E">
        <w:t xml:space="preserve">. </w:t>
      </w:r>
    </w:p>
    <w:p w:rsidR="00E062A0" w:rsidRPr="006B0F5A" w:rsidRDefault="000C201E" w:rsidP="00361069">
      <w:pPr>
        <w:pStyle w:val="ECHRHeading3"/>
        <w:numPr>
          <w:ilvl w:val="0"/>
          <w:numId w:val="0"/>
        </w:numPr>
        <w:ind w:left="288"/>
      </w:pPr>
      <w:r>
        <w:t xml:space="preserve">2.  Odnośnie statusu </w:t>
      </w:r>
      <w:r w:rsidR="00361069">
        <w:t>ofiary</w:t>
      </w:r>
      <w:r>
        <w:t xml:space="preserve"> skarżących będących osobami fizycznymi</w:t>
      </w:r>
    </w:p>
    <w:p w:rsidR="007110B8" w:rsidRPr="006B0F5A" w:rsidRDefault="00403D74" w:rsidP="006B0F5A">
      <w:pPr>
        <w:pStyle w:val="ECHRPara"/>
      </w:pPr>
      <w:fldSimple w:instr=" SEQ level0 \*arabic ">
        <w:r w:rsidR="00F32FF7">
          <w:rPr>
            <w:noProof/>
          </w:rPr>
          <w:t>71</w:t>
        </w:r>
      </w:fldSimple>
      <w:r w:rsidR="000C201E">
        <w:t xml:space="preserve">.  Rząd kwestionuje status </w:t>
      </w:r>
      <w:r w:rsidR="00863EC1">
        <w:t xml:space="preserve">ofiary </w:t>
      </w:r>
      <w:r w:rsidR="000C201E">
        <w:t xml:space="preserve">pokrzywdzonych skarżących będących osobami fizycznymi. Utrzymuje, ze drugi, trzeci i piąty ze skarżących nie wskazali żadnych faktów dotyczących ich osobiście, </w:t>
      </w:r>
      <w:r w:rsidR="00882636">
        <w:t xml:space="preserve">myląc </w:t>
      </w:r>
      <w:r w:rsidR="000C201E">
        <w:t>w ich prawa z prawami skarżącej spółki. Jeżeli chodzi o czwartego ze skarżących, Rząd zauważa, że cała "korespondencja" należąca do niego, została mu zwrócona, w następstwie wyroku Sądu Apelacyjnego w Lizbonie z dnia 15 kwietnia 2010 roku, który nakazał anulowanie</w:t>
      </w:r>
      <w:r w:rsidR="00B81087">
        <w:t xml:space="preserve"> jego</w:t>
      </w:r>
      <w:r w:rsidR="000C201E">
        <w:t xml:space="preserve"> oskarżenia, a więc nie był on już </w:t>
      </w:r>
      <w:r w:rsidR="00B81087">
        <w:t xml:space="preserve">ofiarą </w:t>
      </w:r>
      <w:r w:rsidR="000C201E">
        <w:t xml:space="preserve">w przedmiotowej sprawie. </w:t>
      </w:r>
    </w:p>
    <w:p w:rsidR="0010236F" w:rsidRPr="006B0F5A" w:rsidRDefault="00403D74" w:rsidP="006B0F5A">
      <w:pPr>
        <w:pStyle w:val="ECHRPara"/>
      </w:pPr>
      <w:fldSimple w:instr=" SEQ level0 \*arabic ">
        <w:r w:rsidR="00F32FF7">
          <w:rPr>
            <w:noProof/>
          </w:rPr>
          <w:t>72</w:t>
        </w:r>
      </w:fldSimple>
      <w:r w:rsidR="000C201E">
        <w:t xml:space="preserve">.  Skarżący osoby fizyczne twierdzą, że jako adwokaci działający w ramach skarżącej spółki, mają obowiązek zachowania tajemnicy zawodowej zarówno w stosunku do ich własnych klientów jak i wobec klientów spółki.  Utrzymują oni, że jako adwokatów członków (drugi, trzeci i czwarty ze skarżących) i wspólnika (piąty ze skarżących) w skarżącej spółce, zajęte dane informatyczne mogą ich również dotyczyć osobiście, ponieważ pochodzą z </w:t>
      </w:r>
      <w:r w:rsidR="00F63875">
        <w:t xml:space="preserve">dwóch </w:t>
      </w:r>
      <w:r w:rsidR="000C201E">
        <w:t xml:space="preserve">twardych dysków należących do skarżącej spółki, w ten sposób sporne zajęcie naruszyło również ich prawo do poszanowania życia prywatnego i mieszkania. </w:t>
      </w:r>
    </w:p>
    <w:p w:rsidR="0010236F" w:rsidRPr="006B0F5A" w:rsidRDefault="00403D74" w:rsidP="006B0F5A">
      <w:pPr>
        <w:pStyle w:val="ECHRPara"/>
      </w:pPr>
      <w:fldSimple w:instr=" SEQ level0 \*arabic ">
        <w:r w:rsidR="00F32FF7">
          <w:rPr>
            <w:noProof/>
          </w:rPr>
          <w:t>73</w:t>
        </w:r>
      </w:fldSimple>
      <w:r w:rsidR="000C201E">
        <w:t xml:space="preserve">.  Czwarty ze skarżących przyznaje, że korespondencja została mu zwrócona. Zauważa jednakże, że podobnie jak w przypadku innych skarżących, zajęcie innych danych informatycznych trwa nadal. </w:t>
      </w:r>
    </w:p>
    <w:p w:rsidR="00867183" w:rsidRPr="006B0F5A" w:rsidRDefault="00403D74" w:rsidP="006B0F5A">
      <w:pPr>
        <w:pStyle w:val="ECHRPara"/>
      </w:pPr>
      <w:fldSimple w:instr=" SEQ level0 \*arabic ">
        <w:r w:rsidR="00F32FF7">
          <w:rPr>
            <w:noProof/>
          </w:rPr>
          <w:t>74</w:t>
        </w:r>
      </w:fldSimple>
      <w:r w:rsidR="000C201E">
        <w:t xml:space="preserve">.  Trybunał przypomina, że aby powołać się na artykuł 34 Konwencji, skarżący musi wykazać, że ma status </w:t>
      </w:r>
      <w:r w:rsidR="00D742BD">
        <w:t>ofiary</w:t>
      </w:r>
      <w:r w:rsidR="000C201E">
        <w:t xml:space="preserve"> naruszeni</w:t>
      </w:r>
      <w:r w:rsidR="00D742BD">
        <w:t>a</w:t>
      </w:r>
      <w:r w:rsidR="000C201E">
        <w:t xml:space="preserve"> Konwencji.  Zgodnie ze stałą linią orzeczniczą Trybunału, </w:t>
      </w:r>
      <w:r w:rsidR="00EB4835">
        <w:t>pojęcie</w:t>
      </w:r>
      <w:r w:rsidR="000C201E">
        <w:t xml:space="preserve"> "</w:t>
      </w:r>
      <w:r w:rsidR="00D742BD">
        <w:t>ofiary</w:t>
      </w:r>
      <w:r w:rsidR="000C201E">
        <w:t>" musi być interpretowane w sposób autonomiczny i niezależny od pojęć wewnętrznych</w:t>
      </w:r>
      <w:r w:rsidR="00301F27">
        <w:t>,</w:t>
      </w:r>
      <w:r w:rsidR="000C201E">
        <w:t xml:space="preserve"> takich jak te dotyczące interesu czy </w:t>
      </w:r>
      <w:r w:rsidR="00960A3D">
        <w:t>zdolności</w:t>
      </w:r>
      <w:r w:rsidR="000C201E">
        <w:t xml:space="preserve"> </w:t>
      </w:r>
      <w:r w:rsidR="00165C4E">
        <w:t xml:space="preserve">do </w:t>
      </w:r>
      <w:r w:rsidR="000C201E">
        <w:t>działania.  Poza tym, aby skarżący mógł się u</w:t>
      </w:r>
      <w:r w:rsidR="005856FA">
        <w:t>ważać</w:t>
      </w:r>
      <w:r w:rsidR="000C201E">
        <w:t xml:space="preserve"> za </w:t>
      </w:r>
      <w:r w:rsidR="005856FA">
        <w:t>ofiarę</w:t>
      </w:r>
      <w:r w:rsidR="000C201E">
        <w:t xml:space="preserve"> naruszeni</w:t>
      </w:r>
      <w:r w:rsidR="005856FA">
        <w:t>a</w:t>
      </w:r>
      <w:r w:rsidR="000C201E">
        <w:t xml:space="preserve"> Konwencji, musi istnieć wystarczająco bezpośredni związek pomiędzy skarżącym a szkodą, którą twierdzi, że poniósł w związku z faktem </w:t>
      </w:r>
      <w:r w:rsidR="00D51EA8">
        <w:t>zarzucanego</w:t>
      </w:r>
      <w:r w:rsidR="000C201E">
        <w:t xml:space="preserve"> naruszenia (patrz </w:t>
      </w:r>
      <w:proofErr w:type="spellStart"/>
      <w:r w:rsidR="000C201E">
        <w:rPr>
          <w:i/>
        </w:rPr>
        <w:t>Gorraiz</w:t>
      </w:r>
      <w:proofErr w:type="spellEnd"/>
      <w:r w:rsidR="000C201E">
        <w:rPr>
          <w:i/>
        </w:rPr>
        <w:t xml:space="preserve"> </w:t>
      </w:r>
      <w:proofErr w:type="spellStart"/>
      <w:r w:rsidR="000C201E">
        <w:rPr>
          <w:i/>
        </w:rPr>
        <w:t>Lizarraga</w:t>
      </w:r>
      <w:proofErr w:type="spellEnd"/>
      <w:r w:rsidR="000C201E">
        <w:rPr>
          <w:i/>
        </w:rPr>
        <w:t xml:space="preserve"> i inni przeciwko Hiszpanii</w:t>
      </w:r>
      <w:r w:rsidR="000C201E">
        <w:t>, nr 62543/00, § 35, CEDH 2004</w:t>
      </w:r>
      <w:r w:rsidR="000C201E">
        <w:noBreakHyphen/>
        <w:t>III</w:t>
      </w:r>
      <w:r w:rsidR="00D51EA8">
        <w:t>,</w:t>
      </w:r>
      <w:r w:rsidR="000C201E">
        <w:t xml:space="preserve"> </w:t>
      </w:r>
      <w:r w:rsidR="00D51EA8">
        <w:t xml:space="preserve">oraz </w:t>
      </w:r>
      <w:r w:rsidR="000C201E">
        <w:t>odniesienia tam cytowane).</w:t>
      </w:r>
    </w:p>
    <w:p w:rsidR="001426CB" w:rsidRPr="006B0F5A" w:rsidRDefault="00403D74" w:rsidP="006B0F5A">
      <w:pPr>
        <w:pStyle w:val="ECHRPara"/>
        <w:tabs>
          <w:tab w:val="left" w:pos="3828"/>
        </w:tabs>
      </w:pPr>
      <w:fldSimple w:instr=" SEQ level0 \*arabic ">
        <w:r w:rsidR="00F32FF7">
          <w:rPr>
            <w:noProof/>
          </w:rPr>
          <w:t>75</w:t>
        </w:r>
      </w:fldSimple>
      <w:r w:rsidR="000C201E">
        <w:t>.  Trybunał przypomniał ponadto, że przeszukanie przeprowadzone w kancelarii adwokackiej zostało przez niego uznane za ingerencję w "ż</w:t>
      </w:r>
      <w:r w:rsidR="00E629F1">
        <w:t>ycie prywatne" i "korespondencję" oraz,</w:t>
      </w:r>
      <w:r w:rsidR="000C201E">
        <w:t xml:space="preserve"> ewentualnie</w:t>
      </w:r>
      <w:r w:rsidR="00E629F1">
        <w:t>,</w:t>
      </w:r>
      <w:r w:rsidR="000C201E">
        <w:t xml:space="preserve"> mieszkanie, w szerszym znaczeniu niż to wynika z francuskieg</w:t>
      </w:r>
      <w:r w:rsidR="00673BCA">
        <w:t>o terminu</w:t>
      </w:r>
      <w:r w:rsidR="00211FB4">
        <w:t>,</w:t>
      </w:r>
      <w:r w:rsidR="00673BCA">
        <w:t xml:space="preserve"> w porównaniu</w:t>
      </w:r>
      <w:r w:rsidR="000C201E">
        <w:t xml:space="preserve"> do tekstu angielskiego, który używa terminu "</w:t>
      </w:r>
      <w:proofErr w:type="spellStart"/>
      <w:r w:rsidR="000C201E">
        <w:t>home</w:t>
      </w:r>
      <w:proofErr w:type="spellEnd"/>
      <w:r w:rsidR="000C201E">
        <w:t>" (</w:t>
      </w:r>
      <w:proofErr w:type="spellStart"/>
      <w:r w:rsidR="000C201E">
        <w:rPr>
          <w:i/>
        </w:rPr>
        <w:t>Niemietz</w:t>
      </w:r>
      <w:proofErr w:type="spellEnd"/>
      <w:r w:rsidR="000C201E">
        <w:rPr>
          <w:i/>
        </w:rPr>
        <w:t xml:space="preserve"> przeciwko Niemcom</w:t>
      </w:r>
      <w:r w:rsidR="000C201E">
        <w:t xml:space="preserve">, 16 grudnia 1992, §§ 29-33, seria A nr 251-B, i </w:t>
      </w:r>
      <w:proofErr w:type="spellStart"/>
      <w:r w:rsidR="000C201E">
        <w:rPr>
          <w:i/>
        </w:rPr>
        <w:t>Tamosius</w:t>
      </w:r>
      <w:proofErr w:type="spellEnd"/>
      <w:r w:rsidR="000C201E">
        <w:rPr>
          <w:i/>
        </w:rPr>
        <w:t xml:space="preserve"> przeciwko </w:t>
      </w:r>
      <w:r w:rsidR="001927BA">
        <w:rPr>
          <w:i/>
        </w:rPr>
        <w:t>Wielkiej Brytanii</w:t>
      </w:r>
      <w:r w:rsidR="000C201E">
        <w:t xml:space="preserve"> (decyzja), nr 62002/00, CEDH 2002-VIII ; patrz również </w:t>
      </w:r>
      <w:proofErr w:type="spellStart"/>
      <w:r w:rsidR="000C201E">
        <w:rPr>
          <w:i/>
        </w:rPr>
        <w:t>Sallinen</w:t>
      </w:r>
      <w:proofErr w:type="spellEnd"/>
      <w:r w:rsidR="000C201E">
        <w:rPr>
          <w:i/>
        </w:rPr>
        <w:t xml:space="preserve"> i inni przeciwko Finlandii</w:t>
      </w:r>
      <w:r w:rsidR="000C201E">
        <w:t>, nr 50882/99, § 71, 27 wrze</w:t>
      </w:r>
      <w:r w:rsidR="00211FB4">
        <w:t>śnia</w:t>
      </w:r>
      <w:r w:rsidR="000C201E">
        <w:t xml:space="preserve"> 2005, który potwierdza, że przeszukanie pomieszczeń służbowych adwokata narusza również jego prawo do poszanowania "mieszkania"). Trybunał uznał także, że przeszukanie przeprowadzone w siedzibie </w:t>
      </w:r>
      <w:r w:rsidR="00D9172A">
        <w:t>spółki handlowej</w:t>
      </w:r>
      <w:r w:rsidR="000C201E">
        <w:t xml:space="preserve"> naruszało </w:t>
      </w:r>
      <w:r w:rsidR="00D9172A">
        <w:t xml:space="preserve">jej </w:t>
      </w:r>
      <w:r w:rsidR="000C201E">
        <w:t>prawo do poszanowania "mieszkania" (</w:t>
      </w:r>
      <w:r w:rsidR="000C201E">
        <w:rPr>
          <w:i/>
        </w:rPr>
        <w:t xml:space="preserve">Spółka </w:t>
      </w:r>
      <w:proofErr w:type="spellStart"/>
      <w:r w:rsidR="000C201E">
        <w:rPr>
          <w:i/>
        </w:rPr>
        <w:t>Colas</w:t>
      </w:r>
      <w:proofErr w:type="spellEnd"/>
      <w:r w:rsidR="000C201E">
        <w:rPr>
          <w:i/>
        </w:rPr>
        <w:t xml:space="preserve"> Est i inni przeciwko Francji</w:t>
      </w:r>
      <w:r w:rsidR="000C201E">
        <w:t>, nr 37971/97, §§ 40-42, CEDH 2002-III).</w:t>
      </w:r>
    </w:p>
    <w:p w:rsidR="0010236F" w:rsidRPr="006B0F5A" w:rsidRDefault="00403D74" w:rsidP="006B0F5A">
      <w:pPr>
        <w:pStyle w:val="ECHRPara"/>
        <w:tabs>
          <w:tab w:val="left" w:pos="3828"/>
        </w:tabs>
      </w:pPr>
      <w:fldSimple w:instr=" SEQ level0 \*arabic ">
        <w:r w:rsidR="00F32FF7">
          <w:rPr>
            <w:noProof/>
          </w:rPr>
          <w:t>76</w:t>
        </w:r>
      </w:fldSimple>
      <w:r w:rsidR="000C201E">
        <w:t>.  Trybunał uznał również przeszukanie i zajęcie danych elektronicznych za ingerencję w prawo skarżących do poszanowania "korespondencji" w rozumieniu artykułu 8 (</w:t>
      </w:r>
      <w:proofErr w:type="spellStart"/>
      <w:r w:rsidR="000C201E">
        <w:rPr>
          <w:i/>
        </w:rPr>
        <w:t>Wieser</w:t>
      </w:r>
      <w:proofErr w:type="spellEnd"/>
      <w:r w:rsidR="000C201E">
        <w:rPr>
          <w:i/>
        </w:rPr>
        <w:t xml:space="preserve"> i </w:t>
      </w:r>
      <w:proofErr w:type="spellStart"/>
      <w:r w:rsidR="000C201E">
        <w:rPr>
          <w:i/>
        </w:rPr>
        <w:t>Bicos</w:t>
      </w:r>
      <w:proofErr w:type="spellEnd"/>
      <w:r w:rsidR="000C201E">
        <w:rPr>
          <w:i/>
        </w:rPr>
        <w:t xml:space="preserve"> </w:t>
      </w:r>
      <w:proofErr w:type="spellStart"/>
      <w:r w:rsidR="000C201E">
        <w:rPr>
          <w:i/>
        </w:rPr>
        <w:t>Beteiligungen</w:t>
      </w:r>
      <w:proofErr w:type="spellEnd"/>
      <w:r w:rsidR="000C201E">
        <w:rPr>
          <w:i/>
        </w:rPr>
        <w:t xml:space="preserve"> GmbH przeciwko Austrii</w:t>
      </w:r>
      <w:r w:rsidR="000C201E">
        <w:t>, nr 74336/01, § 45, CEDH 2007 IV).</w:t>
      </w:r>
    </w:p>
    <w:p w:rsidR="001426CB" w:rsidRPr="006B0F5A" w:rsidRDefault="00403D74" w:rsidP="006B0F5A">
      <w:pPr>
        <w:pStyle w:val="ECHRPara"/>
        <w:rPr>
          <w:i/>
        </w:rPr>
      </w:pPr>
      <w:fldSimple w:instr=" SEQ level0 \*arabic ">
        <w:r w:rsidR="00F32FF7">
          <w:rPr>
            <w:noProof/>
          </w:rPr>
          <w:t>77</w:t>
        </w:r>
      </w:fldSimple>
      <w:r w:rsidR="000C201E">
        <w:t xml:space="preserve">.  Podkreślił, że w świetle artykułu 8 korespondencja pomiędzy adwokatem i jego klientem, bez względu na jej charakter (w tym korespondencja ściśle zawodowa: </w:t>
      </w:r>
      <w:r w:rsidR="00DF25C0">
        <w:t>w</w:t>
      </w:r>
      <w:r w:rsidR="000C201E">
        <w:t xml:space="preserve">yżej cytowany </w:t>
      </w:r>
      <w:proofErr w:type="spellStart"/>
      <w:r w:rsidR="000C201E">
        <w:rPr>
          <w:i/>
        </w:rPr>
        <w:t>Niemietz</w:t>
      </w:r>
      <w:proofErr w:type="spellEnd"/>
      <w:r w:rsidR="000C201E">
        <w:t xml:space="preserve">, § 32), korzysta z uprzywilejowanego statusu, jeżeli chodzi o </w:t>
      </w:r>
      <w:r w:rsidR="00C13625">
        <w:t xml:space="preserve">jej </w:t>
      </w:r>
      <w:r w:rsidR="000C201E">
        <w:t>poufność (</w:t>
      </w:r>
      <w:r w:rsidR="000C201E">
        <w:rPr>
          <w:i/>
        </w:rPr>
        <w:t xml:space="preserve">Campbell przeciwko </w:t>
      </w:r>
      <w:r w:rsidR="001927BA">
        <w:rPr>
          <w:i/>
        </w:rPr>
        <w:t>Wielkiej Brytanii</w:t>
      </w:r>
      <w:r w:rsidR="000C201E">
        <w:t>, 25 marc</w:t>
      </w:r>
      <w:r w:rsidR="00C13625">
        <w:t>a</w:t>
      </w:r>
      <w:r w:rsidR="000C201E">
        <w:t xml:space="preserve"> 1992, §§ 46-48, seria A nr 233 ; patrz </w:t>
      </w:r>
      <w:r w:rsidR="000C201E">
        <w:lastRenderedPageBreak/>
        <w:t xml:space="preserve">też, </w:t>
      </w:r>
      <w:r w:rsidR="00C13625">
        <w:t>w sz</w:t>
      </w:r>
      <w:r w:rsidR="001927BA">
        <w:t>cz</w:t>
      </w:r>
      <w:r w:rsidR="00C13625">
        <w:t>ególności</w:t>
      </w:r>
      <w:r w:rsidR="000C201E">
        <w:t xml:space="preserve">, </w:t>
      </w:r>
      <w:proofErr w:type="spellStart"/>
      <w:r w:rsidR="000C201E">
        <w:rPr>
          <w:i/>
        </w:rPr>
        <w:t>Ekinci</w:t>
      </w:r>
      <w:proofErr w:type="spellEnd"/>
      <w:r w:rsidR="000C201E">
        <w:rPr>
          <w:i/>
        </w:rPr>
        <w:t xml:space="preserve"> i </w:t>
      </w:r>
      <w:proofErr w:type="spellStart"/>
      <w:r w:rsidR="000C201E">
        <w:rPr>
          <w:i/>
        </w:rPr>
        <w:t>Akalın</w:t>
      </w:r>
      <w:proofErr w:type="spellEnd"/>
      <w:r w:rsidR="000C201E">
        <w:rPr>
          <w:i/>
        </w:rPr>
        <w:t xml:space="preserve"> przeciwko Turcji</w:t>
      </w:r>
      <w:r w:rsidR="000C201E">
        <w:t xml:space="preserve">, nr </w:t>
      </w:r>
      <w:r w:rsidR="000C201E" w:rsidRPr="001927BA">
        <w:rPr>
          <w:u w:val="single"/>
        </w:rPr>
        <w:t>77097/01</w:t>
      </w:r>
      <w:r w:rsidR="000C201E">
        <w:t>, 30 styczeń 2007, § 47 ; ma to zastosowanie, jak wskazano poprzednio, do wszelkich form wymiany informacji pomiędzy adwokatami i ich klientami). Trybunał wskazał</w:t>
      </w:r>
      <w:r w:rsidR="00286D28">
        <w:t xml:space="preserve"> ponadto</w:t>
      </w:r>
      <w:r w:rsidR="000C201E">
        <w:t xml:space="preserve">, że "przykłada szczególną wagę do zagrożenia naruszenia tajemnicy </w:t>
      </w:r>
      <w:r w:rsidR="00B4432C">
        <w:t>adwokackiej</w:t>
      </w:r>
      <w:r w:rsidR="000C201E">
        <w:t>, ponieważ jest ona podstawą</w:t>
      </w:r>
      <w:r w:rsidR="00BA2356">
        <w:t xml:space="preserve"> opartej</w:t>
      </w:r>
      <w:r w:rsidR="000C201E">
        <w:t xml:space="preserve"> na zaufaniu</w:t>
      </w:r>
      <w:r w:rsidR="00BA2356" w:rsidRPr="00BA2356">
        <w:t xml:space="preserve"> </w:t>
      </w:r>
      <w:r w:rsidR="00BA2356">
        <w:t>relacji</w:t>
      </w:r>
      <w:r w:rsidR="000C201E">
        <w:t xml:space="preserve"> pomiędzy adwokatem i jego klientem (</w:t>
      </w:r>
      <w:proofErr w:type="spellStart"/>
      <w:r w:rsidR="000C201E">
        <w:rPr>
          <w:i/>
        </w:rPr>
        <w:t>André</w:t>
      </w:r>
      <w:proofErr w:type="spellEnd"/>
      <w:r w:rsidR="000C201E">
        <w:rPr>
          <w:i/>
        </w:rPr>
        <w:t xml:space="preserve"> i inni przeciwko  Francji</w:t>
      </w:r>
      <w:r w:rsidR="000C201E">
        <w:t>, nr 18603/03, § 41, 24 lipc</w:t>
      </w:r>
      <w:r w:rsidR="00BA2356">
        <w:t>a</w:t>
      </w:r>
      <w:r w:rsidR="000C201E">
        <w:t xml:space="preserve"> 2008 i </w:t>
      </w:r>
      <w:r w:rsidR="000C201E">
        <w:rPr>
          <w:i/>
        </w:rPr>
        <w:t xml:space="preserve">Xavier Da </w:t>
      </w:r>
      <w:proofErr w:type="spellStart"/>
      <w:r w:rsidR="000C201E">
        <w:rPr>
          <w:i/>
        </w:rPr>
        <w:t>Silveira</w:t>
      </w:r>
      <w:proofErr w:type="spellEnd"/>
      <w:r w:rsidR="000C201E">
        <w:rPr>
          <w:i/>
        </w:rPr>
        <w:t xml:space="preserve"> przeciwko  Francji</w:t>
      </w:r>
      <w:r w:rsidR="000C201E">
        <w:t>, nr 43757/05, § 36, 21 stycz</w:t>
      </w:r>
      <w:r w:rsidR="00BA2356">
        <w:t>nia</w:t>
      </w:r>
      <w:r w:rsidR="000C201E">
        <w:t xml:space="preserve"> 2010) i może mieć </w:t>
      </w:r>
      <w:r w:rsidR="00BA2356">
        <w:t>reperkusje</w:t>
      </w:r>
      <w:r w:rsidR="000C201E">
        <w:t xml:space="preserve"> </w:t>
      </w:r>
      <w:r w:rsidR="00056275">
        <w:t xml:space="preserve">dla </w:t>
      </w:r>
      <w:r w:rsidR="000C201E">
        <w:t>właściwe</w:t>
      </w:r>
      <w:r w:rsidR="00056275">
        <w:t>go</w:t>
      </w:r>
      <w:r w:rsidR="000C201E">
        <w:t xml:space="preserve"> funkcjonowani</w:t>
      </w:r>
      <w:r w:rsidR="00056275">
        <w:t>a</w:t>
      </w:r>
      <w:r w:rsidR="000C201E">
        <w:t xml:space="preserve"> wymiaru sprawiedliwości" (</w:t>
      </w:r>
      <w:proofErr w:type="spellStart"/>
      <w:r w:rsidR="000C201E">
        <w:rPr>
          <w:i/>
        </w:rPr>
        <w:t>Wieser</w:t>
      </w:r>
      <w:proofErr w:type="spellEnd"/>
      <w:r w:rsidR="000C201E">
        <w:rPr>
          <w:i/>
        </w:rPr>
        <w:t xml:space="preserve"> i </w:t>
      </w:r>
      <w:proofErr w:type="spellStart"/>
      <w:r w:rsidR="000C201E">
        <w:rPr>
          <w:i/>
        </w:rPr>
        <w:t>Bicos</w:t>
      </w:r>
      <w:proofErr w:type="spellEnd"/>
      <w:r w:rsidR="000C201E">
        <w:rPr>
          <w:i/>
        </w:rPr>
        <w:t>,</w:t>
      </w:r>
      <w:r w:rsidR="000C201E">
        <w:t xml:space="preserve"> wyżej cytowany, §§ 65-66 ; </w:t>
      </w:r>
      <w:proofErr w:type="spellStart"/>
      <w:r w:rsidR="000C201E">
        <w:rPr>
          <w:i/>
        </w:rPr>
        <w:t>Niemietz</w:t>
      </w:r>
      <w:proofErr w:type="spellEnd"/>
      <w:r w:rsidR="000C201E">
        <w:t xml:space="preserve">, wyżej cytowany, § 37, i </w:t>
      </w:r>
      <w:proofErr w:type="spellStart"/>
      <w:r w:rsidR="000C201E">
        <w:rPr>
          <w:i/>
        </w:rPr>
        <w:t>André</w:t>
      </w:r>
      <w:proofErr w:type="spellEnd"/>
      <w:r w:rsidR="000C201E">
        <w:t>, wyżej cytowany § 41).</w:t>
      </w:r>
    </w:p>
    <w:p w:rsidR="0010236F" w:rsidRPr="006B0F5A" w:rsidRDefault="00403D74" w:rsidP="006B0F5A">
      <w:pPr>
        <w:pStyle w:val="ECHRPara"/>
      </w:pPr>
      <w:fldSimple w:instr=" SEQ level0 \*arabic ">
        <w:r w:rsidR="00F32FF7">
          <w:rPr>
            <w:noProof/>
          </w:rPr>
          <w:t>78</w:t>
        </w:r>
      </w:fldSimple>
      <w:r w:rsidR="000C201E">
        <w:t xml:space="preserve">.  W przedmiotowej sprawie Rząd odmawia statusu </w:t>
      </w:r>
      <w:r w:rsidR="00056275">
        <w:t>ofiary</w:t>
      </w:r>
      <w:r w:rsidR="000C201E">
        <w:t xml:space="preserve"> skarżącym osobom fizycznym, akceptując jedynie </w:t>
      </w:r>
      <w:r w:rsidR="00181A37">
        <w:t>ten status u</w:t>
      </w:r>
      <w:r w:rsidR="000C201E">
        <w:t xml:space="preserve"> skarżąc</w:t>
      </w:r>
      <w:r w:rsidR="00181A37">
        <w:t>ej</w:t>
      </w:r>
      <w:r w:rsidR="000C201E">
        <w:t xml:space="preserve"> spółk</w:t>
      </w:r>
      <w:r w:rsidR="00181A37">
        <w:t>i</w:t>
      </w:r>
      <w:r w:rsidR="000C201E">
        <w:t xml:space="preserve">. </w:t>
      </w:r>
    </w:p>
    <w:p w:rsidR="00E6452A" w:rsidRPr="006B0F5A" w:rsidRDefault="00403D74" w:rsidP="006B0F5A">
      <w:pPr>
        <w:pStyle w:val="ECHRPara"/>
        <w:tabs>
          <w:tab w:val="left" w:pos="3828"/>
        </w:tabs>
      </w:pPr>
      <w:fldSimple w:instr=" SEQ level0 \*arabic ">
        <w:r w:rsidR="00F32FF7">
          <w:rPr>
            <w:noProof/>
          </w:rPr>
          <w:t>79</w:t>
        </w:r>
      </w:fldSimple>
      <w:r w:rsidR="000C201E">
        <w:t>.  Trybunał zauważa, że skarżące osoby fizyczne są adwokatami członkami</w:t>
      </w:r>
      <w:r w:rsidR="00181A37">
        <w:t>,</w:t>
      </w:r>
      <w:r w:rsidR="000C201E">
        <w:t xml:space="preserve"> a jeden z nich wspólnikiem skarżącej spółki, wykonującymi w jej ramach swoją działalność zawodową.  Stwierdza też</w:t>
      </w:r>
      <w:r w:rsidR="00C70243">
        <w:t>,</w:t>
      </w:r>
      <w:r w:rsidR="000C201E">
        <w:t xml:space="preserve"> że skarżą się oni wyłącznie na przeszukanie i zajęcie danych informatycznych znajdujących się w systemie informatycznym w</w:t>
      </w:r>
      <w:r w:rsidR="00C70243">
        <w:t xml:space="preserve"> ich</w:t>
      </w:r>
      <w:r w:rsidR="000C201E">
        <w:t xml:space="preserve"> pomieszczeniach służbowych. W konsekwencji Trybunał nie dostrzega żadnego powodu aby rozróżniać w przedmiotowej sprawie sytuację skarżących będących osobami fizycznymi od </w:t>
      </w:r>
      <w:r w:rsidR="005267AD">
        <w:t xml:space="preserve">sytuacji </w:t>
      </w:r>
      <w:r w:rsidR="000C201E">
        <w:t xml:space="preserve">skarżącej spółki, to że adwokat przynależy do spółki nie zwalnia go z jego praw i obowiązków deontologicznych, w szczególności w kwestii dotyczącej obowiązku zachowania tajemnicy zawodowej wobec swoich klientów. </w:t>
      </w:r>
    </w:p>
    <w:p w:rsidR="002262A9" w:rsidRPr="006B0F5A" w:rsidRDefault="00403D74" w:rsidP="006B0F5A">
      <w:pPr>
        <w:pStyle w:val="ECHRPara"/>
      </w:pPr>
      <w:fldSimple w:instr=" SEQ level0 \*arabic ">
        <w:r w:rsidR="00F32FF7">
          <w:rPr>
            <w:noProof/>
          </w:rPr>
          <w:t>80</w:t>
        </w:r>
      </w:fldSimple>
      <w:r w:rsidR="000C201E">
        <w:t xml:space="preserve">.  Trybunał stwierdza również, że nie należy robić rozróżnienia pomiędzy samymi skarżącymi będącymi osobami fizycznymi. </w:t>
      </w:r>
      <w:r w:rsidR="00171398">
        <w:t>W istocie,</w:t>
      </w:r>
      <w:r w:rsidR="000C201E">
        <w:t xml:space="preserve"> </w:t>
      </w:r>
      <w:r w:rsidR="00171398">
        <w:t>przedmiotowe</w:t>
      </w:r>
      <w:r w:rsidR="000C201E">
        <w:t xml:space="preserve"> zajęcie dotyczy ich wszystkich. Fakt, że "korespondencja" dotycząca czwartego ze skarżących </w:t>
      </w:r>
      <w:r w:rsidR="00171398">
        <w:t>zapisa</w:t>
      </w:r>
      <w:r w:rsidR="000C201E">
        <w:t>na na płytach DVD została mu zwrócona</w:t>
      </w:r>
      <w:r w:rsidR="009E70B3">
        <w:t>,</w:t>
      </w:r>
      <w:r w:rsidR="000C201E">
        <w:t xml:space="preserve"> nie jest więc istotn</w:t>
      </w:r>
      <w:r w:rsidR="009E70B3">
        <w:t>y</w:t>
      </w:r>
      <w:r w:rsidR="000C201E">
        <w:t xml:space="preserve"> w przedmiotowej sprawie</w:t>
      </w:r>
      <w:r w:rsidR="009E70B3">
        <w:t>.  W istocie,</w:t>
      </w:r>
      <w:r w:rsidR="000C201E">
        <w:t xml:space="preserve"> </w:t>
      </w:r>
      <w:r w:rsidR="009E70B3">
        <w:t xml:space="preserve"> </w:t>
      </w:r>
      <w:r w:rsidR="000C201E">
        <w:t xml:space="preserve">jest tu kwestionowane zajęcie innych danych informatycznych, materiałów, które dotyczą wszystkich członków skarżącej spółki. </w:t>
      </w:r>
    </w:p>
    <w:p w:rsidR="0010236F" w:rsidRPr="006B0F5A" w:rsidRDefault="00403D74" w:rsidP="006B0F5A">
      <w:pPr>
        <w:pStyle w:val="ECHRPara"/>
      </w:pPr>
      <w:fldSimple w:instr=" SEQ level0 \*arabic ">
        <w:r w:rsidR="00F32FF7">
          <w:rPr>
            <w:noProof/>
          </w:rPr>
          <w:t>81</w:t>
        </w:r>
      </w:fldSimple>
      <w:r w:rsidR="000C201E">
        <w:t xml:space="preserve">.  W świetle powyższego, </w:t>
      </w:r>
      <w:r w:rsidR="00C020F9">
        <w:t>zarzut</w:t>
      </w:r>
      <w:r w:rsidR="000C201E">
        <w:t xml:space="preserve"> Rząd</w:t>
      </w:r>
      <w:r w:rsidR="00C020F9">
        <w:t>u</w:t>
      </w:r>
      <w:r w:rsidR="000C201E">
        <w:t xml:space="preserve"> wywiedzion</w:t>
      </w:r>
      <w:r w:rsidR="00C020F9">
        <w:t>y</w:t>
      </w:r>
      <w:r w:rsidR="000C201E">
        <w:t xml:space="preserve"> z baraku status</w:t>
      </w:r>
      <w:r w:rsidR="00C020F9">
        <w:t>u ofiary po stronie</w:t>
      </w:r>
      <w:r w:rsidR="000C201E">
        <w:t xml:space="preserve"> skarżących</w:t>
      </w:r>
      <w:r w:rsidR="00C020F9">
        <w:t>,</w:t>
      </w:r>
      <w:r w:rsidR="000C201E">
        <w:t xml:space="preserve"> musi zostać odrzucon</w:t>
      </w:r>
      <w:r w:rsidR="00C020F9">
        <w:t>y</w:t>
      </w:r>
      <w:r w:rsidR="000C201E">
        <w:t xml:space="preserve">. </w:t>
      </w:r>
    </w:p>
    <w:p w:rsidR="009623C9" w:rsidRPr="006B0F5A" w:rsidRDefault="000C201E" w:rsidP="00C020F9">
      <w:pPr>
        <w:pStyle w:val="ECHRHeading3"/>
        <w:numPr>
          <w:ilvl w:val="0"/>
          <w:numId w:val="0"/>
        </w:numPr>
        <w:ind w:left="288"/>
      </w:pPr>
      <w:r>
        <w:t>3.  Konkluzja</w:t>
      </w:r>
    </w:p>
    <w:p w:rsidR="002262A9" w:rsidRPr="006B0F5A" w:rsidRDefault="00403D74" w:rsidP="006B0F5A">
      <w:pPr>
        <w:pStyle w:val="ECHRPara"/>
      </w:pPr>
      <w:fldSimple w:instr=" SEQ level0 \*arabic ">
        <w:r w:rsidR="00F32FF7">
          <w:rPr>
            <w:noProof/>
          </w:rPr>
          <w:t>82</w:t>
        </w:r>
      </w:fldSimple>
      <w:r w:rsidR="000C201E">
        <w:t>.  Trybunał stwierdza, że skargi skarżących wywiedzione z artykułu 8 Konwencji nie są</w:t>
      </w:r>
      <w:r w:rsidR="001D7BB6">
        <w:t xml:space="preserve"> w sposób oczywisty nieuzasadnione</w:t>
      </w:r>
      <w:r w:rsidR="000C201E">
        <w:t xml:space="preserve"> w rozumieniu artykułu 35 § 3 a) Konwencji. </w:t>
      </w:r>
      <w:r w:rsidR="00204EAA">
        <w:t>Trybunał p</w:t>
      </w:r>
      <w:r w:rsidR="000C201E">
        <w:t xml:space="preserve">odnosi również, że skargi nie są niedopuszczalne </w:t>
      </w:r>
      <w:r w:rsidR="001D7BB6">
        <w:t xml:space="preserve">również </w:t>
      </w:r>
      <w:r w:rsidR="00E42B4C">
        <w:t>z żadnego innego powodu</w:t>
      </w:r>
      <w:r w:rsidR="000C201E">
        <w:t>. Należy więc uznać je za dopuszczaln</w:t>
      </w:r>
      <w:r w:rsidR="00E42B4C">
        <w:t>e</w:t>
      </w:r>
      <w:r w:rsidR="000C201E">
        <w:t>.</w:t>
      </w:r>
    </w:p>
    <w:p w:rsidR="00202A3F" w:rsidRPr="006B0F5A" w:rsidRDefault="000C201E" w:rsidP="001F2961">
      <w:pPr>
        <w:pStyle w:val="ECHRHeading2"/>
        <w:numPr>
          <w:ilvl w:val="0"/>
          <w:numId w:val="0"/>
        </w:numPr>
      </w:pPr>
      <w:r>
        <w:lastRenderedPageBreak/>
        <w:t>B. Co do istoty sprawy</w:t>
      </w:r>
    </w:p>
    <w:p w:rsidR="00202A3F" w:rsidRPr="006B0F5A" w:rsidRDefault="000C201E" w:rsidP="00E91E58">
      <w:pPr>
        <w:pStyle w:val="ECHRHeading3"/>
        <w:numPr>
          <w:ilvl w:val="0"/>
          <w:numId w:val="0"/>
        </w:numPr>
        <w:ind w:left="288"/>
      </w:pPr>
      <w:r>
        <w:t>1.  Twierdzenia stron</w:t>
      </w:r>
    </w:p>
    <w:p w:rsidR="00491EA8" w:rsidRPr="006B0F5A" w:rsidRDefault="000C201E" w:rsidP="00E91E58">
      <w:pPr>
        <w:pStyle w:val="ECHRHeading4"/>
        <w:numPr>
          <w:ilvl w:val="0"/>
          <w:numId w:val="0"/>
        </w:numPr>
        <w:ind w:left="720"/>
      </w:pPr>
      <w:r>
        <w:t>a) Skarżący</w:t>
      </w:r>
    </w:p>
    <w:p w:rsidR="0010236F" w:rsidRPr="006B0F5A" w:rsidRDefault="00403D74" w:rsidP="006B0F5A">
      <w:pPr>
        <w:pStyle w:val="ECHRPara"/>
      </w:pPr>
      <w:fldSimple w:instr=" SEQ level0 \*arabic ">
        <w:r w:rsidR="00F32FF7">
          <w:rPr>
            <w:noProof/>
          </w:rPr>
          <w:t>83</w:t>
        </w:r>
      </w:fldSimple>
      <w:r w:rsidR="000C201E">
        <w:t xml:space="preserve">.  Powołując się na artykuł 8 Konwencji, skarżący </w:t>
      </w:r>
      <w:r w:rsidR="00EA029B">
        <w:t xml:space="preserve">kwestionują </w:t>
      </w:r>
      <w:r w:rsidR="000C201E">
        <w:t xml:space="preserve"> przeszukanie i zajęcie plików informatycznych </w:t>
      </w:r>
      <w:r w:rsidR="00EA029B">
        <w:t>oraz</w:t>
      </w:r>
      <w:r w:rsidR="000C201E">
        <w:t xml:space="preserve"> wiadomości elektronicznych </w:t>
      </w:r>
      <w:r w:rsidR="00EA029B">
        <w:t>w</w:t>
      </w:r>
      <w:r w:rsidR="000C201E">
        <w:t xml:space="preserve"> system</w:t>
      </w:r>
      <w:r w:rsidR="00EA029B">
        <w:t>ie</w:t>
      </w:r>
      <w:r w:rsidR="000C201E">
        <w:t xml:space="preserve"> informatyczn</w:t>
      </w:r>
      <w:r w:rsidR="00EA029B">
        <w:t>ym</w:t>
      </w:r>
      <w:r w:rsidR="000C201E">
        <w:t xml:space="preserve"> ich pomieszczeń służbowych. </w:t>
      </w:r>
    </w:p>
    <w:p w:rsidR="0010236F" w:rsidRPr="006B0F5A" w:rsidRDefault="00403D74" w:rsidP="006B0F5A">
      <w:pPr>
        <w:pStyle w:val="ECHRPara"/>
      </w:pPr>
      <w:fldSimple w:instr=" SEQ level0 \*arabic ">
        <w:r w:rsidR="00F32FF7">
          <w:rPr>
            <w:noProof/>
          </w:rPr>
          <w:t>84</w:t>
        </w:r>
      </w:fldSimple>
      <w:r w:rsidR="008861E0">
        <w:t>.  Skarżą się na to, że p</w:t>
      </w:r>
      <w:r w:rsidR="001D1E1D">
        <w:t>oszukiwania</w:t>
      </w:r>
      <w:r w:rsidR="000C201E">
        <w:t xml:space="preserve"> odbywał</w:t>
      </w:r>
      <w:r w:rsidR="001D1E1D">
        <w:t>y</w:t>
      </w:r>
      <w:r w:rsidR="000C201E">
        <w:t xml:space="preserve"> się na podstawie 35 słów kluczowych, a w szczególności na podstawie słów potocznie używanych, na dodatek w ramach kancelarii adwokackiej, słów takich jak "wynagrodzenia", "</w:t>
      </w:r>
      <w:proofErr w:type="spellStart"/>
      <w:r w:rsidR="000C201E">
        <w:t>Banco</w:t>
      </w:r>
      <w:proofErr w:type="spellEnd"/>
      <w:r w:rsidR="000C201E">
        <w:t xml:space="preserve"> </w:t>
      </w:r>
      <w:proofErr w:type="spellStart"/>
      <w:r w:rsidR="000C201E">
        <w:t>Espírito</w:t>
      </w:r>
      <w:proofErr w:type="spellEnd"/>
      <w:r w:rsidR="000C201E">
        <w:t xml:space="preserve"> Santo", "</w:t>
      </w:r>
      <w:proofErr w:type="spellStart"/>
      <w:r w:rsidR="000C201E">
        <w:rPr>
          <w:i/>
        </w:rPr>
        <w:t>swap</w:t>
      </w:r>
      <w:proofErr w:type="spellEnd"/>
      <w:r w:rsidR="000C201E">
        <w:t>", "finansowanie" czy "</w:t>
      </w:r>
      <w:proofErr w:type="spellStart"/>
      <w:r w:rsidR="000C201E">
        <w:rPr>
          <w:i/>
        </w:rPr>
        <w:t>spread</w:t>
      </w:r>
      <w:proofErr w:type="spellEnd"/>
      <w:r w:rsidR="000C201E">
        <w:t>", co w konsekwencji spowodowało, że zakresem p</w:t>
      </w:r>
      <w:r w:rsidR="009365A0">
        <w:t>oszukiwań</w:t>
      </w:r>
      <w:r w:rsidR="000C201E">
        <w:t xml:space="preserve"> objęte zostały pliki informatyczne i wiadomości elektroniczne bez związku z</w:t>
      </w:r>
      <w:r w:rsidR="00C373C5">
        <w:t>e</w:t>
      </w:r>
      <w:r w:rsidR="000C201E">
        <w:t xml:space="preserve"> śledztwem.</w:t>
      </w:r>
    </w:p>
    <w:p w:rsidR="0010236F" w:rsidRPr="006B0F5A" w:rsidRDefault="00403D74" w:rsidP="006B0F5A">
      <w:pPr>
        <w:pStyle w:val="ECHRPara"/>
      </w:pPr>
      <w:fldSimple w:instr=" SEQ level0 \*arabic ">
        <w:r w:rsidR="00F32FF7">
          <w:rPr>
            <w:noProof/>
          </w:rPr>
          <w:t>85</w:t>
        </w:r>
      </w:fldSimple>
      <w:r w:rsidR="000C201E">
        <w:t>.  Skarżący podnoszą, że sędzia śledczy TCIC w Lizbonie jest jedynym sędzią w Portugalii odpowiedzialny</w:t>
      </w:r>
      <w:r w:rsidR="009365A0">
        <w:t>m</w:t>
      </w:r>
      <w:r w:rsidR="000C201E">
        <w:t xml:space="preserve"> za najbardziej złożone sprawy kryminalne oraz</w:t>
      </w:r>
      <w:r w:rsidR="009365A0">
        <w:t>,</w:t>
      </w:r>
      <w:r w:rsidR="000C201E">
        <w:t xml:space="preserve"> że </w:t>
      </w:r>
      <w:r w:rsidR="00422B9F">
        <w:t>wiele</w:t>
      </w:r>
      <w:r w:rsidR="000C201E">
        <w:t xml:space="preserve"> z tych spraw dotycz</w:t>
      </w:r>
      <w:r w:rsidR="00422B9F">
        <w:t>y</w:t>
      </w:r>
      <w:r w:rsidR="000C201E">
        <w:t xml:space="preserve"> </w:t>
      </w:r>
      <w:r w:rsidR="00B06B56">
        <w:t xml:space="preserve">niektórych </w:t>
      </w:r>
      <w:r w:rsidR="000C201E">
        <w:t xml:space="preserve">ich klientów, na poparcie czego </w:t>
      </w:r>
      <w:r w:rsidR="00B06B56">
        <w:t>wskazali</w:t>
      </w:r>
      <w:r w:rsidR="000C201E">
        <w:t xml:space="preserve"> dwie sprawy tytułem przykładu.  Potwierdzają, że jako pierwszy z organów władzy, który zapoznaje się z zawartością zajętych danych</w:t>
      </w:r>
      <w:r w:rsidR="00C83142">
        <w:t>,</w:t>
      </w:r>
      <w:r w:rsidR="000C201E">
        <w:t xml:space="preserve"> jak to przewiduje artykuł 179 § 3 KPK mając</w:t>
      </w:r>
      <w:r w:rsidR="00C83142">
        <w:t>y</w:t>
      </w:r>
      <w:r w:rsidR="000C201E">
        <w:t xml:space="preserve"> zastosowanie w związku z artykułem 180 § 3 KPK, sędzia śledczy uzyskuje dostęp do informacji bez </w:t>
      </w:r>
      <w:r w:rsidR="00C83142">
        <w:t xml:space="preserve">żadnego </w:t>
      </w:r>
      <w:r w:rsidR="000C201E">
        <w:t xml:space="preserve">związku ze śledztwem, które leży u </w:t>
      </w:r>
      <w:r w:rsidR="005A2D13">
        <w:t>podstaw</w:t>
      </w:r>
      <w:r w:rsidR="000C201E">
        <w:t xml:space="preserve"> przeszukania i zajęcia. Uzna</w:t>
      </w:r>
      <w:r w:rsidR="005A2D13">
        <w:t>ją</w:t>
      </w:r>
      <w:r w:rsidR="000C201E">
        <w:t xml:space="preserve">, że w związku z tym ten sędzia śledczy może mieć dostęp do dokumentów objętych tajemnicą zawodową, </w:t>
      </w:r>
      <w:r w:rsidR="003E2FAF">
        <w:t xml:space="preserve">czyli </w:t>
      </w:r>
      <w:r w:rsidR="000C201E">
        <w:t>osobistych</w:t>
      </w:r>
      <w:r w:rsidR="003E2FAF">
        <w:t>,</w:t>
      </w:r>
      <w:r w:rsidR="000C201E">
        <w:t xml:space="preserve"> i że mogą one dotyczyć innych spraw, które sędzia śledczy nadzoruje. Według nich, </w:t>
      </w:r>
      <w:r w:rsidR="00AF60EC">
        <w:t>skarga</w:t>
      </w:r>
      <w:r w:rsidR="000C201E">
        <w:t xml:space="preserve"> wniesion</w:t>
      </w:r>
      <w:r w:rsidR="00AF60EC">
        <w:t>a</w:t>
      </w:r>
      <w:r w:rsidR="000C201E">
        <w:t xml:space="preserve"> do Pr</w:t>
      </w:r>
      <w:r w:rsidR="00AF60EC">
        <w:t>ezesa</w:t>
      </w:r>
      <w:r w:rsidR="000C201E">
        <w:t xml:space="preserve"> Sądu Apelacyjnego nie stanowił</w:t>
      </w:r>
      <w:r w:rsidR="00AF60EC">
        <w:t>a</w:t>
      </w:r>
      <w:r w:rsidR="000C201E">
        <w:t xml:space="preserve"> mechanizmu zapobiegającego naruszeniom, ponieważ nie pozwolił</w:t>
      </w:r>
      <w:r w:rsidR="00AF60EC">
        <w:t>a</w:t>
      </w:r>
      <w:r w:rsidR="000C201E">
        <w:t xml:space="preserve"> uniknąć</w:t>
      </w:r>
      <w:r w:rsidR="00A2245A">
        <w:t>,</w:t>
      </w:r>
      <w:r w:rsidR="000C201E">
        <w:t xml:space="preserve"> aby sędzia śledczy TCIC uzyskał dostęp do zajętych materiałów. Byłoby tak</w:t>
      </w:r>
      <w:r w:rsidR="00A2245A">
        <w:t>,</w:t>
      </w:r>
      <w:r w:rsidR="000C201E">
        <w:t xml:space="preserve"> gdyby selekcja plików została najpierw przeprowadzona przez Pr</w:t>
      </w:r>
      <w:r w:rsidR="00A2245A">
        <w:t>ezesa</w:t>
      </w:r>
      <w:r w:rsidR="000C201E">
        <w:t xml:space="preserve"> Sądu Apelacyjnego. </w:t>
      </w:r>
    </w:p>
    <w:p w:rsidR="0010236F" w:rsidRPr="006B0F5A" w:rsidRDefault="00403D74" w:rsidP="006B0F5A">
      <w:pPr>
        <w:pStyle w:val="ECHRPara"/>
      </w:pPr>
      <w:fldSimple w:instr=" SEQ level0 \*arabic ">
        <w:r w:rsidR="00F32FF7">
          <w:rPr>
            <w:noProof/>
          </w:rPr>
          <w:t>86</w:t>
        </w:r>
      </w:fldSimple>
      <w:r w:rsidR="000C201E">
        <w:t>.  </w:t>
      </w:r>
      <w:r w:rsidR="006172BE">
        <w:t>Kwestionują</w:t>
      </w:r>
      <w:r w:rsidR="000C201E">
        <w:t xml:space="preserve"> brak zwrotu kopii zajętych materiałów informatycznych pomimo </w:t>
      </w:r>
      <w:r w:rsidR="006172BE">
        <w:t>umorzenia</w:t>
      </w:r>
      <w:r w:rsidR="000C201E">
        <w:t xml:space="preserve"> postępowania karnego, które było </w:t>
      </w:r>
      <w:r w:rsidR="001E0D72">
        <w:t>wszczęte wobec</w:t>
      </w:r>
      <w:r w:rsidR="000C201E">
        <w:t xml:space="preserve"> B.A. </w:t>
      </w:r>
    </w:p>
    <w:p w:rsidR="00A91C18" w:rsidRPr="006B0F5A" w:rsidRDefault="00403D74" w:rsidP="006B0F5A">
      <w:pPr>
        <w:pStyle w:val="ECHRPara"/>
      </w:pPr>
      <w:fldSimple w:instr=" SEQ level0 \*arabic ">
        <w:r w:rsidR="00F32FF7">
          <w:rPr>
            <w:noProof/>
          </w:rPr>
          <w:t>87</w:t>
        </w:r>
      </w:fldSimple>
      <w:r w:rsidR="001E0D72">
        <w:t>.  Końcowo,</w:t>
      </w:r>
      <w:r w:rsidR="000C201E">
        <w:t xml:space="preserve"> skarżący </w:t>
      </w:r>
      <w:r w:rsidR="00782FF4">
        <w:t>wskazują</w:t>
      </w:r>
      <w:r w:rsidR="000C201E">
        <w:t xml:space="preserve">, że kopie zajętych plików informatycznych i wiadomości elektronicznych zostały wyłączone z akt śledztwa dotyczącego B.A., które jest obecnie </w:t>
      </w:r>
      <w:r w:rsidR="00782FF4">
        <w:t>u</w:t>
      </w:r>
      <w:r w:rsidR="00867B48">
        <w:t>morzone</w:t>
      </w:r>
      <w:r w:rsidR="000E59BF">
        <w:t xml:space="preserve"> (postępowanie</w:t>
      </w:r>
      <w:r w:rsidR="000C201E">
        <w:t xml:space="preserve"> wewnętrzn</w:t>
      </w:r>
      <w:r w:rsidR="000E59BF">
        <w:t>e</w:t>
      </w:r>
      <w:r w:rsidR="000C201E">
        <w:t xml:space="preserve"> nr 56/06.2TELSB) w celu ich załączenia do śledztwa wszczętego przeciwko innym podejrzanym (p</w:t>
      </w:r>
      <w:r w:rsidR="000E59BF">
        <w:t>ostępowanie</w:t>
      </w:r>
      <w:r w:rsidR="000C201E">
        <w:t xml:space="preserve"> nr 222/11.9TELSB). Zarzucają w szczególności, że wiadomości elektroniczne, zarówno prywatne jak i służbowe</w:t>
      </w:r>
      <w:r w:rsidR="000E59BF">
        <w:t>, wymieniane</w:t>
      </w:r>
      <w:r w:rsidR="000C201E">
        <w:t xml:space="preserve"> pomiędzy adwokatami skarżącej spółki i ich klientami, bez żadnego związku ze śledztwem </w:t>
      </w:r>
      <w:r w:rsidR="00175FBC">
        <w:t>wszczętym</w:t>
      </w:r>
      <w:r w:rsidR="000C201E">
        <w:t xml:space="preserve"> przeciwko adwokatowi B.A. zostały włączone do </w:t>
      </w:r>
      <w:r w:rsidR="005653D1">
        <w:t xml:space="preserve">tego </w:t>
      </w:r>
      <w:r w:rsidR="000C201E">
        <w:t xml:space="preserve">nowego postępowania. Ponieważ </w:t>
      </w:r>
      <w:r w:rsidR="005653D1">
        <w:t>c</w:t>
      </w:r>
      <w:r w:rsidR="000C201E">
        <w:t xml:space="preserve">i adwokaci nie zostali oskarżeni w </w:t>
      </w:r>
      <w:r w:rsidR="000C201E">
        <w:lastRenderedPageBreak/>
        <w:t xml:space="preserve">ramach jakiegokolwiek śledztwa, stanowiło to naruszenie artykułu 71 § 1 Statutu Izby Adwokackiej i tajemnicy </w:t>
      </w:r>
      <w:r w:rsidR="005653D1">
        <w:t>zawodowej</w:t>
      </w:r>
      <w:r w:rsidR="000C201E">
        <w:t xml:space="preserve">. </w:t>
      </w:r>
    </w:p>
    <w:p w:rsidR="00491EA8" w:rsidRPr="006B0F5A" w:rsidRDefault="000C201E" w:rsidP="00A13043">
      <w:pPr>
        <w:pStyle w:val="ECHRHeading4"/>
        <w:numPr>
          <w:ilvl w:val="0"/>
          <w:numId w:val="0"/>
        </w:numPr>
        <w:ind w:left="720"/>
      </w:pPr>
      <w:r>
        <w:t>c) Rząd</w:t>
      </w:r>
    </w:p>
    <w:p w:rsidR="0010236F" w:rsidRPr="006B0F5A" w:rsidRDefault="00403D74" w:rsidP="006B0F5A">
      <w:pPr>
        <w:pStyle w:val="ECHRPara"/>
      </w:pPr>
      <w:fldSimple w:instr=" SEQ level0 \*arabic ">
        <w:r w:rsidR="00F32FF7">
          <w:rPr>
            <w:noProof/>
          </w:rPr>
          <w:t>88</w:t>
        </w:r>
      </w:fldSimple>
      <w:r w:rsidR="000C201E">
        <w:t xml:space="preserve">.  Rząd przyznaje, że </w:t>
      </w:r>
      <w:r w:rsidR="00CF06CC">
        <w:t>zaistnienie ingerencji w przedmiotowej sprawie</w:t>
      </w:r>
      <w:r w:rsidR="000C201E">
        <w:t xml:space="preserve">.  </w:t>
      </w:r>
      <w:r w:rsidR="00016128">
        <w:t>Podkreśla</w:t>
      </w:r>
      <w:r w:rsidR="000C201E">
        <w:t>, że był</w:t>
      </w:r>
      <w:r w:rsidR="00016128">
        <w:t>a</w:t>
      </w:r>
      <w:r w:rsidR="000C201E">
        <w:t xml:space="preserve"> ono przewidzian</w:t>
      </w:r>
      <w:r w:rsidR="00016128">
        <w:t>a</w:t>
      </w:r>
      <w:r w:rsidR="000C201E">
        <w:t xml:space="preserve"> przez prawo i zostało zastosowan</w:t>
      </w:r>
      <w:r w:rsidR="00016128">
        <w:t>a</w:t>
      </w:r>
      <w:r w:rsidR="000C201E">
        <w:t xml:space="preserve"> w </w:t>
      </w:r>
      <w:r w:rsidR="00016128">
        <w:t>uzasadnionym</w:t>
      </w:r>
      <w:r w:rsidR="000C201E">
        <w:t xml:space="preserve"> celu, czyli zapobieżeniu przestępstwom, śledztwo, o którym mowa</w:t>
      </w:r>
      <w:r w:rsidR="00016128">
        <w:t>,</w:t>
      </w:r>
      <w:r w:rsidR="000C201E">
        <w:t xml:space="preserve"> dotyczyło bowiem między innymi zarzutów korupcji i prania pieniędzy. Nawet jeżeli skarżący nie posiadali statusu osób oskarżonych, to istniały powody</w:t>
      </w:r>
      <w:r w:rsidR="003F7876">
        <w:t>,</w:t>
      </w:r>
      <w:r w:rsidR="000C201E">
        <w:t xml:space="preserve"> aby przypuszczać, że </w:t>
      </w:r>
      <w:r w:rsidR="00F70647">
        <w:t>całość</w:t>
      </w:r>
      <w:r w:rsidR="000C201E">
        <w:t xml:space="preserve"> </w:t>
      </w:r>
      <w:r w:rsidR="00F70647">
        <w:t>dowodów</w:t>
      </w:r>
      <w:r w:rsidR="000C201E">
        <w:t xml:space="preserve"> istotnych dla śledztwa znajdowała się w instalacjach kancelarii adwokackiej, biorąc pod uwagę</w:t>
      </w:r>
      <w:r w:rsidR="007D7065">
        <w:t>,</w:t>
      </w:r>
      <w:r w:rsidR="000C201E">
        <w:t xml:space="preserve"> że sprawy były prowadzone przez B.A., byłego adwokata skarżącej spółki, a następnie przez czwartego ze skarżących</w:t>
      </w:r>
      <w:r w:rsidR="007D7065">
        <w:t>,</w:t>
      </w:r>
      <w:r w:rsidR="000C201E">
        <w:t xml:space="preserve"> i że żaden dokument nie został odnaleziony w Ministerstwie Obrony. Rząd </w:t>
      </w:r>
      <w:r w:rsidR="004B01AC">
        <w:t>s</w:t>
      </w:r>
      <w:r w:rsidR="000C201E">
        <w:t>twierdza, że ograniczenie było konieczne w społeczeństwie demokratycznym i proporcjonalne w stosunku do zamierzonego celu</w:t>
      </w:r>
      <w:r w:rsidR="004B01AC">
        <w:t xml:space="preserve"> oraz,</w:t>
      </w:r>
      <w:r w:rsidR="000C201E">
        <w:t xml:space="preserve"> że zachowana została właściwa równowaga pomiędzy </w:t>
      </w:r>
      <w:r w:rsidR="004B01AC">
        <w:t>interesem</w:t>
      </w:r>
      <w:r w:rsidR="000C201E">
        <w:t xml:space="preserve"> śledztwa i prawami skarżących. Z pewnością, zajęt</w:t>
      </w:r>
      <w:r w:rsidR="00A60559">
        <w:t>ych</w:t>
      </w:r>
      <w:r w:rsidR="000C201E">
        <w:t xml:space="preserve"> został</w:t>
      </w:r>
      <w:r w:rsidR="00A60559">
        <w:t>o</w:t>
      </w:r>
      <w:r w:rsidR="000C201E">
        <w:t xml:space="preserve"> </w:t>
      </w:r>
      <w:r w:rsidR="00A60559">
        <w:t>wiele istotnych dowodów</w:t>
      </w:r>
      <w:r w:rsidR="000C201E">
        <w:t>.  Niemniej jednak</w:t>
      </w:r>
      <w:r w:rsidR="00A60559">
        <w:t>,</w:t>
      </w:r>
      <w:r w:rsidR="000C201E">
        <w:t xml:space="preserve"> ma to swoje uzasadnienie w rozmiarze i wyjątkowym skomplikowaniu śledztwa. Poza tym, p</w:t>
      </w:r>
      <w:r w:rsidR="005662EE">
        <w:t>o</w:t>
      </w:r>
      <w:r w:rsidR="000C201E">
        <w:t>szuk</w:t>
      </w:r>
      <w:r w:rsidR="005662EE">
        <w:t>iw</w:t>
      </w:r>
      <w:r w:rsidR="000C201E">
        <w:t>ani</w:t>
      </w:r>
      <w:r w:rsidR="005662EE">
        <w:t>a</w:t>
      </w:r>
      <w:r w:rsidR="000C201E">
        <w:t xml:space="preserve"> informatyczne odbył</w:t>
      </w:r>
      <w:r w:rsidR="005662EE">
        <w:t>y</w:t>
      </w:r>
      <w:r w:rsidR="000C201E">
        <w:t xml:space="preserve"> się na podstawie 35 słów kluczowych pozostających w związku z przedmiotem śledztwa, co pozwoliło w rozsądny sposób </w:t>
      </w:r>
      <w:r w:rsidR="00F717A2">
        <w:t>ukierunkować</w:t>
      </w:r>
      <w:r w:rsidR="000C201E">
        <w:t xml:space="preserve"> przeszukanie, minimalizując przez to </w:t>
      </w:r>
      <w:r w:rsidR="00D4185D">
        <w:t>ingerencję</w:t>
      </w:r>
      <w:r w:rsidR="000C201E">
        <w:t xml:space="preserve">.  </w:t>
      </w:r>
    </w:p>
    <w:p w:rsidR="0010236F" w:rsidRPr="006B0F5A" w:rsidRDefault="00403D74" w:rsidP="006B0F5A">
      <w:pPr>
        <w:pStyle w:val="ECHRPara"/>
      </w:pPr>
      <w:fldSimple w:instr=" SEQ level0 \*arabic ">
        <w:r w:rsidR="00F32FF7">
          <w:rPr>
            <w:noProof/>
          </w:rPr>
          <w:t>89</w:t>
        </w:r>
      </w:fldSimple>
      <w:r w:rsidR="000C201E">
        <w:t xml:space="preserve">.  Rząd podkreśla, że prawo krajowe </w:t>
      </w:r>
      <w:r w:rsidR="000F5330">
        <w:t>daje szereg</w:t>
      </w:r>
      <w:r w:rsidR="000C201E">
        <w:t xml:space="preserve"> gwarancji procesowych przewidzianych w przypadkach przeszukania w kancelarii adwokackiej i wszystkie z nich były przestrzegane w przedmiotowej sprawie.  Wszystkie zatrzymane materiały zostały zaplombowane w wyniku </w:t>
      </w:r>
      <w:r w:rsidR="00B463B8">
        <w:t>sprzeciwu</w:t>
      </w:r>
      <w:r w:rsidR="000C201E">
        <w:t xml:space="preserve"> złożonego przez skarżących.  Przedstawiciel Izby Adwokackiej i czterech skarżących będących osobami fizycznymi byli obecni podczas przeszuka</w:t>
      </w:r>
      <w:r w:rsidR="007065A1">
        <w:t>ń</w:t>
      </w:r>
      <w:r w:rsidR="000C201E">
        <w:t xml:space="preserve"> i zajęć.  Ponadto sędzia śledczy zezwolił </w:t>
      </w:r>
      <w:r w:rsidR="00F670EE">
        <w:t>na przeszukanie i zajęcie</w:t>
      </w:r>
      <w:r w:rsidR="009F7A50" w:rsidRPr="009F7A50">
        <w:t xml:space="preserve"> </w:t>
      </w:r>
      <w:r w:rsidR="009F7A50">
        <w:t xml:space="preserve">w </w:t>
      </w:r>
      <w:r w:rsidR="00C43AB0">
        <w:t>urządzeniach</w:t>
      </w:r>
      <w:r w:rsidR="009F7A50">
        <w:t xml:space="preserve"> skarżącej spółki</w:t>
      </w:r>
      <w:r w:rsidR="00F670EE">
        <w:t xml:space="preserve">, a także </w:t>
      </w:r>
      <w:r w:rsidR="009F7A50">
        <w:t xml:space="preserve">je </w:t>
      </w:r>
      <w:r w:rsidR="00F670EE">
        <w:t>prowadził</w:t>
      </w:r>
      <w:r w:rsidR="000C201E">
        <w:t>. W tej kwestii Rząd, kontestując argumentację skarżących, podkreśla, że sędzia śledczy w Portugalii nie dysponuje kompetencjami w zakresie prowadzenia śledztwa i że jego działanie w czasie trwania postępowania ograniczone jest tylko do niektórych czynności. Działa on w sposób niezależny jako "gwarant indywidualnych wolności" w celu zapewnienia poszanowania praw indywidualnych w ramach każdego śledztwa. W szczególności, jeżeli chodzi o sędziego śledczego TCIC, Rząd ocenia obawy skarżących jako nieuzasadnione i czysto spekula</w:t>
      </w:r>
      <w:r w:rsidR="007444AD">
        <w:t>tyw</w:t>
      </w:r>
      <w:r w:rsidR="000C201E">
        <w:t xml:space="preserve">ne. </w:t>
      </w:r>
      <w:r w:rsidR="00DE5A1D">
        <w:t>Podkreśla</w:t>
      </w:r>
      <w:r w:rsidR="000C201E">
        <w:t>, że sędzia śledczy jest związany obowiązkiem zachowania poufności oraz tajemnic</w:t>
      </w:r>
      <w:r w:rsidR="00DE5A1D">
        <w:t>y</w:t>
      </w:r>
      <w:r w:rsidR="003135AA">
        <w:t xml:space="preserve"> śledztwa, jak każdy sędzia</w:t>
      </w:r>
      <w:r w:rsidR="000C201E">
        <w:t>. Na zakończenie, Rząd podkreśla, że skarżący skorzystali ze skutecznego środka odwoławczego wniesionego do Pr</w:t>
      </w:r>
      <w:r w:rsidR="00CA7753">
        <w:t>ezesa</w:t>
      </w:r>
      <w:r w:rsidR="000C201E">
        <w:t xml:space="preserve"> Sądu Apelacyjnego w Lizbonie, który wypowiedział się odnośnie </w:t>
      </w:r>
      <w:r w:rsidR="00955F39">
        <w:t>stosowności</w:t>
      </w:r>
      <w:r w:rsidR="000C201E">
        <w:t xml:space="preserve"> </w:t>
      </w:r>
      <w:r w:rsidR="00562B34">
        <w:lastRenderedPageBreak/>
        <w:t xml:space="preserve">dokonanego na potrzeby śledztwa </w:t>
      </w:r>
      <w:r w:rsidR="000C201E">
        <w:t xml:space="preserve">zajęcia, zgodnie z artykułem 72 Statutu Izby Adwokackiej. </w:t>
      </w:r>
    </w:p>
    <w:p w:rsidR="0010236F" w:rsidRPr="006B0F5A" w:rsidRDefault="00403D74" w:rsidP="006B0F5A">
      <w:pPr>
        <w:pStyle w:val="ECHRPara"/>
      </w:pPr>
      <w:fldSimple w:instr=" SEQ level0 \*arabic ">
        <w:r w:rsidR="00F32FF7">
          <w:rPr>
            <w:noProof/>
          </w:rPr>
          <w:t>90</w:t>
        </w:r>
      </w:fldSimple>
      <w:r w:rsidR="000C201E">
        <w:t xml:space="preserve">.  Rząd </w:t>
      </w:r>
      <w:r w:rsidR="00955F39">
        <w:t>ocenia</w:t>
      </w:r>
      <w:r w:rsidR="000C201E">
        <w:t xml:space="preserve">, że zarzuty dotyczące zajętych danych informatycznych, które zostały załączone do akt nowego śledztwa, nie są uzasadnione, skarżący nie sprecyzowali dlaczego pozostają one bez związku ze śledztwem dotyczącym zakupu łodzi podwodnych.  Dodaje, że skarżący powinni </w:t>
      </w:r>
      <w:r w:rsidR="009C3157">
        <w:t xml:space="preserve">byli </w:t>
      </w:r>
      <w:r w:rsidR="000C201E">
        <w:t xml:space="preserve">zakwestionować zajęcie dokumentów, które uważali za osobiste lub bez związku ze śledztwem, </w:t>
      </w:r>
      <w:r w:rsidR="009C3157">
        <w:t>przed</w:t>
      </w:r>
      <w:r w:rsidR="000C201E">
        <w:t xml:space="preserve"> sędzi</w:t>
      </w:r>
      <w:r w:rsidR="009C3157">
        <w:t>ą</w:t>
      </w:r>
      <w:r w:rsidR="000C201E">
        <w:t xml:space="preserve"> TCIC, a przez to, że tego nie zrobili</w:t>
      </w:r>
      <w:r w:rsidR="00450AA7">
        <w:t>,</w:t>
      </w:r>
      <w:r w:rsidR="000C201E">
        <w:t xml:space="preserve"> nie wyczerpali w tej kwestii krajowych środków odwoławczych. </w:t>
      </w:r>
    </w:p>
    <w:p w:rsidR="0010236F" w:rsidRPr="006B0F5A" w:rsidRDefault="00403D74" w:rsidP="006B0F5A">
      <w:pPr>
        <w:pStyle w:val="ECHRPara"/>
      </w:pPr>
      <w:fldSimple w:instr=" SEQ level0 \*arabic ">
        <w:r w:rsidR="00F32FF7">
          <w:rPr>
            <w:noProof/>
          </w:rPr>
          <w:t>91</w:t>
        </w:r>
      </w:fldSimple>
      <w:r w:rsidR="000C201E">
        <w:t xml:space="preserve">.  Jeżeli chodzi o </w:t>
      </w:r>
      <w:r w:rsidR="00450AA7">
        <w:t xml:space="preserve">niezwrócenie </w:t>
      </w:r>
      <w:r w:rsidR="000C201E">
        <w:t xml:space="preserve">kopii zajętych plików informatycznych, Rząd </w:t>
      </w:r>
      <w:r w:rsidR="00450AA7">
        <w:t>s</w:t>
      </w:r>
      <w:r w:rsidR="000C201E">
        <w:t>twierdza, że nie dysponuje informacj</w:t>
      </w:r>
      <w:r w:rsidR="00450AA7">
        <w:t>ami</w:t>
      </w:r>
      <w:r w:rsidR="000C201E">
        <w:t xml:space="preserve"> na ten temat. </w:t>
      </w:r>
    </w:p>
    <w:p w:rsidR="00202A3F" w:rsidRPr="006B0F5A" w:rsidRDefault="000C201E" w:rsidP="00450AA7">
      <w:pPr>
        <w:pStyle w:val="ECHRHeading3"/>
        <w:numPr>
          <w:ilvl w:val="0"/>
          <w:numId w:val="0"/>
        </w:numPr>
        <w:ind w:left="288"/>
      </w:pPr>
      <w:r>
        <w:t>2.  Ocena Trybunału</w:t>
      </w:r>
    </w:p>
    <w:p w:rsidR="0010236F" w:rsidRPr="006B0F5A" w:rsidRDefault="00403D74" w:rsidP="006B0F5A">
      <w:pPr>
        <w:pStyle w:val="ECHRPara"/>
      </w:pPr>
      <w:fldSimple w:instr=" SEQ level0 \*arabic ">
        <w:r w:rsidR="00F32FF7">
          <w:rPr>
            <w:noProof/>
          </w:rPr>
          <w:t>92</w:t>
        </w:r>
      </w:fldSimple>
      <w:r w:rsidR="000C201E">
        <w:t xml:space="preserve">.  Na wstępie Trybunał zauważa, że skarżący nie kwestionują samego w sobie przeszukania w </w:t>
      </w:r>
      <w:r w:rsidR="008233C1">
        <w:t>ich</w:t>
      </w:r>
      <w:r w:rsidR="000C201E">
        <w:t xml:space="preserve"> pomieszczeniach służbowych; nie skar</w:t>
      </w:r>
      <w:r w:rsidR="008233C1">
        <w:t>ż</w:t>
      </w:r>
      <w:r w:rsidR="000C201E">
        <w:t xml:space="preserve">ą się też na zajęcie dokumentów w formie papierowej.  Stawiają zarzuty wyłącznie odnośnie przeszukań przeprowadzonych w ich systemie informatycznym i </w:t>
      </w:r>
      <w:r w:rsidR="00BF4666">
        <w:t>zajęcie plików informatycznych oraz</w:t>
      </w:r>
      <w:r w:rsidR="000C201E">
        <w:t xml:space="preserve"> wiadomości elektroniczn</w:t>
      </w:r>
      <w:r w:rsidR="00BF4666">
        <w:t>ych</w:t>
      </w:r>
      <w:r w:rsidR="000C201E">
        <w:t>, co</w:t>
      </w:r>
      <w:r w:rsidR="0021365D">
        <w:t>,</w:t>
      </w:r>
      <w:r w:rsidR="000C201E">
        <w:t xml:space="preserve"> jak stwierdził Trybunał powyżej (paragraf 75) stanowi </w:t>
      </w:r>
      <w:r w:rsidR="0021365D">
        <w:t>ingerencję w</w:t>
      </w:r>
      <w:r w:rsidR="000C201E">
        <w:t xml:space="preserve"> ich praw</w:t>
      </w:r>
      <w:r w:rsidR="0021365D">
        <w:t>o</w:t>
      </w:r>
      <w:r w:rsidR="000C201E">
        <w:t xml:space="preserve"> do poszanowania "korespondencji" w </w:t>
      </w:r>
      <w:r w:rsidR="0021365D">
        <w:t>rozumieniu</w:t>
      </w:r>
      <w:r w:rsidR="000C201E">
        <w:t xml:space="preserve"> artykułu 8 Konwencji.  W tym przypadku </w:t>
      </w:r>
      <w:r w:rsidR="00277340">
        <w:t>wybór</w:t>
      </w:r>
      <w:r w:rsidR="009E01DD">
        <w:t>,</w:t>
      </w:r>
      <w:r w:rsidR="00277340">
        <w:t xml:space="preserve"> prowadzony</w:t>
      </w:r>
      <w:r w:rsidR="000C201E">
        <w:t xml:space="preserve"> na podstawie 35 słów kluczowych</w:t>
      </w:r>
      <w:r w:rsidR="009E01DD">
        <w:t>,</w:t>
      </w:r>
      <w:r w:rsidR="000C201E">
        <w:t xml:space="preserve"> </w:t>
      </w:r>
      <w:r w:rsidR="009E01DD">
        <w:t>dotyczył</w:t>
      </w:r>
      <w:r w:rsidR="000C201E">
        <w:t xml:space="preserve"> plik</w:t>
      </w:r>
      <w:r w:rsidR="009E01DD">
        <w:t>ów</w:t>
      </w:r>
      <w:r w:rsidR="000C201E">
        <w:t xml:space="preserve"> informatyczn</w:t>
      </w:r>
      <w:r w:rsidR="009E01DD">
        <w:t>ych</w:t>
      </w:r>
      <w:r w:rsidR="000C201E">
        <w:t xml:space="preserve"> i dw</w:t>
      </w:r>
      <w:r w:rsidR="009E01DD">
        <w:t>óch</w:t>
      </w:r>
      <w:r w:rsidR="000C201E">
        <w:t xml:space="preserve"> skrz</w:t>
      </w:r>
      <w:r w:rsidR="009E01DD">
        <w:t>ynek</w:t>
      </w:r>
      <w:r w:rsidR="000C201E">
        <w:t xml:space="preserve"> poczty elektronicznej adwokata B.A. które zostały </w:t>
      </w:r>
      <w:r w:rsidR="00C93EC7">
        <w:t>pobrane</w:t>
      </w:r>
      <w:r w:rsidR="000C201E">
        <w:t xml:space="preserve"> z : </w:t>
      </w:r>
    </w:p>
    <w:p w:rsidR="00FF5AD2" w:rsidRPr="006B0F5A" w:rsidRDefault="000C201E" w:rsidP="006B0F5A">
      <w:pPr>
        <w:pStyle w:val="ECHRPara"/>
      </w:pPr>
      <w:r>
        <w:t>- z komputera czwartego ze skarżących,</w:t>
      </w:r>
    </w:p>
    <w:p w:rsidR="00FF5AD2" w:rsidRPr="006B0F5A" w:rsidRDefault="000C201E" w:rsidP="006B0F5A">
      <w:pPr>
        <w:pStyle w:val="ECHRPara"/>
      </w:pPr>
      <w:r>
        <w:t xml:space="preserve">- z twardego dysku komputera przenośnego, który był używany przez  B.A., </w:t>
      </w:r>
    </w:p>
    <w:p w:rsidR="00FF5AD2" w:rsidRPr="006B0F5A" w:rsidRDefault="000C201E" w:rsidP="006B0F5A">
      <w:pPr>
        <w:pStyle w:val="ECHRPara"/>
      </w:pPr>
      <w:r>
        <w:t>- z twardego dysku zewnętrznego zawierając</w:t>
      </w:r>
      <w:r w:rsidR="00C93EC7">
        <w:t>ego</w:t>
      </w:r>
      <w:r>
        <w:t xml:space="preserve"> archiwa i,</w:t>
      </w:r>
    </w:p>
    <w:p w:rsidR="00EA69C2" w:rsidRPr="006B0F5A" w:rsidRDefault="000C201E" w:rsidP="006B0F5A">
      <w:pPr>
        <w:pStyle w:val="ECHRPara"/>
      </w:pPr>
      <w:r>
        <w:t xml:space="preserve">- serwerów skarżącej spółki (patrz powyżej paragrafy 19 i 34). </w:t>
      </w:r>
    </w:p>
    <w:p w:rsidR="0010236F" w:rsidRPr="006B0F5A" w:rsidRDefault="00403D74" w:rsidP="006B0F5A">
      <w:pPr>
        <w:pStyle w:val="ECHRPara"/>
      </w:pPr>
      <w:fldSimple w:instr=" SEQ level0 \*arabic ">
        <w:r w:rsidR="00F32FF7">
          <w:rPr>
            <w:noProof/>
          </w:rPr>
          <w:t>93</w:t>
        </w:r>
      </w:fldSimple>
      <w:r w:rsidR="000C201E">
        <w:t>.  </w:t>
      </w:r>
      <w:r w:rsidR="00C93EC7">
        <w:t>Ingerencja</w:t>
      </w:r>
      <w:r w:rsidR="000C201E">
        <w:t xml:space="preserve"> narusza artykuł 8 Konwencji, </w:t>
      </w:r>
      <w:r w:rsidR="00C63979">
        <w:t xml:space="preserve">chyba, że </w:t>
      </w:r>
      <w:r w:rsidR="000C201E">
        <w:t>jest  "przewidzian</w:t>
      </w:r>
      <w:r w:rsidR="00C63979">
        <w:t>a</w:t>
      </w:r>
      <w:r w:rsidR="000C201E">
        <w:t xml:space="preserve"> przez </w:t>
      </w:r>
      <w:r w:rsidR="00727F33">
        <w:t>ustawę</w:t>
      </w:r>
      <w:r w:rsidR="000C201E">
        <w:t xml:space="preserve">", zmierza do </w:t>
      </w:r>
      <w:r w:rsidR="00C63979">
        <w:t xml:space="preserve">słusznych </w:t>
      </w:r>
      <w:r w:rsidR="000C201E">
        <w:t>celów zgodnie z paragrafem 2 i "konicznych w demokratycznym społeczeństwie", dla jego lub ich osiągnięcia.</w:t>
      </w:r>
    </w:p>
    <w:p w:rsidR="00965D0B" w:rsidRPr="006B0F5A" w:rsidRDefault="006C0BDF" w:rsidP="006C0BDF">
      <w:pPr>
        <w:pStyle w:val="ECHRHeading4"/>
        <w:numPr>
          <w:ilvl w:val="0"/>
          <w:numId w:val="0"/>
        </w:numPr>
        <w:ind w:left="720"/>
      </w:pPr>
      <w:r>
        <w:t xml:space="preserve">a) Przewidziana przez </w:t>
      </w:r>
      <w:r w:rsidR="00727F33">
        <w:t>ustawę</w:t>
      </w:r>
    </w:p>
    <w:p w:rsidR="00DC4445" w:rsidRPr="006B0F5A" w:rsidRDefault="00403D74" w:rsidP="006B0F5A">
      <w:pPr>
        <w:pStyle w:val="ECHRPara"/>
      </w:pPr>
      <w:fldSimple w:instr=" SEQ level0 \*arabic ">
        <w:r w:rsidR="00F32FF7">
          <w:rPr>
            <w:noProof/>
          </w:rPr>
          <w:t>94</w:t>
        </w:r>
      </w:fldSimple>
      <w:r w:rsidR="000C201E">
        <w:t>.  Trybunał przypomina</w:t>
      </w:r>
      <w:r w:rsidR="006C0BDF">
        <w:t>,</w:t>
      </w:r>
      <w:r w:rsidR="000C201E">
        <w:t xml:space="preserve"> że </w:t>
      </w:r>
      <w:r w:rsidR="006C0BDF">
        <w:t>ingerencja</w:t>
      </w:r>
      <w:r w:rsidR="000C201E">
        <w:t xml:space="preserve"> może być uznan</w:t>
      </w:r>
      <w:r w:rsidR="00AD744F">
        <w:t>a</w:t>
      </w:r>
      <w:r w:rsidR="000C201E">
        <w:t xml:space="preserve"> za "przewidzian</w:t>
      </w:r>
      <w:r w:rsidR="00AD744F">
        <w:t>ą</w:t>
      </w:r>
      <w:r w:rsidR="000C201E">
        <w:t xml:space="preserve"> przez </w:t>
      </w:r>
      <w:r w:rsidR="00553D20">
        <w:t>ustawę</w:t>
      </w:r>
      <w:r w:rsidR="000C201E">
        <w:t>" przede wszystkim wówczas, kiedy posiada podstawę w prawie krajowym. W zakresie paragrafu 2 artykułu 8, termin "</w:t>
      </w:r>
      <w:r w:rsidR="00727F33">
        <w:t>ustawa</w:t>
      </w:r>
      <w:r w:rsidR="000C201E">
        <w:t>" musi być rozumiany w sensie "materialnym" a nie "formalnym".  W zakresie prawa pisanego, "</w:t>
      </w:r>
      <w:r w:rsidR="00553D20">
        <w:t>ustawa</w:t>
      </w:r>
      <w:r w:rsidR="000C201E">
        <w:t>" oznacza obowiązujący tekst w takiej formie jak interpret</w:t>
      </w:r>
      <w:r w:rsidR="001B15A6">
        <w:t>ują</w:t>
      </w:r>
      <w:r w:rsidR="000C201E">
        <w:t xml:space="preserve"> go właściwe sądy (</w:t>
      </w:r>
      <w:r w:rsidR="000C201E">
        <w:rPr>
          <w:i/>
        </w:rPr>
        <w:t xml:space="preserve">Spółka </w:t>
      </w:r>
      <w:proofErr w:type="spellStart"/>
      <w:r w:rsidR="000C201E">
        <w:rPr>
          <w:i/>
        </w:rPr>
        <w:t>Colas</w:t>
      </w:r>
      <w:proofErr w:type="spellEnd"/>
      <w:r w:rsidR="000C201E">
        <w:rPr>
          <w:i/>
        </w:rPr>
        <w:t xml:space="preserve"> Est i inni</w:t>
      </w:r>
      <w:r w:rsidR="000C201E">
        <w:t xml:space="preserve">, wyżej cytowany, § 43, wraz z innymi odniesieniami i </w:t>
      </w:r>
      <w:proofErr w:type="spellStart"/>
      <w:r w:rsidR="000C201E">
        <w:rPr>
          <w:i/>
        </w:rPr>
        <w:t>Sallinen</w:t>
      </w:r>
      <w:proofErr w:type="spellEnd"/>
      <w:r w:rsidR="000C201E">
        <w:rPr>
          <w:i/>
        </w:rPr>
        <w:t xml:space="preserve"> i inni</w:t>
      </w:r>
      <w:r w:rsidR="000C201E">
        <w:t>, wyżej cytowany, § 77).</w:t>
      </w:r>
    </w:p>
    <w:p w:rsidR="00AE587B" w:rsidRPr="006B0F5A" w:rsidRDefault="00403D74" w:rsidP="006B0F5A">
      <w:pPr>
        <w:pStyle w:val="ECHRPara"/>
      </w:pPr>
      <w:fldSimple w:instr=" SEQ level0 \*arabic ">
        <w:r w:rsidR="00F32FF7">
          <w:rPr>
            <w:noProof/>
          </w:rPr>
          <w:t>95</w:t>
        </w:r>
      </w:fldSimple>
      <w:r w:rsidR="000C201E">
        <w:t xml:space="preserve">.  Rząd potwierdza, że sporne środki miały swoją podstawę w prawie krajowym, czego skarżący nie kwestionują. </w:t>
      </w:r>
    </w:p>
    <w:p w:rsidR="00274F8E" w:rsidRPr="006B0F5A" w:rsidRDefault="00403D74" w:rsidP="006B0F5A">
      <w:pPr>
        <w:pStyle w:val="ECHRPara"/>
      </w:pPr>
      <w:fldSimple w:instr=" SEQ level0 \*arabic ">
        <w:r w:rsidR="00F32FF7">
          <w:rPr>
            <w:noProof/>
          </w:rPr>
          <w:t>96</w:t>
        </w:r>
      </w:fldSimple>
      <w:r w:rsidR="000C201E">
        <w:t>.  Trybuna</w:t>
      </w:r>
      <w:r w:rsidR="001B15A6">
        <w:t>ł</w:t>
      </w:r>
      <w:r w:rsidR="000C201E">
        <w:t xml:space="preserve"> stwierdza, że w momencie</w:t>
      </w:r>
      <w:r w:rsidR="0082643D">
        <w:t>,</w:t>
      </w:r>
      <w:r w:rsidR="000C201E">
        <w:t xml:space="preserve"> w którym miały miejsce okoliczności</w:t>
      </w:r>
      <w:r w:rsidR="0082643D">
        <w:t xml:space="preserve"> sprawy</w:t>
      </w:r>
      <w:r w:rsidR="000C201E">
        <w:t xml:space="preserve">, to znaczy przed wejściem w życie ustawy o cyberprzestępczości (patrz paragraf 57 powyżej), prawo portugalskie nie zawierało dyspozycji regulujących w szczególny sposób przeszukanie i zajęcie danych informatycznych.  Niemniej jednak artykuły 174, 178 i 179 KPK, które nadal obowiązują, przewidywały przeszukanie i zajęcie przedmiotów i korespondencji. Ponadto, przeszukanie kancelarii adwokackiej i zajęcie dokumentów </w:t>
      </w:r>
      <w:r w:rsidR="00FD1314">
        <w:t>oraz</w:t>
      </w:r>
      <w:r w:rsidR="000C201E">
        <w:t xml:space="preserve"> korespondencji znajdujących się w tej kancelarii</w:t>
      </w:r>
      <w:r w:rsidR="00FD1314">
        <w:t>,</w:t>
      </w:r>
      <w:r w:rsidR="000C201E">
        <w:t xml:space="preserve"> były </w:t>
      </w:r>
      <w:r w:rsidR="00684CC9">
        <w:t xml:space="preserve">w </w:t>
      </w:r>
      <w:r w:rsidR="000C201E">
        <w:t>szczegó</w:t>
      </w:r>
      <w:r w:rsidR="00684CC9">
        <w:t>lności</w:t>
      </w:r>
      <w:r w:rsidR="000C201E">
        <w:t xml:space="preserve"> </w:t>
      </w:r>
      <w:r w:rsidR="00684CC9">
        <w:t>przewidziane</w:t>
      </w:r>
      <w:r w:rsidR="000C201E">
        <w:t xml:space="preserve"> w artykułach 177 § 5 i 180 § 2 KPK </w:t>
      </w:r>
      <w:r w:rsidR="00684CC9">
        <w:t>oraz</w:t>
      </w:r>
      <w:r w:rsidR="000C201E">
        <w:t xml:space="preserve"> artykułach 70 i 71 Statutu Izby Adwokackiej. Trybunał zauważa wreszcie, że artykuł 183 KPK przewiduje możliwość załączenia fotokopii zajętych dokumentów do akt postępowania, </w:t>
      </w:r>
      <w:r w:rsidR="005D45CB">
        <w:t>wskazując, że</w:t>
      </w:r>
      <w:r w:rsidR="000C201E">
        <w:t xml:space="preserve"> oryginały powinny być w miarę możliwości zwrócone. </w:t>
      </w:r>
      <w:r w:rsidR="005D45CB">
        <w:t>Ingerencja</w:t>
      </w:r>
      <w:r w:rsidR="000C201E">
        <w:t xml:space="preserve"> był</w:t>
      </w:r>
      <w:r w:rsidR="005D45CB">
        <w:t>a</w:t>
      </w:r>
      <w:r w:rsidR="000C201E">
        <w:t xml:space="preserve"> więc "przewidzian</w:t>
      </w:r>
      <w:r w:rsidR="005D45CB">
        <w:t>a</w:t>
      </w:r>
      <w:r w:rsidR="000C201E">
        <w:t xml:space="preserve"> przez </w:t>
      </w:r>
      <w:r w:rsidR="005D45CB">
        <w:t>ustawę</w:t>
      </w:r>
      <w:r w:rsidR="000C201E">
        <w:t>".</w:t>
      </w:r>
    </w:p>
    <w:p w:rsidR="00965D0B" w:rsidRPr="006B0F5A" w:rsidRDefault="000C201E" w:rsidP="004D26E7">
      <w:pPr>
        <w:pStyle w:val="ECHRHeading4"/>
        <w:numPr>
          <w:ilvl w:val="0"/>
          <w:numId w:val="0"/>
        </w:numPr>
        <w:ind w:left="720"/>
      </w:pPr>
      <w:r>
        <w:t xml:space="preserve">b) </w:t>
      </w:r>
      <w:r w:rsidR="004D26E7">
        <w:t>Słuszny c</w:t>
      </w:r>
      <w:r>
        <w:t xml:space="preserve">el </w:t>
      </w:r>
    </w:p>
    <w:p w:rsidR="001D6491" w:rsidRPr="006B0F5A" w:rsidRDefault="00403D74" w:rsidP="006B0F5A">
      <w:pPr>
        <w:pStyle w:val="ECHRPara"/>
      </w:pPr>
      <w:fldSimple w:instr=" SEQ level0 \*arabic ">
        <w:r w:rsidR="00F32FF7">
          <w:rPr>
            <w:noProof/>
          </w:rPr>
          <w:t>97</w:t>
        </w:r>
      </w:fldSimple>
      <w:r w:rsidR="000C201E">
        <w:t xml:space="preserve">.  Trybunał stwierdza, że zgodnie z artykułem 174 § 3 KPK i artykułem 70 § 1 Statutu Izby Adwokackiej, poszukiwanie i zajęcie materiałów w systemie informatycznym skarżącej spółki zostały zlecone w ramach śledztwa wszczętego wobec wielu obywateli portugalskich i niemieckich w związku z zarzutami  korupcji, </w:t>
      </w:r>
      <w:r w:rsidR="00A60E2C" w:rsidRPr="00A60E2C">
        <w:t>osiągania nielegalnych zysków</w:t>
      </w:r>
      <w:r w:rsidR="000C201E">
        <w:t>, prani</w:t>
      </w:r>
      <w:r w:rsidR="00794C77">
        <w:t>a</w:t>
      </w:r>
      <w:r w:rsidR="000C201E">
        <w:t xml:space="preserve"> pieniędzy i sprzeniewierzenia, przy czym ten ostatni zarzut dotyczył B.A</w:t>
      </w:r>
      <w:r w:rsidR="00794C77">
        <w:t>., byłego</w:t>
      </w:r>
      <w:r w:rsidR="000C201E">
        <w:t xml:space="preserve"> </w:t>
      </w:r>
      <w:r w:rsidR="00794C77">
        <w:t xml:space="preserve">adwokata </w:t>
      </w:r>
      <w:r w:rsidR="000C201E">
        <w:t>skarżącej spół</w:t>
      </w:r>
      <w:r w:rsidR="00794C77">
        <w:t>ki</w:t>
      </w:r>
      <w:r w:rsidR="000C201E">
        <w:t>. M</w:t>
      </w:r>
      <w:r w:rsidR="00C17A17">
        <w:t>iały</w:t>
      </w:r>
      <w:r w:rsidR="000C201E">
        <w:t xml:space="preserve"> więc zmierzać do słusznego celu, czyli zapobie</w:t>
      </w:r>
      <w:r w:rsidR="00C17A17">
        <w:t>ga</w:t>
      </w:r>
      <w:r w:rsidR="000C201E">
        <w:t xml:space="preserve">niu przestępstwom. </w:t>
      </w:r>
    </w:p>
    <w:p w:rsidR="0010236F" w:rsidRPr="006B0F5A" w:rsidRDefault="00403D74" w:rsidP="006B0F5A">
      <w:pPr>
        <w:pStyle w:val="ECHRPara"/>
      </w:pPr>
      <w:fldSimple w:instr=" SEQ level0 \*arabic ">
        <w:r w:rsidR="00F32FF7">
          <w:rPr>
            <w:noProof/>
          </w:rPr>
          <w:t>98</w:t>
        </w:r>
      </w:fldSimple>
      <w:r w:rsidR="000C201E">
        <w:t>.  A więc pytanie, jakie się nasuwa</w:t>
      </w:r>
      <w:r w:rsidR="00276604">
        <w:t>, polega na tym,</w:t>
      </w:r>
      <w:r w:rsidR="000C201E">
        <w:t xml:space="preserve"> czy to ograniczenie jest jednocześnie "konieczne w demokratycznym społeczeństwie" w celu osiągnięcia słuszn</w:t>
      </w:r>
      <w:r w:rsidR="00FB1B37">
        <w:t xml:space="preserve">ego </w:t>
      </w:r>
      <w:r w:rsidR="000C201E">
        <w:t>cel</w:t>
      </w:r>
      <w:r w:rsidR="00FB1B37">
        <w:t xml:space="preserve">u, do jakiego </w:t>
      </w:r>
      <w:r w:rsidR="00BF2842">
        <w:t>dąży się</w:t>
      </w:r>
      <w:r w:rsidR="000C201E">
        <w:t xml:space="preserve"> w konkretnych okolicznościach sprawy. W szczególności, chodzi o to by sprawdzić</w:t>
      </w:r>
      <w:r w:rsidR="00BF2842">
        <w:t>,</w:t>
      </w:r>
      <w:r w:rsidR="000C201E">
        <w:t xml:space="preserve"> czy </w:t>
      </w:r>
      <w:r w:rsidR="008B3918">
        <w:t>ustawodawstwo</w:t>
      </w:r>
      <w:r w:rsidR="000C201E">
        <w:t xml:space="preserve"> i praktyka krajowa oferowały wystarczające gwarancje przeciwko nadużyciom i </w:t>
      </w:r>
      <w:r w:rsidR="00106D54">
        <w:t>arbitralności</w:t>
      </w:r>
      <w:r w:rsidR="000C201E">
        <w:t xml:space="preserve">. </w:t>
      </w:r>
    </w:p>
    <w:p w:rsidR="00965D0B" w:rsidRPr="006B0F5A" w:rsidRDefault="000C201E" w:rsidP="008B3918">
      <w:pPr>
        <w:pStyle w:val="ECHRHeading4"/>
        <w:numPr>
          <w:ilvl w:val="0"/>
          <w:numId w:val="0"/>
        </w:numPr>
        <w:ind w:left="720"/>
      </w:pPr>
      <w:r>
        <w:t>c) Konieczn</w:t>
      </w:r>
      <w:r w:rsidR="00D436E4">
        <w:t>a</w:t>
      </w:r>
      <w:r>
        <w:t xml:space="preserve"> w społeczeństwie demokratycznym</w:t>
      </w:r>
    </w:p>
    <w:p w:rsidR="00AF560D" w:rsidRPr="006B0F5A" w:rsidRDefault="000C201E" w:rsidP="00D436E4">
      <w:pPr>
        <w:pStyle w:val="ECHRHeading5"/>
        <w:numPr>
          <w:ilvl w:val="0"/>
          <w:numId w:val="0"/>
        </w:numPr>
        <w:ind w:left="576"/>
      </w:pPr>
      <w:r>
        <w:t>i.  Zasady ogólne</w:t>
      </w:r>
    </w:p>
    <w:p w:rsidR="00C26B7B" w:rsidRPr="006B0F5A" w:rsidRDefault="00403D74" w:rsidP="006B0F5A">
      <w:pPr>
        <w:pStyle w:val="ECHRPara"/>
      </w:pPr>
      <w:fldSimple w:instr=" SEQ level0 \*arabic ">
        <w:r w:rsidR="00F32FF7">
          <w:rPr>
            <w:noProof/>
          </w:rPr>
          <w:t>99</w:t>
        </w:r>
      </w:fldSimple>
      <w:r w:rsidR="000C201E">
        <w:t>.  Zgodnie ze stałą l</w:t>
      </w:r>
      <w:r w:rsidR="00D436E4">
        <w:t>inią orzeczniczą Trybunału, poję</w:t>
      </w:r>
      <w:r w:rsidR="000C201E">
        <w:t>cie "koniecznoś</w:t>
      </w:r>
      <w:r w:rsidR="00D436E4">
        <w:t>ci</w:t>
      </w:r>
      <w:r w:rsidR="000C201E">
        <w:t xml:space="preserve">" oznacza ingerencję </w:t>
      </w:r>
      <w:r w:rsidR="00EB69DD">
        <w:t>opartą na nieodpartej społecznej</w:t>
      </w:r>
      <w:r w:rsidR="000C201E">
        <w:t xml:space="preserve"> potrzeb</w:t>
      </w:r>
      <w:r w:rsidR="00EB69DD">
        <w:t>ie</w:t>
      </w:r>
      <w:r w:rsidR="0039784A">
        <w:t xml:space="preserve"> i, w szczególności, </w:t>
      </w:r>
      <w:r w:rsidR="000C201E">
        <w:t>proporcjonaln</w:t>
      </w:r>
      <w:r w:rsidR="0039784A">
        <w:t>ą</w:t>
      </w:r>
      <w:r w:rsidR="000C201E">
        <w:t xml:space="preserve"> w stosunku do słusznego </w:t>
      </w:r>
      <w:r w:rsidR="00100388">
        <w:t>ocze</w:t>
      </w:r>
      <w:r w:rsidR="000C201E">
        <w:t xml:space="preserve">kiwanego celu.  Aby określić czy </w:t>
      </w:r>
      <w:r w:rsidR="00BA3420">
        <w:t xml:space="preserve">ingerencja </w:t>
      </w:r>
      <w:r w:rsidR="000C201E">
        <w:t>był</w:t>
      </w:r>
      <w:r w:rsidR="00BA3420">
        <w:t>a</w:t>
      </w:r>
      <w:r w:rsidR="000C201E">
        <w:t xml:space="preserve"> "konieczn</w:t>
      </w:r>
      <w:r w:rsidR="00BA3420">
        <w:t>a</w:t>
      </w:r>
      <w:r w:rsidR="000C201E">
        <w:t xml:space="preserve"> w demokratycznym społeczeństwie", Trybunał bierze pod uwagę, że Państwom </w:t>
      </w:r>
      <w:r w:rsidR="00100388">
        <w:t>Stronom</w:t>
      </w:r>
      <w:r w:rsidR="000C201E">
        <w:t xml:space="preserve">  musi zostać pozostawion</w:t>
      </w:r>
      <w:r w:rsidR="00100388">
        <w:t>y</w:t>
      </w:r>
      <w:r w:rsidR="000C201E">
        <w:t xml:space="preserve"> pewien margines oceny (patrz, pośród wielu innych, </w:t>
      </w:r>
      <w:proofErr w:type="spellStart"/>
      <w:r w:rsidR="000C201E">
        <w:rPr>
          <w:i/>
        </w:rPr>
        <w:t>Camenzind</w:t>
      </w:r>
      <w:proofErr w:type="spellEnd"/>
      <w:r w:rsidR="000C201E">
        <w:rPr>
          <w:i/>
        </w:rPr>
        <w:t xml:space="preserve"> przeciwko Szwajcarii</w:t>
      </w:r>
      <w:r w:rsidR="000C201E">
        <w:t xml:space="preserve">, 16 grudnia 1997, </w:t>
      </w:r>
      <w:r w:rsidR="000C201E">
        <w:rPr>
          <w:i/>
        </w:rPr>
        <w:t xml:space="preserve">Zbiór wyroków i decyzji </w:t>
      </w:r>
      <w:r w:rsidR="000C201E">
        <w:t>1997</w:t>
      </w:r>
      <w:r w:rsidR="000C201E">
        <w:rPr>
          <w:rFonts w:ascii="MS Mincho" w:eastAsia="MS Mincho" w:hint="eastAsia"/>
        </w:rPr>
        <w:t>‑</w:t>
      </w:r>
      <w:r w:rsidR="000C201E">
        <w:t xml:space="preserve">VIII, § 44). Jednakże, wyjątki, które przewiduje paragraf 2 artykułu 8 </w:t>
      </w:r>
      <w:r w:rsidR="000C201E">
        <w:lastRenderedPageBreak/>
        <w:t>w</w:t>
      </w:r>
      <w:r w:rsidR="004F47EA">
        <w:t>ymagają</w:t>
      </w:r>
      <w:r w:rsidR="000C201E">
        <w:t xml:space="preserve"> wąsk</w:t>
      </w:r>
      <w:r w:rsidR="004F47EA">
        <w:t>iej</w:t>
      </w:r>
      <w:r w:rsidR="000C201E">
        <w:t xml:space="preserve"> interpretacj</w:t>
      </w:r>
      <w:r w:rsidR="004F47EA">
        <w:t>i,</w:t>
      </w:r>
      <w:r w:rsidR="000C201E">
        <w:t xml:space="preserve"> a ich konieczność w danym przypadku musi być ustal</w:t>
      </w:r>
      <w:r w:rsidR="00024815">
        <w:t>a</w:t>
      </w:r>
      <w:r w:rsidR="000C201E">
        <w:t xml:space="preserve">na w przekonujący sposób (patrz </w:t>
      </w:r>
      <w:r w:rsidR="000C201E">
        <w:rPr>
          <w:i/>
        </w:rPr>
        <w:t>Buck</w:t>
      </w:r>
      <w:r w:rsidR="000C201E">
        <w:t>, wyżej cytowany, § 44).</w:t>
      </w:r>
    </w:p>
    <w:p w:rsidR="00DC4445" w:rsidRPr="006B0F5A" w:rsidRDefault="00403D74" w:rsidP="006B0F5A">
      <w:pPr>
        <w:pStyle w:val="ECHRPara"/>
      </w:pPr>
      <w:fldSimple w:instr=" SEQ level0 \*arabic ">
        <w:r w:rsidR="00F32FF7">
          <w:rPr>
            <w:noProof/>
          </w:rPr>
          <w:t>100</w:t>
        </w:r>
      </w:fldSimple>
      <w:r w:rsidR="000C201E">
        <w:t xml:space="preserve">.  Trybunał zawsze oceniał, że Państwa </w:t>
      </w:r>
      <w:r w:rsidR="00024815">
        <w:t>Strony</w:t>
      </w:r>
      <w:r w:rsidR="000C201E">
        <w:t xml:space="preserve"> mogą uznać za konieczne odwołanie się do takich środków jak przeszukania i zajęcia aby zebrać dowody materialne popełnienia niektórych przestępstw.  Kontroluje więc </w:t>
      </w:r>
      <w:r w:rsidR="00780959">
        <w:t xml:space="preserve">istotny i wystarczający </w:t>
      </w:r>
      <w:r w:rsidR="000C201E">
        <w:t xml:space="preserve">charakter </w:t>
      </w:r>
      <w:r w:rsidR="00780959">
        <w:t xml:space="preserve">wskazywanych powodów, </w:t>
      </w:r>
      <w:r w:rsidR="000C201E">
        <w:t>które mają uzasadnić zastosowanie takich środków</w:t>
      </w:r>
      <w:r w:rsidR="005A2442">
        <w:t>,</w:t>
      </w:r>
      <w:r w:rsidR="000C201E">
        <w:t xml:space="preserve"> oraz czy zachowana została wyżej wspomniana zasada proporcjonalności. Odnośnie </w:t>
      </w:r>
      <w:r w:rsidR="006F226E">
        <w:t>te</w:t>
      </w:r>
      <w:r w:rsidR="00CE52E4">
        <w:t>j</w:t>
      </w:r>
      <w:r w:rsidR="006F226E">
        <w:t xml:space="preserve"> </w:t>
      </w:r>
      <w:r w:rsidR="000C201E">
        <w:t>ostatnie</w:t>
      </w:r>
      <w:r w:rsidR="00CE52E4">
        <w:t>j</w:t>
      </w:r>
      <w:r w:rsidR="000C201E">
        <w:t xml:space="preserve"> </w:t>
      </w:r>
      <w:r w:rsidR="00CE52E4">
        <w:t>kwestii</w:t>
      </w:r>
      <w:r w:rsidR="000C201E">
        <w:t xml:space="preserve">, Trybunał musi </w:t>
      </w:r>
      <w:r w:rsidR="00CE52E4">
        <w:t>przede wszystkim</w:t>
      </w:r>
      <w:r w:rsidR="000C201E">
        <w:t xml:space="preserve"> czuwać nad tym aby odpowiednie ustawodawstwo i praktyka przynosiły jednostkom adekwatne i skuteczne gwarancje przeciw nadużyciom. Następnie Trybunał musi zbadać szczegó</w:t>
      </w:r>
      <w:r w:rsidR="00D63C0A">
        <w:t>ln</w:t>
      </w:r>
      <w:r w:rsidR="000C201E">
        <w:t>e okoliczności spraw</w:t>
      </w:r>
      <w:r w:rsidR="00D63C0A">
        <w:t>y</w:t>
      </w:r>
      <w:r w:rsidR="000C201E">
        <w:t xml:space="preserve"> po to</w:t>
      </w:r>
      <w:r w:rsidR="00D63C0A">
        <w:t>,</w:t>
      </w:r>
      <w:r w:rsidR="000C201E">
        <w:t xml:space="preserve"> aby określić czy</w:t>
      </w:r>
      <w:r w:rsidR="0034370B">
        <w:t>,</w:t>
      </w:r>
      <w:r w:rsidR="000C201E">
        <w:t xml:space="preserve"> </w:t>
      </w:r>
      <w:r w:rsidR="000C201E">
        <w:rPr>
          <w:i/>
        </w:rPr>
        <w:t>in concreto</w:t>
      </w:r>
      <w:r w:rsidR="000C201E">
        <w:t>, sporn</w:t>
      </w:r>
      <w:r w:rsidR="0034370B">
        <w:t>a</w:t>
      </w:r>
      <w:r w:rsidR="000C201E">
        <w:t xml:space="preserve"> </w:t>
      </w:r>
      <w:r w:rsidR="0034370B">
        <w:t>ingerencja</w:t>
      </w:r>
      <w:r w:rsidR="000C201E">
        <w:t xml:space="preserve"> jest proporcjonaln</w:t>
      </w:r>
      <w:r w:rsidR="0034370B">
        <w:t>a</w:t>
      </w:r>
      <w:r w:rsidR="000C201E">
        <w:t xml:space="preserve"> do poszukiwanego celu. Kryteria</w:t>
      </w:r>
      <w:r w:rsidR="0034370B">
        <w:t>,</w:t>
      </w:r>
      <w:r w:rsidR="000C201E">
        <w:t xml:space="preserve"> jakie bierze pod uwagę Trybunał</w:t>
      </w:r>
      <w:r w:rsidR="0034370B">
        <w:t>,</w:t>
      </w:r>
      <w:r w:rsidR="000C201E">
        <w:t xml:space="preserve"> aby rozstrzygnąć tę ostatnią kwestię</w:t>
      </w:r>
      <w:r w:rsidR="0034370B">
        <w:t>,</w:t>
      </w:r>
      <w:r w:rsidR="000C201E">
        <w:t xml:space="preserve"> to przede wszystkim okoliczności</w:t>
      </w:r>
      <w:r w:rsidR="00853D79">
        <w:t>,</w:t>
      </w:r>
      <w:r w:rsidR="000C201E">
        <w:t xml:space="preserve"> w których nakaz został wydany, w szczególności,  inne dostępne dowody w danej chwili, treść i zakres nakazu, sposób</w:t>
      </w:r>
      <w:r w:rsidR="005067C1">
        <w:t>,</w:t>
      </w:r>
      <w:r w:rsidR="000C201E">
        <w:t xml:space="preserve"> w jaki przeszukanie zostało przeprowadzone, w tym obecność lub brak obecności niezależnych obserwatorów, a także </w:t>
      </w:r>
      <w:r w:rsidR="00B26A2B">
        <w:t>zakres</w:t>
      </w:r>
      <w:r w:rsidR="000C201E">
        <w:t xml:space="preserve"> reperkusj</w:t>
      </w:r>
      <w:r w:rsidR="00B26A2B">
        <w:t>i</w:t>
      </w:r>
      <w:r w:rsidR="000C201E">
        <w:t xml:space="preserve"> dla pracy zawodowej oraz reputacji osoby, której dotyczy przeszukanie (patrz </w:t>
      </w:r>
      <w:r w:rsidR="000C201E">
        <w:rPr>
          <w:i/>
        </w:rPr>
        <w:t xml:space="preserve">Spółka </w:t>
      </w:r>
      <w:proofErr w:type="spellStart"/>
      <w:r w:rsidR="000C201E">
        <w:rPr>
          <w:i/>
        </w:rPr>
        <w:t>Colas</w:t>
      </w:r>
      <w:proofErr w:type="spellEnd"/>
      <w:r w:rsidR="000C201E">
        <w:rPr>
          <w:i/>
        </w:rPr>
        <w:t xml:space="preserve"> Est i inni</w:t>
      </w:r>
      <w:r w:rsidR="000C201E">
        <w:t xml:space="preserve">, wyżej cytowany, § 48 ; </w:t>
      </w:r>
      <w:r w:rsidR="000C201E">
        <w:rPr>
          <w:i/>
        </w:rPr>
        <w:t>Buck przeciwko Niemcom</w:t>
      </w:r>
      <w:r w:rsidR="000C201E">
        <w:t xml:space="preserve">, nr </w:t>
      </w:r>
      <w:r w:rsidR="000C201E" w:rsidRPr="008B281F">
        <w:rPr>
          <w:u w:val="single"/>
        </w:rPr>
        <w:t>41604/98</w:t>
      </w:r>
      <w:r w:rsidR="000C201E">
        <w:t>, § 45, CEDH 2005</w:t>
      </w:r>
      <w:r w:rsidR="000C201E">
        <w:noBreakHyphen/>
        <w:t xml:space="preserve">IV, </w:t>
      </w:r>
      <w:proofErr w:type="spellStart"/>
      <w:r w:rsidR="000C201E">
        <w:rPr>
          <w:i/>
        </w:rPr>
        <w:t>Chappell</w:t>
      </w:r>
      <w:proofErr w:type="spellEnd"/>
      <w:r w:rsidR="000C201E">
        <w:rPr>
          <w:i/>
        </w:rPr>
        <w:t xml:space="preserve"> przeciwko </w:t>
      </w:r>
      <w:r w:rsidR="008B281F">
        <w:rPr>
          <w:i/>
        </w:rPr>
        <w:t>Wielkiej Brytanii</w:t>
      </w:r>
      <w:r w:rsidR="000C201E">
        <w:t xml:space="preserve">, wyżej cytowany, § 46-48 ; </w:t>
      </w:r>
      <w:proofErr w:type="spellStart"/>
      <w:r w:rsidR="000C201E">
        <w:rPr>
          <w:i/>
        </w:rPr>
        <w:t>Camenzind</w:t>
      </w:r>
      <w:proofErr w:type="spellEnd"/>
      <w:r w:rsidR="000C201E">
        <w:rPr>
          <w:i/>
        </w:rPr>
        <w:t xml:space="preserve"> przeciwko Szwajcarii</w:t>
      </w:r>
      <w:r w:rsidR="000C201E">
        <w:t xml:space="preserve">, wyżej cytowany, § 46 ; </w:t>
      </w:r>
      <w:proofErr w:type="spellStart"/>
      <w:r w:rsidR="000C201E">
        <w:rPr>
          <w:i/>
        </w:rPr>
        <w:t>Funke</w:t>
      </w:r>
      <w:proofErr w:type="spellEnd"/>
      <w:r w:rsidR="000C201E">
        <w:t xml:space="preserve">, wyżej cytowany, § 57 ; </w:t>
      </w:r>
      <w:proofErr w:type="spellStart"/>
      <w:r w:rsidR="000C201E">
        <w:rPr>
          <w:i/>
        </w:rPr>
        <w:t>Niemietz</w:t>
      </w:r>
      <w:proofErr w:type="spellEnd"/>
      <w:r w:rsidR="000C201E">
        <w:t xml:space="preserve">, wyżej cytowany, § 37 ; </w:t>
      </w:r>
      <w:proofErr w:type="spellStart"/>
      <w:r w:rsidR="000C201E">
        <w:rPr>
          <w:i/>
        </w:rPr>
        <w:t>Smirnov</w:t>
      </w:r>
      <w:proofErr w:type="spellEnd"/>
      <w:r w:rsidR="000C201E">
        <w:rPr>
          <w:i/>
        </w:rPr>
        <w:t xml:space="preserve"> przeciwko Rosji</w:t>
      </w:r>
      <w:r w:rsidR="000C201E">
        <w:t xml:space="preserve">, nr </w:t>
      </w:r>
      <w:r w:rsidR="000C201E" w:rsidRPr="008B281F">
        <w:rPr>
          <w:u w:val="single"/>
        </w:rPr>
        <w:t>71362/01</w:t>
      </w:r>
      <w:r w:rsidR="000C201E">
        <w:t>, § 44, 7 czerwc</w:t>
      </w:r>
      <w:r w:rsidR="00A360B8">
        <w:t>a</w:t>
      </w:r>
      <w:r w:rsidR="000C201E">
        <w:t xml:space="preserve"> 2007 ; </w:t>
      </w:r>
      <w:proofErr w:type="spellStart"/>
      <w:r w:rsidR="000C201E">
        <w:rPr>
          <w:i/>
        </w:rPr>
        <w:t>Robathin</w:t>
      </w:r>
      <w:proofErr w:type="spellEnd"/>
      <w:r w:rsidR="000C201E">
        <w:rPr>
          <w:i/>
        </w:rPr>
        <w:t xml:space="preserve"> przeciwko Austrii</w:t>
      </w:r>
      <w:r w:rsidR="000C201E">
        <w:t>, nr 30457/06, § 44, 3 lipc</w:t>
      </w:r>
      <w:r w:rsidR="008B281F">
        <w:t>a</w:t>
      </w:r>
      <w:r w:rsidR="000C201E">
        <w:t xml:space="preserve"> 2012). Jeżeli chodzi o kancelarię adwokacką, obecność niezależnego obserwatora jest niezbędna po to</w:t>
      </w:r>
      <w:r w:rsidR="00435D0A">
        <w:t>,</w:t>
      </w:r>
      <w:r w:rsidR="000C201E">
        <w:t xml:space="preserve"> aby </w:t>
      </w:r>
      <w:r w:rsidR="00435D0A">
        <w:t xml:space="preserve">nie zostały zatrzymane </w:t>
      </w:r>
      <w:r w:rsidR="000C201E">
        <w:t>dokumenty objęte tajemnicą zawodową (</w:t>
      </w:r>
      <w:proofErr w:type="spellStart"/>
      <w:r w:rsidR="000C201E">
        <w:rPr>
          <w:i/>
        </w:rPr>
        <w:t>Niemietz</w:t>
      </w:r>
      <w:proofErr w:type="spellEnd"/>
      <w:r w:rsidR="000C201E">
        <w:t xml:space="preserve">, wyżej cytowany, § 37, i </w:t>
      </w:r>
      <w:proofErr w:type="spellStart"/>
      <w:r w:rsidR="000C201E">
        <w:rPr>
          <w:i/>
        </w:rPr>
        <w:t>Tamosius</w:t>
      </w:r>
      <w:proofErr w:type="spellEnd"/>
      <w:r w:rsidR="000C201E">
        <w:t xml:space="preserve">, wyżej cytowana decyzja, patrz także odniesienia wskazane powyżej w paragrafie 77). Trybunał zauważa również, że </w:t>
      </w:r>
      <w:r w:rsidR="00C462D7">
        <w:t>do</w:t>
      </w:r>
      <w:r w:rsidR="000C201E">
        <w:t xml:space="preserve"> tych gwarancji </w:t>
      </w:r>
      <w:r w:rsidR="00C462D7">
        <w:t xml:space="preserve">zalicza się również </w:t>
      </w:r>
      <w:r w:rsidR="000C201E">
        <w:t>istnie</w:t>
      </w:r>
      <w:r w:rsidR="00C462D7">
        <w:t xml:space="preserve">nie </w:t>
      </w:r>
      <w:r w:rsidR="000C201E">
        <w:t xml:space="preserve">  "skuteczn</w:t>
      </w:r>
      <w:r w:rsidR="00590BA2">
        <w:t>ej</w:t>
      </w:r>
      <w:r w:rsidR="000C201E">
        <w:t xml:space="preserve"> kontrol</w:t>
      </w:r>
      <w:r w:rsidR="00590BA2">
        <w:t>i</w:t>
      </w:r>
      <w:r w:rsidR="000C201E">
        <w:t xml:space="preserve">" środków </w:t>
      </w:r>
      <w:r w:rsidR="00590BA2">
        <w:t>naruszających</w:t>
      </w:r>
      <w:r w:rsidR="000C201E">
        <w:t xml:space="preserve"> artyku</w:t>
      </w:r>
      <w:r w:rsidR="00590BA2">
        <w:t>ł</w:t>
      </w:r>
      <w:r w:rsidR="000C201E">
        <w:t xml:space="preserve"> 8 Konwencji (</w:t>
      </w:r>
      <w:r w:rsidR="000C201E">
        <w:rPr>
          <w:i/>
        </w:rPr>
        <w:t>Lambert przeciwko Francji</w:t>
      </w:r>
      <w:r w:rsidR="000C201E">
        <w:t xml:space="preserve">, 24 sierpnia 1998, § 34, </w:t>
      </w:r>
      <w:r w:rsidR="000C201E">
        <w:rPr>
          <w:i/>
        </w:rPr>
        <w:t xml:space="preserve">Zbiór wyroków i decyzji </w:t>
      </w:r>
      <w:r w:rsidR="000C201E">
        <w:t>1998</w:t>
      </w:r>
      <w:r w:rsidR="000C201E">
        <w:noBreakHyphen/>
        <w:t>V).</w:t>
      </w:r>
    </w:p>
    <w:p w:rsidR="00AF560D" w:rsidRPr="006B0F5A" w:rsidRDefault="000C201E" w:rsidP="00590BA2">
      <w:pPr>
        <w:pStyle w:val="ECHRHeading5"/>
        <w:numPr>
          <w:ilvl w:val="0"/>
          <w:numId w:val="0"/>
        </w:numPr>
        <w:ind w:left="576"/>
      </w:pPr>
      <w:r>
        <w:t>ii.  Zastosowanie w przedmiotowej sprawie</w:t>
      </w:r>
    </w:p>
    <w:p w:rsidR="000C20FD" w:rsidRPr="006B0F5A" w:rsidRDefault="000C201E" w:rsidP="00590BA2">
      <w:pPr>
        <w:pStyle w:val="ECHRHeading6"/>
        <w:numPr>
          <w:ilvl w:val="0"/>
          <w:numId w:val="0"/>
        </w:numPr>
        <w:ind w:left="720"/>
      </w:pPr>
      <w:r>
        <w:t xml:space="preserve">a) Odnośnie </w:t>
      </w:r>
      <w:r w:rsidR="000E5620">
        <w:t>istotnego</w:t>
      </w:r>
      <w:r>
        <w:t xml:space="preserve"> i wystarczającego charakteru przywołanych motywów</w:t>
      </w:r>
    </w:p>
    <w:p w:rsidR="009E5F5E" w:rsidRPr="006B0F5A" w:rsidRDefault="00403D74" w:rsidP="006B0F5A">
      <w:pPr>
        <w:pStyle w:val="ECHRPara"/>
      </w:pPr>
      <w:fldSimple w:instr=" SEQ level0 \*arabic ">
        <w:r w:rsidR="00F32FF7">
          <w:rPr>
            <w:noProof/>
          </w:rPr>
          <w:t>101</w:t>
        </w:r>
      </w:fldSimple>
      <w:r w:rsidR="000C201E">
        <w:t xml:space="preserve">.  W przedmiotowej sprawie, przeszukania w systemie informatycznym skarżącej spółki i zajęcie danych informatycznych zostały zlecone na podstawie dwóch nakazów sędziego śledczego TCIC z dni 25 </w:t>
      </w:r>
      <w:r w:rsidR="009847D3">
        <w:br/>
      </w:r>
      <w:r w:rsidR="000C201E">
        <w:t xml:space="preserve">i 29 września 2009 roku, wydanych w następstwie wniosku DCIAP (patrz powyżej paragrafy 13 i 14). Te nakazy opierały się na podejrzeniach korupcji, </w:t>
      </w:r>
      <w:r w:rsidR="009847D3">
        <w:t xml:space="preserve">osiągania </w:t>
      </w:r>
      <w:r w:rsidR="008D3FF4">
        <w:t xml:space="preserve">nielegalnych </w:t>
      </w:r>
      <w:r w:rsidR="009847D3">
        <w:t>zysków</w:t>
      </w:r>
      <w:r w:rsidR="000C201E">
        <w:t>, prania pieniędzy</w:t>
      </w:r>
      <w:r w:rsidR="008D3FF4">
        <w:t>,</w:t>
      </w:r>
      <w:r w:rsidR="000C201E">
        <w:t xml:space="preserve"> w stosunku do </w:t>
      </w:r>
      <w:r w:rsidR="000C201E">
        <w:lastRenderedPageBreak/>
        <w:t xml:space="preserve">wielu obywateli portugalskich i niemieckich, dotyczących zakupu dwóch łodzi podwodnych przez </w:t>
      </w:r>
      <w:r w:rsidR="008D3FF4">
        <w:t>R</w:t>
      </w:r>
      <w:r w:rsidR="000C201E">
        <w:t>ząd portugalski od niemieckiego konsorcjum.   B.A. b</w:t>
      </w:r>
      <w:r w:rsidR="00235DF3">
        <w:t>ył ścigany pod zarzutem sprzeniewierzenia</w:t>
      </w:r>
      <w:r w:rsidR="000C201E">
        <w:t xml:space="preserve"> w związku z tym, że reprezentował Państwo w ramach negocjacji pomiędzy stronami w czasie</w:t>
      </w:r>
      <w:r w:rsidR="001137FA">
        <w:t>,</w:t>
      </w:r>
      <w:r w:rsidR="000C201E">
        <w:t xml:space="preserve"> kiedy pracował na rzecz skarżącej spółki. W tych okolicznościach, Trybunał jest przekonany</w:t>
      </w:r>
      <w:r w:rsidR="001137FA">
        <w:t>,</w:t>
      </w:r>
      <w:r w:rsidR="000C201E">
        <w:t xml:space="preserve"> że nakazy przeszukania opierały o wiarygodne podejrzenia (patrz </w:t>
      </w:r>
      <w:r w:rsidR="000C201E">
        <w:rPr>
          <w:i/>
        </w:rPr>
        <w:t xml:space="preserve">a contrario, </w:t>
      </w:r>
      <w:proofErr w:type="spellStart"/>
      <w:r w:rsidR="000C201E">
        <w:rPr>
          <w:i/>
        </w:rPr>
        <w:t>Smirnov</w:t>
      </w:r>
      <w:proofErr w:type="spellEnd"/>
      <w:r w:rsidR="000C201E">
        <w:rPr>
          <w:i/>
        </w:rPr>
        <w:t xml:space="preserve">, </w:t>
      </w:r>
      <w:r w:rsidR="000C201E">
        <w:t xml:space="preserve">§ 46 ; </w:t>
      </w:r>
      <w:proofErr w:type="spellStart"/>
      <w:r w:rsidR="000C201E">
        <w:rPr>
          <w:i/>
        </w:rPr>
        <w:t>André</w:t>
      </w:r>
      <w:proofErr w:type="spellEnd"/>
      <w:r w:rsidR="000C201E">
        <w:rPr>
          <w:i/>
        </w:rPr>
        <w:t xml:space="preserve">, </w:t>
      </w:r>
      <w:r w:rsidR="000C201E">
        <w:t>wyżej cytowany, § 46).</w:t>
      </w:r>
    </w:p>
    <w:p w:rsidR="00896DF8" w:rsidRPr="006B0F5A" w:rsidRDefault="000C201E" w:rsidP="00543BC9">
      <w:pPr>
        <w:pStyle w:val="ECHRHeading6"/>
        <w:numPr>
          <w:ilvl w:val="0"/>
          <w:numId w:val="0"/>
        </w:numPr>
        <w:ind w:left="720"/>
      </w:pPr>
      <w:r>
        <w:t xml:space="preserve">B) Odnośnie treści i zakresu nakazów przeszukania i zajęcia </w:t>
      </w:r>
    </w:p>
    <w:p w:rsidR="00AF560D" w:rsidRPr="006B0F5A" w:rsidRDefault="00403D74" w:rsidP="006B0F5A">
      <w:pPr>
        <w:pStyle w:val="ECHRPara"/>
      </w:pPr>
      <w:fldSimple w:instr=" SEQ level0 \*arabic ">
        <w:r w:rsidR="00F32FF7">
          <w:rPr>
            <w:noProof/>
          </w:rPr>
          <w:t>102</w:t>
        </w:r>
      </w:fldSimple>
      <w:r w:rsidR="000C201E">
        <w:t xml:space="preserve">.  Odnośnie treści i zakresu nakazów przeszukania i zajęcia, Trybunał zauważa, że poszukiwania i zajęcia, </w:t>
      </w:r>
      <w:r w:rsidR="006A389F">
        <w:t>kwestionowane przez</w:t>
      </w:r>
      <w:r w:rsidR="000C201E">
        <w:t xml:space="preserve"> skarżący</w:t>
      </w:r>
      <w:r w:rsidR="006A389F">
        <w:t xml:space="preserve">ch, </w:t>
      </w:r>
      <w:r w:rsidR="000C201E">
        <w:t xml:space="preserve"> zostały przeprowadzone w systemie informatycznym skarżącej spółki i w biurach skarżących</w:t>
      </w:r>
      <w:r w:rsidR="00A12029">
        <w:t>,</w:t>
      </w:r>
      <w:r w:rsidR="000C201E">
        <w:t xml:space="preserve"> a dokładniej mówiąc : </w:t>
      </w:r>
    </w:p>
    <w:p w:rsidR="0010236F" w:rsidRPr="006B0F5A" w:rsidRDefault="000C201E" w:rsidP="006B0F5A">
      <w:pPr>
        <w:pStyle w:val="ECHRPara"/>
      </w:pPr>
      <w:r>
        <w:t xml:space="preserve">- </w:t>
      </w:r>
      <w:r w:rsidR="00A12029">
        <w:t>w</w:t>
      </w:r>
      <w:r>
        <w:t xml:space="preserve"> komputer</w:t>
      </w:r>
      <w:r w:rsidR="00A12029">
        <w:t>ze</w:t>
      </w:r>
      <w:r>
        <w:t xml:space="preserve"> czwartego ze skarżących,</w:t>
      </w:r>
    </w:p>
    <w:p w:rsidR="0010236F" w:rsidRPr="006B0F5A" w:rsidRDefault="000C201E" w:rsidP="006B0F5A">
      <w:pPr>
        <w:pStyle w:val="ECHRPara"/>
      </w:pPr>
      <w:r>
        <w:t xml:space="preserve">- </w:t>
      </w:r>
      <w:r w:rsidR="00A12029">
        <w:t xml:space="preserve">na </w:t>
      </w:r>
      <w:r>
        <w:t>tward</w:t>
      </w:r>
      <w:r w:rsidR="00A12029">
        <w:t>ym</w:t>
      </w:r>
      <w:r>
        <w:t xml:space="preserve"> dysku komputera przenośnego, który był używany przez  B.A.,</w:t>
      </w:r>
    </w:p>
    <w:p w:rsidR="0010236F" w:rsidRPr="006B0F5A" w:rsidRDefault="000C201E" w:rsidP="006B0F5A">
      <w:pPr>
        <w:pStyle w:val="ECHRPara"/>
      </w:pPr>
      <w:r>
        <w:t xml:space="preserve">- </w:t>
      </w:r>
      <w:r w:rsidR="00DB18D5">
        <w:t>na</w:t>
      </w:r>
      <w:r>
        <w:t xml:space="preserve"> tward</w:t>
      </w:r>
      <w:r w:rsidR="00DB18D5">
        <w:t>ym</w:t>
      </w:r>
      <w:r>
        <w:t xml:space="preserve"> dysku zewnętrzn</w:t>
      </w:r>
      <w:r w:rsidR="00DB18D5">
        <w:t>ym</w:t>
      </w:r>
      <w:r>
        <w:t xml:space="preserve"> zawierający</w:t>
      </w:r>
      <w:r w:rsidR="00DB18D5">
        <w:t>m</w:t>
      </w:r>
      <w:r>
        <w:t xml:space="preserve"> archiwa i</w:t>
      </w:r>
    </w:p>
    <w:p w:rsidR="00AF560D" w:rsidRPr="006B0F5A" w:rsidRDefault="000C201E" w:rsidP="006B0F5A">
      <w:pPr>
        <w:pStyle w:val="ECHRPara"/>
      </w:pPr>
      <w:r>
        <w:t xml:space="preserve">- </w:t>
      </w:r>
      <w:r w:rsidR="00DB18D5">
        <w:t>na</w:t>
      </w:r>
      <w:r>
        <w:t xml:space="preserve"> serwer</w:t>
      </w:r>
      <w:r w:rsidR="00DB18D5">
        <w:t>ach</w:t>
      </w:r>
      <w:r>
        <w:t xml:space="preserve"> kancelarii adwokackiej. </w:t>
      </w:r>
    </w:p>
    <w:p w:rsidR="0010236F" w:rsidRPr="006B0F5A" w:rsidRDefault="00403D74" w:rsidP="006B0F5A">
      <w:pPr>
        <w:pStyle w:val="ECHRPara"/>
      </w:pPr>
      <w:fldSimple w:instr=" SEQ level0 \*arabic ">
        <w:r w:rsidR="00F32FF7">
          <w:rPr>
            <w:noProof/>
          </w:rPr>
          <w:t>103</w:t>
        </w:r>
      </w:fldSimple>
      <w:r w:rsidR="000C201E">
        <w:t xml:space="preserve">.  Nawet jeżeli śledczy nie dysponowali nieograniczonymi uprawnieniami (patrz w tej kwestii, </w:t>
      </w:r>
      <w:proofErr w:type="spellStart"/>
      <w:r w:rsidR="000C201E">
        <w:rPr>
          <w:i/>
        </w:rPr>
        <w:t>Robathin</w:t>
      </w:r>
      <w:proofErr w:type="spellEnd"/>
      <w:r w:rsidR="000C201E">
        <w:t xml:space="preserve">, wyżej cytowany, § 52 a także, </w:t>
      </w:r>
      <w:r w:rsidR="000C201E">
        <w:rPr>
          <w:i/>
        </w:rPr>
        <w:t xml:space="preserve">mutatis mutandis, </w:t>
      </w:r>
      <w:proofErr w:type="spellStart"/>
      <w:r w:rsidR="000C201E">
        <w:rPr>
          <w:i/>
        </w:rPr>
        <w:t>Bernh</w:t>
      </w:r>
      <w:proofErr w:type="spellEnd"/>
      <w:r w:rsidR="000C201E">
        <w:rPr>
          <w:i/>
        </w:rPr>
        <w:t xml:space="preserve"> Larsen Holding AS i inni przeciwko Norwegii</w:t>
      </w:r>
      <w:r w:rsidR="000C201E">
        <w:t>, nr 24117/08, § 159, 14 marc</w:t>
      </w:r>
      <w:r w:rsidR="00035BBA">
        <w:t>a</w:t>
      </w:r>
      <w:r w:rsidR="000C201E">
        <w:t xml:space="preserve"> 2013), Trybunał stwierdza, że przeszukania w systemie informatycznym skarżącej spółki zostały dokonane na podstawie 35 słów kluczowych, które pozostawały w związku ze śledztwem. Trybunał zauważa, że pośród tych słów znajdowało się kilka słów ogólnych, takich jak "wynagrodzenie", "finansowanie" oraz słowa powszechnie używane w kancelarii adwokackiej, która specjalizuje się w prawie finansowym, takie jak angielskie słowa "</w:t>
      </w:r>
      <w:proofErr w:type="spellStart"/>
      <w:r w:rsidR="000C201E">
        <w:t>swap</w:t>
      </w:r>
      <w:proofErr w:type="spellEnd"/>
      <w:r w:rsidR="000C201E">
        <w:t>" albo "</w:t>
      </w:r>
      <w:proofErr w:type="spellStart"/>
      <w:r w:rsidR="000C201E">
        <w:t>spread</w:t>
      </w:r>
      <w:proofErr w:type="spellEnd"/>
      <w:r w:rsidR="000C201E">
        <w:t>" (patrz poniżej paragraf</w:t>
      </w:r>
      <w:r w:rsidR="00BB38CE">
        <w:t>u</w:t>
      </w:r>
      <w:r w:rsidR="000C201E">
        <w:t xml:space="preserve"> 13). W związku z tym, na pierwszy rzut oka, zakres nakazów przeszukania i zajęcia wydaje się szeroki. </w:t>
      </w:r>
    </w:p>
    <w:p w:rsidR="009E5F5E" w:rsidRPr="006B0F5A" w:rsidRDefault="00403D74" w:rsidP="006B0F5A">
      <w:pPr>
        <w:pStyle w:val="ECHRPara"/>
      </w:pPr>
      <w:fldSimple w:instr=" SEQ level0 \*arabic ">
        <w:r w:rsidR="00F32FF7">
          <w:rPr>
            <w:noProof/>
          </w:rPr>
          <w:t>104</w:t>
        </w:r>
      </w:fldSimple>
      <w:r w:rsidR="000C201E">
        <w:t>.  Trybunał zauważa</w:t>
      </w:r>
      <w:r w:rsidR="00257D03">
        <w:t>,</w:t>
      </w:r>
      <w:r w:rsidR="000C201E">
        <w:t xml:space="preserve"> że po kontroli sędziego śledczego TCIC, w efekcie której około 850 plików zostało usuniętych,  DCIAP przeanalizował 89 000 plików informatycznych i 29 000 wiadomości elektronicznych zajętych ze sprzętu informatycznego skarżącej spółki oraz w miejscu zamieszkania </w:t>
      </w:r>
      <w:r w:rsidR="00BB38CE">
        <w:t>B</w:t>
      </w:r>
      <w:r w:rsidR="000C201E">
        <w:t xml:space="preserve">.A. (patrz powyżej paragrafy 39 i 44). Należy więc zadać sobie pytanie czy zakres nakazów przeszukania i zajęcia mógł zostać skompensowany poprzez odpowiednie i wystarczające gwarancje proceduralne mogące zapobiec nadużyciom lub </w:t>
      </w:r>
      <w:r w:rsidR="00DE3C61">
        <w:t>arbitralności</w:t>
      </w:r>
      <w:r w:rsidR="000C201E">
        <w:t xml:space="preserve"> </w:t>
      </w:r>
      <w:r w:rsidR="00DE3C61">
        <w:t>oraz</w:t>
      </w:r>
      <w:r w:rsidR="000C201E">
        <w:t xml:space="preserve"> chronić tajemnicę </w:t>
      </w:r>
      <w:r w:rsidR="00336139">
        <w:t>adwokacką</w:t>
      </w:r>
      <w:r w:rsidR="000C201E">
        <w:t xml:space="preserve">. </w:t>
      </w:r>
    </w:p>
    <w:p w:rsidR="00D173C2" w:rsidRPr="006B0F5A" w:rsidRDefault="000C201E" w:rsidP="00DE3C61">
      <w:pPr>
        <w:pStyle w:val="ECHRHeading6"/>
        <w:numPr>
          <w:ilvl w:val="0"/>
          <w:numId w:val="0"/>
        </w:numPr>
        <w:ind w:left="720"/>
      </w:pPr>
      <w:r>
        <w:t xml:space="preserve">γ)  Odnośnie odpowiedniego i </w:t>
      </w:r>
      <w:r w:rsidR="00DE3C61">
        <w:t>efektywnego</w:t>
      </w:r>
      <w:r>
        <w:t xml:space="preserve"> charakteru gwarancji przeciwko nadużyciom</w:t>
      </w:r>
    </w:p>
    <w:p w:rsidR="00FA76BA" w:rsidRPr="006B0F5A" w:rsidRDefault="00403D74" w:rsidP="006B0F5A">
      <w:pPr>
        <w:pStyle w:val="ECHRPara"/>
      </w:pPr>
      <w:fldSimple w:instr=" SEQ level0 \*arabic ">
        <w:r w:rsidR="00F32FF7">
          <w:rPr>
            <w:noProof/>
          </w:rPr>
          <w:t>105</w:t>
        </w:r>
      </w:fldSimple>
      <w:r w:rsidR="000C201E">
        <w:t xml:space="preserve">.  Przede wszystkim Trybunał zauważa, że w świetle artykułu 70 §§ 1 i 4 Statutu Izby Adwokackiej, zabronione jest zajęcie dokumentów objętych </w:t>
      </w:r>
      <w:r w:rsidR="000C201E">
        <w:lastRenderedPageBreak/>
        <w:t xml:space="preserve">tajemnicą </w:t>
      </w:r>
      <w:r w:rsidR="00877A0B">
        <w:t>adwokacką</w:t>
      </w:r>
      <w:r w:rsidR="000C201E">
        <w:t xml:space="preserve"> (innymi słowy</w:t>
      </w:r>
      <w:r w:rsidR="00CA1813">
        <w:t>,</w:t>
      </w:r>
      <w:r w:rsidR="000C201E">
        <w:t xml:space="preserve"> poufnością</w:t>
      </w:r>
      <w:r w:rsidR="00CA1813">
        <w:t>,</w:t>
      </w:r>
      <w:r w:rsidR="000C201E">
        <w:t xml:space="preserve"> jaka dotyczy komunikacji pomiędzy adwokatami i ich klientami), z wyjątkiem przypadku, w którym adwokat został oskarżony w ramach śledztwa. Kodeks Postępowania Karnego i Statut Izby Adwokackiej przewidują między innymi pewną liczbę gwarancji proceduralnych dotyczących przeszukań i zajęć w kancelarii adwokackiej :</w:t>
      </w:r>
    </w:p>
    <w:p w:rsidR="00FA76BA" w:rsidRPr="006B0F5A" w:rsidRDefault="000C201E" w:rsidP="006B0F5A">
      <w:pPr>
        <w:pStyle w:val="ECHRPara"/>
      </w:pPr>
      <w:r>
        <w:t>a) adwokat, którego sprawa dotyczy</w:t>
      </w:r>
      <w:r w:rsidR="0088160C">
        <w:t>,</w:t>
      </w:r>
      <w:r>
        <w:t xml:space="preserve"> musi być obecny (</w:t>
      </w:r>
      <w:r w:rsidR="0088160C">
        <w:t>a</w:t>
      </w:r>
      <w:r>
        <w:t>rtykuł 70 § 2 Statutu Izby Adwokackiej) ;</w:t>
      </w:r>
    </w:p>
    <w:p w:rsidR="00FA76BA" w:rsidRPr="006B0F5A" w:rsidRDefault="000C201E" w:rsidP="006B0F5A">
      <w:pPr>
        <w:pStyle w:val="ECHRPara"/>
      </w:pPr>
      <w:r>
        <w:t>b) wymagana jest obecność przedstawiciela Izby Adwokackiej (</w:t>
      </w:r>
      <w:r w:rsidR="0088160C">
        <w:t>a</w:t>
      </w:r>
      <w:r>
        <w:t>rtykuł 70 § 2 Statutu Izby Adwokackiej) ;</w:t>
      </w:r>
    </w:p>
    <w:p w:rsidR="009A0F2F" w:rsidRPr="006B0F5A" w:rsidRDefault="000C201E" w:rsidP="006B0F5A">
      <w:pPr>
        <w:pStyle w:val="ECHRPara"/>
      </w:pPr>
      <w:r>
        <w:t>c) czynnościom przeszukania i zajęcia musi osobiście przewodniczyć</w:t>
      </w:r>
      <w:r w:rsidR="004B5F1B">
        <w:t xml:space="preserve"> osobiście</w:t>
      </w:r>
      <w:r>
        <w:t xml:space="preserve"> sędzia śledczy (</w:t>
      </w:r>
      <w:r w:rsidR="004B5F1B">
        <w:t>a</w:t>
      </w:r>
      <w:r>
        <w:t xml:space="preserve">rtykuły 177 § 5, 180 § 1 i 268 § 1 c) KPK i </w:t>
      </w:r>
      <w:r w:rsidR="004B5F1B">
        <w:t>a</w:t>
      </w:r>
      <w:r>
        <w:t>rtykuł 70 § 1 Statutu Izby Adwokackiej), jest on jedynym organem władzy mogącym wyrazić zgodę lub nakazać zajęcie korespondencji i jest pierwszą osobą</w:t>
      </w:r>
      <w:r w:rsidR="004B5F1B">
        <w:t>,</w:t>
      </w:r>
      <w:r>
        <w:t xml:space="preserve"> która się z nią zapoznaje (</w:t>
      </w:r>
      <w:r w:rsidR="004B5F1B">
        <w:t>a</w:t>
      </w:r>
      <w:r>
        <w:t>rtykuły 179 §§ 1 i 3 oraz 269 § 1 d) KPK). Jest on ponadto związany tajemnicą zawodową w stosunku do wszelkich informacji nie dotyczących śledztwa</w:t>
      </w:r>
      <w:r w:rsidR="00161CAB">
        <w:t>,</w:t>
      </w:r>
      <w:r>
        <w:t xml:space="preserve"> tak jak to wskazuje artykuł 179 § 3 KPK (patrz powyżej paragraf 54) ;</w:t>
      </w:r>
    </w:p>
    <w:p w:rsidR="00FA76BA" w:rsidRPr="006B0F5A" w:rsidRDefault="000C201E" w:rsidP="006B0F5A">
      <w:pPr>
        <w:pStyle w:val="ECHRPara"/>
      </w:pPr>
      <w:r>
        <w:t>d) zainteresowany adwokat może zgłosić sprzeciw do Pr</w:t>
      </w:r>
      <w:r w:rsidR="00161CAB">
        <w:t>ezesa</w:t>
      </w:r>
      <w:r>
        <w:t xml:space="preserve"> Sądu Apelacyjnego (</w:t>
      </w:r>
      <w:r w:rsidR="00161CAB">
        <w:t>a</w:t>
      </w:r>
      <w:r>
        <w:t xml:space="preserve">rtykuł 72 § 1 Statutu Izby Adwokackiej) ; </w:t>
      </w:r>
    </w:p>
    <w:p w:rsidR="00FA76BA" w:rsidRPr="006B0F5A" w:rsidRDefault="000C201E" w:rsidP="006B0F5A">
      <w:pPr>
        <w:pStyle w:val="ECHRPara"/>
      </w:pPr>
      <w:r>
        <w:t xml:space="preserve">e) w razie złożenia sprzeciwu, zajęte </w:t>
      </w:r>
      <w:r w:rsidR="00161CAB">
        <w:t>dowody</w:t>
      </w:r>
      <w:r>
        <w:t xml:space="preserve"> muszą zostać zaplombowane</w:t>
      </w:r>
      <w:r w:rsidR="00161CAB">
        <w:t>,</w:t>
      </w:r>
      <w:r>
        <w:t xml:space="preserve"> bez wglądu do nich (</w:t>
      </w:r>
      <w:r w:rsidR="00161CAB">
        <w:t>a</w:t>
      </w:r>
      <w:r>
        <w:t xml:space="preserve">rtykuł 72 § 2 Statutu Izby Adwokackiej) ; </w:t>
      </w:r>
    </w:p>
    <w:p w:rsidR="00FA76BA" w:rsidRPr="006B0F5A" w:rsidRDefault="000C201E" w:rsidP="006B0F5A">
      <w:pPr>
        <w:pStyle w:val="ECHRPara"/>
      </w:pPr>
      <w:r>
        <w:t>f) na zakończenie tych czynności sporządzony zostaje protokół wyraźnie wskazujący osoby, które były przy nich obecne oraz  wszelki</w:t>
      </w:r>
      <w:r w:rsidR="00743091">
        <w:t>e</w:t>
      </w:r>
      <w:r>
        <w:t xml:space="preserve"> zdarzenia</w:t>
      </w:r>
      <w:r w:rsidR="00743091">
        <w:t>,</w:t>
      </w:r>
      <w:r>
        <w:t xml:space="preserve"> jakie miały miejsce w czasie tych czynności (</w:t>
      </w:r>
      <w:r w:rsidR="00743091">
        <w:t>a</w:t>
      </w:r>
      <w:r>
        <w:t xml:space="preserve">rtykuł 70 § 6 Statutu Izby Adwokackiej) ; </w:t>
      </w:r>
    </w:p>
    <w:p w:rsidR="009A0F2F" w:rsidRPr="006B0F5A" w:rsidRDefault="000C201E" w:rsidP="006B0F5A">
      <w:pPr>
        <w:pStyle w:val="ECHRPara"/>
      </w:pPr>
      <w:r>
        <w:t>g) sędzia śledczy musi nakazać usunięcie wszelkich plików o charakterze osobistym, naruszających tajemnicę zawodową lub nie dotyczących osób będących oskarżonymi w ramach danego śledztwa (</w:t>
      </w:r>
      <w:r w:rsidR="003A1CB1">
        <w:t>a</w:t>
      </w:r>
      <w:r>
        <w:t>rtykuł 188 § 6 KPK, mający zastosowanie w związku z artykułem 189 KPK).</w:t>
      </w:r>
    </w:p>
    <w:p w:rsidR="0010236F" w:rsidRPr="006B0F5A" w:rsidRDefault="00403D74" w:rsidP="006B0F5A">
      <w:pPr>
        <w:pStyle w:val="ECHRPara"/>
      </w:pPr>
      <w:fldSimple w:instr=" SEQ level0 \*arabic ">
        <w:r w:rsidR="00F32FF7">
          <w:rPr>
            <w:noProof/>
          </w:rPr>
          <w:t>106</w:t>
        </w:r>
      </w:fldSimple>
      <w:r w:rsidR="000C201E">
        <w:t>.  Pozostaje ustalić czy te gwarancj</w:t>
      </w:r>
      <w:r w:rsidR="00084ED1">
        <w:t>e</w:t>
      </w:r>
      <w:r w:rsidR="000C201E">
        <w:t xml:space="preserve"> zostały zastosowane w przedmiotowej sprawie w sposób konkretny i skuteczny</w:t>
      </w:r>
      <w:r w:rsidR="00084ED1">
        <w:t>,</w:t>
      </w:r>
      <w:r w:rsidR="000C201E">
        <w:t xml:space="preserve"> a nie teoretyczny i iluzoryczny, w szczególności w odniesieniu do dużej liczby zajętych dokumentów informatycznych i wiadomości elektronicznych</w:t>
      </w:r>
      <w:r w:rsidR="00084ED1">
        <w:t>,</w:t>
      </w:r>
      <w:r w:rsidR="000C201E">
        <w:t xml:space="preserve"> a także </w:t>
      </w:r>
      <w:r w:rsidR="00414FEE">
        <w:t>w związku ze</w:t>
      </w:r>
      <w:r w:rsidR="000C201E">
        <w:t xml:space="preserve"> wzmocnion</w:t>
      </w:r>
      <w:r w:rsidR="00414FEE">
        <w:t>ym</w:t>
      </w:r>
      <w:r w:rsidR="000C201E">
        <w:t xml:space="preserve"> wymog</w:t>
      </w:r>
      <w:r w:rsidR="00414FEE">
        <w:t>iem</w:t>
      </w:r>
      <w:r w:rsidR="000C201E">
        <w:t xml:space="preserve"> przestrzegania poufności, który jest przypisany do korespondencji wymienianej pomiędzy adwokatem i jego klientem. </w:t>
      </w:r>
    </w:p>
    <w:p w:rsidR="0053648E" w:rsidRPr="006B0F5A" w:rsidRDefault="00403D74" w:rsidP="006B0F5A">
      <w:pPr>
        <w:pStyle w:val="ECHRPara"/>
      </w:pPr>
      <w:fldSimple w:instr=" SEQ level0 \*arabic ">
        <w:r w:rsidR="00F32FF7">
          <w:rPr>
            <w:noProof/>
          </w:rPr>
          <w:t>107</w:t>
        </w:r>
      </w:fldSimple>
      <w:r w:rsidR="000C201E">
        <w:t>.  Przede wszystkim, Trybunał zauważa, że adwokat, który wcześniej pracował na rachunek skarżącej spółki (B.A.) zosta</w:t>
      </w:r>
      <w:r w:rsidR="00235DF3">
        <w:t xml:space="preserve">ł oskarżony </w:t>
      </w:r>
      <w:r w:rsidR="00780BCA">
        <w:t>o</w:t>
      </w:r>
      <w:r w:rsidR="00235DF3">
        <w:t xml:space="preserve"> sprzeniewierzeni</w:t>
      </w:r>
      <w:r w:rsidR="00780BCA">
        <w:t>e</w:t>
      </w:r>
      <w:r w:rsidR="000C201E">
        <w:t xml:space="preserve"> w ramach śledztwa, o którym mowa.  Jeżeli chodzi o czynności, miały one następujący przebieg : </w:t>
      </w:r>
    </w:p>
    <w:p w:rsidR="00276F33" w:rsidRPr="006B0F5A" w:rsidRDefault="000C201E" w:rsidP="006B0F5A">
      <w:pPr>
        <w:pStyle w:val="ECHRPara"/>
      </w:pPr>
      <w:r>
        <w:t xml:space="preserve">- drugi, trzeci i piąty ze skarżących byli obecni w czasie prowadzenia czynności ; </w:t>
      </w:r>
    </w:p>
    <w:p w:rsidR="0010236F" w:rsidRPr="006B0F5A" w:rsidRDefault="000C201E" w:rsidP="006B0F5A">
      <w:pPr>
        <w:pStyle w:val="ECHRPara"/>
      </w:pPr>
      <w:r>
        <w:lastRenderedPageBreak/>
        <w:t>- przedstawiciel Izby Adwokackiej był również obecny na miejscu ;</w:t>
      </w:r>
    </w:p>
    <w:p w:rsidR="00276F33" w:rsidRPr="006B0F5A" w:rsidRDefault="000C201E" w:rsidP="006B0F5A">
      <w:pPr>
        <w:pStyle w:val="ECHRPara"/>
      </w:pPr>
      <w:r>
        <w:t>- czynnościom przewodniczył sędzia śledczy (patrz powyżej paragraf 16);</w:t>
      </w:r>
    </w:p>
    <w:p w:rsidR="0010236F" w:rsidRPr="006B0F5A" w:rsidRDefault="000C201E" w:rsidP="006B0F5A">
      <w:pPr>
        <w:pStyle w:val="ECHRPara"/>
      </w:pPr>
      <w:r>
        <w:t>- skarżący natychmiast złożyli sprzeciw do Pr</w:t>
      </w:r>
      <w:r w:rsidR="00AD3138">
        <w:t>ezesa</w:t>
      </w:r>
      <w:r>
        <w:t xml:space="preserve"> Sądu Apelacyjnego i wskutek tego płyty DVD (zawierające pliki, które zostały nagrane podczas czynności) i</w:t>
      </w:r>
      <w:r w:rsidR="005B6E20">
        <w:t xml:space="preserve"> zajęte</w:t>
      </w:r>
      <w:r>
        <w:t xml:space="preserve"> twarde dyski zostały zaplombowane, bez uprzedniego wglądu ze strony sędziego śledczego przed przesłaniem ich do Pr</w:t>
      </w:r>
      <w:r w:rsidR="005B6E20">
        <w:t>ezesa</w:t>
      </w:r>
      <w:r>
        <w:t xml:space="preserve"> Sądu Apelacyjnego i decyzją wydaną przez </w:t>
      </w:r>
      <w:r w:rsidR="005B6E20">
        <w:t>tego ostatniego</w:t>
      </w:r>
      <w:r>
        <w:t xml:space="preserve">; </w:t>
      </w:r>
    </w:p>
    <w:p w:rsidR="00506500" w:rsidRPr="006B0F5A" w:rsidRDefault="000C201E" w:rsidP="006B0F5A">
      <w:pPr>
        <w:pStyle w:val="ECHRPara"/>
      </w:pPr>
      <w:r>
        <w:t>- na zakończenie czynności sporządzony zost</w:t>
      </w:r>
      <w:r w:rsidR="00AC5318">
        <w:t>ał protokół wskazujący dowody</w:t>
      </w:r>
      <w:r>
        <w:t xml:space="preserve">, które zostały zajęte ; </w:t>
      </w:r>
    </w:p>
    <w:p w:rsidR="00276F33" w:rsidRPr="006B0F5A" w:rsidRDefault="000C201E" w:rsidP="006B0F5A">
      <w:pPr>
        <w:pStyle w:val="ECHRPara"/>
      </w:pPr>
      <w:r>
        <w:t>- Wicepr</w:t>
      </w:r>
      <w:r w:rsidR="00AC5318">
        <w:t>ezes</w:t>
      </w:r>
      <w:r>
        <w:t xml:space="preserve"> Sądu Apelacyjnego zbadał </w:t>
      </w:r>
      <w:r w:rsidR="00C91184">
        <w:t>żądanie</w:t>
      </w:r>
      <w:r>
        <w:t xml:space="preserve"> skarżących, stwierdzając, że w przedmiotowej sprawie nie nastąpiło rażące naruszenie tajemnicy </w:t>
      </w:r>
      <w:r w:rsidR="001525D5">
        <w:t>adwokackiej</w:t>
      </w:r>
      <w:r>
        <w:t xml:space="preserve"> ;</w:t>
      </w:r>
    </w:p>
    <w:p w:rsidR="0010236F" w:rsidRPr="006B0F5A" w:rsidRDefault="000C201E" w:rsidP="006B0F5A">
      <w:pPr>
        <w:pStyle w:val="ECHRPara"/>
      </w:pPr>
      <w:r>
        <w:t xml:space="preserve">- sędzia śledczy TCIC skontrolował zajęte materiały i nakazał zgodnie z artykułem 188 § 6 </w:t>
      </w:r>
      <w:r w:rsidR="00AC2A9D">
        <w:t>we</w:t>
      </w:r>
      <w:r>
        <w:t>rsy a) do c) KPK, zniszczenie około 850 plików ze względu na to, że zawierały informacje o charakterze osobistym, objęte tajemnicą zawodową lub dotyczące innych osób niż te, które zostały oskarżone.</w:t>
      </w:r>
    </w:p>
    <w:p w:rsidR="0010236F" w:rsidRPr="006B0F5A" w:rsidRDefault="00403D74" w:rsidP="006B0F5A">
      <w:pPr>
        <w:pStyle w:val="ECHRPara"/>
      </w:pPr>
      <w:fldSimple w:instr=" SEQ level0 \*arabic ">
        <w:r w:rsidR="00F32FF7">
          <w:rPr>
            <w:noProof/>
          </w:rPr>
          <w:t>108</w:t>
        </w:r>
      </w:fldSimple>
      <w:r w:rsidR="000C201E">
        <w:t>.  Skarżący uznają, że te gwarancje nie były wystarczające. W szczególności kwestionują oni interwencję sędziego śledczego TCIC i nieskuteczność skargi wniesionej do Pr</w:t>
      </w:r>
      <w:r w:rsidR="008805C8">
        <w:t>ezesa</w:t>
      </w:r>
      <w:r w:rsidR="000C201E">
        <w:t xml:space="preserve"> Sądu Apelacyjnego.  Zarzucają miedzy innymi, że materiały informatyczne, które zostały zatrzymane w ramach </w:t>
      </w:r>
      <w:r w:rsidR="008805C8">
        <w:t>p</w:t>
      </w:r>
      <w:r w:rsidR="000C201E">
        <w:t xml:space="preserve">ostępowania wszczętego przeciwko B.A. nie zostały im zwrócone i że zostały one włączone do akt śledztwa dotyczącego innych podejrzanych. </w:t>
      </w:r>
    </w:p>
    <w:p w:rsidR="005D5EE8" w:rsidRPr="006B0F5A" w:rsidRDefault="000C201E" w:rsidP="008805C8">
      <w:pPr>
        <w:pStyle w:val="ECHRHeading7"/>
        <w:numPr>
          <w:ilvl w:val="0"/>
          <w:numId w:val="0"/>
        </w:numPr>
        <w:ind w:left="1008"/>
      </w:pPr>
      <w:r>
        <w:t>- Odnośnie sędziego śledczego TCIC</w:t>
      </w:r>
    </w:p>
    <w:p w:rsidR="0010236F" w:rsidRPr="006B0F5A" w:rsidRDefault="00403D74" w:rsidP="006B0F5A">
      <w:pPr>
        <w:pStyle w:val="ECHRPara"/>
      </w:pPr>
      <w:fldSimple w:instr=" SEQ level0 \*arabic ">
        <w:r w:rsidR="00F32FF7">
          <w:rPr>
            <w:noProof/>
          </w:rPr>
          <w:t>109</w:t>
        </w:r>
      </w:fldSimple>
      <w:r w:rsidR="000C201E">
        <w:t xml:space="preserve">.  Tytułem wstępu, Trybunał zauważa, że w prawie portugalskim, to do </w:t>
      </w:r>
      <w:r w:rsidR="00A948CF">
        <w:t>p</w:t>
      </w:r>
      <w:r w:rsidR="000C201E">
        <w:t>rokuratury należy kierowanie śledztwem, a sędzia śledczy interweniuje jedynie aby zezwolić na niektóre czynności, na wniosek prokuratury lub organów policji kryminalnej, lub aby skontrolować ich prawidłowość zgodnie z artykułami 268 i 269 KPK (patrz powyżej paragraf 52).  Jak wskazuje wyrok Sądu Apelacyjnego w Lizbonie z dnia 18 maja 2006 roku (postępowanie nr 54/2006-9), sędzia śledczy działa jako gwarant wolności w ramach śledztwa, tak jak sędzia ds. wolności i zatrzymań we Francji.</w:t>
      </w:r>
    </w:p>
    <w:p w:rsidR="001A7E99" w:rsidRPr="006B0F5A" w:rsidRDefault="00403D74" w:rsidP="006B0F5A">
      <w:pPr>
        <w:pStyle w:val="ECHRPara"/>
      </w:pPr>
      <w:fldSimple w:instr=" SEQ level0 \*arabic ">
        <w:r w:rsidR="00F32FF7">
          <w:rPr>
            <w:noProof/>
          </w:rPr>
          <w:t>110</w:t>
        </w:r>
      </w:fldSimple>
      <w:r w:rsidR="000C201E">
        <w:t xml:space="preserve">.  Odnośnie przeszukań i zajęć w kancelarii adwokackiej, Trybunał zauważa, że kontrola dokonana przez sędziego śledczego </w:t>
      </w:r>
      <w:r w:rsidR="00B06C11">
        <w:t>w</w:t>
      </w:r>
      <w:r w:rsidR="00194BC1">
        <w:t>ystę</w:t>
      </w:r>
      <w:r w:rsidR="00B06C11">
        <w:t>puje</w:t>
      </w:r>
      <w:r w:rsidR="000C201E">
        <w:t xml:space="preserve"> przed, w trakcie i po tych czynnościach. W kwestii dotyczącej kontroli </w:t>
      </w:r>
      <w:r w:rsidR="000C201E">
        <w:rPr>
          <w:i/>
        </w:rPr>
        <w:t xml:space="preserve">a posteriori </w:t>
      </w:r>
      <w:r w:rsidR="000C201E">
        <w:t xml:space="preserve">zajętych w wyniku przeszukania </w:t>
      </w:r>
      <w:r w:rsidR="005C118D">
        <w:t>dowodó</w:t>
      </w:r>
      <w:r w:rsidR="000C201E">
        <w:t>w, Trybunał podnosi, że w myśl artykułu 188 § 6 KPK (mającego zastosowanie w związku z artykułem 189 KPK), sędzia śledczy musi nakazać zniszczenie wszelkich materiałów :</w:t>
      </w:r>
    </w:p>
    <w:p w:rsidR="001A7E99" w:rsidRPr="006B0F5A" w:rsidRDefault="000C201E" w:rsidP="006B0F5A">
      <w:pPr>
        <w:pStyle w:val="ECHRPara"/>
      </w:pPr>
      <w:r>
        <w:t xml:space="preserve">- </w:t>
      </w:r>
      <w:r w:rsidR="005C118D">
        <w:t xml:space="preserve">  </w:t>
      </w:r>
      <w:r>
        <w:t xml:space="preserve">które nie dotyczą podejrzanego, oskarżonego, pośrednika lub </w:t>
      </w:r>
      <w:r w:rsidR="00922009">
        <w:t>pokrzywdzonego</w:t>
      </w:r>
      <w:r>
        <w:t xml:space="preserve"> ;</w:t>
      </w:r>
    </w:p>
    <w:p w:rsidR="0010236F" w:rsidRPr="006B0F5A" w:rsidRDefault="000C201E" w:rsidP="006B0F5A">
      <w:pPr>
        <w:pStyle w:val="ECHRPara"/>
      </w:pPr>
      <w:r>
        <w:t xml:space="preserve">- które dotyczą zakresu objętego tajemnicą zawodową, tajemnicą służbową lub </w:t>
      </w:r>
      <w:r w:rsidR="00FF78B1">
        <w:t>p</w:t>
      </w:r>
      <w:r>
        <w:t xml:space="preserve">aństwową ; </w:t>
      </w:r>
    </w:p>
    <w:p w:rsidR="001A7E99" w:rsidRPr="006B0F5A" w:rsidRDefault="000C201E" w:rsidP="006B0F5A">
      <w:pPr>
        <w:pStyle w:val="ECHRPara"/>
      </w:pPr>
      <w:r>
        <w:lastRenderedPageBreak/>
        <w:t xml:space="preserve">- których rozpowszechnianie może w poważny sposób naruszyć prawa, wolności i </w:t>
      </w:r>
      <w:r w:rsidR="00730819">
        <w:t>bezpieczeństwo</w:t>
      </w:r>
      <w:r>
        <w:t>.</w:t>
      </w:r>
    </w:p>
    <w:p w:rsidR="001A7E99" w:rsidRPr="006B0F5A" w:rsidRDefault="000C201E" w:rsidP="006B0F5A">
      <w:pPr>
        <w:pStyle w:val="ECHRPara"/>
      </w:pPr>
      <w:r>
        <w:t xml:space="preserve">W przedmiotowej sprawie, na mocy różnych </w:t>
      </w:r>
      <w:r w:rsidR="00730819">
        <w:t>postanowień</w:t>
      </w:r>
      <w:r>
        <w:t xml:space="preserve"> z 1-go, 4, 5, 6 i 11 kwietnia 2011 roku, po wglądzie do zatrzymanych dokumentów informatycznych i wiadomości elektronicznych, sędzia śledczy TCIC nakazał usunięcie 850 plików informatycznych, które</w:t>
      </w:r>
      <w:r w:rsidR="00140560">
        <w:t>,</w:t>
      </w:r>
      <w:r>
        <w:t xml:space="preserve"> jak uznał</w:t>
      </w:r>
      <w:r w:rsidR="00140560">
        <w:t>,</w:t>
      </w:r>
      <w:r>
        <w:t xml:space="preserve"> miały charakter prywatny, były objęte tajemnicą zawodową lub które nie dotyczyły B.A. (patrz powyżej paragraf 39).</w:t>
      </w:r>
    </w:p>
    <w:p w:rsidR="0010236F" w:rsidRPr="006B0F5A" w:rsidRDefault="000C201E" w:rsidP="006B0F5A">
      <w:pPr>
        <w:pStyle w:val="ECHRPara"/>
      </w:pPr>
      <w:r>
        <w:t>Trybunał przypomina, że nie jest jego rolą by jego punkt widzenia  zastępował ten</w:t>
      </w:r>
      <w:r w:rsidR="00140560">
        <w:t>,</w:t>
      </w:r>
      <w:r>
        <w:t xml:space="preserve"> jaki prezentują władze krajowe w kwestii istotności materiału dowodowego wykorzystywanego w trakcie postępowania sądowego (patrz na przykład wyrok </w:t>
      </w:r>
      <w:proofErr w:type="spellStart"/>
      <w:r>
        <w:rPr>
          <w:i/>
        </w:rPr>
        <w:t>Johansen</w:t>
      </w:r>
      <w:proofErr w:type="spellEnd"/>
      <w:r>
        <w:rPr>
          <w:i/>
        </w:rPr>
        <w:t xml:space="preserve"> przeciwko Norwegii</w:t>
      </w:r>
      <w:r>
        <w:t xml:space="preserve">, 7 sierpnia 1996, § 73, </w:t>
      </w:r>
      <w:r>
        <w:rPr>
          <w:i/>
        </w:rPr>
        <w:t>Zbiór wyroków i decyzji</w:t>
      </w:r>
      <w:r>
        <w:t xml:space="preserve"> 1996</w:t>
      </w:r>
      <w:r>
        <w:noBreakHyphen/>
        <w:t>III). Jeżeli chodzi o argument skarżących, według którego zostały zajęte dokumenty bez związku ze śledztwem, Trybunał powtarza, że w pierwszej kolejności do władz krajowych należy ocena celowości zebrania i za</w:t>
      </w:r>
      <w:r w:rsidR="00517C48">
        <w:t>chowania</w:t>
      </w:r>
      <w:r>
        <w:t xml:space="preserve"> dowodów podczas postępowania krajowego i że w normalnej sytuacji do Trybunału nie </w:t>
      </w:r>
      <w:r w:rsidR="00517C48">
        <w:t xml:space="preserve">należy w tym zakresie </w:t>
      </w:r>
      <w:r>
        <w:t xml:space="preserve">zastępowanie swoim punktem widzenia punktu widzenia władz krajowych. Trybunał nie zauważa żadnego powodu aby kwestionować ocenę, jakiej dokonał sędzia śledczy TCIC realizując dyspozycje artykułu 188 § 6 KPK.  Rzeczywiście, ten ostatni był w momencie, w którym miały miejsce okoliczności </w:t>
      </w:r>
      <w:r w:rsidR="00C379F1">
        <w:t xml:space="preserve">sprawy, </w:t>
      </w:r>
      <w:r>
        <w:t xml:space="preserve">jedynym sędzią śledczym prowadzącym najbardziej skomplikowane sprawy w Portugalii (patrz powyżej paragraf 58). Jednakże w przedmiotowej sprawie interweniował on w charakterze sędziego śledczego, mając na celu kontrolę legalności przeszukania i zajęć </w:t>
      </w:r>
      <w:r w:rsidR="000B3F65">
        <w:t>oraz</w:t>
      </w:r>
      <w:r>
        <w:t xml:space="preserve"> szczególną ochronę tajemnic</w:t>
      </w:r>
      <w:r w:rsidR="000B3F65">
        <w:t>y</w:t>
      </w:r>
      <w:r>
        <w:t xml:space="preserve"> adwokack</w:t>
      </w:r>
      <w:r w:rsidR="000B3F65">
        <w:t>iej</w:t>
      </w:r>
      <w:r>
        <w:t xml:space="preserve">.  Poza tym, sędzia nie dysponował żadną kompetencją aby wszcząć śledztwo.  Zarzuty skarżących pod jego adresem ograniczają się w rzeczywistości do hipotez i nie są wystarczająco </w:t>
      </w:r>
      <w:r w:rsidR="007C10FE">
        <w:t>uzasadnione</w:t>
      </w:r>
      <w:r>
        <w:t xml:space="preserve"> aby </w:t>
      </w:r>
      <w:r w:rsidR="007C10FE">
        <w:t>zasiać</w:t>
      </w:r>
      <w:r>
        <w:t xml:space="preserve"> wątpliwości co do skuteczności kontroli, którą sprawował w odniesieniu do spornych środków. </w:t>
      </w:r>
    </w:p>
    <w:p w:rsidR="00F00638" w:rsidRPr="006B0F5A" w:rsidRDefault="000C201E" w:rsidP="0095093B">
      <w:pPr>
        <w:pStyle w:val="ECHRHeading7"/>
        <w:numPr>
          <w:ilvl w:val="0"/>
          <w:numId w:val="0"/>
        </w:numPr>
        <w:ind w:left="1008"/>
      </w:pPr>
      <w:r>
        <w:t xml:space="preserve">- Odnośnie </w:t>
      </w:r>
      <w:r w:rsidR="0095093B">
        <w:t>skargi</w:t>
      </w:r>
      <w:r>
        <w:t xml:space="preserve"> do P</w:t>
      </w:r>
      <w:r w:rsidR="0095093B">
        <w:t>rezesa</w:t>
      </w:r>
      <w:r>
        <w:t xml:space="preserve"> Sądu Apelacyjnego </w:t>
      </w:r>
    </w:p>
    <w:p w:rsidR="00D67D4E" w:rsidRPr="006B0F5A" w:rsidRDefault="00403D74" w:rsidP="006B0F5A">
      <w:pPr>
        <w:pStyle w:val="ECHRPara"/>
      </w:pPr>
      <w:fldSimple w:instr=" SEQ level0 \*arabic ">
        <w:r w:rsidR="00F32FF7">
          <w:rPr>
            <w:noProof/>
          </w:rPr>
          <w:t>111</w:t>
        </w:r>
      </w:fldSimple>
      <w:r w:rsidR="000C201E">
        <w:t xml:space="preserve">.  Trybunał zauważa, że w następstwie </w:t>
      </w:r>
      <w:r w:rsidR="0095093B">
        <w:t>skargi</w:t>
      </w:r>
      <w:r w:rsidR="000C201E">
        <w:t xml:space="preserve"> wniesione</w:t>
      </w:r>
      <w:r w:rsidR="0095093B">
        <w:t>j</w:t>
      </w:r>
      <w:r w:rsidR="000C201E">
        <w:t xml:space="preserve"> zgodnie z artykułem 72 Statutu Izby Adwokackiej, zajęte dokumenty informatyczne i wiadomości elektroniczne zostały zaplombowane, bez zapoznania się z ich zawartością przez sędziego śledczego i przekazane Pr</w:t>
      </w:r>
      <w:r w:rsidR="008F7658">
        <w:t>ezesowi</w:t>
      </w:r>
      <w:r w:rsidR="000C201E">
        <w:t xml:space="preserve"> Sądu Apelacyjnego w Lizbonie, zgodnie z artykułem 72 § 2 i 3 Statusu Izby Adwokackiej (patrz powyżej paragraf 20). Pieczęcie zostały następnie otwarte przez Wice</w:t>
      </w:r>
      <w:r w:rsidR="008F7658">
        <w:t>prezesa</w:t>
      </w:r>
      <w:r w:rsidR="000C201E">
        <w:t xml:space="preserve"> Sądu Apelacyjnego w Lizbonie, który zbadał zawartość.  </w:t>
      </w:r>
      <w:r w:rsidR="008F7658">
        <w:t>Decyzją</w:t>
      </w:r>
      <w:r w:rsidR="000C201E">
        <w:t xml:space="preserve"> z dnia </w:t>
      </w:r>
      <w:r w:rsidR="008F7658">
        <w:t>2</w:t>
      </w:r>
      <w:r w:rsidR="000C201E">
        <w:t xml:space="preserve">9 października 2009 roku, odrzucił on </w:t>
      </w:r>
      <w:r w:rsidR="002C0049">
        <w:t>skargę</w:t>
      </w:r>
      <w:r w:rsidR="000C201E">
        <w:t>, uznając że :</w:t>
      </w:r>
    </w:p>
    <w:p w:rsidR="0010236F" w:rsidRPr="006B0F5A" w:rsidRDefault="000C201E" w:rsidP="006B0F5A">
      <w:pPr>
        <w:pStyle w:val="ECHRPara"/>
      </w:pPr>
      <w:r>
        <w:t xml:space="preserve">- 35 wybranych słów kluczowych wydaje mu się być związanych ze śledztwem i z tego względu proporcjonalnych do </w:t>
      </w:r>
      <w:r w:rsidR="002C0049">
        <w:t>zamierzonego</w:t>
      </w:r>
      <w:r>
        <w:t xml:space="preserve"> celu ; </w:t>
      </w:r>
    </w:p>
    <w:p w:rsidR="00D67D4E" w:rsidRPr="006B0F5A" w:rsidRDefault="000C201E" w:rsidP="006B0F5A">
      <w:pPr>
        <w:pStyle w:val="ECHRPara"/>
      </w:pPr>
      <w:r>
        <w:lastRenderedPageBreak/>
        <w:t xml:space="preserve">- zajęte elementy wydawały się przedstawiać bezpośrednią lub pośrednią wartość dla śledztwa; </w:t>
      </w:r>
    </w:p>
    <w:p w:rsidR="00D67D4E" w:rsidRPr="006B0F5A" w:rsidRDefault="000C201E" w:rsidP="006B0F5A">
      <w:pPr>
        <w:pStyle w:val="ECHRPara"/>
      </w:pPr>
      <w:r>
        <w:t xml:space="preserve">- nie miało miejsca rażące naruszenie tajemnicy adwokackiej;  </w:t>
      </w:r>
    </w:p>
    <w:p w:rsidR="00BD1F8A" w:rsidRPr="006B0F5A" w:rsidRDefault="000C201E" w:rsidP="006B0F5A">
      <w:pPr>
        <w:pStyle w:val="ECHRPara"/>
      </w:pPr>
      <w:r>
        <w:t xml:space="preserve">- do sędziego śledczego TCIC należało wybranie materiałów istotnych dla śledztwa i że </w:t>
      </w:r>
      <w:r w:rsidR="00AE1EE4">
        <w:t xml:space="preserve">dotyczące go </w:t>
      </w:r>
      <w:r>
        <w:t xml:space="preserve">twierdzenia skarżących były po prostu </w:t>
      </w:r>
      <w:r w:rsidR="00262781">
        <w:t>wątpliwe</w:t>
      </w:r>
      <w:r>
        <w:t xml:space="preserve"> (patrz powyżej paragraf 26). </w:t>
      </w:r>
    </w:p>
    <w:p w:rsidR="00BD1F8A" w:rsidRPr="006B0F5A" w:rsidRDefault="00403D74" w:rsidP="006B0F5A">
      <w:pPr>
        <w:pStyle w:val="ECHRPara"/>
      </w:pPr>
      <w:fldSimple w:instr=" SEQ level0 \*arabic ">
        <w:r w:rsidR="00F32FF7">
          <w:rPr>
            <w:noProof/>
          </w:rPr>
          <w:t>112</w:t>
        </w:r>
      </w:fldSimple>
      <w:r w:rsidR="000C201E">
        <w:t>.  Poza faktem, że ocena Wicep</w:t>
      </w:r>
      <w:r w:rsidR="00262781">
        <w:t>rezesa</w:t>
      </w:r>
      <w:r w:rsidR="000C201E">
        <w:t xml:space="preserve"> Sądu Apelacyjnego w Lizbonie miała na celu stwierdzenie, czy istniało rażące ryzyko naruszenia taj</w:t>
      </w:r>
      <w:r w:rsidR="006506DF">
        <w:t>emnicy adwokackiej, stanowiąc</w:t>
      </w:r>
      <w:r w:rsidR="000C201E">
        <w:t xml:space="preserve"> dodatkową gwarancję w stosunku do kontroli wykonanej przez sędziego śledczego, Trybunał </w:t>
      </w:r>
      <w:r w:rsidR="006506DF">
        <w:t>ocenia</w:t>
      </w:r>
      <w:r w:rsidR="000C201E">
        <w:t xml:space="preserve">, że w przedmiotowej sprawie decyzja </w:t>
      </w:r>
      <w:r w:rsidR="006506DF">
        <w:t xml:space="preserve">w tej kwestii </w:t>
      </w:r>
      <w:r w:rsidR="000C201E">
        <w:t xml:space="preserve">jest wystarczająco umotywowana. W konsekwencji, </w:t>
      </w:r>
      <w:r w:rsidR="00FF57ED">
        <w:t>skarga</w:t>
      </w:r>
      <w:r w:rsidR="000C201E">
        <w:t xml:space="preserve"> do Pr</w:t>
      </w:r>
      <w:r w:rsidR="00FF57ED">
        <w:t>ezesa</w:t>
      </w:r>
      <w:r w:rsidR="000C201E">
        <w:t xml:space="preserve"> Sądu Apelacyjnego w Lizbonie stanowił</w:t>
      </w:r>
      <w:r w:rsidR="00FF57ED">
        <w:t>a</w:t>
      </w:r>
      <w:r w:rsidR="000C201E">
        <w:t xml:space="preserve"> odpowiedni i skuteczny środek zaskarżenia, komplementarn</w:t>
      </w:r>
      <w:r w:rsidR="009F5EAD">
        <w:t>y</w:t>
      </w:r>
      <w:r w:rsidR="000C201E">
        <w:t xml:space="preserve"> w stosunku do kontroli wykon</w:t>
      </w:r>
      <w:r w:rsidR="009F5EAD">
        <w:t>ywa</w:t>
      </w:r>
      <w:r w:rsidR="000C201E">
        <w:t>nej przez sędziego śledczego</w:t>
      </w:r>
      <w:r w:rsidR="009F5EAD">
        <w:t>,</w:t>
      </w:r>
      <w:r w:rsidR="000C201E">
        <w:t xml:space="preserve"> aby </w:t>
      </w:r>
      <w:r w:rsidR="009F5EAD">
        <w:t>zre</w:t>
      </w:r>
      <w:r w:rsidR="000C201E">
        <w:t xml:space="preserve">kompensować zakres nakazu przeszukania (patrz </w:t>
      </w:r>
      <w:r w:rsidR="000C201E">
        <w:rPr>
          <w:i/>
        </w:rPr>
        <w:t xml:space="preserve">a contrario, </w:t>
      </w:r>
      <w:proofErr w:type="spellStart"/>
      <w:r w:rsidR="000C201E">
        <w:rPr>
          <w:i/>
        </w:rPr>
        <w:t>Smirnov</w:t>
      </w:r>
      <w:proofErr w:type="spellEnd"/>
      <w:r w:rsidR="000C201E">
        <w:rPr>
          <w:i/>
        </w:rPr>
        <w:t xml:space="preserve">, </w:t>
      </w:r>
      <w:r w:rsidR="000C201E">
        <w:t xml:space="preserve">§ 47 ) i w ten sposób zapobiec zajęciu danych objętych tajemnicą zawodową. </w:t>
      </w:r>
    </w:p>
    <w:p w:rsidR="00685BEB" w:rsidRPr="006B0F5A" w:rsidRDefault="00403D74" w:rsidP="006B0F5A">
      <w:pPr>
        <w:pStyle w:val="ECHRPara"/>
      </w:pPr>
      <w:fldSimple w:instr=" SEQ level0 \*arabic ">
        <w:r w:rsidR="00F32FF7">
          <w:rPr>
            <w:noProof/>
          </w:rPr>
          <w:t>113</w:t>
        </w:r>
      </w:fldSimple>
      <w:r w:rsidR="000C201E">
        <w:t xml:space="preserve">.  Pozostaje pochylić się nad ostatnim argumentem skarżących dotyczącym </w:t>
      </w:r>
      <w:r w:rsidR="00883764">
        <w:t>niezwrócenia</w:t>
      </w:r>
      <w:r w:rsidR="000C201E">
        <w:t xml:space="preserve"> kopii zajętych materiałów informatycznych i ich wykorzystania w ramach postępowania karnego, które nie dotyczyło B.A.</w:t>
      </w:r>
    </w:p>
    <w:p w:rsidR="00685BEB" w:rsidRPr="006B0F5A" w:rsidRDefault="000C201E" w:rsidP="001A0091">
      <w:pPr>
        <w:pStyle w:val="ECHRHeading7"/>
        <w:numPr>
          <w:ilvl w:val="0"/>
          <w:numId w:val="0"/>
        </w:numPr>
        <w:ind w:left="1008"/>
      </w:pPr>
      <w:r>
        <w:t xml:space="preserve">- Odnośnie </w:t>
      </w:r>
      <w:r w:rsidR="001A0091">
        <w:t>niezwrócenia</w:t>
      </w:r>
      <w:r>
        <w:t xml:space="preserve"> plików informatycznych i wiadomości elektronicznych </w:t>
      </w:r>
      <w:r w:rsidR="00441E0A">
        <w:t>oraz</w:t>
      </w:r>
      <w:r>
        <w:t xml:space="preserve"> ich wykorzystania poza postępowaniem dotyczącym B.A.</w:t>
      </w:r>
    </w:p>
    <w:p w:rsidR="0010236F" w:rsidRPr="006B0F5A" w:rsidRDefault="00403D74" w:rsidP="006B0F5A">
      <w:pPr>
        <w:pStyle w:val="ECHRPara"/>
      </w:pPr>
      <w:fldSimple w:instr=" SEQ level0 \*arabic ">
        <w:r w:rsidR="00F32FF7">
          <w:rPr>
            <w:noProof/>
          </w:rPr>
          <w:t>114</w:t>
        </w:r>
      </w:fldSimple>
      <w:r w:rsidR="000C201E">
        <w:t xml:space="preserve">.  Trybunał stwierdza, że jeżeli śledztwo </w:t>
      </w:r>
      <w:r w:rsidR="003E3A35">
        <w:t>leżące u źródeł</w:t>
      </w:r>
      <w:r w:rsidR="000C201E">
        <w:t xml:space="preserve"> spornego zajęcia było prowadzone w stosunku do wielu obywateli portugalskich i niemieckich pod zarzutami korupcji, </w:t>
      </w:r>
      <w:r w:rsidR="00280C32" w:rsidRPr="00280C32">
        <w:t xml:space="preserve">osiągania nielegalnych zysków </w:t>
      </w:r>
      <w:r w:rsidR="000C201E">
        <w:t xml:space="preserve">i prania pieniędzy, śledztwo wszczęte przeciwko </w:t>
      </w:r>
      <w:r w:rsidR="00280C32">
        <w:t>B</w:t>
      </w:r>
      <w:r w:rsidR="000C201E">
        <w:t>.A. do</w:t>
      </w:r>
      <w:r w:rsidR="00235DF3">
        <w:t>tyczyło jedynie zarzutu sprzeniewierzenia.</w:t>
      </w:r>
      <w:r w:rsidR="000C201E">
        <w:t xml:space="preserve"> </w:t>
      </w:r>
      <w:r w:rsidR="005326B7">
        <w:t>Trybunał z</w:t>
      </w:r>
      <w:r w:rsidR="000C201E">
        <w:t>auważ</w:t>
      </w:r>
      <w:r w:rsidR="005326B7">
        <w:t>a</w:t>
      </w:r>
      <w:r w:rsidR="000C201E">
        <w:t xml:space="preserve">, że te dwa śledztwa zostały rozdzielone na mocy </w:t>
      </w:r>
      <w:r w:rsidR="005326B7">
        <w:t>postanowienia</w:t>
      </w:r>
      <w:r w:rsidR="000C201E">
        <w:t xml:space="preserve"> sędziego TCIC z dnia 24 czerwca 2011 roku, w związku z wnioskiem DCIAP, co do którego B.A. nie wyraził sprzeciwu (patrz powyżej paragrafy 41 i 42). Ponadto, w śledztw</w:t>
      </w:r>
      <w:r w:rsidR="002F141E">
        <w:t>o</w:t>
      </w:r>
      <w:r w:rsidR="000C201E">
        <w:t xml:space="preserve"> dotycząc</w:t>
      </w:r>
      <w:r w:rsidR="002F141E">
        <w:t>e</w:t>
      </w:r>
      <w:r w:rsidR="000C201E">
        <w:t xml:space="preserve"> </w:t>
      </w:r>
      <w:r w:rsidR="005252EA">
        <w:t>tego ostatniego</w:t>
      </w:r>
      <w:r w:rsidR="000C201E">
        <w:t xml:space="preserve"> został</w:t>
      </w:r>
      <w:r w:rsidR="002F141E">
        <w:t>o</w:t>
      </w:r>
      <w:r w:rsidR="000C201E">
        <w:t xml:space="preserve"> </w:t>
      </w:r>
      <w:r w:rsidR="002F141E">
        <w:t xml:space="preserve">umorzone </w:t>
      </w:r>
      <w:r w:rsidR="000C201E">
        <w:t xml:space="preserve">przez DCIAP w dniu 4 czerwca 2012 roku (patrz powyżej paragraf 45). </w:t>
      </w:r>
    </w:p>
    <w:p w:rsidR="0010236F" w:rsidRPr="006B0F5A" w:rsidRDefault="00403D74" w:rsidP="006B0F5A">
      <w:pPr>
        <w:pStyle w:val="ECHRPara"/>
      </w:pPr>
      <w:fldSimple w:instr=" SEQ level0 \*arabic ">
        <w:r w:rsidR="00F32FF7">
          <w:rPr>
            <w:noProof/>
          </w:rPr>
          <w:t>115</w:t>
        </w:r>
      </w:fldSimple>
      <w:r w:rsidR="000C201E">
        <w:t>.  Trybunał stwierdza, że cztery oryginalne płyty DVD, na których zostały nagrane pliki informatyczne i zawartość skrzynek poczty elektronicznej z komputer</w:t>
      </w:r>
      <w:r w:rsidR="007D5BF1">
        <w:t>a</w:t>
      </w:r>
      <w:r w:rsidR="000C201E">
        <w:t xml:space="preserve"> czwartego ze skarżących i różnych serwerów  kancelarii adwokackiej, a także </w:t>
      </w:r>
      <w:r w:rsidR="005A336E">
        <w:t xml:space="preserve">zajęte </w:t>
      </w:r>
      <w:r w:rsidR="000C201E">
        <w:t>dwa twarde dyski zostały zwrócone skarżącej spółce, zgodnie z artykułem 183 KPK (patrz powyżej paragrafy 34 i 46), czemu nie zaprzeczają skarżący. Z drugiej strony, wydaje się</w:t>
      </w:r>
      <w:r w:rsidR="005A336E">
        <w:t>,</w:t>
      </w:r>
      <w:r w:rsidR="000C201E">
        <w:t xml:space="preserve"> że kopie plików informatycznych i wiadomości e</w:t>
      </w:r>
      <w:r w:rsidR="00235DF3">
        <w:t xml:space="preserve">lektronicznych, które zostały </w:t>
      </w:r>
      <w:r w:rsidR="00AD3D62">
        <w:t>wydzielone</w:t>
      </w:r>
      <w:r w:rsidR="000C201E">
        <w:t xml:space="preserve"> przez sędziego śledczego nie zostały zwrócone skarżącym, przy czym ustawa nie przewiduje ich natychmiastowego zwrotu. Trybunał zauważa, że zgodnie z prawem krajowym, akta postępowania karnego dotyczące </w:t>
      </w:r>
      <w:r w:rsidR="00910D18">
        <w:t>umorzonego</w:t>
      </w:r>
      <w:r w:rsidR="000C201E">
        <w:t xml:space="preserve"> śledztwa mogą być przechowywane przez okres odpowiadający terminowi przedawnienia przewidzianego dla przestępstwa, </w:t>
      </w:r>
      <w:r w:rsidR="000C201E">
        <w:lastRenderedPageBreak/>
        <w:t xml:space="preserve">którego dotyczyło </w:t>
      </w:r>
      <w:r w:rsidR="005B5CAE">
        <w:t xml:space="preserve">postępowanie </w:t>
      </w:r>
      <w:r w:rsidR="000C201E">
        <w:t xml:space="preserve">(patrz powyżej paragraf 56), czyli 15 lat w przypadku przestępstwa korupcji, </w:t>
      </w:r>
      <w:r w:rsidR="009C781B" w:rsidRPr="009C781B">
        <w:t xml:space="preserve">osiągania nielegalnych zysków </w:t>
      </w:r>
      <w:r w:rsidR="000C201E">
        <w:t>i pran</w:t>
      </w:r>
      <w:r w:rsidR="009C781B">
        <w:t>i</w:t>
      </w:r>
      <w:r w:rsidR="000C201E">
        <w:t xml:space="preserve">a pieniędzy i 10 lat w przypadku przestępstwa sprzeniewierzenia. </w:t>
      </w:r>
    </w:p>
    <w:p w:rsidR="00702DC2" w:rsidRPr="006B0F5A" w:rsidRDefault="000C201E" w:rsidP="006B0F5A">
      <w:pPr>
        <w:pStyle w:val="ECHRPara"/>
      </w:pPr>
      <w:r>
        <w:t xml:space="preserve">W </w:t>
      </w:r>
      <w:r w:rsidR="009C781B">
        <w:t>opinii</w:t>
      </w:r>
      <w:r>
        <w:t xml:space="preserve"> Trybunału, przechowywanie akt postępowania karnego, zawierających materiał dowodowy, samo w sobie nie powoduje podniesienia kwestii z punktu widzenia artykułu 8 Konwencji, o ile ten materiał nie zawiera informacji o charakterze </w:t>
      </w:r>
      <w:r w:rsidR="007C2D5B">
        <w:t>personalnym</w:t>
      </w:r>
      <w:r>
        <w:t xml:space="preserve"> o </w:t>
      </w:r>
      <w:r w:rsidR="007C2D5B">
        <w:t>osobie</w:t>
      </w:r>
      <w:r>
        <w:t xml:space="preserve">, co w świetle tego co wskazano </w:t>
      </w:r>
      <w:r w:rsidR="007C2D5B">
        <w:t xml:space="preserve">wyżej </w:t>
      </w:r>
      <w:r>
        <w:t xml:space="preserve">w paragrafie 110, nie wydaje się mieć miejsca w przedmiotowej sprawie (patrz, </w:t>
      </w:r>
      <w:r>
        <w:rPr>
          <w:i/>
        </w:rPr>
        <w:t>a contrario</w:t>
      </w:r>
      <w:r>
        <w:t>,</w:t>
      </w:r>
      <w:r>
        <w:rPr>
          <w:i/>
        </w:rPr>
        <w:t xml:space="preserve"> </w:t>
      </w:r>
      <w:proofErr w:type="spellStart"/>
      <w:r>
        <w:rPr>
          <w:i/>
        </w:rPr>
        <w:t>Amann</w:t>
      </w:r>
      <w:proofErr w:type="spellEnd"/>
      <w:r>
        <w:rPr>
          <w:i/>
        </w:rPr>
        <w:t xml:space="preserve"> przeciwko Szwajcarii </w:t>
      </w:r>
      <w:r>
        <w:t>[GC], nr </w:t>
      </w:r>
      <w:r w:rsidRPr="00AD1715">
        <w:rPr>
          <w:u w:val="single"/>
        </w:rPr>
        <w:t>27798/95</w:t>
      </w:r>
      <w:r>
        <w:t>, § 70, CEDH 2000</w:t>
      </w:r>
      <w:r>
        <w:noBreakHyphen/>
        <w:t xml:space="preserve">II dotyczący przechowywania informacji osobistych otrzymanych w wyniku podsłuchów telefonicznych, </w:t>
      </w:r>
      <w:r>
        <w:rPr>
          <w:i/>
        </w:rPr>
        <w:t xml:space="preserve">S. i </w:t>
      </w:r>
      <w:proofErr w:type="spellStart"/>
      <w:r>
        <w:rPr>
          <w:i/>
        </w:rPr>
        <w:t>Marper</w:t>
      </w:r>
      <w:proofErr w:type="spellEnd"/>
      <w:r>
        <w:rPr>
          <w:i/>
        </w:rPr>
        <w:t xml:space="preserve"> przeciwko </w:t>
      </w:r>
      <w:r w:rsidR="00CF639F">
        <w:rPr>
          <w:i/>
        </w:rPr>
        <w:t xml:space="preserve">Wielkiej Brytanii </w:t>
      </w:r>
      <w:r>
        <w:t xml:space="preserve"> [GC], nr</w:t>
      </w:r>
      <w:r>
        <w:rPr>
          <w:vertAlign w:val="superscript"/>
        </w:rPr>
        <w:t> </w:t>
      </w:r>
      <w:r w:rsidRPr="00CF639F">
        <w:rPr>
          <w:u w:val="single"/>
        </w:rPr>
        <w:t>30562/04</w:t>
      </w:r>
      <w:r>
        <w:t xml:space="preserve"> i </w:t>
      </w:r>
      <w:r w:rsidRPr="00CF639F">
        <w:rPr>
          <w:u w:val="single"/>
        </w:rPr>
        <w:t>30566/04</w:t>
      </w:r>
      <w:r>
        <w:t xml:space="preserve">, § 68, CEDH 2008 i </w:t>
      </w:r>
      <w:r>
        <w:rPr>
          <w:i/>
        </w:rPr>
        <w:t>M.K. przeciwko Francji</w:t>
      </w:r>
      <w:r>
        <w:t>, nr</w:t>
      </w:r>
      <w:r>
        <w:rPr>
          <w:vertAlign w:val="superscript"/>
        </w:rPr>
        <w:t> </w:t>
      </w:r>
      <w:r w:rsidRPr="00CF639F">
        <w:rPr>
          <w:u w:val="single"/>
        </w:rPr>
        <w:t>19522/09</w:t>
      </w:r>
      <w:r>
        <w:t>, § 55-57, 18 kwie</w:t>
      </w:r>
      <w:r w:rsidR="00CF639F">
        <w:t>tnia</w:t>
      </w:r>
      <w:r>
        <w:t xml:space="preserve"> 2013 dotyczący przechowywania odcisków palców,  profil</w:t>
      </w:r>
      <w:r w:rsidR="00CF639F">
        <w:t>i</w:t>
      </w:r>
      <w:r>
        <w:t xml:space="preserve"> DNA i prób</w:t>
      </w:r>
      <w:r w:rsidR="00CF639F">
        <w:t>e</w:t>
      </w:r>
      <w:r>
        <w:t xml:space="preserve">k komórek, </w:t>
      </w:r>
      <w:bookmarkStart w:id="2" w:name="File2"/>
      <w:r>
        <w:rPr>
          <w:i/>
        </w:rPr>
        <w:t>Z przeciwko Finlandii</w:t>
      </w:r>
      <w:bookmarkEnd w:id="2"/>
      <w:r w:rsidR="00CF639F">
        <w:t>, 25 lutego</w:t>
      </w:r>
      <w:r>
        <w:t xml:space="preserve"> 1997, § 71, </w:t>
      </w:r>
      <w:r>
        <w:rPr>
          <w:i/>
        </w:rPr>
        <w:t xml:space="preserve">Zbiór wyroków i decyzji </w:t>
      </w:r>
      <w:r>
        <w:t xml:space="preserve"> 1997</w:t>
      </w:r>
      <w:r>
        <w:noBreakHyphen/>
        <w:t xml:space="preserve">I dotyczący przechowywania informacji medialnej i </w:t>
      </w:r>
      <w:proofErr w:type="spellStart"/>
      <w:r>
        <w:rPr>
          <w:i/>
        </w:rPr>
        <w:t>Khelili</w:t>
      </w:r>
      <w:proofErr w:type="spellEnd"/>
      <w:r>
        <w:rPr>
          <w:i/>
        </w:rPr>
        <w:t xml:space="preserve"> przeciwko Szwajcarii</w:t>
      </w:r>
      <w:r>
        <w:t xml:space="preserve">, nr </w:t>
      </w:r>
      <w:r w:rsidRPr="00875DDD">
        <w:rPr>
          <w:u w:val="single"/>
        </w:rPr>
        <w:t>16188/07</w:t>
      </w:r>
      <w:r>
        <w:t>, § 55-57, 18 październik</w:t>
      </w:r>
      <w:r w:rsidR="00875DDD">
        <w:t>a</w:t>
      </w:r>
      <w:r>
        <w:t xml:space="preserve"> 2011 dotyczący przechowywania informacji </w:t>
      </w:r>
      <w:r w:rsidR="00875DDD">
        <w:t>odnoszącej się do</w:t>
      </w:r>
      <w:r>
        <w:t xml:space="preserve"> zawod</w:t>
      </w:r>
      <w:r w:rsidR="00875DDD">
        <w:t>u</w:t>
      </w:r>
      <w:r>
        <w:t>).</w:t>
      </w:r>
    </w:p>
    <w:p w:rsidR="0010236F" w:rsidRPr="006B0F5A" w:rsidRDefault="00403D74" w:rsidP="006B0F5A">
      <w:pPr>
        <w:pStyle w:val="ECHRPara"/>
      </w:pPr>
      <w:fldSimple w:instr=" SEQ level0 \*arabic ">
        <w:r w:rsidR="00F32FF7">
          <w:rPr>
            <w:noProof/>
          </w:rPr>
          <w:t>116</w:t>
        </w:r>
      </w:fldSimple>
      <w:r w:rsidR="000C201E">
        <w:t>.  Po</w:t>
      </w:r>
      <w:r w:rsidR="005A365B">
        <w:t>zostaje</w:t>
      </w:r>
      <w:r w:rsidR="000C201E">
        <w:t xml:space="preserve"> pytanie czy obawy skarżących odnośnie nadużycia w zakresie wykorzystania zajętych danych informatycznych </w:t>
      </w:r>
      <w:r w:rsidR="005A365B">
        <w:t>były</w:t>
      </w:r>
      <w:r w:rsidR="000C201E">
        <w:t xml:space="preserve"> uzasadnione.  W tej kwestii, Trybunał zauważa, że zgodnie z artykułem 187 §§ 1, 7 i 8 KPK, mający</w:t>
      </w:r>
      <w:r w:rsidR="007D3545">
        <w:t>m</w:t>
      </w:r>
      <w:r w:rsidR="000C201E">
        <w:t xml:space="preserve"> zastosowanie w związku z artykułem 189 KPK, wykorzystanie wiadomości elektronicznych należących do akt  postępowania karnego w ramach innego postępowania karnego jest możliwe w ograniczonej liczbie przypadków, w szczególności kiedy ścigane przestępstwo jest zagrożone karą pozbawienia wolności powyżej lat trzech</w:t>
      </w:r>
      <w:r w:rsidR="00E0082F">
        <w:t>,</w:t>
      </w:r>
      <w:r w:rsidR="000C201E">
        <w:t xml:space="preserve"> w </w:t>
      </w:r>
      <w:r w:rsidR="000A5965">
        <w:t>granicach</w:t>
      </w:r>
      <w:r w:rsidR="000C201E">
        <w:t xml:space="preserve"> wymiaru maksymalnego </w:t>
      </w:r>
      <w:r w:rsidR="000A5965">
        <w:t xml:space="preserve">i </w:t>
      </w:r>
      <w:r w:rsidR="000C201E">
        <w:t>w takim zakresie</w:t>
      </w:r>
      <w:r w:rsidR="000A5965">
        <w:t>,</w:t>
      </w:r>
      <w:r w:rsidR="000C201E">
        <w:t xml:space="preserve"> w jakim jest to niezbędne do dojścia prawdy. Poza tymi przypadkami, nie mogą </w:t>
      </w:r>
      <w:r w:rsidR="001657F6">
        <w:t xml:space="preserve">one </w:t>
      </w:r>
      <w:r w:rsidR="000C201E">
        <w:t>służyć jako środki dowodowe w ramach innego postępowania karnego, niemniej jednak mogą dać powód do wszczęcia nowego śledztwa zgodnie z artykułem 187 § 7 oraz 248 KPK, tak jak to potwierdz</w:t>
      </w:r>
      <w:r w:rsidR="009A4B81">
        <w:t>ają</w:t>
      </w:r>
      <w:r w:rsidR="000C201E">
        <w:t xml:space="preserve"> wyroki Sądu Najwyższego z dnia 23 października 2002 roku (postępowanie nr 125/00) i z dnia 29 kwie</w:t>
      </w:r>
      <w:r w:rsidR="009A4B81">
        <w:t>tnia</w:t>
      </w:r>
      <w:r w:rsidR="000C201E">
        <w:t xml:space="preserve"> 2010 roku (postępowanie nr 128/05.0JDLSB-A.S1) (patrz powyżej paragraf 55). W obu przypadkach zgoda </w:t>
      </w:r>
      <w:r w:rsidR="000D7D35">
        <w:t>właściwego dla</w:t>
      </w:r>
      <w:r w:rsidR="000C201E">
        <w:t xml:space="preserve">  postępowani</w:t>
      </w:r>
      <w:r w:rsidR="000D7D35">
        <w:t>a</w:t>
      </w:r>
      <w:r w:rsidR="000C201E">
        <w:t xml:space="preserve"> jest wymagana zgodnie z artykułem 187 § 8 KPK). Ponadto, Trybunał zauważa w tej kwestii, że skarżący nie odwołali się od </w:t>
      </w:r>
      <w:r w:rsidR="00BD6BCF">
        <w:t>postanowienia</w:t>
      </w:r>
      <w:r w:rsidR="000C201E">
        <w:t xml:space="preserve"> sędziego TCIC z dnia 24 czerwca 2011 roku, do czego uprawnia artykuł 399 KPK</w:t>
      </w:r>
      <w:r w:rsidR="001A5041">
        <w:t>,</w:t>
      </w:r>
      <w:r w:rsidR="000C201E">
        <w:t xml:space="preserve"> dotyczący każdego </w:t>
      </w:r>
      <w:r w:rsidR="001A5041">
        <w:t>postanowienia</w:t>
      </w:r>
      <w:r w:rsidR="000C201E">
        <w:t xml:space="preserve"> sądowego. </w:t>
      </w:r>
    </w:p>
    <w:p w:rsidR="00FA1A21" w:rsidRPr="006B0F5A" w:rsidRDefault="00403D74" w:rsidP="006B0F5A">
      <w:pPr>
        <w:pStyle w:val="ECHRPara"/>
      </w:pPr>
      <w:fldSimple w:instr=" SEQ level0 \*arabic ">
        <w:r w:rsidR="00F32FF7">
          <w:rPr>
            <w:noProof/>
          </w:rPr>
          <w:t>117</w:t>
        </w:r>
      </w:fldSimple>
      <w:r w:rsidR="000C201E">
        <w:t xml:space="preserve">.  Wydaje się, że w przedmiotowej sprawie te gwarancje były przestrzegane. W rezultacie, Trybunał zauważa, że w następstwie </w:t>
      </w:r>
      <w:r w:rsidR="00552EAC">
        <w:t>wy</w:t>
      </w:r>
      <w:r w:rsidR="000C201E">
        <w:t>dzielenia śledztwa dotyczącego B.A., DCIAP zwrócił się z wnioskiem do sędziego TCIC o wyrażenie zgody</w:t>
      </w:r>
      <w:r w:rsidR="00F6551D">
        <w:t>,</w:t>
      </w:r>
      <w:r w:rsidR="000C201E">
        <w:t xml:space="preserve"> aby akta śledztwa i różne załączone do niego materiały zostały skopiowane w celu dołączenia ich do akt śledztwa, które dotyczyło innych podejrzanych i działań</w:t>
      </w:r>
      <w:r w:rsidR="00F6551D">
        <w:t>,</w:t>
      </w:r>
      <w:r w:rsidR="000C201E">
        <w:t xml:space="preserve"> które były przedmiotem </w:t>
      </w:r>
      <w:r w:rsidR="00752ECE">
        <w:lastRenderedPageBreak/>
        <w:t>czynności śledczych</w:t>
      </w:r>
      <w:r w:rsidR="000C201E">
        <w:t xml:space="preserve"> (patrz powyżej paragraf 41).  Sędzia TCIC przychylił się do tego wniosku </w:t>
      </w:r>
      <w:r w:rsidR="00752ECE">
        <w:t>postanowieniem</w:t>
      </w:r>
      <w:r w:rsidR="000C201E">
        <w:t xml:space="preserve"> z dnia 24 czerwca 2011 roku (patrz powyżej paragraf 42). </w:t>
      </w:r>
    </w:p>
    <w:p w:rsidR="0010236F" w:rsidRPr="006B0F5A" w:rsidRDefault="00403D74" w:rsidP="006B0F5A">
      <w:pPr>
        <w:pStyle w:val="ECHRPara"/>
      </w:pPr>
      <w:fldSimple w:instr=" SEQ level0 \*arabic ">
        <w:r w:rsidR="00F32FF7">
          <w:rPr>
            <w:noProof/>
          </w:rPr>
          <w:t>118</w:t>
        </w:r>
      </w:fldSimple>
      <w:r w:rsidR="000C201E">
        <w:t xml:space="preserve">.  Wykorzystanie </w:t>
      </w:r>
      <w:r w:rsidR="00474B44">
        <w:t>dowodów</w:t>
      </w:r>
      <w:r w:rsidR="000C201E">
        <w:t xml:space="preserve">, o które wnioskował DCIAP miało na celu kontynuowanie </w:t>
      </w:r>
      <w:r w:rsidR="00474B44">
        <w:t>czynności</w:t>
      </w:r>
      <w:r w:rsidR="000C201E">
        <w:t xml:space="preserve"> dotyczących i</w:t>
      </w:r>
      <w:r w:rsidR="00FE6287">
        <w:t>nnych podejrzanych i faktów, nie powodując</w:t>
      </w:r>
      <w:r w:rsidR="008E6130">
        <w:t>,</w:t>
      </w:r>
      <w:r w:rsidR="000C201E">
        <w:t xml:space="preserve"> </w:t>
      </w:r>
      <w:r w:rsidR="001146F1">
        <w:t>aby</w:t>
      </w:r>
      <w:r w:rsidR="000C201E">
        <w:t xml:space="preserve"> dalsze prowadzenie śledztwa </w:t>
      </w:r>
      <w:r w:rsidR="00FE6287">
        <w:t xml:space="preserve">wobec nich </w:t>
      </w:r>
      <w:r w:rsidR="000C201E">
        <w:t xml:space="preserve">przynosiło szkodę B.A., wobec którego śledztwo zostało następnie </w:t>
      </w:r>
      <w:r w:rsidR="001146F1">
        <w:t>umorzone</w:t>
      </w:r>
      <w:r w:rsidR="000C201E">
        <w:t>.  Trybunał uznaje, że przywołane p</w:t>
      </w:r>
      <w:r w:rsidR="00460457">
        <w:t>owody</w:t>
      </w:r>
      <w:r w:rsidR="000C201E">
        <w:t xml:space="preserve"> był</w:t>
      </w:r>
      <w:r w:rsidR="00460457">
        <w:t>y</w:t>
      </w:r>
      <w:r w:rsidR="000C201E">
        <w:t xml:space="preserve"> więc </w:t>
      </w:r>
      <w:r w:rsidR="00460457">
        <w:t>zasadne</w:t>
      </w:r>
      <w:r w:rsidR="000C201E">
        <w:t xml:space="preserve">. W tym przypadku, </w:t>
      </w:r>
      <w:r w:rsidR="00460457">
        <w:t xml:space="preserve">Trybunał </w:t>
      </w:r>
      <w:r w:rsidR="000C201E">
        <w:t xml:space="preserve">zauważa, że </w:t>
      </w:r>
      <w:r w:rsidR="008A4364">
        <w:t xml:space="preserve">żądane </w:t>
      </w:r>
      <w:r w:rsidR="000C201E">
        <w:t xml:space="preserve">kopie dotyczyły śledztwa ściśle związanego z pierwotnym śledztwem, w którym nastąpiło sporne zajęcie.  Jeżeli chodzi o argument skarżących dotyczący wykorzystania prywatnych wiadomości elektronicznych lub objętych tajemnicą </w:t>
      </w:r>
      <w:r w:rsidR="008A4364">
        <w:t>zawodową</w:t>
      </w:r>
      <w:r w:rsidR="000C201E">
        <w:t>, Trybunał nie ma nic do dodania do tego</w:t>
      </w:r>
      <w:r w:rsidR="00CC3FAC">
        <w:t>,</w:t>
      </w:r>
      <w:r w:rsidR="000C201E">
        <w:t xml:space="preserve"> na co wskazał powyżej w paragrafie 110.</w:t>
      </w:r>
    </w:p>
    <w:p w:rsidR="00DC1462" w:rsidRPr="006B0F5A" w:rsidRDefault="000C201E" w:rsidP="00CC3FAC">
      <w:pPr>
        <w:pStyle w:val="ECHRHeading7"/>
        <w:numPr>
          <w:ilvl w:val="0"/>
          <w:numId w:val="0"/>
        </w:numPr>
        <w:ind w:left="1008"/>
      </w:pPr>
      <w:r>
        <w:t>- Konkluzja</w:t>
      </w:r>
    </w:p>
    <w:p w:rsidR="0010236F" w:rsidRPr="006B0F5A" w:rsidRDefault="00403D74" w:rsidP="006B0F5A">
      <w:pPr>
        <w:pStyle w:val="ECHRPara"/>
      </w:pPr>
      <w:fldSimple w:instr=" SEQ level0 \*arabic ">
        <w:r w:rsidR="00F32FF7">
          <w:rPr>
            <w:noProof/>
          </w:rPr>
          <w:t>119</w:t>
        </w:r>
      </w:fldSimple>
      <w:r w:rsidR="000C201E">
        <w:t xml:space="preserve">.  W świetle powyższych obserwacji, Trybunał uznaje, że pomimo zakresu nakazów przeszukania i zajęcia, gwarancje </w:t>
      </w:r>
      <w:r w:rsidR="008E36B7">
        <w:t xml:space="preserve">jakimi dysponowali </w:t>
      </w:r>
      <w:r w:rsidR="000C201E">
        <w:t xml:space="preserve"> skarżący mające na celu zapobieżenie nadużyciom, </w:t>
      </w:r>
      <w:r w:rsidR="008E36B7">
        <w:t>arbitralności</w:t>
      </w:r>
      <w:r w:rsidR="000C201E">
        <w:t xml:space="preserve"> i naruszeni</w:t>
      </w:r>
      <w:r w:rsidR="008E36B7">
        <w:t>om</w:t>
      </w:r>
      <w:r w:rsidR="000C201E">
        <w:t xml:space="preserve"> tajemnicy adwokackiej, w szczególności kontrola ze strony sędziego śledczego uzupełniona p</w:t>
      </w:r>
      <w:r w:rsidR="008C37BB">
        <w:t>op</w:t>
      </w:r>
      <w:r w:rsidR="000C201E">
        <w:t>rzez interwencję Pr</w:t>
      </w:r>
      <w:r w:rsidR="008C37BB">
        <w:t>ezesa</w:t>
      </w:r>
      <w:r w:rsidR="000C201E">
        <w:t xml:space="preserve"> Sądu Apelacyjnego w myśl artykułu 72 Statutu Izby Adwokackiej, były odpowiednie i wystarczające. Przeszukanie i zajęcie dokumentów informatycznych i wiadomości elektronicznych kwestionowan</w:t>
      </w:r>
      <w:r w:rsidR="008C37BB">
        <w:t>e</w:t>
      </w:r>
      <w:r w:rsidR="000C201E">
        <w:t xml:space="preserve"> w przedmiotowej sprawie nie spowodowało </w:t>
      </w:r>
      <w:r w:rsidR="00C90FC5">
        <w:t xml:space="preserve">naruszenia </w:t>
      </w:r>
      <w:r w:rsidR="000C201E">
        <w:t xml:space="preserve">nieproporcjonalnego </w:t>
      </w:r>
      <w:r w:rsidR="00586B99">
        <w:br/>
        <w:t>w stosunku do zamierzonego</w:t>
      </w:r>
      <w:r w:rsidR="000C201E">
        <w:t xml:space="preserve"> </w:t>
      </w:r>
      <w:r w:rsidR="00C90FC5">
        <w:t>słusznego</w:t>
      </w:r>
      <w:r w:rsidR="000C201E">
        <w:t xml:space="preserve"> celu. </w:t>
      </w:r>
    </w:p>
    <w:p w:rsidR="003A07E9" w:rsidRPr="006B0F5A" w:rsidRDefault="00403D74" w:rsidP="006B0F5A">
      <w:pPr>
        <w:pStyle w:val="ECHRPara"/>
      </w:pPr>
      <w:fldSimple w:instr=" SEQ level0 \*arabic ">
        <w:r w:rsidR="00F32FF7">
          <w:rPr>
            <w:noProof/>
          </w:rPr>
          <w:t>120</w:t>
        </w:r>
      </w:fldSimple>
      <w:r w:rsidR="000C201E">
        <w:t>.  Zatem nie miało miejsca naruszenie artykułu 8 Konwencji.</w:t>
      </w:r>
    </w:p>
    <w:p w:rsidR="006C5B9E" w:rsidRPr="006B0F5A" w:rsidRDefault="000C201E" w:rsidP="006B0F5A">
      <w:pPr>
        <w:pStyle w:val="ECHRTitle1"/>
      </w:pPr>
      <w:r>
        <w:t xml:space="preserve">Z TYCH PRZYCZYN, TRYBUNAŁ </w:t>
      </w:r>
    </w:p>
    <w:p w:rsidR="007A65D2" w:rsidRPr="006B0F5A" w:rsidRDefault="000C201E" w:rsidP="006B0F5A">
      <w:pPr>
        <w:pStyle w:val="JuList"/>
      </w:pPr>
      <w:r>
        <w:t>1.  </w:t>
      </w:r>
      <w:r w:rsidRPr="00A360B8">
        <w:rPr>
          <w:i/>
        </w:rPr>
        <w:t>Uznaje</w:t>
      </w:r>
      <w:r>
        <w:t xml:space="preserve"> jednogłośnie skargę za dopuszczalną.  </w:t>
      </w:r>
    </w:p>
    <w:p w:rsidR="007A65D2" w:rsidRPr="006B0F5A" w:rsidRDefault="007A65D2" w:rsidP="006B0F5A">
      <w:pPr>
        <w:pStyle w:val="JuList"/>
      </w:pPr>
    </w:p>
    <w:p w:rsidR="006C5B9E" w:rsidRPr="006B0F5A" w:rsidRDefault="000C201E" w:rsidP="006B0F5A">
      <w:pPr>
        <w:pStyle w:val="JuList"/>
      </w:pPr>
      <w:r>
        <w:t>2.  </w:t>
      </w:r>
      <w:r w:rsidRPr="00A360B8">
        <w:rPr>
          <w:i/>
        </w:rPr>
        <w:t>Stwierdza</w:t>
      </w:r>
      <w:r>
        <w:t xml:space="preserve"> sześcioma głosami przeciwko jednemu, że nie miało miejsca</w:t>
      </w:r>
      <w:r w:rsidR="00AD05AC">
        <w:t xml:space="preserve"> </w:t>
      </w:r>
      <w:r>
        <w:t>naruszenie artykułu 8 Konwencji.</w:t>
      </w:r>
    </w:p>
    <w:p w:rsidR="00D97ADD" w:rsidRPr="006B0F5A" w:rsidRDefault="000C201E" w:rsidP="006B0F5A">
      <w:pPr>
        <w:pStyle w:val="JuParaLast"/>
      </w:pPr>
      <w:r>
        <w:lastRenderedPageBreak/>
        <w:t xml:space="preserve">Sporządzono w języku francuskim, a następnie notyfikowano na piśmie dnia 3 września 2015 roku, </w:t>
      </w:r>
      <w:r w:rsidR="00AD05AC">
        <w:t>przy zastosowaniu</w:t>
      </w:r>
      <w:r>
        <w:t xml:space="preserve"> artykułu 77 §§ 2 i 3 Regulaminu.</w:t>
      </w:r>
    </w:p>
    <w:p w:rsidR="00DF3F95" w:rsidRPr="006B0F5A" w:rsidRDefault="000C201E" w:rsidP="006B0F5A">
      <w:pPr>
        <w:pStyle w:val="JuSigned"/>
        <w:keepNext/>
        <w:keepLines/>
      </w:pPr>
      <w:r>
        <w:tab/>
      </w:r>
      <w:proofErr w:type="spellStart"/>
      <w:r>
        <w:t>Søren</w:t>
      </w:r>
      <w:proofErr w:type="spellEnd"/>
      <w:r>
        <w:t xml:space="preserve"> Nielsen</w:t>
      </w:r>
      <w:r>
        <w:tab/>
        <w:t xml:space="preserve">Isabelle </w:t>
      </w:r>
      <w:proofErr w:type="spellStart"/>
      <w:r>
        <w:t>Berro</w:t>
      </w:r>
      <w:proofErr w:type="spellEnd"/>
      <w:r>
        <w:br/>
      </w:r>
      <w:r>
        <w:tab/>
        <w:t>Kanclerz</w:t>
      </w:r>
      <w:r>
        <w:tab/>
        <w:t>Przewodnicząca</w:t>
      </w:r>
    </w:p>
    <w:p w:rsidR="00B54334" w:rsidRPr="006B0F5A" w:rsidRDefault="000C201E" w:rsidP="006B0F5A">
      <w:pPr>
        <w:pStyle w:val="JuParaLast"/>
      </w:pPr>
      <w:r>
        <w:t xml:space="preserve">Do niniejszego wyroku zostaje załączone, zgodnie z artykułami 45 § 2 Konwencji i 74 § 2 </w:t>
      </w:r>
      <w:r w:rsidR="00F00811">
        <w:t>Regulaminu</w:t>
      </w:r>
      <w:r>
        <w:t xml:space="preserve">, oświadczenie o zdaniu odrębnym sędziego </w:t>
      </w:r>
      <w:proofErr w:type="spellStart"/>
      <w:r>
        <w:t>Saragoça</w:t>
      </w:r>
      <w:proofErr w:type="spellEnd"/>
      <w:r>
        <w:t xml:space="preserve"> Da Matta.</w:t>
      </w:r>
    </w:p>
    <w:p w:rsidR="0069629F" w:rsidRPr="006B0F5A" w:rsidRDefault="000C201E" w:rsidP="006B0F5A">
      <w:pPr>
        <w:pStyle w:val="JuInitialled"/>
      </w:pPr>
      <w:r>
        <w:t>I.B.L.</w:t>
      </w:r>
      <w:r>
        <w:br/>
        <w:t>S.N.</w:t>
      </w:r>
    </w:p>
    <w:p w:rsidR="000C201E" w:rsidRDefault="000C201E" w:rsidP="006B0F5A">
      <w:pPr>
        <w:jc w:val="left"/>
        <w:sectPr w:rsidR="000C201E" w:rsidSect="00CE0EAD">
          <w:headerReference w:type="even" r:id="rId14"/>
          <w:headerReference w:type="default" r:id="rId15"/>
          <w:pgSz w:w="11906" w:h="16838" w:code="9"/>
          <w:pgMar w:top="2274" w:right="2274" w:bottom="2274" w:left="2274" w:header="1701" w:footer="708" w:gutter="0"/>
          <w:pgNumType w:start="1"/>
          <w:cols w:space="708"/>
          <w:noEndnote/>
          <w:docGrid w:linePitch="326"/>
        </w:sectPr>
      </w:pPr>
    </w:p>
    <w:p w:rsidR="000F39BF" w:rsidRPr="006B0F5A" w:rsidRDefault="000C201E" w:rsidP="006B0F5A">
      <w:pPr>
        <w:pStyle w:val="ECHRTitleCentre1"/>
      </w:pPr>
      <w:r>
        <w:lastRenderedPageBreak/>
        <w:t>ZDANIE ODRĘBNE</w:t>
      </w:r>
      <w:r>
        <w:br/>
        <w:t>SĘDZIEGO SARAGOÇA DA MATTA</w:t>
      </w:r>
    </w:p>
    <w:p w:rsidR="000F39BF" w:rsidRPr="006B0F5A" w:rsidRDefault="000C201E" w:rsidP="006B0F5A">
      <w:pPr>
        <w:pStyle w:val="OpiPara"/>
        <w:ind w:firstLine="0"/>
      </w:pPr>
      <w:r>
        <w:rPr>
          <w:b/>
        </w:rPr>
        <w:t xml:space="preserve">I – </w:t>
      </w:r>
      <w:r>
        <w:t xml:space="preserve">Przede wszystkim, </w:t>
      </w:r>
      <w:r>
        <w:rPr>
          <w:b/>
        </w:rPr>
        <w:t>uznaję</w:t>
      </w:r>
      <w:r w:rsidR="00F51239">
        <w:rPr>
          <w:b/>
        </w:rPr>
        <w:t>, że</w:t>
      </w:r>
      <w:r>
        <w:rPr>
          <w:b/>
        </w:rPr>
        <w:t xml:space="preserve"> skarg</w:t>
      </w:r>
      <w:r w:rsidR="00F51239">
        <w:rPr>
          <w:b/>
        </w:rPr>
        <w:t>a</w:t>
      </w:r>
      <w:r>
        <w:rPr>
          <w:b/>
        </w:rPr>
        <w:t xml:space="preserve"> </w:t>
      </w:r>
      <w:r w:rsidR="00F51239">
        <w:rPr>
          <w:b/>
        </w:rPr>
        <w:t>jest</w:t>
      </w:r>
      <w:r>
        <w:rPr>
          <w:b/>
        </w:rPr>
        <w:t xml:space="preserve"> dopuszczaln</w:t>
      </w:r>
      <w:r w:rsidR="00F51239">
        <w:rPr>
          <w:b/>
        </w:rPr>
        <w:t>a</w:t>
      </w:r>
      <w:r>
        <w:t xml:space="preserve">, z powodów przedstawionych w wyroku, jednogłośnie wraz z pozostałymi sędziami. </w:t>
      </w:r>
    </w:p>
    <w:p w:rsidR="000F39BF" w:rsidRPr="006B0F5A" w:rsidRDefault="000F39BF" w:rsidP="006B0F5A">
      <w:pPr>
        <w:pStyle w:val="OpiPara"/>
      </w:pPr>
    </w:p>
    <w:p w:rsidR="000F39BF" w:rsidRPr="006B0F5A" w:rsidRDefault="000C201E" w:rsidP="006B0F5A">
      <w:pPr>
        <w:pStyle w:val="OpiPara"/>
        <w:ind w:firstLine="0"/>
      </w:pPr>
      <w:r>
        <w:rPr>
          <w:b/>
        </w:rPr>
        <w:t>II –</w:t>
      </w:r>
      <w:r>
        <w:t xml:space="preserve"> Następnie, odnośnie istoty sprawy, </w:t>
      </w:r>
      <w:r>
        <w:rPr>
          <w:b/>
        </w:rPr>
        <w:t>nie mogę głosować za wyrokiem,</w:t>
      </w:r>
      <w:r>
        <w:t xml:space="preserve"> z różnych powodów, które nie są oparte na ocenie prawa portugalskiego mającego zastosowanie w danej sprawie.</w:t>
      </w:r>
    </w:p>
    <w:p w:rsidR="000F39BF" w:rsidRPr="006B0F5A" w:rsidRDefault="000C201E" w:rsidP="006B0F5A">
      <w:pPr>
        <w:pStyle w:val="OpiPara"/>
      </w:pPr>
      <w:r>
        <w:t>W i</w:t>
      </w:r>
      <w:r w:rsidR="0044530F">
        <w:t>stocie</w:t>
      </w:r>
      <w:r>
        <w:t xml:space="preserve">, powody, które nie pozwalają mi głosować za wyrokiem wynikają z logicznego rozumowania </w:t>
      </w:r>
      <w:r w:rsidR="0044530F">
        <w:t xml:space="preserve">o wyroku </w:t>
      </w:r>
      <w:r>
        <w:t xml:space="preserve">oraz z zastosowania reguł Konwencji do faktów w przedmiotowej sprawy; chodzi więc o </w:t>
      </w:r>
      <w:r w:rsidR="005368F8">
        <w:t xml:space="preserve">powody </w:t>
      </w:r>
      <w:r>
        <w:t xml:space="preserve">obiektywne, przedstawione poniżej. </w:t>
      </w:r>
    </w:p>
    <w:p w:rsidR="000F39BF" w:rsidRPr="006B0F5A" w:rsidRDefault="000F39BF" w:rsidP="006B0F5A">
      <w:pPr>
        <w:pStyle w:val="OpiPara"/>
        <w:rPr>
          <w:b/>
        </w:rPr>
      </w:pPr>
    </w:p>
    <w:p w:rsidR="000F39BF" w:rsidRPr="006B0F5A" w:rsidRDefault="000C201E" w:rsidP="006B0F5A">
      <w:pPr>
        <w:pStyle w:val="OpiPara"/>
        <w:ind w:firstLine="0"/>
      </w:pPr>
      <w:r>
        <w:rPr>
          <w:b/>
        </w:rPr>
        <w:t>III –</w:t>
      </w:r>
      <w:r>
        <w:t xml:space="preserve">  W kwestii dotyczącej pierwszej części wyroku (</w:t>
      </w:r>
      <w:r>
        <w:rPr>
          <w:i/>
          <w:sz w:val="18"/>
        </w:rPr>
        <w:t>Postępowanie– Stan faktyczny– I. Okoliczności spraw</w:t>
      </w:r>
      <w:r w:rsidR="005368F8">
        <w:rPr>
          <w:i/>
          <w:sz w:val="18"/>
        </w:rPr>
        <w:t>y</w:t>
      </w:r>
      <w:r>
        <w:t>) :</w:t>
      </w:r>
    </w:p>
    <w:p w:rsidR="000F39BF" w:rsidRPr="006B0F5A" w:rsidRDefault="000F39BF" w:rsidP="006B0F5A">
      <w:pPr>
        <w:pStyle w:val="OpiPara"/>
        <w:ind w:left="567" w:hanging="567"/>
        <w:rPr>
          <w:b/>
        </w:rPr>
      </w:pPr>
    </w:p>
    <w:p w:rsidR="0010236F" w:rsidRPr="006B0F5A" w:rsidRDefault="000C201E" w:rsidP="006B0F5A">
      <w:pPr>
        <w:pStyle w:val="OpiPara"/>
        <w:ind w:left="567" w:hanging="567"/>
      </w:pPr>
      <w:r>
        <w:rPr>
          <w:b/>
        </w:rPr>
        <w:t>1.</w:t>
      </w:r>
      <w:r>
        <w:tab/>
        <w:t>Uzasadnieniem dla przeszukania w kancelarii adwokackiej, przywołanym przez prokuraturę była okoliczność, że "żaden dokument nie został odnaleziony w Ministerstwie Obrony" !</w:t>
      </w:r>
    </w:p>
    <w:p w:rsidR="0010236F" w:rsidRPr="006B0F5A" w:rsidRDefault="000C201E" w:rsidP="006B0F5A">
      <w:pPr>
        <w:pStyle w:val="OpiPara"/>
        <w:ind w:left="993" w:hanging="425"/>
      </w:pPr>
      <w:r>
        <w:rPr>
          <w:b/>
        </w:rPr>
        <w:t>a.</w:t>
      </w:r>
      <w:r>
        <w:tab/>
        <w:t xml:space="preserve">Oznacza to, że naruszenie tajemnicy </w:t>
      </w:r>
      <w:r w:rsidR="001525D5">
        <w:t>adwokackiej</w:t>
      </w:r>
      <w:r>
        <w:t>, o której mowa</w:t>
      </w:r>
      <w:r w:rsidR="00797980">
        <w:t>,</w:t>
      </w:r>
      <w:r>
        <w:t xml:space="preserve"> miało sw</w:t>
      </w:r>
      <w:r w:rsidR="00D54935">
        <w:t>oje źródło w nieprawidłowości</w:t>
      </w:r>
      <w:r>
        <w:t>, któr</w:t>
      </w:r>
      <w:r w:rsidR="00D54935">
        <w:t>a</w:t>
      </w:r>
      <w:r>
        <w:t xml:space="preserve"> miał</w:t>
      </w:r>
      <w:r w:rsidR="00D54935">
        <w:t>a</w:t>
      </w:r>
      <w:r>
        <w:t xml:space="preserve"> miejsce w postępowaniu administracyjnym prowadzonym przez samo Państwo !</w:t>
      </w:r>
    </w:p>
    <w:p w:rsidR="000F39BF" w:rsidRPr="006B0F5A" w:rsidRDefault="000C201E" w:rsidP="006B0F5A">
      <w:pPr>
        <w:pStyle w:val="OpiPara"/>
        <w:ind w:left="993" w:hanging="425"/>
      </w:pPr>
      <w:r>
        <w:rPr>
          <w:b/>
        </w:rPr>
        <w:t>b.</w:t>
      </w:r>
      <w:r>
        <w:tab/>
        <w:t>Nie jest zrozumiałe aby ministerstwo mogło zgubić lub zniszczyć  swo</w:t>
      </w:r>
      <w:r w:rsidR="00AF4DE7">
        <w:t>je</w:t>
      </w:r>
      <w:r>
        <w:t xml:space="preserve"> archiw</w:t>
      </w:r>
      <w:r w:rsidR="00AF4DE7">
        <w:t>a</w:t>
      </w:r>
      <w:r>
        <w:t xml:space="preserve">.  Ta nieprawidłowość została przykryta przez prokuraturę za pomocą ofensywnego środka skierowanego wobec kancelarii adwokackiej, bez wyciągnięcia żadnych konsekwencji wobec osób odpowiedzialnych po stronie organów władzy administracyjnej i politycznej we wspomnianym ministerstwie. </w:t>
      </w:r>
    </w:p>
    <w:p w:rsidR="000F39BF" w:rsidRPr="006B0F5A" w:rsidRDefault="000C201E" w:rsidP="006B0F5A">
      <w:pPr>
        <w:pStyle w:val="OpiPara"/>
        <w:ind w:left="993" w:hanging="425"/>
      </w:pPr>
      <w:r>
        <w:rPr>
          <w:b/>
        </w:rPr>
        <w:t>c.</w:t>
      </w:r>
      <w:r>
        <w:rPr>
          <w:b/>
        </w:rPr>
        <w:tab/>
      </w:r>
      <w:r>
        <w:t>Nie można przyznać, że aby odnaleźć dokumenty, które zniknęły z Ministerstwa Obrony, należało przeprowadzić ogólne przeszukanie archiwów kancelarii adwokackiej.</w:t>
      </w:r>
    </w:p>
    <w:p w:rsidR="000F39BF" w:rsidRPr="006B0F5A" w:rsidRDefault="000C201E" w:rsidP="006B0F5A">
      <w:pPr>
        <w:pStyle w:val="OpiPara"/>
        <w:ind w:left="993" w:hanging="425"/>
      </w:pPr>
      <w:r>
        <w:rPr>
          <w:b/>
        </w:rPr>
        <w:t>d.</w:t>
      </w:r>
      <w:r>
        <w:rPr>
          <w:b/>
        </w:rPr>
        <w:tab/>
      </w:r>
      <w:r>
        <w:t>Naganne zachowania Państwa które mające postać  ingerencji w prywatną sferę działalności zawodowej objętą tajemnicą zawodową, która to tajemnicą jest esencją działalności adwokatów (stwierdzenie przez opinię publiczną / klientów, że kancelaria adwokacka nie jest przestrzenią gwarantującą zachowanie tajemnicy może zniszczyć funkcjonowanie danej kancelarii</w:t>
      </w:r>
      <w:r w:rsidR="0089551F">
        <w:t>,</w:t>
      </w:r>
      <w:r>
        <w:t xml:space="preserve"> a w konsekwencji poważnie narazić </w:t>
      </w:r>
      <w:r w:rsidR="00BD3500">
        <w:t>skompromitować działalność zawodową</w:t>
      </w:r>
      <w:r>
        <w:t xml:space="preserve"> adwokatów, których dotyczyło przeszukanie).</w:t>
      </w:r>
    </w:p>
    <w:p w:rsidR="000F39BF" w:rsidRPr="006B0F5A" w:rsidRDefault="000F39BF" w:rsidP="006B0F5A">
      <w:pPr>
        <w:pStyle w:val="OpiPara"/>
        <w:ind w:left="567" w:hanging="567"/>
        <w:rPr>
          <w:b/>
        </w:rPr>
      </w:pPr>
    </w:p>
    <w:p w:rsidR="000F39BF" w:rsidRPr="006B0F5A" w:rsidRDefault="000C201E" w:rsidP="006B0F5A">
      <w:pPr>
        <w:pStyle w:val="OpiPara"/>
        <w:ind w:left="567" w:hanging="567"/>
      </w:pPr>
      <w:r>
        <w:rPr>
          <w:b/>
        </w:rPr>
        <w:lastRenderedPageBreak/>
        <w:t>2.</w:t>
      </w:r>
      <w:r>
        <w:rPr>
          <w:b/>
        </w:rPr>
        <w:tab/>
      </w:r>
      <w:r>
        <w:t xml:space="preserve">Poza tą początkową nieprawidłowością "zakres nakazów przeszukania i zajęcia" był "szeroki" - co jest </w:t>
      </w:r>
      <w:r w:rsidR="000C5CEF">
        <w:t xml:space="preserve">nie </w:t>
      </w:r>
      <w:r>
        <w:t xml:space="preserve">do przyjęcia w przypadku żadnego </w:t>
      </w:r>
      <w:r w:rsidR="000C5CEF">
        <w:t>śledztwa</w:t>
      </w:r>
      <w:r>
        <w:t xml:space="preserve">. </w:t>
      </w:r>
    </w:p>
    <w:p w:rsidR="000F39BF" w:rsidRPr="006B0F5A" w:rsidRDefault="000C201E" w:rsidP="006B0F5A">
      <w:pPr>
        <w:pStyle w:val="OpiPara"/>
        <w:ind w:left="993" w:hanging="425"/>
      </w:pPr>
      <w:r>
        <w:rPr>
          <w:b/>
        </w:rPr>
        <w:t>a.</w:t>
      </w:r>
      <w:r>
        <w:rPr>
          <w:b/>
        </w:rPr>
        <w:tab/>
      </w:r>
      <w:r>
        <w:t xml:space="preserve">Nic nie może usprawiedliwić </w:t>
      </w:r>
      <w:r w:rsidR="0065424E">
        <w:t>tego,</w:t>
      </w:r>
      <w:r>
        <w:t xml:space="preserve"> aby naruszenie tajemnicy</w:t>
      </w:r>
      <w:r w:rsidR="0065424E">
        <w:t xml:space="preserve"> </w:t>
      </w:r>
      <w:r w:rsidR="001525D5">
        <w:t>adwokackiej</w:t>
      </w:r>
      <w:r>
        <w:t xml:space="preserve"> było wdrożone na podstawie listy 35 słów kluczowych, z których niektóre należały do prawn</w:t>
      </w:r>
      <w:r w:rsidR="00176858">
        <w:t>iczego</w:t>
      </w:r>
      <w:r>
        <w:t xml:space="preserve"> żargonu  kancelari</w:t>
      </w:r>
      <w:r w:rsidR="00176858">
        <w:t>i</w:t>
      </w:r>
      <w:r>
        <w:t xml:space="preserve"> adwokackich, a inne były nazwami banków oraz personaliami. </w:t>
      </w:r>
    </w:p>
    <w:p w:rsidR="000F39BF" w:rsidRPr="006B0F5A" w:rsidRDefault="000C201E" w:rsidP="006B0F5A">
      <w:pPr>
        <w:pStyle w:val="OpiPara"/>
        <w:ind w:left="993" w:hanging="425"/>
      </w:pPr>
      <w:r>
        <w:rPr>
          <w:b/>
        </w:rPr>
        <w:t>b.</w:t>
      </w:r>
      <w:r>
        <w:rPr>
          <w:b/>
        </w:rPr>
        <w:tab/>
      </w:r>
      <w:r>
        <w:t xml:space="preserve">Oznacza to, że należało sprecyzować w bardzo ścisły sposób zakres przeszukania, biorąc pod uwagę nie tylko </w:t>
      </w:r>
      <w:r w:rsidR="005B32CC">
        <w:t xml:space="preserve">uzasadnienie </w:t>
      </w:r>
      <w:r>
        <w:t xml:space="preserve"> tego środka, ale także konieczne naruszenie praw podstawowych adwokatów i ich klientów, które z uwagi na rozmiar listy słów kluczowych, płynęło z nieuchronnego zajęcia większej liczby dokumentacji dotyczącej innych klientów.</w:t>
      </w:r>
    </w:p>
    <w:p w:rsidR="000F39BF" w:rsidRPr="006B0F5A" w:rsidRDefault="000C201E" w:rsidP="006B0F5A">
      <w:pPr>
        <w:pStyle w:val="OpiPara"/>
        <w:ind w:left="993" w:hanging="425"/>
      </w:pPr>
      <w:r>
        <w:rPr>
          <w:b/>
        </w:rPr>
        <w:t>c.</w:t>
      </w:r>
      <w:r>
        <w:rPr>
          <w:b/>
        </w:rPr>
        <w:tab/>
      </w:r>
      <w:r>
        <w:t xml:space="preserve">Aby dopuścić taką liczbę słów kluczowych, należało określić istotność </w:t>
      </w:r>
      <w:r w:rsidR="00E90830">
        <w:t xml:space="preserve">dla przeszukania </w:t>
      </w:r>
      <w:r>
        <w:t>każdego ze słów, co nie zostało zrobione (i co byłoby właściwie niemożliwe, ponieważ Trybunał nie ma możliwości oceny istoty postępowania karnego, o którym mowa).</w:t>
      </w:r>
    </w:p>
    <w:p w:rsidR="000F39BF" w:rsidRPr="006B0F5A" w:rsidRDefault="000F39BF" w:rsidP="006B0F5A">
      <w:pPr>
        <w:pStyle w:val="OpiPara"/>
        <w:ind w:left="567" w:hanging="567"/>
        <w:rPr>
          <w:b/>
        </w:rPr>
      </w:pPr>
    </w:p>
    <w:p w:rsidR="000F39BF" w:rsidRPr="006B0F5A" w:rsidRDefault="000C201E" w:rsidP="006B0F5A">
      <w:pPr>
        <w:pStyle w:val="OpiPara"/>
        <w:ind w:left="567" w:hanging="567"/>
      </w:pPr>
      <w:r>
        <w:rPr>
          <w:b/>
        </w:rPr>
        <w:t>3.</w:t>
      </w:r>
      <w:r>
        <w:rPr>
          <w:b/>
        </w:rPr>
        <w:tab/>
      </w:r>
      <w:r>
        <w:t xml:space="preserve">Gwarancje przewidziane przez portugalskie prawo są odpowiednie (zgodnie ze znaczeniem nadanym przez </w:t>
      </w:r>
      <w:r w:rsidR="00DE2A55">
        <w:t>ustawę</w:t>
      </w:r>
      <w:r>
        <w:t>), ale ich skuteczność nie została ustalona w toku postępowania przed Trybunałem.</w:t>
      </w:r>
    </w:p>
    <w:p w:rsidR="000F39BF" w:rsidRPr="006B0F5A" w:rsidRDefault="000C201E" w:rsidP="006B0F5A">
      <w:pPr>
        <w:pStyle w:val="OpiPara"/>
        <w:ind w:left="993" w:hanging="425"/>
      </w:pPr>
      <w:r>
        <w:rPr>
          <w:b/>
        </w:rPr>
        <w:t>a.</w:t>
      </w:r>
      <w:r>
        <w:tab/>
      </w:r>
      <w:r w:rsidR="00DE2A55">
        <w:t>Z</w:t>
      </w:r>
      <w:r>
        <w:t xml:space="preserve">ostało wykazane, że procedura przewidziana przez </w:t>
      </w:r>
      <w:r w:rsidR="00F82D14">
        <w:t>ustawę</w:t>
      </w:r>
      <w:r>
        <w:t xml:space="preserve"> został</w:t>
      </w:r>
      <w:r w:rsidR="00F82D14">
        <w:t>a</w:t>
      </w:r>
      <w:r>
        <w:t xml:space="preserve"> wypełnion</w:t>
      </w:r>
      <w:r w:rsidR="00F82D14">
        <w:t>a</w:t>
      </w:r>
      <w:r>
        <w:t xml:space="preserve">, ale nie to, że gwarancje były skuteczne. </w:t>
      </w:r>
    </w:p>
    <w:p w:rsidR="000F39BF" w:rsidRPr="006B0F5A" w:rsidRDefault="000C201E" w:rsidP="006B0F5A">
      <w:pPr>
        <w:pStyle w:val="OpiPara"/>
        <w:ind w:left="993" w:hanging="425"/>
      </w:pPr>
      <w:r>
        <w:rPr>
          <w:b/>
        </w:rPr>
        <w:t>b.</w:t>
      </w:r>
      <w:r>
        <w:rPr>
          <w:b/>
        </w:rPr>
        <w:tab/>
      </w:r>
      <w:r w:rsidR="00572774" w:rsidRPr="00572774">
        <w:t>Oceniam</w:t>
      </w:r>
      <w:r w:rsidRPr="00572774">
        <w:t>,</w:t>
      </w:r>
      <w:r>
        <w:t xml:space="preserve"> że zasady proceduralne były przestrzegane, ale nie oznacza to, że gwarancja tajemnicy zawodowej była przestrzegana w kwestii dotyczącej wszystkich akt innych klientów kancelarii, z której dokumenty, pliki i wiadomości  elektroniczne zostały za</w:t>
      </w:r>
      <w:r w:rsidR="001B554D">
        <w:t>jęte</w:t>
      </w:r>
      <w:r>
        <w:t xml:space="preserve"> i</w:t>
      </w:r>
      <w:r w:rsidR="001B554D">
        <w:t>,</w:t>
      </w:r>
      <w:r>
        <w:t xml:space="preserve"> co gorsza</w:t>
      </w:r>
      <w:r w:rsidR="001B554D">
        <w:t>,</w:t>
      </w:r>
      <w:r>
        <w:t xml:space="preserve"> przekazane następnie w celu ich wykorzystania w ramach innego postępowania.</w:t>
      </w:r>
    </w:p>
    <w:p w:rsidR="000F39BF" w:rsidRPr="006B0F5A" w:rsidRDefault="000C201E" w:rsidP="006B0F5A">
      <w:pPr>
        <w:pStyle w:val="OpiPara"/>
        <w:ind w:left="993" w:hanging="425"/>
      </w:pPr>
      <w:r>
        <w:rPr>
          <w:b/>
        </w:rPr>
        <w:t>c.</w:t>
      </w:r>
      <w:r>
        <w:rPr>
          <w:b/>
        </w:rPr>
        <w:tab/>
      </w:r>
      <w:r>
        <w:t xml:space="preserve">Odnośnie liczby </w:t>
      </w:r>
      <w:r w:rsidR="00182E11">
        <w:t xml:space="preserve">zajętych </w:t>
      </w:r>
      <w:r>
        <w:t xml:space="preserve">wiadomości poczty elektronicznej (ponad 28 000), można </w:t>
      </w:r>
      <w:r w:rsidR="00182E11">
        <w:t xml:space="preserve">jedynie </w:t>
      </w:r>
      <w:r>
        <w:t xml:space="preserve">dojść do wniosku, że przeszukanie nie było proporcjonalne w stosunku do </w:t>
      </w:r>
      <w:r w:rsidR="00CE2158">
        <w:t>zakładan</w:t>
      </w:r>
      <w:r>
        <w:t xml:space="preserve">ego celu – jest obiektywnie </w:t>
      </w:r>
      <w:r w:rsidR="00FB2984">
        <w:t>nie</w:t>
      </w:r>
      <w:r>
        <w:t xml:space="preserve">możliwe, aby wszystkie zajęte wiadomości elektroniczne </w:t>
      </w:r>
      <w:r w:rsidR="00FB2984">
        <w:t>miały</w:t>
      </w:r>
      <w:r>
        <w:t xml:space="preserve"> jakikolwiek związ</w:t>
      </w:r>
      <w:r w:rsidR="00FB2984">
        <w:t>ek</w:t>
      </w:r>
      <w:r>
        <w:t xml:space="preserve"> z postępowani</w:t>
      </w:r>
      <w:r w:rsidR="00157292">
        <w:t>em</w:t>
      </w:r>
      <w:r>
        <w:t xml:space="preserve"> karn</w:t>
      </w:r>
      <w:r w:rsidR="00157292">
        <w:t>ym</w:t>
      </w:r>
      <w:r>
        <w:t>, o którym mowa – i</w:t>
      </w:r>
      <w:r w:rsidR="00157292">
        <w:t>,</w:t>
      </w:r>
      <w:r>
        <w:t xml:space="preserve"> w rezultacie, żadna realna gwarancja praw skarżących nie została zapewniona. </w:t>
      </w:r>
    </w:p>
    <w:p w:rsidR="000F39BF" w:rsidRPr="006B0F5A" w:rsidRDefault="000C201E" w:rsidP="006B0F5A">
      <w:pPr>
        <w:pStyle w:val="OpiPara"/>
        <w:ind w:left="993" w:hanging="425"/>
      </w:pPr>
      <w:r>
        <w:rPr>
          <w:b/>
        </w:rPr>
        <w:t>d.</w:t>
      </w:r>
      <w:r>
        <w:rPr>
          <w:b/>
        </w:rPr>
        <w:tab/>
      </w:r>
      <w:r w:rsidR="00B84208">
        <w:t>Dysproporcja</w:t>
      </w:r>
      <w:r>
        <w:t xml:space="preserve"> </w:t>
      </w:r>
      <w:r w:rsidR="00676EA0">
        <w:t>w</w:t>
      </w:r>
      <w:r>
        <w:t xml:space="preserve"> zajęciu</w:t>
      </w:r>
      <w:r w:rsidR="00B84208">
        <w:t xml:space="preserve"> ukazuje się jasno w świetle </w:t>
      </w:r>
      <w:r>
        <w:t xml:space="preserve"> późniejszego przekazania dokumentów, plików i wiadomości poczty elektronicznej, wskazanych powyżej, w celu ich wykorzystania w ramach innego postępowania, które logicznie rzecz ujmując</w:t>
      </w:r>
      <w:r w:rsidR="00E8559C">
        <w:t>,</w:t>
      </w:r>
      <w:r>
        <w:t xml:space="preserve"> miało inny przedmiot (chyba żeby </w:t>
      </w:r>
      <w:r w:rsidR="00E8559C">
        <w:t>u</w:t>
      </w:r>
      <w:r>
        <w:t xml:space="preserve">znać, że organy śledcze </w:t>
      </w:r>
      <w:r>
        <w:lastRenderedPageBreak/>
        <w:t xml:space="preserve">wszczęły więcej niż jedno postępowanie </w:t>
      </w:r>
      <w:r w:rsidR="00E8559C">
        <w:t>w</w:t>
      </w:r>
      <w:r>
        <w:t xml:space="preserve"> </w:t>
      </w:r>
      <w:r w:rsidR="00E8559C">
        <w:t>tym samym</w:t>
      </w:r>
      <w:r>
        <w:t xml:space="preserve"> przedmio</w:t>
      </w:r>
      <w:r w:rsidR="00E8559C">
        <w:t>cie</w:t>
      </w:r>
      <w:r>
        <w:t xml:space="preserve">). </w:t>
      </w:r>
    </w:p>
    <w:p w:rsidR="000F39BF" w:rsidRPr="006B0F5A" w:rsidRDefault="000F39BF" w:rsidP="006B0F5A">
      <w:pPr>
        <w:pStyle w:val="OpiPara"/>
      </w:pPr>
    </w:p>
    <w:p w:rsidR="000F39BF" w:rsidRPr="006B0F5A" w:rsidRDefault="000C201E" w:rsidP="006B0F5A">
      <w:pPr>
        <w:pStyle w:val="OpiPara"/>
        <w:tabs>
          <w:tab w:val="left" w:pos="567"/>
        </w:tabs>
        <w:ind w:firstLine="0"/>
      </w:pPr>
      <w:r>
        <w:rPr>
          <w:b/>
        </w:rPr>
        <w:t>4.</w:t>
      </w:r>
      <w:r>
        <w:tab/>
        <w:t xml:space="preserve">Poza tym : </w:t>
      </w:r>
    </w:p>
    <w:p w:rsidR="000F39BF" w:rsidRPr="006B0F5A" w:rsidRDefault="000C201E" w:rsidP="006B0F5A">
      <w:pPr>
        <w:pStyle w:val="OpiPara"/>
        <w:ind w:left="993" w:hanging="426"/>
      </w:pPr>
      <w:r>
        <w:rPr>
          <w:b/>
        </w:rPr>
        <w:t>a.</w:t>
      </w:r>
      <w:r>
        <w:rPr>
          <w:b/>
        </w:rPr>
        <w:tab/>
      </w:r>
      <w:r>
        <w:t>Fakt, że przeszukanie zostało zatwierdzone nakazem sądowym wydanym przez sędziego śledczego nie stanowi skutecznej gwarancji braku naruszenia tajemnicy adwokackiej w stosunku do akt kancelarii adwokackiej innych, niż te</w:t>
      </w:r>
      <w:r w:rsidR="008804F3">
        <w:t>,</w:t>
      </w:r>
      <w:r>
        <w:t xml:space="preserve"> które były motywem dla przeszukania - chodzi jedynie o "formalność" (niestety coraz częściej prostą i ścisłą formalność), która została wypełniona "formalnie". Przyznanie czegoś przeciwnego oznaczałoby potwierdzenie, że wydanie nakazu pozwala na efektywne zagwarantowanie praw osoby, której przeszukanie dotyczy i to niezależnie od </w:t>
      </w:r>
      <w:r w:rsidR="00180703">
        <w:t>treści</w:t>
      </w:r>
      <w:r>
        <w:t xml:space="preserve"> tego nakazu. </w:t>
      </w:r>
    </w:p>
    <w:p w:rsidR="000F39BF" w:rsidRPr="006B0F5A" w:rsidRDefault="000C201E" w:rsidP="006B0F5A">
      <w:pPr>
        <w:pStyle w:val="OpiPara"/>
        <w:ind w:left="993" w:hanging="426"/>
      </w:pPr>
      <w:r>
        <w:rPr>
          <w:b/>
        </w:rPr>
        <w:t>b.</w:t>
      </w:r>
      <w:r>
        <w:rPr>
          <w:b/>
        </w:rPr>
        <w:tab/>
      </w:r>
      <w:r>
        <w:t xml:space="preserve">Ta sama obserwacja może zostać sformułowana w kwestii dotyczącej potwierdzenia kontroli czynności przeszukania przeprowadzonej przez właściwego sędziego. </w:t>
      </w:r>
    </w:p>
    <w:p w:rsidR="000F39BF" w:rsidRPr="006B0F5A" w:rsidRDefault="000C201E" w:rsidP="006B0F5A">
      <w:pPr>
        <w:pStyle w:val="OpiPara"/>
        <w:ind w:left="993" w:hanging="426"/>
      </w:pPr>
      <w:r>
        <w:rPr>
          <w:b/>
        </w:rPr>
        <w:t>c.</w:t>
      </w:r>
      <w:r>
        <w:rPr>
          <w:b/>
        </w:rPr>
        <w:tab/>
      </w:r>
      <w:r>
        <w:t>To samo dotyczy obecności niektórych ze skarżących i możliwości  odwołania się do Wicepr</w:t>
      </w:r>
      <w:r w:rsidR="002319AD">
        <w:t>ezesa</w:t>
      </w:r>
      <w:r>
        <w:t xml:space="preserve"> Sądu Apelacyjnego, co wynika bezpośrednio z materiałów przekazanych do akt  sprawy przed Trybunałem.</w:t>
      </w:r>
    </w:p>
    <w:p w:rsidR="000F39BF" w:rsidRPr="006B0F5A" w:rsidRDefault="000C201E" w:rsidP="006B0F5A">
      <w:pPr>
        <w:pStyle w:val="OpiPara"/>
        <w:ind w:left="993" w:hanging="426"/>
      </w:pPr>
      <w:r>
        <w:rPr>
          <w:b/>
        </w:rPr>
        <w:t>d.</w:t>
      </w:r>
      <w:r>
        <w:rPr>
          <w:b/>
        </w:rPr>
        <w:tab/>
      </w:r>
      <w:r w:rsidR="001A0202" w:rsidRPr="001A0202">
        <w:t>Wobec tego, że</w:t>
      </w:r>
      <w:r w:rsidR="001A0202">
        <w:rPr>
          <w:b/>
        </w:rPr>
        <w:t xml:space="preserve"> </w:t>
      </w:r>
      <w:r>
        <w:t>Wicepr</w:t>
      </w:r>
      <w:r w:rsidR="001A285F">
        <w:t>ezes</w:t>
      </w:r>
      <w:r w:rsidR="001A0202">
        <w:t xml:space="preserve"> Sądu Apelacyjnego uznał, iż</w:t>
      </w:r>
      <w:r>
        <w:t xml:space="preserve"> nie było rażącego zagrożenia naruszenia tajemnicy adwokackiej, mogę wnioskować, że nie dokonano nawet refleksji dotyczącej ilości zajętych podczas przeszukania plików w stosunku do średniej ilości dokumentów w aktach sprawy jednego klienta (nawet jeżeli klientem jest portugalskie Ministerstwo Obrony) w kancelarii adwokackiej. </w:t>
      </w:r>
    </w:p>
    <w:p w:rsidR="000F39BF" w:rsidRPr="006B0F5A" w:rsidRDefault="000C201E" w:rsidP="006B0F5A">
      <w:pPr>
        <w:pStyle w:val="OpiPara"/>
        <w:ind w:left="993" w:hanging="426"/>
      </w:pPr>
      <w:r>
        <w:rPr>
          <w:b/>
        </w:rPr>
        <w:t>e.</w:t>
      </w:r>
      <w:r>
        <w:rPr>
          <w:b/>
        </w:rPr>
        <w:tab/>
      </w:r>
      <w:r>
        <w:t>Podsumowując, gwarancje przewidziane przez portugalskie prawo dotyczące kwestii przeszuka</w:t>
      </w:r>
      <w:r w:rsidR="00CA7F62">
        <w:t>ń</w:t>
      </w:r>
      <w:r>
        <w:t xml:space="preserve"> i zaję</w:t>
      </w:r>
      <w:r w:rsidR="00CA7F62">
        <w:t xml:space="preserve">ć </w:t>
      </w:r>
      <w:r>
        <w:t xml:space="preserve">są abstrakcyjnie odpowiednie, ale w przedmiotowej sprawie nie okazały się skuteczne. </w:t>
      </w:r>
    </w:p>
    <w:p w:rsidR="000F39BF" w:rsidRPr="006B0F5A" w:rsidRDefault="000F39BF" w:rsidP="006B0F5A">
      <w:pPr>
        <w:pStyle w:val="OpiPara"/>
      </w:pPr>
    </w:p>
    <w:p w:rsidR="000F39BF" w:rsidRPr="006B0F5A" w:rsidRDefault="000C201E" w:rsidP="006B0F5A">
      <w:pPr>
        <w:pStyle w:val="OpiPara"/>
        <w:ind w:left="567" w:hanging="567"/>
      </w:pPr>
      <w:r>
        <w:rPr>
          <w:b/>
        </w:rPr>
        <w:t>5.</w:t>
      </w:r>
      <w:r>
        <w:tab/>
        <w:t>Obiektywne i bezstronne rozumowanie dotyczące proporcjonalności doprowadził</w:t>
      </w:r>
      <w:r w:rsidR="0012268E">
        <w:t>o</w:t>
      </w:r>
      <w:r>
        <w:t xml:space="preserve"> mnie do wniosku, że decyzja sędziego śledczego odnośnie </w:t>
      </w:r>
      <w:r w:rsidR="009D6B3D">
        <w:t xml:space="preserve">zawartości </w:t>
      </w:r>
      <w:r>
        <w:t xml:space="preserve">zajętych materiałów nie mogła w skuteczny sposób </w:t>
      </w:r>
      <w:r w:rsidR="00BF4B69">
        <w:t>oddzielić</w:t>
      </w:r>
      <w:r>
        <w:t xml:space="preserve"> wszelki</w:t>
      </w:r>
      <w:r w:rsidR="009D6B3D">
        <w:t>ch</w:t>
      </w:r>
      <w:r>
        <w:t xml:space="preserve"> dan</w:t>
      </w:r>
      <w:r w:rsidR="009D6B3D">
        <w:t>ych</w:t>
      </w:r>
      <w:r>
        <w:t>, dotycząc</w:t>
      </w:r>
      <w:r w:rsidR="00BF4B69">
        <w:t>ych</w:t>
      </w:r>
      <w:r>
        <w:t xml:space="preserve"> życia prywatnego lub tajemnicy adwokackiej (chodzi tu o rozumowanie całkowicie obiektywne</w:t>
      </w:r>
      <w:r w:rsidR="00BF4B69">
        <w:t>,</w:t>
      </w:r>
      <w:r>
        <w:t xml:space="preserve"> dotyczące </w:t>
      </w:r>
      <w:r w:rsidR="00BF4B69">
        <w:t xml:space="preserve">zwyczajnego </w:t>
      </w:r>
      <w:r>
        <w:t>wykorzystania komputerów i elektroniczn</w:t>
      </w:r>
      <w:r w:rsidR="00FB7318">
        <w:t>ych</w:t>
      </w:r>
      <w:r>
        <w:t xml:space="preserve"> w ramach </w:t>
      </w:r>
      <w:r w:rsidR="00C47E33">
        <w:t>spółki</w:t>
      </w:r>
      <w:r>
        <w:t>, w szczególność kancelarii adwokackiej</w:t>
      </w:r>
      <w:r w:rsidR="00C47E33">
        <w:t xml:space="preserve"> </w:t>
      </w:r>
      <w:r>
        <w:t>w skład, której wchodz</w:t>
      </w:r>
      <w:r w:rsidR="00C47E33">
        <w:t>ą</w:t>
      </w:r>
      <w:r>
        <w:t xml:space="preserve"> dziesiątki adwokatów zajmujących się tysiącami </w:t>
      </w:r>
      <w:r w:rsidR="00FB7318">
        <w:t>akt</w:t>
      </w:r>
      <w:r>
        <w:t xml:space="preserve"> dotyczących wielu klientów).</w:t>
      </w:r>
    </w:p>
    <w:p w:rsidR="000F39BF" w:rsidRPr="006B0F5A" w:rsidRDefault="000C201E" w:rsidP="006B0F5A">
      <w:pPr>
        <w:pStyle w:val="OpiPara"/>
        <w:ind w:left="993" w:hanging="426"/>
      </w:pPr>
      <w:r>
        <w:rPr>
          <w:b/>
        </w:rPr>
        <w:t>a.</w:t>
      </w:r>
      <w:r>
        <w:rPr>
          <w:b/>
        </w:rPr>
        <w:tab/>
      </w:r>
      <w:r>
        <w:t>W i</w:t>
      </w:r>
      <w:r w:rsidR="00FB7318">
        <w:t>stocie</w:t>
      </w:r>
      <w:r>
        <w:t>, na 28 345 zajętych wiadomości elektroniczn</w:t>
      </w:r>
      <w:r w:rsidR="00FB7318">
        <w:t>ych</w:t>
      </w:r>
      <w:r>
        <w:t xml:space="preserve">, sędzia śledczy wyłączył 863, co pozwala wnioskować, że liczba </w:t>
      </w:r>
      <w:r>
        <w:lastRenderedPageBreak/>
        <w:t>wiadomości elektroniczn</w:t>
      </w:r>
      <w:r w:rsidR="00873461">
        <w:t>ych</w:t>
      </w:r>
      <w:r>
        <w:t xml:space="preserve"> uznanych przez sędziego śledczego </w:t>
      </w:r>
      <w:r w:rsidR="00873461">
        <w:t>za</w:t>
      </w:r>
      <w:r>
        <w:t xml:space="preserve"> mających związek z prowadzonym </w:t>
      </w:r>
      <w:r w:rsidR="00873461">
        <w:t>w sprawie śledztwe</w:t>
      </w:r>
      <w:r>
        <w:t>m wynosiła 27 482 (jeżeli chodzi o liczbę plików informatycznych to wynosiła ona 89 000).</w:t>
      </w:r>
    </w:p>
    <w:p w:rsidR="000F39BF" w:rsidRPr="006B0F5A" w:rsidRDefault="000C201E" w:rsidP="006B0F5A">
      <w:pPr>
        <w:pStyle w:val="OpiPara"/>
        <w:ind w:left="993" w:hanging="426"/>
      </w:pPr>
      <w:r>
        <w:rPr>
          <w:b/>
        </w:rPr>
        <w:t>b.</w:t>
      </w:r>
      <w:r>
        <w:tab/>
      </w:r>
      <w:r w:rsidR="001A538E">
        <w:t>N</w:t>
      </w:r>
      <w:r>
        <w:t>awet dokumentacja ministerstwa w kancelarii adwokackiej mo</w:t>
      </w:r>
      <w:r w:rsidR="00E87A07">
        <w:t>że</w:t>
      </w:r>
      <w:r w:rsidR="001A538E">
        <w:t xml:space="preserve"> z trudnością</w:t>
      </w:r>
      <w:r>
        <w:t xml:space="preserve"> osiągnąć tak duż</w:t>
      </w:r>
      <w:r w:rsidR="001A538E">
        <w:t>y</w:t>
      </w:r>
      <w:r>
        <w:t xml:space="preserve"> rozmiar: tak</w:t>
      </w:r>
      <w:r w:rsidR="00E87A07">
        <w:t>a</w:t>
      </w:r>
      <w:r>
        <w:t xml:space="preserve"> </w:t>
      </w:r>
      <w:r w:rsidR="001A538E">
        <w:t>mas</w:t>
      </w:r>
      <w:r w:rsidR="00E87A07">
        <w:t>a</w:t>
      </w:r>
      <w:r>
        <w:t xml:space="preserve"> dokumentów, plików i wiadomości elektroniczn</w:t>
      </w:r>
      <w:r w:rsidR="001A538E">
        <w:t>ych</w:t>
      </w:r>
      <w:r>
        <w:t xml:space="preserve"> musi bez wątpienia dotyczyć więcej niż jednej sprawy.</w:t>
      </w:r>
    </w:p>
    <w:p w:rsidR="000F39BF" w:rsidRPr="006B0F5A" w:rsidRDefault="000C201E" w:rsidP="006B0F5A">
      <w:pPr>
        <w:pStyle w:val="OpiPara"/>
        <w:ind w:left="993" w:hanging="426"/>
      </w:pPr>
      <w:r>
        <w:rPr>
          <w:b/>
        </w:rPr>
        <w:t>c.</w:t>
      </w:r>
      <w:r>
        <w:tab/>
        <w:t xml:space="preserve">Moim zdaniem, oznacza to, że oświadczenie o istotności dla </w:t>
      </w:r>
      <w:r w:rsidR="00E87A07">
        <w:t>śledztwa</w:t>
      </w:r>
      <w:r>
        <w:t xml:space="preserve"> tak dużej liczby zajętych plików</w:t>
      </w:r>
      <w:r w:rsidR="00E0174D">
        <w:t>,</w:t>
      </w:r>
      <w:r>
        <w:t xml:space="preserve"> obiektywnie i logicznie wskazuje, że przewidziana przez </w:t>
      </w:r>
      <w:r w:rsidR="00E0174D">
        <w:t>ustawę</w:t>
      </w:r>
      <w:r>
        <w:t xml:space="preserve"> gwarancja nie była w rzeczywistości skuteczna. </w:t>
      </w:r>
    </w:p>
    <w:p w:rsidR="000F39BF" w:rsidRPr="006B0F5A" w:rsidRDefault="000F39BF" w:rsidP="006B0F5A">
      <w:pPr>
        <w:pStyle w:val="OpiPara"/>
        <w:ind w:firstLine="0"/>
      </w:pPr>
    </w:p>
    <w:p w:rsidR="000F39BF" w:rsidRPr="006B0F5A" w:rsidRDefault="000C201E" w:rsidP="006B0F5A">
      <w:pPr>
        <w:pStyle w:val="OpiPara"/>
        <w:ind w:left="567" w:hanging="567"/>
      </w:pPr>
      <w:r>
        <w:rPr>
          <w:b/>
        </w:rPr>
        <w:t>6.</w:t>
      </w:r>
      <w:r>
        <w:tab/>
        <w:t>Moim zdaniem, nie można potwierdzić, że wyrażone przez skarżących obawy w stosunku do sędziego śledczego są abstrakcyjne i nie</w:t>
      </w:r>
      <w:r w:rsidR="00A8473C">
        <w:t xml:space="preserve">uzasadnione oraz, </w:t>
      </w:r>
      <w:r>
        <w:t xml:space="preserve">że żaden </w:t>
      </w:r>
      <w:r w:rsidR="00A8473C">
        <w:t>dowód</w:t>
      </w:r>
      <w:r>
        <w:t xml:space="preserve"> nie pozwalał poddawać w wątpliwość interwencji tego sędziego w ramach tego postępowania. Odnośnie tej kwestii</w:t>
      </w:r>
      <w:r w:rsidR="00B75C97">
        <w:t>,</w:t>
      </w:r>
      <w:r>
        <w:t xml:space="preserve"> dwa rodzaje spostrzeżeń, pozostających w sprzeczności z rozumowaniem podzielonym przez Trybunał, zasługują na podkreślenie. </w:t>
      </w:r>
    </w:p>
    <w:p w:rsidR="000F39BF" w:rsidRPr="006B0F5A" w:rsidRDefault="000C201E" w:rsidP="006B0F5A">
      <w:pPr>
        <w:pStyle w:val="OpiPara"/>
        <w:ind w:left="993" w:hanging="426"/>
      </w:pPr>
      <w:r>
        <w:rPr>
          <w:b/>
        </w:rPr>
        <w:t>a.</w:t>
      </w:r>
      <w:r>
        <w:tab/>
        <w:t>Z jednej strony</w:t>
      </w:r>
      <w:r w:rsidR="00B75C97">
        <w:t>,</w:t>
      </w:r>
      <w:r>
        <w:t xml:space="preserve"> to nie do skarżących należało</w:t>
      </w:r>
      <w:r w:rsidR="00B75C97">
        <w:t>,</w:t>
      </w:r>
      <w:r>
        <w:t xml:space="preserve"> aby konkretnie uzasadnić obawy</w:t>
      </w:r>
      <w:r w:rsidR="00B75C97">
        <w:t>,</w:t>
      </w:r>
      <w:r>
        <w:t xml:space="preserve"> jakie przedstawili, ponieważ sam</w:t>
      </w:r>
      <w:r w:rsidR="004B58FC">
        <w:t>o</w:t>
      </w:r>
      <w:r>
        <w:t xml:space="preserve">  przeszukani</w:t>
      </w:r>
      <w:r w:rsidR="004B58FC">
        <w:t>e</w:t>
      </w:r>
      <w:r>
        <w:t xml:space="preserve"> w kancelarii adwokackiej tłumaczy </w:t>
      </w:r>
      <w:r>
        <w:rPr>
          <w:i/>
        </w:rPr>
        <w:t xml:space="preserve">per </w:t>
      </w:r>
      <w:proofErr w:type="spellStart"/>
      <w:r>
        <w:rPr>
          <w:i/>
        </w:rPr>
        <w:t>se</w:t>
      </w:r>
      <w:proofErr w:type="spellEnd"/>
      <w:r>
        <w:t xml:space="preserve"> obiektywną i uzasadnioną obawę odnoszącą się do</w:t>
      </w:r>
      <w:r w:rsidR="00D01450">
        <w:t xml:space="preserve"> tajemnicy oraz</w:t>
      </w:r>
      <w:r>
        <w:t xml:space="preserve"> działalności </w:t>
      </w:r>
      <w:r w:rsidR="00D01450">
        <w:t>z</w:t>
      </w:r>
      <w:r>
        <w:t>awodowej adwokatów, których dotyczy</w:t>
      </w:r>
      <w:r w:rsidR="00D01450">
        <w:t>ło</w:t>
      </w:r>
      <w:r>
        <w:t xml:space="preserve"> przeszukanie.</w:t>
      </w:r>
    </w:p>
    <w:p w:rsidR="000F39BF" w:rsidRPr="006B0F5A" w:rsidRDefault="000C201E" w:rsidP="006B0F5A">
      <w:pPr>
        <w:pStyle w:val="OpiPara"/>
        <w:ind w:left="993" w:hanging="426"/>
      </w:pPr>
      <w:r>
        <w:rPr>
          <w:b/>
        </w:rPr>
        <w:t>b.</w:t>
      </w:r>
      <w:r>
        <w:tab/>
        <w:t>Jak to już zostało powiedziane, przeszukanie w kancelarii narusza tajemnicę zawodową i samą istotę zawodu</w:t>
      </w:r>
      <w:r w:rsidR="0064509C">
        <w:t>,</w:t>
      </w:r>
      <w:r>
        <w:t xml:space="preserve"> i z tego powodu przeszukanie nie powinno być realizowane w stosunku do plików i dokumentów, które nie przedstawiają żadnego obiektywnego związku ze sprawą będącą przedmiotem </w:t>
      </w:r>
      <w:r w:rsidR="00977B08">
        <w:t>śledztwa</w:t>
      </w:r>
      <w:r>
        <w:t xml:space="preserve">. </w:t>
      </w:r>
    </w:p>
    <w:p w:rsidR="000F39BF" w:rsidRPr="006B0F5A" w:rsidRDefault="000C201E" w:rsidP="006B0F5A">
      <w:pPr>
        <w:pStyle w:val="OpiPara"/>
        <w:ind w:left="993" w:hanging="426"/>
      </w:pPr>
      <w:r>
        <w:rPr>
          <w:b/>
        </w:rPr>
        <w:t>c.</w:t>
      </w:r>
      <w:r>
        <w:tab/>
        <w:t xml:space="preserve">Tak z pewnością nie było w przedmiotowej sprawie, nie tylko w odniesieniu do zakresu i kryteriów przeszukania (normalny żargon prawniczy używany w działalności </w:t>
      </w:r>
      <w:r w:rsidR="00514667">
        <w:t>prawników biznesu</w:t>
      </w:r>
      <w:r>
        <w:t xml:space="preserve">, </w:t>
      </w:r>
      <w:r w:rsidR="00514667">
        <w:t>na</w:t>
      </w:r>
      <w:r>
        <w:t xml:space="preserve">zwiska osób i nazwy instytucji bankowych, etc.), ale również głównie </w:t>
      </w:r>
      <w:r w:rsidR="00350C0F">
        <w:t>z powodu</w:t>
      </w:r>
      <w:r>
        <w:t xml:space="preserve"> interwencji "sędziego gwarancji", który uznał niemal wszystkie zajęte pliki i dokumenty za istotne</w:t>
      </w:r>
      <w:r w:rsidR="003428E0">
        <w:t>,</w:t>
      </w:r>
      <w:r>
        <w:t xml:space="preserve"> podczas gdy obiektywnie był</w:t>
      </w:r>
      <w:r w:rsidR="003428E0">
        <w:t>y</w:t>
      </w:r>
      <w:r>
        <w:t xml:space="preserve"> </w:t>
      </w:r>
      <w:r w:rsidR="003428E0">
        <w:t>one z</w:t>
      </w:r>
      <w:r>
        <w:t xml:space="preserve">byt </w:t>
      </w:r>
      <w:r w:rsidR="003428E0">
        <w:t>liczne</w:t>
      </w:r>
      <w:r>
        <w:t xml:space="preserve"> w stosunku </w:t>
      </w:r>
      <w:r w:rsidR="003428E0">
        <w:t xml:space="preserve">do </w:t>
      </w:r>
      <w:r>
        <w:t>charakterystyki sprawy</w:t>
      </w:r>
      <w:r w:rsidR="002022B0">
        <w:t>,</w:t>
      </w:r>
      <w:r>
        <w:t xml:space="preserve"> dotyczącej kancelarii adwokackiej (patrz </w:t>
      </w:r>
      <w:proofErr w:type="spellStart"/>
      <w:r>
        <w:rPr>
          <w:i/>
        </w:rPr>
        <w:t>supra</w:t>
      </w:r>
      <w:proofErr w:type="spellEnd"/>
      <w:r>
        <w:t>).</w:t>
      </w:r>
    </w:p>
    <w:p w:rsidR="000F39BF" w:rsidRPr="006B0F5A" w:rsidRDefault="000C201E" w:rsidP="006B0F5A">
      <w:pPr>
        <w:pStyle w:val="OpiPara"/>
        <w:ind w:left="993" w:hanging="426"/>
      </w:pPr>
      <w:r>
        <w:rPr>
          <w:b/>
        </w:rPr>
        <w:t>d.</w:t>
      </w:r>
      <w:r>
        <w:tab/>
        <w:t xml:space="preserve">Z innej strony, w mojej opinii, sam wyrok zawiera wszystkie elementy pozwalające dojść do wniosku, że interwencja sędziego śledczego miała charakter formalny. Ta interwencja nie </w:t>
      </w:r>
      <w:r w:rsidR="000B3B94">
        <w:t>byłab</w:t>
      </w:r>
      <w:r>
        <w:t>y czysto formaln</w:t>
      </w:r>
      <w:r w:rsidR="000B3B94">
        <w:t>a,</w:t>
      </w:r>
      <w:r>
        <w:t xml:space="preserve"> gdyby sędzia obiektywnie wyłączył większą liczbę plików i dokumentów z całej objętości zajętych w wyniku </w:t>
      </w:r>
      <w:r>
        <w:lastRenderedPageBreak/>
        <w:t xml:space="preserve">przeszukania materiałów (wyrok </w:t>
      </w:r>
      <w:r w:rsidR="001F3FF1">
        <w:t>odnosi się do</w:t>
      </w:r>
      <w:r>
        <w:t xml:space="preserve"> zajętych 89 000 plików informatycznych i 29 000 wiadomości elektroniczn</w:t>
      </w:r>
      <w:r w:rsidR="001F3FF1">
        <w:t>ych</w:t>
      </w:r>
      <w:r>
        <w:t xml:space="preserve">). </w:t>
      </w:r>
    </w:p>
    <w:p w:rsidR="000F39BF" w:rsidRPr="006B0F5A" w:rsidRDefault="000C201E" w:rsidP="006B0F5A">
      <w:pPr>
        <w:pStyle w:val="OpiPara"/>
        <w:ind w:left="993" w:hanging="426"/>
      </w:pPr>
      <w:r>
        <w:rPr>
          <w:b/>
        </w:rPr>
        <w:t>e.</w:t>
      </w:r>
      <w:r>
        <w:tab/>
      </w:r>
      <w:r w:rsidR="00B76681">
        <w:t>P</w:t>
      </w:r>
      <w:r>
        <w:t>odkreślić</w:t>
      </w:r>
      <w:r w:rsidR="00B76681" w:rsidRPr="00B76681">
        <w:t xml:space="preserve"> </w:t>
      </w:r>
      <w:r w:rsidR="00B76681">
        <w:t>należy</w:t>
      </w:r>
      <w:r>
        <w:t xml:space="preserve">, że </w:t>
      </w:r>
      <w:r w:rsidR="00D81071">
        <w:t xml:space="preserve">wyłączonych zostało </w:t>
      </w:r>
      <w:r>
        <w:t>około 3 % wszystkich zajętych dokumentów i należy przypomnieć, że przeszukanie zostało zdefiniowane na podstawie listy 35 słów kluczowych, z których niektóre należały do żargonu prawn</w:t>
      </w:r>
      <w:r w:rsidR="00B76681">
        <w:t>iczego</w:t>
      </w:r>
      <w:r>
        <w:t xml:space="preserve"> kancelari</w:t>
      </w:r>
      <w:r w:rsidR="00B76681">
        <w:t>i</w:t>
      </w:r>
      <w:r>
        <w:t xml:space="preserve"> adwokackich</w:t>
      </w:r>
      <w:r w:rsidR="001B6387">
        <w:t>, a</w:t>
      </w:r>
      <w:r>
        <w:t xml:space="preserve"> inne b</w:t>
      </w:r>
      <w:r w:rsidR="001B6387">
        <w:t>yły</w:t>
      </w:r>
      <w:r>
        <w:t xml:space="preserve"> nazwami banków i personaliami.</w:t>
      </w:r>
    </w:p>
    <w:p w:rsidR="000F39BF" w:rsidRPr="006B0F5A" w:rsidRDefault="000C201E" w:rsidP="006B0F5A">
      <w:pPr>
        <w:pStyle w:val="OpiPara"/>
        <w:ind w:left="993" w:hanging="426"/>
      </w:pPr>
      <w:r>
        <w:rPr>
          <w:b/>
        </w:rPr>
        <w:t>f.</w:t>
      </w:r>
      <w:r>
        <w:tab/>
        <w:t xml:space="preserve">Konkludując, obawy wyrażone przez skarżących w stosunku do sędziego śledczego </w:t>
      </w:r>
      <w:r w:rsidR="001B6387">
        <w:t>są</w:t>
      </w:r>
      <w:r>
        <w:t xml:space="preserve"> konkretn</w:t>
      </w:r>
      <w:r w:rsidR="001B6387">
        <w:t>e</w:t>
      </w:r>
      <w:r>
        <w:t xml:space="preserve"> i uzasadnion</w:t>
      </w:r>
      <w:r w:rsidR="001B6387">
        <w:t>e</w:t>
      </w:r>
      <w:r>
        <w:t xml:space="preserve">, a </w:t>
      </w:r>
      <w:r w:rsidR="009D4F87">
        <w:t xml:space="preserve">dowody z </w:t>
      </w:r>
      <w:r>
        <w:t xml:space="preserve"> postępowania pozwalają poddać w wątpliwość działanie tego ostatniego w ramach postępowania jako "sędziego gwarancji" obywatelskich. </w:t>
      </w:r>
    </w:p>
    <w:p w:rsidR="000F39BF" w:rsidRPr="006B0F5A" w:rsidRDefault="000F39BF" w:rsidP="006B0F5A">
      <w:pPr>
        <w:pStyle w:val="OpiPara"/>
      </w:pPr>
    </w:p>
    <w:p w:rsidR="0010236F" w:rsidRPr="006B0F5A" w:rsidRDefault="000C201E" w:rsidP="006B0F5A">
      <w:pPr>
        <w:pStyle w:val="OpiPara"/>
        <w:ind w:left="567" w:hanging="567"/>
      </w:pPr>
      <w:r>
        <w:rPr>
          <w:b/>
        </w:rPr>
        <w:t>7.</w:t>
      </w:r>
      <w:r>
        <w:tab/>
        <w:t xml:space="preserve">Należy też koniecznie podkreślić, że materiały zajęte w wyniku przeszukania nie zostały zwrócone skarżącym, ale przekazane w celu ich wykorzystania w ramach innego postępowania karnego. </w:t>
      </w:r>
    </w:p>
    <w:p w:rsidR="000F39BF" w:rsidRPr="006B0F5A" w:rsidRDefault="000C201E" w:rsidP="006B0F5A">
      <w:pPr>
        <w:pStyle w:val="OpiPara"/>
        <w:ind w:left="993" w:hanging="426"/>
      </w:pPr>
      <w:r>
        <w:rPr>
          <w:b/>
        </w:rPr>
        <w:t>a.</w:t>
      </w:r>
      <w:r>
        <w:tab/>
        <w:t>Biorąc pod uwagę tę sytuację, można jedynie dojść do wniosku, że wspomniane materiały zostały wykorzystane w niewłaściwy sposób.</w:t>
      </w:r>
    </w:p>
    <w:p w:rsidR="000F39BF" w:rsidRPr="006B0F5A" w:rsidRDefault="000C201E" w:rsidP="006B0F5A">
      <w:pPr>
        <w:pStyle w:val="OpiPara"/>
        <w:ind w:left="993" w:hanging="426"/>
      </w:pPr>
      <w:r>
        <w:rPr>
          <w:b/>
        </w:rPr>
        <w:t>b.</w:t>
      </w:r>
      <w:r>
        <w:tab/>
        <w:t xml:space="preserve">W każdym przypadku, oczywiste staje się, że wszystkie zajęte w wyniku przeszukania materiały, które były mniej lub bardziej związane z przedmiotem początkowego postępowania (patrz przedstawione argumenty), były jeszcze mniej związane z przedmiotem drugiego postępowania. </w:t>
      </w:r>
    </w:p>
    <w:p w:rsidR="000F39BF" w:rsidRPr="006B0F5A" w:rsidRDefault="000C201E" w:rsidP="006B0F5A">
      <w:pPr>
        <w:pStyle w:val="OpiPara"/>
        <w:ind w:left="993" w:hanging="426"/>
      </w:pPr>
      <w:r>
        <w:rPr>
          <w:b/>
        </w:rPr>
        <w:t>c.</w:t>
      </w:r>
      <w:r>
        <w:tab/>
      </w:r>
      <w:r w:rsidR="00D00A45">
        <w:t>S</w:t>
      </w:r>
      <w:r>
        <w:t>taje się</w:t>
      </w:r>
      <w:r w:rsidR="00D00A45">
        <w:t xml:space="preserve"> oczywiste</w:t>
      </w:r>
      <w:r>
        <w:t xml:space="preserve">, że jeżeli oba postępowania </w:t>
      </w:r>
      <w:r w:rsidR="00D00A45">
        <w:t>mia</w:t>
      </w:r>
      <w:r>
        <w:t>ły "te</w:t>
      </w:r>
      <w:r w:rsidR="00D00A45">
        <w:t>n</w:t>
      </w:r>
      <w:r>
        <w:t xml:space="preserve"> sam przedmiot", nie było konieczn</w:t>
      </w:r>
      <w:r w:rsidR="002E58C5">
        <w:t>ości</w:t>
      </w:r>
      <w:r>
        <w:t xml:space="preserve"> wszczynani</w:t>
      </w:r>
      <w:r w:rsidR="002E58C5">
        <w:t>a</w:t>
      </w:r>
      <w:r>
        <w:t xml:space="preserve"> dwóch postępowań, le</w:t>
      </w:r>
      <w:r w:rsidR="002E58C5">
        <w:t>cz</w:t>
      </w:r>
      <w:r>
        <w:t xml:space="preserve"> tylko jedn</w:t>
      </w:r>
      <w:r w:rsidR="002E58C5">
        <w:t>ego</w:t>
      </w:r>
      <w:r>
        <w:t xml:space="preserve">.  Dlatego zajęte materiały z uwagi na ich związek z przedmiotem pierwszego postępowania nie mogły mieć tej samej istotności </w:t>
      </w:r>
      <w:r w:rsidR="00FE42BE">
        <w:t>dla</w:t>
      </w:r>
      <w:r>
        <w:t xml:space="preserve"> przedmiot</w:t>
      </w:r>
      <w:r w:rsidR="00FE42BE">
        <w:t>u</w:t>
      </w:r>
      <w:r>
        <w:t xml:space="preserve"> drugiego postępowania. </w:t>
      </w:r>
    </w:p>
    <w:p w:rsidR="000F39BF" w:rsidRPr="006B0F5A" w:rsidRDefault="000C201E" w:rsidP="006B0F5A">
      <w:pPr>
        <w:pStyle w:val="OpiPara"/>
        <w:ind w:left="993" w:hanging="426"/>
      </w:pPr>
      <w:r>
        <w:rPr>
          <w:b/>
        </w:rPr>
        <w:t>d.</w:t>
      </w:r>
      <w:r>
        <w:tab/>
        <w:t xml:space="preserve">Poza tym, nawet przyjmując, że te </w:t>
      </w:r>
      <w:r w:rsidR="00FE42BE">
        <w:t>materiały</w:t>
      </w:r>
      <w:r>
        <w:t xml:space="preserve"> były obiektywnie istotne dla obu postępowań, zajęcie miało zbyt szeroki zakres i obejmowało zbyt dużą liczbę akt z archiwów przeszuk</w:t>
      </w:r>
      <w:r w:rsidR="00113559">
        <w:t>a</w:t>
      </w:r>
      <w:r>
        <w:t xml:space="preserve">nej kancelarii. </w:t>
      </w:r>
    </w:p>
    <w:p w:rsidR="0010236F" w:rsidRPr="006B0F5A" w:rsidRDefault="000C201E" w:rsidP="006B0F5A">
      <w:pPr>
        <w:pStyle w:val="OpiPara"/>
        <w:ind w:left="993" w:hanging="426"/>
      </w:pPr>
      <w:r>
        <w:rPr>
          <w:b/>
        </w:rPr>
        <w:t>e.</w:t>
      </w:r>
      <w:r>
        <w:tab/>
        <w:t xml:space="preserve">Wszystko to prowadzi do wniosku że : </w:t>
      </w:r>
    </w:p>
    <w:p w:rsidR="0010236F" w:rsidRPr="006B0F5A" w:rsidRDefault="000C201E" w:rsidP="006B0F5A">
      <w:pPr>
        <w:pStyle w:val="OpiPara"/>
        <w:ind w:left="1418" w:hanging="425"/>
      </w:pPr>
      <w:r>
        <w:rPr>
          <w:b/>
        </w:rPr>
        <w:t>i.</w:t>
      </w:r>
      <w:r>
        <w:tab/>
        <w:t xml:space="preserve">przeszukanie miało na celu umożliwienie zebrania materiału dowodowego, albo do postępowania, albo do jakiegokolwiek innego postępowania (łatwo jest dojść do wniosku w tym sensie, zważywszy </w:t>
      </w:r>
      <w:r w:rsidR="002E7E5A">
        <w:t xml:space="preserve">na </w:t>
      </w:r>
      <w:r>
        <w:t>określenie zakresu przeszukania na podstawie listy 35 słów kluczowych, z których niektóre należ</w:t>
      </w:r>
      <w:r w:rsidR="002E7E5A">
        <w:t>ały</w:t>
      </w:r>
      <w:r>
        <w:t xml:space="preserve"> do normalnego żargonu prawniczego </w:t>
      </w:r>
      <w:r w:rsidR="002E7E5A">
        <w:t xml:space="preserve">prawników </w:t>
      </w:r>
      <w:r>
        <w:t xml:space="preserve"> biznes</w:t>
      </w:r>
      <w:r w:rsidR="002E7E5A">
        <w:t>u</w:t>
      </w:r>
      <w:r w:rsidR="0072323F">
        <w:t>,</w:t>
      </w:r>
      <w:r>
        <w:t xml:space="preserve"> a inne były nazwami banków ...),</w:t>
      </w:r>
    </w:p>
    <w:p w:rsidR="000F39BF" w:rsidRPr="006B0F5A" w:rsidRDefault="000C201E" w:rsidP="006B0F5A">
      <w:pPr>
        <w:pStyle w:val="OpiPara"/>
        <w:ind w:left="1418" w:hanging="425"/>
      </w:pPr>
      <w:r>
        <w:rPr>
          <w:b/>
        </w:rPr>
        <w:t>ii.</w:t>
      </w:r>
      <w:r>
        <w:tab/>
        <w:t>oznacza to</w:t>
      </w:r>
      <w:r w:rsidR="0072323F">
        <w:t>,</w:t>
      </w:r>
      <w:r>
        <w:t xml:space="preserve"> że </w:t>
      </w:r>
      <w:r w:rsidR="0072323F">
        <w:t>te dowody</w:t>
      </w:r>
      <w:r>
        <w:t xml:space="preserve"> były tak liczne, że mogły by zostać wykorzystane w ramach wielu postępowań: wynika to z </w:t>
      </w:r>
      <w:r>
        <w:lastRenderedPageBreak/>
        <w:t xml:space="preserve">wykorzystania dużej liczby słów kluczowych należących do żargonu prawniczego adwokatów </w:t>
      </w:r>
      <w:r w:rsidR="00E35824">
        <w:t>biznesu</w:t>
      </w:r>
      <w:r>
        <w:t>;</w:t>
      </w:r>
    </w:p>
    <w:p w:rsidR="000F39BF" w:rsidRPr="006B0F5A" w:rsidRDefault="000C201E" w:rsidP="006B0F5A">
      <w:pPr>
        <w:pStyle w:val="OpiPara"/>
        <w:ind w:left="1418" w:hanging="425"/>
      </w:pPr>
      <w:r>
        <w:rPr>
          <w:b/>
        </w:rPr>
        <w:t>iii.</w:t>
      </w:r>
      <w:r>
        <w:tab/>
        <w:t>władze wykorzystały te dowod</w:t>
      </w:r>
      <w:r w:rsidR="00E35824">
        <w:t>y</w:t>
      </w:r>
      <w:r>
        <w:t xml:space="preserve"> w sposób dowolny do jednego, dwóch lub kilku postępowań;</w:t>
      </w:r>
    </w:p>
    <w:p w:rsidR="000F39BF" w:rsidRPr="006B0F5A" w:rsidRDefault="000C201E" w:rsidP="006B0F5A">
      <w:pPr>
        <w:pStyle w:val="OpiPara"/>
        <w:ind w:left="1418" w:hanging="425"/>
      </w:pPr>
      <w:r>
        <w:rPr>
          <w:b/>
        </w:rPr>
        <w:t>iv.</w:t>
      </w:r>
      <w:r>
        <w:tab/>
        <w:t xml:space="preserve">interwencje sędziego śledczego i sędziego </w:t>
      </w:r>
      <w:r w:rsidR="005779CE">
        <w:t>a</w:t>
      </w:r>
      <w:r>
        <w:t>pelacyjnego były</w:t>
      </w:r>
      <w:r w:rsidR="005779CE">
        <w:t>,</w:t>
      </w:r>
      <w:r>
        <w:t xml:space="preserve"> w mojej ocenie</w:t>
      </w:r>
      <w:r w:rsidR="005779CE">
        <w:t>,</w:t>
      </w:r>
      <w:r>
        <w:t xml:space="preserve">  interwencjami o charakterze formalnym i nie pozwoliły na skuteczne zagwarantowanie praw</w:t>
      </w:r>
      <w:r w:rsidR="00061008">
        <w:t xml:space="preserve"> </w:t>
      </w:r>
      <w:r w:rsidR="002D7D76">
        <w:t>proklamowa</w:t>
      </w:r>
      <w:r w:rsidR="00061008">
        <w:t xml:space="preserve">nych </w:t>
      </w:r>
      <w:r>
        <w:t>konstytuc</w:t>
      </w:r>
      <w:r w:rsidR="005779CE">
        <w:t>yjn</w:t>
      </w:r>
      <w:r w:rsidR="00061008">
        <w:t>ie</w:t>
      </w:r>
      <w:r>
        <w:t xml:space="preserve"> i </w:t>
      </w:r>
      <w:r w:rsidR="002D7D76">
        <w:t xml:space="preserve">zapewnionych </w:t>
      </w:r>
      <w:r>
        <w:t>praw</w:t>
      </w:r>
      <w:r w:rsidR="002D7D76">
        <w:t>nie</w:t>
      </w:r>
      <w:r>
        <w:t xml:space="preserve"> (nie może być inaczej w przypadku wyrażenia zgody na przeszukanie na podstawie listy 35 słów kluczowych, z których niektóre należały do normalnego żargonu prawniczego adwokatów </w:t>
      </w:r>
      <w:r w:rsidR="003B1EEB">
        <w:t>biz</w:t>
      </w:r>
      <w:r>
        <w:t>nes</w:t>
      </w:r>
      <w:r w:rsidR="003B1EEB">
        <w:t>u</w:t>
      </w:r>
      <w:r>
        <w:t>, a inne były nazwami banków) ;</w:t>
      </w:r>
    </w:p>
    <w:p w:rsidR="000F39BF" w:rsidRPr="006B0F5A" w:rsidRDefault="000C201E" w:rsidP="006B0F5A">
      <w:pPr>
        <w:pStyle w:val="OpiPara"/>
        <w:ind w:left="1418" w:hanging="425"/>
      </w:pPr>
      <w:r>
        <w:rPr>
          <w:b/>
        </w:rPr>
        <w:t>v.</w:t>
      </w:r>
      <w:r>
        <w:tab/>
        <w:t xml:space="preserve">prawa podstawowe skarżących adwokatów zostały z całą pewnością naruszone w </w:t>
      </w:r>
      <w:r w:rsidR="003B1EEB">
        <w:t xml:space="preserve">sposób </w:t>
      </w:r>
      <w:r>
        <w:t xml:space="preserve">nieproporcjonalny </w:t>
      </w:r>
      <w:r w:rsidR="003B1EEB">
        <w:t>do</w:t>
      </w:r>
      <w:r>
        <w:t xml:space="preserve"> potrzeb </w:t>
      </w:r>
      <w:r w:rsidR="003B1EEB">
        <w:t>śledztwa</w:t>
      </w:r>
      <w:r>
        <w:t>, które musi być precyzyjne i określone ;</w:t>
      </w:r>
    </w:p>
    <w:p w:rsidR="000F39BF" w:rsidRPr="006B0F5A" w:rsidRDefault="000C201E" w:rsidP="006B0F5A">
      <w:pPr>
        <w:pStyle w:val="OpiPara"/>
        <w:ind w:left="1418" w:hanging="425"/>
      </w:pPr>
      <w:r>
        <w:rPr>
          <w:b/>
        </w:rPr>
        <w:t>vi.</w:t>
      </w:r>
      <w:r w:rsidR="00CD6481">
        <w:tab/>
        <w:t>m</w:t>
      </w:r>
      <w:r>
        <w:t>iało zatem miejsce naruszenie Konwencji.</w:t>
      </w:r>
    </w:p>
    <w:p w:rsidR="000F39BF" w:rsidRPr="008B3621" w:rsidRDefault="000C201E" w:rsidP="00CD6481">
      <w:pPr>
        <w:pStyle w:val="OpiHA"/>
        <w:numPr>
          <w:ilvl w:val="0"/>
          <w:numId w:val="0"/>
        </w:numPr>
        <w:rPr>
          <w:b w:val="0"/>
          <w:bCs w:val="0"/>
          <w:szCs w:val="22"/>
        </w:rPr>
      </w:pPr>
      <w:r>
        <w:t>IV – </w:t>
      </w:r>
      <w:r>
        <w:rPr>
          <w:b w:val="0"/>
        </w:rPr>
        <w:t xml:space="preserve">Rozważania przedstawione wcześniej wykazują, że nie wnoszę żadnych obiekcji co do przedstawienia reguł prawa portugalskiego zawartego w </w:t>
      </w:r>
      <w:r w:rsidR="00530469">
        <w:rPr>
          <w:b w:val="0"/>
        </w:rPr>
        <w:t>wyroku</w:t>
      </w:r>
      <w:r>
        <w:rPr>
          <w:b w:val="0"/>
        </w:rPr>
        <w:t xml:space="preserve"> (</w:t>
      </w:r>
      <w:r>
        <w:rPr>
          <w:b w:val="0"/>
          <w:sz w:val="18"/>
        </w:rPr>
        <w:t xml:space="preserve">II) </w:t>
      </w:r>
      <w:r w:rsidR="00CE51A7">
        <w:rPr>
          <w:b w:val="0"/>
          <w:sz w:val="18"/>
        </w:rPr>
        <w:t>Właściwe p</w:t>
      </w:r>
      <w:r>
        <w:rPr>
          <w:b w:val="0"/>
          <w:sz w:val="18"/>
        </w:rPr>
        <w:t xml:space="preserve">rawo </w:t>
      </w:r>
      <w:r w:rsidR="00CE51A7">
        <w:rPr>
          <w:b w:val="0"/>
          <w:sz w:val="18"/>
        </w:rPr>
        <w:t xml:space="preserve">krajowe </w:t>
      </w:r>
      <w:r>
        <w:rPr>
          <w:b w:val="0"/>
          <w:sz w:val="18"/>
        </w:rPr>
        <w:t>i praktyka</w:t>
      </w:r>
      <w:r>
        <w:rPr>
          <w:b w:val="0"/>
        </w:rPr>
        <w:t xml:space="preserve">). Nie stoimy tu przed "problemem" interpretacji prawa (dlatego nie byłoby mowy o wejściu w zakres decyzji Państwa w jego czysto prawnych ramach, jeżeli Trybunał przyjąłby inne stanowisko niż to, które </w:t>
      </w:r>
      <w:r w:rsidR="00991430">
        <w:rPr>
          <w:b w:val="0"/>
        </w:rPr>
        <w:t>zajął</w:t>
      </w:r>
      <w:r>
        <w:rPr>
          <w:b w:val="0"/>
        </w:rPr>
        <w:t>).</w:t>
      </w:r>
    </w:p>
    <w:p w:rsidR="000F39BF" w:rsidRPr="006B0F5A" w:rsidRDefault="000C201E" w:rsidP="006B0F5A">
      <w:pPr>
        <w:pStyle w:val="OpiPara"/>
      </w:pPr>
      <w:r>
        <w:t>Mamy tu do czynienia ze sprawą, w której wymagane procedur</w:t>
      </w:r>
      <w:r w:rsidR="00CB2408">
        <w:t>y</w:t>
      </w:r>
      <w:r>
        <w:t xml:space="preserve"> zostały formalnie wypełnione, ale nie doprowadziły one do skutecznego zagwarantowania praw skarżących (dlatego przeprowadzono wyłącznie ocenę działalności Państwa w odniesieniu do praw zagwarantowanych przez Konwencję). </w:t>
      </w:r>
    </w:p>
    <w:p w:rsidR="000F39BF" w:rsidRPr="008B3621" w:rsidRDefault="000C201E" w:rsidP="00CB2408">
      <w:pPr>
        <w:pStyle w:val="OpiHA"/>
        <w:numPr>
          <w:ilvl w:val="0"/>
          <w:numId w:val="0"/>
        </w:numPr>
        <w:rPr>
          <w:b w:val="0"/>
          <w:bCs w:val="0"/>
          <w:szCs w:val="22"/>
        </w:rPr>
      </w:pPr>
      <w:r>
        <w:t xml:space="preserve">V – </w:t>
      </w:r>
      <w:r>
        <w:rPr>
          <w:b w:val="0"/>
        </w:rPr>
        <w:t>Co do istoty sprawy (</w:t>
      </w:r>
      <w:r w:rsidR="00CB2408" w:rsidRPr="00CB2408">
        <w:rPr>
          <w:b w:val="0"/>
          <w:sz w:val="18"/>
          <w:szCs w:val="18"/>
        </w:rPr>
        <w:t>P</w:t>
      </w:r>
      <w:r>
        <w:rPr>
          <w:b w:val="0"/>
          <w:sz w:val="18"/>
        </w:rPr>
        <w:t>raw</w:t>
      </w:r>
      <w:r w:rsidR="00CB2408">
        <w:rPr>
          <w:b w:val="0"/>
          <w:sz w:val="18"/>
        </w:rPr>
        <w:t>o</w:t>
      </w:r>
      <w:r>
        <w:rPr>
          <w:b w:val="0"/>
          <w:sz w:val="18"/>
        </w:rPr>
        <w:t xml:space="preserve"> – B) Co do istoty sprawy</w:t>
      </w:r>
      <w:r>
        <w:rPr>
          <w:b w:val="0"/>
        </w:rPr>
        <w:t>)</w:t>
      </w:r>
    </w:p>
    <w:p w:rsidR="000F39BF" w:rsidRPr="006B0F5A" w:rsidRDefault="000C201E" w:rsidP="006B0F5A">
      <w:pPr>
        <w:pStyle w:val="OpiPara"/>
        <w:ind w:left="567" w:hanging="567"/>
      </w:pPr>
      <w:r>
        <w:rPr>
          <w:b/>
        </w:rPr>
        <w:t>1.</w:t>
      </w:r>
      <w:r>
        <w:rPr>
          <w:b/>
        </w:rPr>
        <w:tab/>
      </w:r>
      <w:r>
        <w:t>Podziel</w:t>
      </w:r>
      <w:r w:rsidR="00553F13">
        <w:t>am t</w:t>
      </w:r>
      <w:r w:rsidR="00F511D6">
        <w:t xml:space="preserve">ezę </w:t>
      </w:r>
      <w:r>
        <w:t xml:space="preserve">skarżących (nawet w kwestii, dotyczącej kompetencji sędziego śledczego, który był w czasie, kiedy miały miejsce te okoliczności, jedynym sędzią zajmującym się najbardziej skomplikowanymi sprawami </w:t>
      </w:r>
      <w:r w:rsidR="00713EB8">
        <w:t>karnymi</w:t>
      </w:r>
      <w:r>
        <w:t xml:space="preserve"> - co nie może być bez znaczenia w ramach oceny istoty tej sprawy), </w:t>
      </w:r>
      <w:r w:rsidR="00BA4FAC">
        <w:t>w szczególności</w:t>
      </w:r>
      <w:r>
        <w:t xml:space="preserve"> ze względu na przyczyny przedstawi</w:t>
      </w:r>
      <w:r w:rsidR="00BA4FAC">
        <w:t>one</w:t>
      </w:r>
      <w:r>
        <w:t xml:space="preserve"> wcześniej (punkty III, 1-7, i IV </w:t>
      </w:r>
      <w:proofErr w:type="spellStart"/>
      <w:r>
        <w:rPr>
          <w:i/>
        </w:rPr>
        <w:t>supra</w:t>
      </w:r>
      <w:proofErr w:type="spellEnd"/>
      <w:r>
        <w:t>).</w:t>
      </w:r>
    </w:p>
    <w:p w:rsidR="000F39BF" w:rsidRPr="006B0F5A" w:rsidRDefault="000F39BF" w:rsidP="006B0F5A">
      <w:pPr>
        <w:pStyle w:val="OpiPara"/>
        <w:ind w:left="567" w:hanging="567"/>
        <w:rPr>
          <w:b/>
        </w:rPr>
      </w:pPr>
    </w:p>
    <w:p w:rsidR="0010236F" w:rsidRPr="006B0F5A" w:rsidRDefault="000C201E" w:rsidP="006B0F5A">
      <w:pPr>
        <w:pStyle w:val="OpiPara"/>
        <w:ind w:left="567" w:hanging="567"/>
      </w:pPr>
      <w:r>
        <w:rPr>
          <w:b/>
        </w:rPr>
        <w:t>2.</w:t>
      </w:r>
      <w:r>
        <w:rPr>
          <w:b/>
        </w:rPr>
        <w:tab/>
      </w:r>
      <w:r>
        <w:t xml:space="preserve">Nie mogę podzielić tezy Rządu, również z powodów przedstawionych wcześniej (punkty III, 1-7, i IV </w:t>
      </w:r>
      <w:proofErr w:type="spellStart"/>
      <w:r>
        <w:rPr>
          <w:i/>
        </w:rPr>
        <w:t>supra</w:t>
      </w:r>
      <w:proofErr w:type="spellEnd"/>
      <w:r>
        <w:t>).</w:t>
      </w:r>
    </w:p>
    <w:p w:rsidR="000F39BF" w:rsidRPr="006B0F5A" w:rsidRDefault="000F39BF" w:rsidP="006B0F5A">
      <w:pPr>
        <w:pStyle w:val="OpiPara"/>
        <w:ind w:left="567" w:hanging="567"/>
        <w:rPr>
          <w:b/>
        </w:rPr>
      </w:pPr>
    </w:p>
    <w:p w:rsidR="000F39BF" w:rsidRPr="006B0F5A" w:rsidRDefault="000C201E" w:rsidP="006B0F5A">
      <w:pPr>
        <w:pStyle w:val="OpiPara"/>
        <w:ind w:left="567" w:hanging="567"/>
      </w:pPr>
      <w:r>
        <w:rPr>
          <w:b/>
        </w:rPr>
        <w:lastRenderedPageBreak/>
        <w:t>3.</w:t>
      </w:r>
      <w:r>
        <w:tab/>
        <w:t xml:space="preserve">Pewne jest, że </w:t>
      </w:r>
      <w:r w:rsidR="00AE2EB4">
        <w:t>ingerencja</w:t>
      </w:r>
      <w:r>
        <w:t xml:space="preserve"> był</w:t>
      </w:r>
      <w:r w:rsidR="00AE2EB4">
        <w:t>a</w:t>
      </w:r>
      <w:r>
        <w:t xml:space="preserve"> z całą pewnością "przewidzian</w:t>
      </w:r>
      <w:r w:rsidR="00AE2EB4">
        <w:t>a</w:t>
      </w:r>
      <w:r>
        <w:t xml:space="preserve"> przez </w:t>
      </w:r>
      <w:r w:rsidR="00AE2EB4">
        <w:t>ustawę</w:t>
      </w:r>
      <w:r>
        <w:t xml:space="preserve">". </w:t>
      </w:r>
    </w:p>
    <w:p w:rsidR="000F39BF" w:rsidRPr="006B0F5A" w:rsidRDefault="000F39BF" w:rsidP="006B0F5A">
      <w:pPr>
        <w:pStyle w:val="OpiPara"/>
        <w:ind w:left="567" w:hanging="567"/>
        <w:rPr>
          <w:b/>
        </w:rPr>
      </w:pPr>
    </w:p>
    <w:p w:rsidR="000F39BF" w:rsidRPr="006B0F5A" w:rsidRDefault="000C201E" w:rsidP="006B0F5A">
      <w:pPr>
        <w:pStyle w:val="OpiPara"/>
        <w:ind w:left="567" w:hanging="567"/>
      </w:pPr>
      <w:r>
        <w:rPr>
          <w:b/>
        </w:rPr>
        <w:t>4.</w:t>
      </w:r>
      <w:r>
        <w:rPr>
          <w:b/>
        </w:rPr>
        <w:tab/>
      </w:r>
      <w:r>
        <w:t xml:space="preserve">Jednakże, cel ingerencji nie był całkowicie </w:t>
      </w:r>
      <w:r w:rsidR="00731E4B">
        <w:t>uzasadniony</w:t>
      </w:r>
      <w:r>
        <w:t xml:space="preserve"> : </w:t>
      </w:r>
    </w:p>
    <w:p w:rsidR="000F39BF" w:rsidRPr="006B0F5A" w:rsidRDefault="000C201E" w:rsidP="006B0F5A">
      <w:pPr>
        <w:pStyle w:val="OpiPara"/>
        <w:ind w:left="993" w:hanging="426"/>
      </w:pPr>
      <w:r>
        <w:rPr>
          <w:b/>
        </w:rPr>
        <w:t>a.</w:t>
      </w:r>
      <w:r>
        <w:tab/>
      </w:r>
      <w:r w:rsidR="00374ADD">
        <w:t>powód</w:t>
      </w:r>
      <w:r>
        <w:t xml:space="preserve"> przeszukania miał swoje źródło jedynie w zagubieniu lub zniszczeniu archiwów w Ministerstwie Sprawiedliwości – </w:t>
      </w:r>
      <w:r w:rsidR="00926655">
        <w:t>to znaczy</w:t>
      </w:r>
      <w:r>
        <w:t xml:space="preserve"> w</w:t>
      </w:r>
      <w:r w:rsidR="00364DF8">
        <w:t>ewnątrz</w:t>
      </w:r>
      <w:r>
        <w:t xml:space="preserve"> samego Państwa;</w:t>
      </w:r>
    </w:p>
    <w:p w:rsidR="000F39BF" w:rsidRPr="006B0F5A" w:rsidRDefault="000C201E" w:rsidP="006B0F5A">
      <w:pPr>
        <w:pStyle w:val="OpiPara"/>
        <w:ind w:left="993" w:hanging="426"/>
      </w:pPr>
      <w:r>
        <w:rPr>
          <w:b/>
        </w:rPr>
        <w:t>b.</w:t>
      </w:r>
      <w:r>
        <w:tab/>
        <w:t xml:space="preserve">ingerencja byłaby </w:t>
      </w:r>
      <w:r w:rsidR="00731E4B">
        <w:t>uzasadniona,</w:t>
      </w:r>
      <w:r>
        <w:t xml:space="preserve"> jeżeli byłaby ona zlecona i wykonana, w ramach proporcjonalności i </w:t>
      </w:r>
      <w:r w:rsidR="00BC77FA">
        <w:t>bezwarunkowej</w:t>
      </w:r>
      <w:r>
        <w:t xml:space="preserve"> konieczności, w konkretnym i </w:t>
      </w:r>
      <w:r w:rsidR="00EB5EA6">
        <w:t xml:space="preserve">odnoszącym się </w:t>
      </w:r>
      <w:r w:rsidR="00BC77FA">
        <w:t>ściśle</w:t>
      </w:r>
      <w:r w:rsidR="00EB5EA6">
        <w:t xml:space="preserve"> do</w:t>
      </w:r>
      <w:r>
        <w:t xml:space="preserve"> postępowania karnego, o którym mowa</w:t>
      </w:r>
      <w:r w:rsidR="00F72F0E">
        <w:t>,</w:t>
      </w:r>
      <w:r w:rsidR="00EB5EA6">
        <w:t xml:space="preserve"> celu</w:t>
      </w:r>
      <w:r>
        <w:t xml:space="preserve"> – co nie </w:t>
      </w:r>
      <w:r w:rsidR="007D2BFD">
        <w:t>zostało spełnione</w:t>
      </w:r>
      <w:r w:rsidR="00124837">
        <w:t>, biorąc pod uwagę</w:t>
      </w:r>
      <w:r>
        <w:t xml:space="preserve"> nakaz</w:t>
      </w:r>
      <w:r w:rsidR="00F72F0E">
        <w:t>,</w:t>
      </w:r>
      <w:r>
        <w:t xml:space="preserve"> jak</w:t>
      </w:r>
      <w:r w:rsidR="00F72F0E">
        <w:t>i</w:t>
      </w:r>
      <w:r>
        <w:t xml:space="preserve"> </w:t>
      </w:r>
      <w:r w:rsidR="00F72F0E">
        <w:t>został</w:t>
      </w:r>
      <w:r>
        <w:t xml:space="preserve"> wydany w przedmiotowej sprawie ;</w:t>
      </w:r>
    </w:p>
    <w:p w:rsidR="000F39BF" w:rsidRPr="006B0F5A" w:rsidRDefault="000C201E" w:rsidP="006B0F5A">
      <w:pPr>
        <w:pStyle w:val="OpiPara"/>
        <w:ind w:left="993" w:hanging="426"/>
      </w:pPr>
      <w:r>
        <w:rPr>
          <w:b/>
        </w:rPr>
        <w:t>c.</w:t>
      </w:r>
      <w:r>
        <w:tab/>
        <w:t>nie było tak</w:t>
      </w:r>
      <w:r w:rsidR="00B6123B">
        <w:t xml:space="preserve"> </w:t>
      </w:r>
      <w:r w:rsidR="00C9155C">
        <w:t xml:space="preserve">więc </w:t>
      </w:r>
      <w:r>
        <w:t>w niniejszej spraw</w:t>
      </w:r>
      <w:r w:rsidR="00B6123B">
        <w:t>ie</w:t>
      </w:r>
      <w:r>
        <w:t xml:space="preserve">: jeżeli cel przeszukania tkwił w (złym) działaniu administracji publicznej pozwanego Państwa, ingerencja powinna być ograniczona do tego co było ściśle niezbędne dla </w:t>
      </w:r>
      <w:r w:rsidR="0065167D">
        <w:t>śledztwa</w:t>
      </w:r>
      <w:r>
        <w:t xml:space="preserve"> prowadzącego w sprawie.  Przeszukanie nie powinno umożliwiać pozyskania aż tak dużej liczby elementów dowod</w:t>
      </w:r>
      <w:r w:rsidR="0065167D">
        <w:t>ów</w:t>
      </w:r>
      <w:r>
        <w:t xml:space="preserve"> istotnych dla (co najmniej) jednego odrębnego postępowania karnego (to znaczy takiego, którego przedmiot jest inny – jeżeli przedmiot byłby ten sam</w:t>
      </w:r>
      <w:r w:rsidR="00D3302F">
        <w:t>,</w:t>
      </w:r>
      <w:r>
        <w:t xml:space="preserve"> nie byłoby powodu</w:t>
      </w:r>
      <w:r w:rsidR="00D3302F">
        <w:t>,</w:t>
      </w:r>
      <w:r>
        <w:t xml:space="preserve"> aby wszczynać dwa różne postępowania).</w:t>
      </w:r>
    </w:p>
    <w:p w:rsidR="000F39BF" w:rsidRPr="006B0F5A" w:rsidRDefault="000F39BF" w:rsidP="006B0F5A">
      <w:pPr>
        <w:jc w:val="left"/>
        <w:rPr>
          <w:b/>
        </w:rPr>
      </w:pPr>
    </w:p>
    <w:p w:rsidR="0010236F" w:rsidRPr="006B0F5A" w:rsidRDefault="000C201E" w:rsidP="006B0F5A">
      <w:pPr>
        <w:pStyle w:val="OpiPara"/>
        <w:ind w:left="567" w:hanging="567"/>
      </w:pPr>
      <w:r>
        <w:rPr>
          <w:b/>
        </w:rPr>
        <w:t>5.</w:t>
      </w:r>
      <w:r>
        <w:tab/>
        <w:t>Należy sformułować te same obserwacje i wnioski odnośnie konieczności ingerencji w demokratycznym społeczeństwie (należy podkreślić nastę</w:t>
      </w:r>
      <w:r w:rsidR="009460A5">
        <w:t>pujący</w:t>
      </w:r>
      <w:r>
        <w:t xml:space="preserve"> fragment wyroku, który powinien doprowadzić Trybunał do wniosku, że miało miejsce narusze</w:t>
      </w:r>
      <w:r w:rsidR="009460A5">
        <w:t xml:space="preserve">nie artykułu 8 Konwencji :  </w:t>
      </w:r>
      <w:r w:rsidR="00615C44">
        <w:t>„</w:t>
      </w:r>
      <w:r w:rsidR="00615C44" w:rsidRPr="00615C44">
        <w:t xml:space="preserve">pojęcie "konieczności" oznacza ingerencję opartą na nieodpartej społecznej potrzebie i, w szczególności, proporcjonalną w stosunku do słusznego oczekiwanego celu.  Aby określić czy </w:t>
      </w:r>
      <w:r w:rsidR="00615C44">
        <w:t>ingerencja</w:t>
      </w:r>
      <w:r w:rsidR="00615C44" w:rsidRPr="00615C44">
        <w:t xml:space="preserve"> był</w:t>
      </w:r>
      <w:r w:rsidR="00615C44">
        <w:t>a</w:t>
      </w:r>
      <w:r w:rsidR="00615C44" w:rsidRPr="00615C44">
        <w:t xml:space="preserve"> "konieczn</w:t>
      </w:r>
      <w:r w:rsidR="00615C44">
        <w:t>a</w:t>
      </w:r>
      <w:r w:rsidR="00615C44" w:rsidRPr="00615C44">
        <w:t xml:space="preserve"> w demokratycznym społeczeństwie", Trybunał bierze pod uwagę, że Państwom Stronom  musi zostać pozostawiony pewien margines oceny </w:t>
      </w:r>
      <w:r>
        <w:t>(...).</w:t>
      </w:r>
      <w:r w:rsidR="00977BAB" w:rsidRPr="00977BAB">
        <w:t>Jednakże, wyjątki, które przewiduje paragraf 2 artykułu 8 wymagają wąskiej interpretacji, a ich konieczność w danym przypadku musi być ustalana w przekonujący sposób</w:t>
      </w:r>
      <w:r>
        <w:t>. (...) [Trybunał]</w:t>
      </w:r>
      <w:r w:rsidR="00977BAB">
        <w:t xml:space="preserve"> </w:t>
      </w:r>
      <w:r w:rsidR="001E55DC" w:rsidRPr="001E55DC">
        <w:t xml:space="preserve">Kontroluje więc istotny i wystarczający charakter wskazywanych powodów, które mają uzasadnić zastosowanie takich środków, oraz czy zachowana została wyżej wspomniana zasada proporcjonalności. Odnośnie tej ostatniej kwestii, Trybunał musi przede wszystkim czuwać nad tym aby odpowiednie ustawodawstwo i praktyka przynosiły jednostkom adekwatne i skuteczne gwarancje przeciw nadużyciom. Następnie Trybunał musi zbadać szczególne okoliczności sprawy po to, aby określić czy, </w:t>
      </w:r>
      <w:r w:rsidR="001E55DC" w:rsidRPr="001E55DC">
        <w:rPr>
          <w:i/>
        </w:rPr>
        <w:t>in concreto</w:t>
      </w:r>
      <w:r w:rsidR="001E55DC" w:rsidRPr="001E55DC">
        <w:t xml:space="preserve">, sporna ingerencja jest proporcjonalna do </w:t>
      </w:r>
      <w:r w:rsidR="001E55DC" w:rsidRPr="001E55DC">
        <w:lastRenderedPageBreak/>
        <w:t xml:space="preserve">poszukiwanego celu. Kryteria, jakie bierze pod uwagę Trybunał, aby rozstrzygnąć tę ostatnią kwestię, to przede wszystkim okoliczności, w których nakaz został wydany, w szczególności, inne dostępne dowody w danej chwili, treść i zakres nakazu, sposób, w jaki przeszukanie zostało przeprowadzone </w:t>
      </w:r>
      <w:r>
        <w:t>(...)</w:t>
      </w:r>
      <w:r w:rsidR="00927281">
        <w:t xml:space="preserve"> </w:t>
      </w:r>
      <w:r w:rsidR="00927281" w:rsidRPr="00927281">
        <w:t xml:space="preserve">a także </w:t>
      </w:r>
      <w:r w:rsidR="00927281">
        <w:t>zakres</w:t>
      </w:r>
      <w:r w:rsidR="00927281" w:rsidRPr="00927281">
        <w:t xml:space="preserve"> reperkusj</w:t>
      </w:r>
      <w:r w:rsidR="00927281">
        <w:t>i</w:t>
      </w:r>
      <w:r w:rsidR="00927281" w:rsidRPr="00927281">
        <w:t xml:space="preserve"> dla pracy zawodowej oraz reputacji osoby, której dotyczy przeszukanie</w:t>
      </w:r>
      <w:r w:rsidR="00927281">
        <w:t>”).</w:t>
      </w:r>
    </w:p>
    <w:p w:rsidR="000F39BF" w:rsidRPr="006B0F5A" w:rsidRDefault="000C201E" w:rsidP="006B0F5A">
      <w:pPr>
        <w:pStyle w:val="OpiPara"/>
      </w:pPr>
      <w:r>
        <w:t>Oznacza to, że Trybunał musi czuwać nad tym</w:t>
      </w:r>
      <w:r w:rsidR="00590C68">
        <w:t>,</w:t>
      </w:r>
      <w:r>
        <w:t xml:space="preserve"> aby przeszukania nie prowadziły do </w:t>
      </w:r>
      <w:r w:rsidR="00590C68">
        <w:t>nadużyć ze strony</w:t>
      </w:r>
      <w:r>
        <w:t xml:space="preserve"> przez rząd</w:t>
      </w:r>
      <w:r w:rsidR="00590C68">
        <w:t>ów</w:t>
      </w:r>
      <w:r>
        <w:t xml:space="preserve"> - tak jak to miało miejsce w</w:t>
      </w:r>
      <w:r w:rsidR="00590C68">
        <w:t xml:space="preserve"> toku przeszukania dokonanego w</w:t>
      </w:r>
      <w:r>
        <w:t xml:space="preserve"> </w:t>
      </w:r>
      <w:r w:rsidR="002828CB">
        <w:t>niniejszej</w:t>
      </w:r>
      <w:r>
        <w:t xml:space="preserve"> sprawie, które</w:t>
      </w:r>
      <w:r w:rsidR="007D5BD7">
        <w:t>go charakter</w:t>
      </w:r>
      <w:r>
        <w:t xml:space="preserve"> przejawia się w treści i zakresie nakazu, o którym mowa. To narzuca się jeszcze silniej, kiedy </w:t>
      </w:r>
      <w:r w:rsidR="007D5BD7">
        <w:t>powód</w:t>
      </w:r>
      <w:r>
        <w:t xml:space="preserve"> przeszukania tkwi w naruszeniu prawa lub złym działaniu organów administracji publicznej samego Państwa. </w:t>
      </w:r>
    </w:p>
    <w:p w:rsidR="0010236F" w:rsidRPr="006B0F5A" w:rsidRDefault="000C201E" w:rsidP="006B0F5A">
      <w:pPr>
        <w:pStyle w:val="OpiPara"/>
      </w:pPr>
      <w:r>
        <w:t>Tak samo Trybunał musi również czuwać</w:t>
      </w:r>
      <w:r w:rsidR="00F25FB8">
        <w:t>,</w:t>
      </w:r>
      <w:r>
        <w:t xml:space="preserve"> aby zapobiec temu, by sytuacje takie, jak ta przedstawiona w przedmiotowej sprawie, miały miejsce : jeżeli treść i zakres nakazu były w przedmiotowej sprawie obiektywnie i ściśle konieczne w stosunku do uzasadnionego celu, który polegał na ukaraniu przestępstw, których sprawa dotyczy, to nie można jednakże </w:t>
      </w:r>
      <w:r w:rsidR="00042619">
        <w:t>zaakceptować</w:t>
      </w:r>
      <w:r>
        <w:t xml:space="preserve"> wydani</w:t>
      </w:r>
      <w:r w:rsidR="00042619">
        <w:t>a "ogólnego" nakazu,</w:t>
      </w:r>
      <w:r>
        <w:t xml:space="preserve"> usprawiedliwione</w:t>
      </w:r>
      <w:r w:rsidR="00042619">
        <w:t>go</w:t>
      </w:r>
      <w:r>
        <w:t xml:space="preserve"> koniecznością znalezienia plików i wiadomości elektroniczn</w:t>
      </w:r>
      <w:r w:rsidR="00042619">
        <w:t>ych</w:t>
      </w:r>
      <w:r>
        <w:t>, na podstawie potocznych słów</w:t>
      </w:r>
      <w:r w:rsidR="00042619">
        <w:t>,</w:t>
      </w:r>
      <w:r>
        <w:t xml:space="preserve"> właściwych dla działalności </w:t>
      </w:r>
      <w:r w:rsidR="00042619">
        <w:t>prawników</w:t>
      </w:r>
      <w:r>
        <w:t xml:space="preserve"> </w:t>
      </w:r>
      <w:r w:rsidR="00042619">
        <w:t>biznesu</w:t>
      </w:r>
      <w:r>
        <w:t xml:space="preserve">. </w:t>
      </w:r>
    </w:p>
    <w:p w:rsidR="000F39BF" w:rsidRPr="006B0F5A" w:rsidRDefault="000C201E" w:rsidP="006B0F5A">
      <w:pPr>
        <w:pStyle w:val="OpiPara"/>
      </w:pPr>
      <w:r>
        <w:t>Chodzi tu o punkt widzenia dotyczący właściwej równowagi, która powinna zostać osiągnięta pomiędzy uzasadnionym</w:t>
      </w:r>
      <w:r w:rsidR="003A7D6C">
        <w:t>,</w:t>
      </w:r>
      <w:r>
        <w:t xml:space="preserve"> </w:t>
      </w:r>
      <w:r w:rsidR="003A7D6C">
        <w:t>zakładan</w:t>
      </w:r>
      <w:r>
        <w:t>ym przez państwo celem</w:t>
      </w:r>
      <w:r w:rsidR="003A7D6C">
        <w:t>,</w:t>
      </w:r>
      <w:r>
        <w:t xml:space="preserve"> a reperkusjami w odniesieniu do pracy i reputacji adwokatów, których przeszukanie dotyczy. </w:t>
      </w:r>
    </w:p>
    <w:p w:rsidR="0010236F" w:rsidRPr="006B0F5A" w:rsidRDefault="000C201E" w:rsidP="003A7D6C">
      <w:pPr>
        <w:pStyle w:val="OpiHA"/>
        <w:numPr>
          <w:ilvl w:val="0"/>
          <w:numId w:val="0"/>
        </w:numPr>
      </w:pPr>
      <w:r>
        <w:t>VI – Konkluzja</w:t>
      </w:r>
    </w:p>
    <w:p w:rsidR="00B54334" w:rsidRPr="006B0F5A" w:rsidRDefault="000C201E" w:rsidP="006B0F5A">
      <w:pPr>
        <w:pStyle w:val="OpiPara"/>
      </w:pPr>
      <w:r>
        <w:t xml:space="preserve">Oto dlaczego nie mogę, z </w:t>
      </w:r>
      <w:r w:rsidR="00DB71B7">
        <w:t>przekonaniem</w:t>
      </w:r>
      <w:r>
        <w:t xml:space="preserve">, podpisać się pod wnioskami większości. Moim zdaniem, Trybunał powinien </w:t>
      </w:r>
      <w:r w:rsidR="00DB71B7">
        <w:t xml:space="preserve">był </w:t>
      </w:r>
      <w:r>
        <w:t xml:space="preserve">orzec </w:t>
      </w:r>
      <w:r w:rsidR="00DB71B7">
        <w:t>o</w:t>
      </w:r>
      <w:r>
        <w:t xml:space="preserve"> naruszeni</w:t>
      </w:r>
      <w:r w:rsidR="00DB71B7">
        <w:t>u</w:t>
      </w:r>
      <w:r>
        <w:t xml:space="preserve"> artykułu 8 Konwencji. </w:t>
      </w:r>
    </w:p>
    <w:sectPr w:rsidR="00B54334" w:rsidRPr="006B0F5A" w:rsidSect="00AE3AB2">
      <w:headerReference w:type="even" r:id="rId16"/>
      <w:headerReference w:type="default" r:id="rId17"/>
      <w:pgSz w:w="11906" w:h="16838" w:code="9"/>
      <w:pgMar w:top="2274" w:right="2274" w:bottom="2274" w:left="2274" w:header="1701"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66" w:rsidRDefault="00523466">
      <w:r>
        <w:separator/>
      </w:r>
    </w:p>
  </w:endnote>
  <w:endnote w:type="continuationSeparator" w:id="0">
    <w:p w:rsidR="00523466" w:rsidRDefault="0052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33" w:rsidRDefault="00D764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33" w:rsidRDefault="00D7643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69" w:rsidRPr="00150BFA" w:rsidRDefault="00BF4B69" w:rsidP="00CE0EAD">
    <w:pPr>
      <w:jc w:val="center"/>
    </w:pPr>
    <w:r>
      <w:rPr>
        <w:noProof/>
      </w:rPr>
      <w:drawing>
        <wp:inline distT="0" distB="0" distL="0" distR="0" wp14:anchorId="5974D31E" wp14:editId="71D4061B">
          <wp:extent cx="762000" cy="619125"/>
          <wp:effectExtent l="0" t="0" r="0" b="9525"/>
          <wp:docPr id="4"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125"/>
                  </a:xfrm>
                  <a:prstGeom prst="rect">
                    <a:avLst/>
                  </a:prstGeom>
                  <a:noFill/>
                  <a:ln>
                    <a:noFill/>
                  </a:ln>
                </pic:spPr>
              </pic:pic>
            </a:graphicData>
          </a:graphic>
        </wp:inline>
      </w:drawing>
    </w:r>
  </w:p>
  <w:p w:rsidR="00BF4B69" w:rsidRDefault="00BF4B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66" w:rsidRDefault="00523466">
      <w:r>
        <w:separator/>
      </w:r>
    </w:p>
  </w:footnote>
  <w:footnote w:type="continuationSeparator" w:id="0">
    <w:p w:rsidR="00523466" w:rsidRDefault="00523466">
      <w:r>
        <w:continuationSeparator/>
      </w:r>
    </w:p>
  </w:footnote>
  <w:footnote w:id="1">
    <w:p w:rsidR="00BF4B69" w:rsidRDefault="00BF4B69">
      <w:pPr>
        <w:pStyle w:val="Tekstprzypisudolnego"/>
      </w:pPr>
      <w:r>
        <w:rPr>
          <w:rStyle w:val="Odwoanieprzypisudolnego"/>
        </w:rPr>
        <w:footnoteRef/>
      </w:r>
      <w:r>
        <w:t xml:space="preserve">  "</w:t>
      </w:r>
      <w:proofErr w:type="spellStart"/>
      <w:r>
        <w:t>Spread</w:t>
      </w:r>
      <w:proofErr w:type="spellEnd"/>
      <w:r>
        <w:t xml:space="preserve">" jest to różnica pomiędzy </w:t>
      </w:r>
      <w:r w:rsidR="0020592B">
        <w:t>podażą i popytem</w:t>
      </w:r>
      <w:r>
        <w:t xml:space="preserve"> aktywów finansowych</w:t>
      </w:r>
    </w:p>
  </w:footnote>
  <w:footnote w:id="2">
    <w:p w:rsidR="00BF4B69" w:rsidRDefault="00BF4B69">
      <w:pPr>
        <w:pStyle w:val="Tekstprzypisudolnego"/>
      </w:pPr>
      <w:r>
        <w:rPr>
          <w:rStyle w:val="Odwoanieprzypisudolnego"/>
        </w:rPr>
        <w:footnoteRef/>
      </w:r>
      <w:r>
        <w:t xml:space="preserve"> "</w:t>
      </w:r>
      <w:proofErr w:type="spellStart"/>
      <w:r>
        <w:t>Swap</w:t>
      </w:r>
      <w:proofErr w:type="spellEnd"/>
      <w:r>
        <w:t xml:space="preserve">" lub wymiana finansowa jest to umowa polegająca na wymianie </w:t>
      </w:r>
      <w:r w:rsidR="00F87A54">
        <w:t>przepływów finansowych</w:t>
      </w:r>
      <w:r>
        <w:t xml:space="preserve"> pomiędzy dwoma stronami, </w:t>
      </w:r>
      <w:r w:rsidR="00B66400">
        <w:t>zwykle</w:t>
      </w:r>
      <w:r>
        <w:t xml:space="preserve"> bankami lub instytucjami finansowymi.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33" w:rsidRDefault="00D7643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69" w:rsidRPr="00CE0EAD" w:rsidRDefault="00BF4B69" w:rsidP="00CE0EAD">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69" w:rsidRPr="00A45145" w:rsidRDefault="00BF4B69" w:rsidP="00CE0EAD">
    <w:pPr>
      <w:jc w:val="center"/>
    </w:pPr>
    <w:r>
      <w:rPr>
        <w:noProof/>
      </w:rPr>
      <w:drawing>
        <wp:inline distT="0" distB="0" distL="0" distR="0" wp14:anchorId="2922FA27" wp14:editId="3DE3710D">
          <wp:extent cx="2962275" cy="1219200"/>
          <wp:effectExtent l="0" t="0" r="9525" b="0"/>
          <wp:docPr id="2"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F4B69" w:rsidRDefault="00BF4B69" w:rsidP="004A2690">
    <w:pPr>
      <w:pStyle w:val="ECH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69" w:rsidRPr="00C63DB9" w:rsidRDefault="00BF4B69" w:rsidP="004A2690">
    <w:pPr>
      <w:pStyle w:val="ECHRHeader"/>
      <w:rPr>
        <w:lang w:val="fr-BE"/>
      </w:rPr>
    </w:pPr>
    <w:r>
      <w:rPr>
        <w:rStyle w:val="Numerstrony"/>
      </w:rPr>
      <w:fldChar w:fldCharType="begin"/>
    </w:r>
    <w:r w:rsidRPr="00C63DB9">
      <w:rPr>
        <w:rStyle w:val="Numerstrony"/>
        <w:lang w:val="fr-BE"/>
      </w:rPr>
      <w:instrText xml:space="preserve"> PAGE </w:instrText>
    </w:r>
    <w:r>
      <w:rPr>
        <w:rStyle w:val="Numerstrony"/>
      </w:rPr>
      <w:fldChar w:fldCharType="separate"/>
    </w:r>
    <w:r w:rsidR="00C63DB9">
      <w:rPr>
        <w:rStyle w:val="Numerstrony"/>
        <w:noProof/>
        <w:lang w:val="fr-BE"/>
      </w:rPr>
      <w:t>38</w:t>
    </w:r>
    <w:r>
      <w:rPr>
        <w:rStyle w:val="Numerstrony"/>
      </w:rPr>
      <w:fldChar w:fldCharType="end"/>
    </w:r>
    <w:r w:rsidRPr="00C63DB9">
      <w:rPr>
        <w:lang w:val="fr-BE"/>
      </w:rPr>
      <w:tab/>
      <w:t>WYROK SÉRVULO &amp; ASSOCIADOS - SOCIEDADE DE</w:t>
    </w:r>
  </w:p>
  <w:p w:rsidR="00BF4B69" w:rsidRPr="00594C45" w:rsidRDefault="00BF4B69" w:rsidP="004A2690">
    <w:pPr>
      <w:pStyle w:val="ECHRHeader"/>
    </w:pPr>
    <w:r w:rsidRPr="00C63DB9">
      <w:rPr>
        <w:lang w:val="fr-BE"/>
      </w:rPr>
      <w:tab/>
    </w:r>
    <w:r>
      <w:t>ADVOGADOS, RL I INNI przeciwko PORTUGALII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69" w:rsidRPr="00937049" w:rsidRDefault="00BF4B69" w:rsidP="004A2690">
    <w:pPr>
      <w:pStyle w:val="ECHRHeader"/>
      <w:rPr>
        <w:lang w:val="fr-FR"/>
      </w:rPr>
    </w:pPr>
    <w:r>
      <w:tab/>
    </w:r>
    <w:r w:rsidRPr="00937049">
      <w:rPr>
        <w:lang w:val="fr-FR"/>
      </w:rPr>
      <w:t xml:space="preserve">WYROK SÉRVULO &amp; ASSOCIADOS - SOCIEDADE DE </w:t>
    </w:r>
    <w:r w:rsidRPr="00937049">
      <w:rPr>
        <w:lang w:val="fr-FR"/>
      </w:rPr>
      <w:tab/>
    </w:r>
    <w:r w:rsidRPr="00937049">
      <w:rPr>
        <w:rStyle w:val="Numerstrony"/>
        <w:lang w:val="fr-FR"/>
      </w:rPr>
      <w:fldChar w:fldCharType="begin"/>
    </w:r>
    <w:r w:rsidRPr="00937049">
      <w:rPr>
        <w:rStyle w:val="Numerstrony"/>
        <w:lang w:val="fr-FR"/>
      </w:rPr>
      <w:instrText xml:space="preserve"> PAGE </w:instrText>
    </w:r>
    <w:r w:rsidRPr="00937049">
      <w:rPr>
        <w:rStyle w:val="Numerstrony"/>
        <w:lang w:val="fr-FR"/>
      </w:rPr>
      <w:fldChar w:fldCharType="separate"/>
    </w:r>
    <w:r w:rsidR="00C63DB9">
      <w:rPr>
        <w:rStyle w:val="Numerstrony"/>
        <w:noProof/>
        <w:lang w:val="fr-FR"/>
      </w:rPr>
      <w:t>1</w:t>
    </w:r>
    <w:r w:rsidRPr="00937049">
      <w:rPr>
        <w:rStyle w:val="Numerstrony"/>
        <w:lang w:val="fr-FR"/>
      </w:rPr>
      <w:fldChar w:fldCharType="end"/>
    </w:r>
  </w:p>
  <w:p w:rsidR="00BF4B69" w:rsidRPr="00AE3AB2" w:rsidRDefault="00BF4B69" w:rsidP="00AE3AB2">
    <w:pPr>
      <w:pStyle w:val="ECHRHeader"/>
    </w:pPr>
    <w:r w:rsidRPr="00937049">
      <w:rPr>
        <w:lang w:val="fr-FR"/>
      </w:rPr>
      <w:tab/>
    </w:r>
    <w:r>
      <w:t xml:space="preserve">ADVOGADOS, RL I INNI przeciwko PORTUGALII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69" w:rsidRDefault="00BF4B69" w:rsidP="004A2690">
    <w:pPr>
      <w:pStyle w:val="ECHRHeader"/>
    </w:pPr>
    <w:r>
      <w:rPr>
        <w:rStyle w:val="Numerstrony"/>
      </w:rPr>
      <w:fldChar w:fldCharType="begin"/>
    </w:r>
    <w:r>
      <w:rPr>
        <w:rStyle w:val="Numerstrony"/>
      </w:rPr>
      <w:instrText xml:space="preserve"> PAGE </w:instrText>
    </w:r>
    <w:r>
      <w:rPr>
        <w:rStyle w:val="Numerstrony"/>
      </w:rPr>
      <w:fldChar w:fldCharType="separate"/>
    </w:r>
    <w:r w:rsidR="00C63DB9">
      <w:rPr>
        <w:rStyle w:val="Numerstrony"/>
        <w:noProof/>
      </w:rPr>
      <w:t>46</w:t>
    </w:r>
    <w:r>
      <w:rPr>
        <w:rStyle w:val="Numerstrony"/>
      </w:rPr>
      <w:fldChar w:fldCharType="end"/>
    </w:r>
    <w:r>
      <w:tab/>
      <w:t>WYROK SÉRVULO &amp; ASSOCIADOS - SOCIEDADE DE</w:t>
    </w:r>
  </w:p>
  <w:p w:rsidR="00BF4B69" w:rsidRPr="00594C45" w:rsidRDefault="00BF4B69" w:rsidP="004A2690">
    <w:pPr>
      <w:pStyle w:val="ECHRHeader"/>
    </w:pPr>
    <w:r>
      <w:tab/>
      <w:t>ADVOGADOS, RL I INNI przeciwko PORTUGALII - ZDANIE ODRĘBNE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69" w:rsidRPr="00937049" w:rsidRDefault="00BF4B69" w:rsidP="004A2690">
    <w:pPr>
      <w:pStyle w:val="ECHRHeader"/>
      <w:rPr>
        <w:lang w:val="fr-FR"/>
      </w:rPr>
    </w:pPr>
    <w:r>
      <w:tab/>
    </w:r>
    <w:r w:rsidRPr="00937049">
      <w:rPr>
        <w:lang w:val="fr-FR"/>
      </w:rPr>
      <w:t>WYROK SÉRVULO &amp; ASSOCIADOS - SOCIEDADE DE</w:t>
    </w:r>
    <w:r w:rsidRPr="00937049">
      <w:rPr>
        <w:lang w:val="fr-FR"/>
      </w:rPr>
      <w:tab/>
    </w:r>
    <w:r w:rsidRPr="00937049">
      <w:rPr>
        <w:rStyle w:val="Numerstrony"/>
        <w:lang w:val="fr-FR"/>
      </w:rPr>
      <w:fldChar w:fldCharType="begin"/>
    </w:r>
    <w:r w:rsidRPr="00937049">
      <w:rPr>
        <w:rStyle w:val="Numerstrony"/>
        <w:lang w:val="fr-FR"/>
      </w:rPr>
      <w:instrText xml:space="preserve"> PAGE </w:instrText>
    </w:r>
    <w:r w:rsidRPr="00937049">
      <w:rPr>
        <w:rStyle w:val="Numerstrony"/>
        <w:lang w:val="fr-FR"/>
      </w:rPr>
      <w:fldChar w:fldCharType="separate"/>
    </w:r>
    <w:r w:rsidR="00C63DB9">
      <w:rPr>
        <w:rStyle w:val="Numerstrony"/>
        <w:noProof/>
        <w:lang w:val="fr-FR"/>
      </w:rPr>
      <w:t>47</w:t>
    </w:r>
    <w:r w:rsidRPr="00937049">
      <w:rPr>
        <w:rStyle w:val="Numerstrony"/>
        <w:lang w:val="fr-FR"/>
      </w:rPr>
      <w:fldChar w:fldCharType="end"/>
    </w:r>
  </w:p>
  <w:p w:rsidR="00BF4B69" w:rsidRPr="00AE3AB2" w:rsidRDefault="00BF4B69" w:rsidP="00AE3AB2">
    <w:pPr>
      <w:pStyle w:val="ECHRHeader"/>
    </w:pPr>
    <w:r w:rsidRPr="00937049">
      <w:rPr>
        <w:lang w:val="fr-FR"/>
      </w:rPr>
      <w:tab/>
    </w:r>
    <w:r>
      <w:t>ADVOGADOS, RL I INNI przeciwko PORTUGALII - ZDANIE ODRĘBNE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1CD4DE"/>
    <w:lvl w:ilvl="0">
      <w:start w:val="1"/>
      <w:numFmt w:val="decimal"/>
      <w:pStyle w:val="Listanumerowana5"/>
      <w:lvlText w:val="%1."/>
      <w:lvlJc w:val="left"/>
      <w:pPr>
        <w:tabs>
          <w:tab w:val="num" w:pos="1492"/>
        </w:tabs>
        <w:ind w:left="1492" w:hanging="360"/>
      </w:pPr>
      <w:rPr>
        <w:rFonts w:cs="Times New Roman"/>
      </w:rPr>
    </w:lvl>
  </w:abstractNum>
  <w:abstractNum w:abstractNumId="1">
    <w:nsid w:val="FFFFFF7D"/>
    <w:multiLevelType w:val="singleLevel"/>
    <w:tmpl w:val="9344055E"/>
    <w:lvl w:ilvl="0">
      <w:start w:val="1"/>
      <w:numFmt w:val="decimal"/>
      <w:pStyle w:val="Listanumerowana4"/>
      <w:lvlText w:val="%1."/>
      <w:lvlJc w:val="left"/>
      <w:pPr>
        <w:tabs>
          <w:tab w:val="num" w:pos="1209"/>
        </w:tabs>
        <w:ind w:left="1209" w:hanging="360"/>
      </w:pPr>
      <w:rPr>
        <w:rFonts w:cs="Times New Roman"/>
      </w:rPr>
    </w:lvl>
  </w:abstractNum>
  <w:abstractNum w:abstractNumId="2">
    <w:nsid w:val="FFFFFF7E"/>
    <w:multiLevelType w:val="singleLevel"/>
    <w:tmpl w:val="D30022C8"/>
    <w:lvl w:ilvl="0">
      <w:start w:val="1"/>
      <w:numFmt w:val="decimal"/>
      <w:pStyle w:val="Listanumerowana3"/>
      <w:lvlText w:val="%1."/>
      <w:lvlJc w:val="left"/>
      <w:pPr>
        <w:tabs>
          <w:tab w:val="num" w:pos="926"/>
        </w:tabs>
        <w:ind w:left="926" w:hanging="360"/>
      </w:pPr>
      <w:rPr>
        <w:rFonts w:cs="Times New Roman"/>
      </w:rPr>
    </w:lvl>
  </w:abstractNum>
  <w:abstractNum w:abstractNumId="3">
    <w:nsid w:val="FFFFFF7F"/>
    <w:multiLevelType w:val="singleLevel"/>
    <w:tmpl w:val="3126EA52"/>
    <w:lvl w:ilvl="0">
      <w:start w:val="1"/>
      <w:numFmt w:val="decimal"/>
      <w:pStyle w:val="Listanumerowana2"/>
      <w:lvlText w:val="%1."/>
      <w:lvlJc w:val="left"/>
      <w:pPr>
        <w:tabs>
          <w:tab w:val="num" w:pos="643"/>
        </w:tabs>
        <w:ind w:left="643" w:hanging="360"/>
      </w:pPr>
      <w:rPr>
        <w:rFonts w:cs="Times New Roman"/>
      </w:rPr>
    </w:lvl>
  </w:abstractNum>
  <w:abstractNum w:abstractNumId="4">
    <w:nsid w:val="FFFFFF80"/>
    <w:multiLevelType w:val="singleLevel"/>
    <w:tmpl w:val="AFA2730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CE869CE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1052582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CD140ADC"/>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448AEBA2"/>
    <w:lvl w:ilvl="0">
      <w:start w:val="1"/>
      <w:numFmt w:val="decimal"/>
      <w:pStyle w:val="Listanumerowana"/>
      <w:lvlText w:val="%1."/>
      <w:lvlJc w:val="left"/>
      <w:pPr>
        <w:tabs>
          <w:tab w:val="num" w:pos="360"/>
        </w:tabs>
        <w:ind w:left="360" w:hanging="360"/>
      </w:pPr>
      <w:rPr>
        <w:rFonts w:cs="Times New Roman"/>
      </w:rPr>
    </w:lvl>
  </w:abstractNum>
  <w:abstractNum w:abstractNumId="9">
    <w:nsid w:val="FFFFFF89"/>
    <w:multiLevelType w:val="singleLevel"/>
    <w:tmpl w:val="6CDA51D2"/>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3E1C759D"/>
    <w:multiLevelType w:val="multilevel"/>
    <w:tmpl w:val="04150023"/>
    <w:lvl w:ilvl="0">
      <w:start w:val="1"/>
      <w:numFmt w:val="upperRoman"/>
      <w:pStyle w:val="Nagwek1"/>
      <w:lvlText w:val="Artykuł %1."/>
      <w:lvlJc w:val="left"/>
      <w:rPr>
        <w:rFonts w:cs="Times New Roman"/>
      </w:rPr>
    </w:lvl>
    <w:lvl w:ilvl="1">
      <w:start w:val="1"/>
      <w:numFmt w:val="decimalZero"/>
      <w:pStyle w:val="Nagwek2"/>
      <w:isLgl/>
      <w:lvlText w:val="Sekcja %1.%2"/>
      <w:lvlJc w:val="left"/>
      <w:rPr>
        <w:rFonts w:cs="Times New Roman"/>
      </w:rPr>
    </w:lvl>
    <w:lvl w:ilvl="2">
      <w:start w:val="1"/>
      <w:numFmt w:val="lowerLetter"/>
      <w:pStyle w:val="Nagwek3"/>
      <w:lvlText w:val="(%3)"/>
      <w:lvlJc w:val="left"/>
      <w:pPr>
        <w:ind w:left="720" w:hanging="432"/>
      </w:pPr>
      <w:rPr>
        <w:rFonts w:cs="Times New Roman"/>
      </w:rPr>
    </w:lvl>
    <w:lvl w:ilvl="3">
      <w:start w:val="1"/>
      <w:numFmt w:val="lowerRoman"/>
      <w:pStyle w:val="Nagwek4"/>
      <w:lvlText w:val="(%4)"/>
      <w:lvlJc w:val="right"/>
      <w:pPr>
        <w:ind w:left="864" w:hanging="144"/>
      </w:pPr>
      <w:rPr>
        <w:rFonts w:cs="Times New Roman"/>
      </w:rPr>
    </w:lvl>
    <w:lvl w:ilvl="4">
      <w:start w:val="1"/>
      <w:numFmt w:val="decimal"/>
      <w:pStyle w:val="Nagwek5"/>
      <w:lvlText w:val="%5)"/>
      <w:lvlJc w:val="left"/>
      <w:pPr>
        <w:ind w:left="1008" w:hanging="432"/>
      </w:pPr>
      <w:rPr>
        <w:rFonts w:cs="Times New Roman"/>
      </w:rPr>
    </w:lvl>
    <w:lvl w:ilvl="5">
      <w:start w:val="1"/>
      <w:numFmt w:val="lowerLetter"/>
      <w:pStyle w:val="Nagwek6"/>
      <w:lvlText w:val="%6)"/>
      <w:lvlJc w:val="left"/>
      <w:pPr>
        <w:ind w:left="1152" w:hanging="432"/>
      </w:pPr>
      <w:rPr>
        <w:rFonts w:cs="Times New Roman"/>
      </w:rPr>
    </w:lvl>
    <w:lvl w:ilvl="6">
      <w:start w:val="1"/>
      <w:numFmt w:val="lowerRoman"/>
      <w:pStyle w:val="Nagwek7"/>
      <w:lvlText w:val="%7)"/>
      <w:lvlJc w:val="right"/>
      <w:pPr>
        <w:ind w:left="1296" w:hanging="288"/>
      </w:pPr>
      <w:rPr>
        <w:rFonts w:cs="Times New Roman"/>
      </w:rPr>
    </w:lvl>
    <w:lvl w:ilvl="7">
      <w:start w:val="1"/>
      <w:numFmt w:val="lowerLetter"/>
      <w:pStyle w:val="Nagwek8"/>
      <w:lvlText w:val="%8."/>
      <w:lvlJc w:val="left"/>
      <w:pPr>
        <w:ind w:left="1440" w:hanging="432"/>
      </w:pPr>
      <w:rPr>
        <w:rFonts w:cs="Times New Roman"/>
      </w:rPr>
    </w:lvl>
    <w:lvl w:ilvl="8">
      <w:start w:val="1"/>
      <w:numFmt w:val="lowerRoman"/>
      <w:pStyle w:val="Nagwek9"/>
      <w:lvlText w:val="%9."/>
      <w:lvlJc w:val="right"/>
      <w:pPr>
        <w:ind w:left="1584" w:hanging="144"/>
      </w:pPr>
      <w:rPr>
        <w:rFonts w:cs="Times New Roman"/>
      </w:rPr>
    </w:lvl>
  </w:abstractNum>
  <w:abstractNum w:abstractNumId="11">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594C45"/>
    <w:rsid w:val="000045C8"/>
    <w:rsid w:val="00005B89"/>
    <w:rsid w:val="0001125B"/>
    <w:rsid w:val="00011AA4"/>
    <w:rsid w:val="00016128"/>
    <w:rsid w:val="00017896"/>
    <w:rsid w:val="00024815"/>
    <w:rsid w:val="00033BF2"/>
    <w:rsid w:val="00035BBA"/>
    <w:rsid w:val="00042619"/>
    <w:rsid w:val="000534FA"/>
    <w:rsid w:val="00054C9A"/>
    <w:rsid w:val="0005575A"/>
    <w:rsid w:val="00056275"/>
    <w:rsid w:val="00061008"/>
    <w:rsid w:val="00066B13"/>
    <w:rsid w:val="00070989"/>
    <w:rsid w:val="00072EE4"/>
    <w:rsid w:val="00075468"/>
    <w:rsid w:val="00077542"/>
    <w:rsid w:val="00083D6A"/>
    <w:rsid w:val="0008455A"/>
    <w:rsid w:val="00084ED1"/>
    <w:rsid w:val="000A44CD"/>
    <w:rsid w:val="000A5965"/>
    <w:rsid w:val="000A5B98"/>
    <w:rsid w:val="000A7C2E"/>
    <w:rsid w:val="000B2D5A"/>
    <w:rsid w:val="000B3B94"/>
    <w:rsid w:val="000B3F65"/>
    <w:rsid w:val="000B74EA"/>
    <w:rsid w:val="000C0547"/>
    <w:rsid w:val="000C201E"/>
    <w:rsid w:val="000C20FD"/>
    <w:rsid w:val="000C5CEF"/>
    <w:rsid w:val="000D2710"/>
    <w:rsid w:val="000D28E2"/>
    <w:rsid w:val="000D34CF"/>
    <w:rsid w:val="000D409B"/>
    <w:rsid w:val="000D7D35"/>
    <w:rsid w:val="000D7EDC"/>
    <w:rsid w:val="000E02F0"/>
    <w:rsid w:val="000E0D05"/>
    <w:rsid w:val="000E1B65"/>
    <w:rsid w:val="000E4CFA"/>
    <w:rsid w:val="000E51A7"/>
    <w:rsid w:val="000E5620"/>
    <w:rsid w:val="000E59BF"/>
    <w:rsid w:val="000E63D9"/>
    <w:rsid w:val="000F39BF"/>
    <w:rsid w:val="000F5330"/>
    <w:rsid w:val="00100388"/>
    <w:rsid w:val="001011A9"/>
    <w:rsid w:val="0010236F"/>
    <w:rsid w:val="00105F65"/>
    <w:rsid w:val="00106D54"/>
    <w:rsid w:val="001070FA"/>
    <w:rsid w:val="00113559"/>
    <w:rsid w:val="001137FA"/>
    <w:rsid w:val="001146F1"/>
    <w:rsid w:val="0012268E"/>
    <w:rsid w:val="001236F8"/>
    <w:rsid w:val="00123ED5"/>
    <w:rsid w:val="00124837"/>
    <w:rsid w:val="0012493A"/>
    <w:rsid w:val="0012686B"/>
    <w:rsid w:val="00132928"/>
    <w:rsid w:val="00134A24"/>
    <w:rsid w:val="00136923"/>
    <w:rsid w:val="001373C9"/>
    <w:rsid w:val="00140560"/>
    <w:rsid w:val="001426CB"/>
    <w:rsid w:val="001479DF"/>
    <w:rsid w:val="00150BFA"/>
    <w:rsid w:val="001525D5"/>
    <w:rsid w:val="00152CCE"/>
    <w:rsid w:val="00157292"/>
    <w:rsid w:val="00161CAB"/>
    <w:rsid w:val="00164418"/>
    <w:rsid w:val="00165502"/>
    <w:rsid w:val="001657F6"/>
    <w:rsid w:val="00165C4E"/>
    <w:rsid w:val="001704A0"/>
    <w:rsid w:val="00171398"/>
    <w:rsid w:val="00172010"/>
    <w:rsid w:val="00174351"/>
    <w:rsid w:val="00175FBC"/>
    <w:rsid w:val="00176858"/>
    <w:rsid w:val="00176B1E"/>
    <w:rsid w:val="00180703"/>
    <w:rsid w:val="00181A37"/>
    <w:rsid w:val="00182E11"/>
    <w:rsid w:val="001927BA"/>
    <w:rsid w:val="00193140"/>
    <w:rsid w:val="00194BC1"/>
    <w:rsid w:val="001A0001"/>
    <w:rsid w:val="001A0091"/>
    <w:rsid w:val="001A0202"/>
    <w:rsid w:val="001A285F"/>
    <w:rsid w:val="001A5041"/>
    <w:rsid w:val="001A538E"/>
    <w:rsid w:val="001A7E99"/>
    <w:rsid w:val="001B15A6"/>
    <w:rsid w:val="001B554D"/>
    <w:rsid w:val="001B6387"/>
    <w:rsid w:val="001C22C3"/>
    <w:rsid w:val="001D1E1D"/>
    <w:rsid w:val="001D2833"/>
    <w:rsid w:val="001D6491"/>
    <w:rsid w:val="001D7BB6"/>
    <w:rsid w:val="001E0D72"/>
    <w:rsid w:val="001E55DC"/>
    <w:rsid w:val="001F2961"/>
    <w:rsid w:val="001F2DA0"/>
    <w:rsid w:val="001F3B46"/>
    <w:rsid w:val="001F3FF1"/>
    <w:rsid w:val="0020003E"/>
    <w:rsid w:val="00200599"/>
    <w:rsid w:val="002022B0"/>
    <w:rsid w:val="0020299F"/>
    <w:rsid w:val="00202A3F"/>
    <w:rsid w:val="00204EAA"/>
    <w:rsid w:val="0020592B"/>
    <w:rsid w:val="00210664"/>
    <w:rsid w:val="00211916"/>
    <w:rsid w:val="00211FB4"/>
    <w:rsid w:val="002124A4"/>
    <w:rsid w:val="0021365D"/>
    <w:rsid w:val="00214BFF"/>
    <w:rsid w:val="002164E6"/>
    <w:rsid w:val="00224617"/>
    <w:rsid w:val="002262A9"/>
    <w:rsid w:val="002306BE"/>
    <w:rsid w:val="002319AD"/>
    <w:rsid w:val="00234D45"/>
    <w:rsid w:val="00235DF3"/>
    <w:rsid w:val="002363BC"/>
    <w:rsid w:val="002441B2"/>
    <w:rsid w:val="0024703A"/>
    <w:rsid w:val="00257D03"/>
    <w:rsid w:val="00262781"/>
    <w:rsid w:val="00262956"/>
    <w:rsid w:val="00273C45"/>
    <w:rsid w:val="00274F8E"/>
    <w:rsid w:val="00276416"/>
    <w:rsid w:val="00276604"/>
    <w:rsid w:val="00276F33"/>
    <w:rsid w:val="00277340"/>
    <w:rsid w:val="00280C32"/>
    <w:rsid w:val="002828CB"/>
    <w:rsid w:val="00286D28"/>
    <w:rsid w:val="00293071"/>
    <w:rsid w:val="0029718E"/>
    <w:rsid w:val="002A186E"/>
    <w:rsid w:val="002A32EE"/>
    <w:rsid w:val="002A3C0F"/>
    <w:rsid w:val="002A7612"/>
    <w:rsid w:val="002B0349"/>
    <w:rsid w:val="002B4053"/>
    <w:rsid w:val="002B7A54"/>
    <w:rsid w:val="002C0049"/>
    <w:rsid w:val="002D7D76"/>
    <w:rsid w:val="002E3605"/>
    <w:rsid w:val="002E58C5"/>
    <w:rsid w:val="002E59F4"/>
    <w:rsid w:val="002E6AFE"/>
    <w:rsid w:val="002E7E5A"/>
    <w:rsid w:val="002F01A1"/>
    <w:rsid w:val="002F141E"/>
    <w:rsid w:val="002F5C32"/>
    <w:rsid w:val="002F66F7"/>
    <w:rsid w:val="002F73DC"/>
    <w:rsid w:val="002F7BF2"/>
    <w:rsid w:val="00300B96"/>
    <w:rsid w:val="0030171E"/>
    <w:rsid w:val="0030189A"/>
    <w:rsid w:val="00301F27"/>
    <w:rsid w:val="00307635"/>
    <w:rsid w:val="00307B88"/>
    <w:rsid w:val="00311F76"/>
    <w:rsid w:val="0031252B"/>
    <w:rsid w:val="003135AA"/>
    <w:rsid w:val="00316B02"/>
    <w:rsid w:val="0032583E"/>
    <w:rsid w:val="00336139"/>
    <w:rsid w:val="00336D5A"/>
    <w:rsid w:val="0034046A"/>
    <w:rsid w:val="00340D98"/>
    <w:rsid w:val="00341E81"/>
    <w:rsid w:val="003428E0"/>
    <w:rsid w:val="0034370B"/>
    <w:rsid w:val="003465FA"/>
    <w:rsid w:val="003502BB"/>
    <w:rsid w:val="00350C0F"/>
    <w:rsid w:val="00351C1C"/>
    <w:rsid w:val="00361069"/>
    <w:rsid w:val="0036242F"/>
    <w:rsid w:val="00364DF8"/>
    <w:rsid w:val="00365330"/>
    <w:rsid w:val="00374ADD"/>
    <w:rsid w:val="00381B9D"/>
    <w:rsid w:val="00384897"/>
    <w:rsid w:val="0038600E"/>
    <w:rsid w:val="003866E6"/>
    <w:rsid w:val="00390ED4"/>
    <w:rsid w:val="0039784A"/>
    <w:rsid w:val="003A07E9"/>
    <w:rsid w:val="003A1CB1"/>
    <w:rsid w:val="003A2568"/>
    <w:rsid w:val="003A421B"/>
    <w:rsid w:val="003A4307"/>
    <w:rsid w:val="003A5146"/>
    <w:rsid w:val="003A6738"/>
    <w:rsid w:val="003A7BE6"/>
    <w:rsid w:val="003A7D6C"/>
    <w:rsid w:val="003B1EEB"/>
    <w:rsid w:val="003C687D"/>
    <w:rsid w:val="003C74A6"/>
    <w:rsid w:val="003D0101"/>
    <w:rsid w:val="003E2FAF"/>
    <w:rsid w:val="003E3A35"/>
    <w:rsid w:val="003E6978"/>
    <w:rsid w:val="003F1B74"/>
    <w:rsid w:val="003F4EB9"/>
    <w:rsid w:val="003F5C20"/>
    <w:rsid w:val="003F7876"/>
    <w:rsid w:val="0040041C"/>
    <w:rsid w:val="00402520"/>
    <w:rsid w:val="00403D74"/>
    <w:rsid w:val="00404A47"/>
    <w:rsid w:val="004060DD"/>
    <w:rsid w:val="00406534"/>
    <w:rsid w:val="00413D20"/>
    <w:rsid w:val="00414FEE"/>
    <w:rsid w:val="00415475"/>
    <w:rsid w:val="00422B9F"/>
    <w:rsid w:val="00424971"/>
    <w:rsid w:val="00425A03"/>
    <w:rsid w:val="00433CEC"/>
    <w:rsid w:val="00435D0A"/>
    <w:rsid w:val="004402E8"/>
    <w:rsid w:val="00441E0A"/>
    <w:rsid w:val="00442256"/>
    <w:rsid w:val="0044530F"/>
    <w:rsid w:val="0044590A"/>
    <w:rsid w:val="004505F1"/>
    <w:rsid w:val="00450AA7"/>
    <w:rsid w:val="00460457"/>
    <w:rsid w:val="00460852"/>
    <w:rsid w:val="00464B85"/>
    <w:rsid w:val="00472FAB"/>
    <w:rsid w:val="00474B44"/>
    <w:rsid w:val="00482B7F"/>
    <w:rsid w:val="00485EAC"/>
    <w:rsid w:val="00491EA8"/>
    <w:rsid w:val="00494A81"/>
    <w:rsid w:val="00496026"/>
    <w:rsid w:val="004A2690"/>
    <w:rsid w:val="004A4DAE"/>
    <w:rsid w:val="004B01AC"/>
    <w:rsid w:val="004B5356"/>
    <w:rsid w:val="004B58FC"/>
    <w:rsid w:val="004B5F1B"/>
    <w:rsid w:val="004B6B84"/>
    <w:rsid w:val="004C6A5E"/>
    <w:rsid w:val="004C7217"/>
    <w:rsid w:val="004D26E7"/>
    <w:rsid w:val="004D7169"/>
    <w:rsid w:val="004E106C"/>
    <w:rsid w:val="004E5991"/>
    <w:rsid w:val="004F1008"/>
    <w:rsid w:val="004F47EA"/>
    <w:rsid w:val="004F5C5B"/>
    <w:rsid w:val="00502CA7"/>
    <w:rsid w:val="00503DAC"/>
    <w:rsid w:val="00504805"/>
    <w:rsid w:val="00506500"/>
    <w:rsid w:val="005067C1"/>
    <w:rsid w:val="00507A78"/>
    <w:rsid w:val="005101C0"/>
    <w:rsid w:val="00514667"/>
    <w:rsid w:val="00517C48"/>
    <w:rsid w:val="00523466"/>
    <w:rsid w:val="00523790"/>
    <w:rsid w:val="005252EA"/>
    <w:rsid w:val="00525512"/>
    <w:rsid w:val="005267AD"/>
    <w:rsid w:val="00530469"/>
    <w:rsid w:val="005326B7"/>
    <w:rsid w:val="00533B11"/>
    <w:rsid w:val="00534B1B"/>
    <w:rsid w:val="0053648E"/>
    <w:rsid w:val="005368F8"/>
    <w:rsid w:val="00543BC9"/>
    <w:rsid w:val="00552EAC"/>
    <w:rsid w:val="00553D20"/>
    <w:rsid w:val="00553F13"/>
    <w:rsid w:val="005550CF"/>
    <w:rsid w:val="005567CB"/>
    <w:rsid w:val="00562B34"/>
    <w:rsid w:val="005653D1"/>
    <w:rsid w:val="005662EE"/>
    <w:rsid w:val="0056641D"/>
    <w:rsid w:val="00572774"/>
    <w:rsid w:val="005727E7"/>
    <w:rsid w:val="00573303"/>
    <w:rsid w:val="0057659C"/>
    <w:rsid w:val="005779CE"/>
    <w:rsid w:val="005856FA"/>
    <w:rsid w:val="00586B99"/>
    <w:rsid w:val="00590BA2"/>
    <w:rsid w:val="00590C68"/>
    <w:rsid w:val="00594C45"/>
    <w:rsid w:val="00596401"/>
    <w:rsid w:val="0059645D"/>
    <w:rsid w:val="005978BA"/>
    <w:rsid w:val="00597CC0"/>
    <w:rsid w:val="005A2442"/>
    <w:rsid w:val="005A2D13"/>
    <w:rsid w:val="005A336E"/>
    <w:rsid w:val="005A365B"/>
    <w:rsid w:val="005B260F"/>
    <w:rsid w:val="005B32CC"/>
    <w:rsid w:val="005B4B2C"/>
    <w:rsid w:val="005B5CAE"/>
    <w:rsid w:val="005B6B40"/>
    <w:rsid w:val="005B6E20"/>
    <w:rsid w:val="005C118D"/>
    <w:rsid w:val="005C76B7"/>
    <w:rsid w:val="005D0290"/>
    <w:rsid w:val="005D45CB"/>
    <w:rsid w:val="005D5EE8"/>
    <w:rsid w:val="005D6287"/>
    <w:rsid w:val="005E0990"/>
    <w:rsid w:val="005E71BD"/>
    <w:rsid w:val="005E7CA9"/>
    <w:rsid w:val="00602BD0"/>
    <w:rsid w:val="00611475"/>
    <w:rsid w:val="00615C44"/>
    <w:rsid w:val="006172BE"/>
    <w:rsid w:val="00624B1C"/>
    <w:rsid w:val="00626184"/>
    <w:rsid w:val="00641B03"/>
    <w:rsid w:val="0064469E"/>
    <w:rsid w:val="0064509C"/>
    <w:rsid w:val="0065035F"/>
    <w:rsid w:val="006506DF"/>
    <w:rsid w:val="0065167D"/>
    <w:rsid w:val="0065424E"/>
    <w:rsid w:val="0066487B"/>
    <w:rsid w:val="006659E6"/>
    <w:rsid w:val="00671F52"/>
    <w:rsid w:val="00673BCA"/>
    <w:rsid w:val="00674A28"/>
    <w:rsid w:val="00676EA0"/>
    <w:rsid w:val="00677CD5"/>
    <w:rsid w:val="0068301A"/>
    <w:rsid w:val="0068360D"/>
    <w:rsid w:val="00684093"/>
    <w:rsid w:val="00684CC9"/>
    <w:rsid w:val="00685BEB"/>
    <w:rsid w:val="00687034"/>
    <w:rsid w:val="00690EA2"/>
    <w:rsid w:val="0069436B"/>
    <w:rsid w:val="00694F85"/>
    <w:rsid w:val="0069629F"/>
    <w:rsid w:val="0069701A"/>
    <w:rsid w:val="006A389F"/>
    <w:rsid w:val="006A3A66"/>
    <w:rsid w:val="006A3ED0"/>
    <w:rsid w:val="006A4B5A"/>
    <w:rsid w:val="006A5B42"/>
    <w:rsid w:val="006A77D5"/>
    <w:rsid w:val="006B0F5A"/>
    <w:rsid w:val="006B1066"/>
    <w:rsid w:val="006B3C6C"/>
    <w:rsid w:val="006B5439"/>
    <w:rsid w:val="006B5D16"/>
    <w:rsid w:val="006C0BDF"/>
    <w:rsid w:val="006C5B9E"/>
    <w:rsid w:val="006C6535"/>
    <w:rsid w:val="006D1056"/>
    <w:rsid w:val="006E2B9B"/>
    <w:rsid w:val="006E39C2"/>
    <w:rsid w:val="006E46FC"/>
    <w:rsid w:val="006E55F1"/>
    <w:rsid w:val="006E65D9"/>
    <w:rsid w:val="006F226E"/>
    <w:rsid w:val="00702B71"/>
    <w:rsid w:val="00702DC2"/>
    <w:rsid w:val="007065A1"/>
    <w:rsid w:val="007110B8"/>
    <w:rsid w:val="00713EB8"/>
    <w:rsid w:val="00721490"/>
    <w:rsid w:val="0072323F"/>
    <w:rsid w:val="007251D5"/>
    <w:rsid w:val="00725781"/>
    <w:rsid w:val="0072689F"/>
    <w:rsid w:val="00727F33"/>
    <w:rsid w:val="00730819"/>
    <w:rsid w:val="0073116A"/>
    <w:rsid w:val="00731E4B"/>
    <w:rsid w:val="00743091"/>
    <w:rsid w:val="00743C6E"/>
    <w:rsid w:val="007444AD"/>
    <w:rsid w:val="00744DF1"/>
    <w:rsid w:val="00745165"/>
    <w:rsid w:val="0074624F"/>
    <w:rsid w:val="00746B69"/>
    <w:rsid w:val="007472AD"/>
    <w:rsid w:val="00752ECE"/>
    <w:rsid w:val="00754A36"/>
    <w:rsid w:val="007644C6"/>
    <w:rsid w:val="00764D45"/>
    <w:rsid w:val="00775A15"/>
    <w:rsid w:val="00780959"/>
    <w:rsid w:val="00780BCA"/>
    <w:rsid w:val="00782FF4"/>
    <w:rsid w:val="00783634"/>
    <w:rsid w:val="00784F4A"/>
    <w:rsid w:val="00787ACA"/>
    <w:rsid w:val="00794C77"/>
    <w:rsid w:val="00795774"/>
    <w:rsid w:val="00795F6D"/>
    <w:rsid w:val="00797980"/>
    <w:rsid w:val="00797D1A"/>
    <w:rsid w:val="007A04C8"/>
    <w:rsid w:val="007A1A5D"/>
    <w:rsid w:val="007A2B64"/>
    <w:rsid w:val="007A3D9B"/>
    <w:rsid w:val="007A61E8"/>
    <w:rsid w:val="007A6458"/>
    <w:rsid w:val="007A65D2"/>
    <w:rsid w:val="007B668F"/>
    <w:rsid w:val="007B73A2"/>
    <w:rsid w:val="007C0032"/>
    <w:rsid w:val="007C07A9"/>
    <w:rsid w:val="007C10FE"/>
    <w:rsid w:val="007C2D5B"/>
    <w:rsid w:val="007C34CB"/>
    <w:rsid w:val="007C6A4E"/>
    <w:rsid w:val="007D2298"/>
    <w:rsid w:val="007D2BFD"/>
    <w:rsid w:val="007D3545"/>
    <w:rsid w:val="007D5BD7"/>
    <w:rsid w:val="007D5BF1"/>
    <w:rsid w:val="007D7065"/>
    <w:rsid w:val="007E1A78"/>
    <w:rsid w:val="007E3E30"/>
    <w:rsid w:val="007F1E10"/>
    <w:rsid w:val="00800D4B"/>
    <w:rsid w:val="00807C80"/>
    <w:rsid w:val="00810322"/>
    <w:rsid w:val="0081107C"/>
    <w:rsid w:val="00812500"/>
    <w:rsid w:val="008128E7"/>
    <w:rsid w:val="00820E03"/>
    <w:rsid w:val="008228FF"/>
    <w:rsid w:val="008233C1"/>
    <w:rsid w:val="0082643D"/>
    <w:rsid w:val="00836EAB"/>
    <w:rsid w:val="00837199"/>
    <w:rsid w:val="0083770D"/>
    <w:rsid w:val="00837B60"/>
    <w:rsid w:val="008409EC"/>
    <w:rsid w:val="00844BF8"/>
    <w:rsid w:val="00851E62"/>
    <w:rsid w:val="0085224B"/>
    <w:rsid w:val="00853D79"/>
    <w:rsid w:val="00853E55"/>
    <w:rsid w:val="00854AA8"/>
    <w:rsid w:val="00856150"/>
    <w:rsid w:val="008578DD"/>
    <w:rsid w:val="00861A3A"/>
    <w:rsid w:val="0086329C"/>
    <w:rsid w:val="00863EC1"/>
    <w:rsid w:val="0086477F"/>
    <w:rsid w:val="00867183"/>
    <w:rsid w:val="00867B48"/>
    <w:rsid w:val="00873461"/>
    <w:rsid w:val="00875DDD"/>
    <w:rsid w:val="008774D3"/>
    <w:rsid w:val="00877A0B"/>
    <w:rsid w:val="008804F3"/>
    <w:rsid w:val="008805C8"/>
    <w:rsid w:val="0088160C"/>
    <w:rsid w:val="00882636"/>
    <w:rsid w:val="00883764"/>
    <w:rsid w:val="0088613F"/>
    <w:rsid w:val="008861E0"/>
    <w:rsid w:val="0089551F"/>
    <w:rsid w:val="00896DF8"/>
    <w:rsid w:val="008A4364"/>
    <w:rsid w:val="008B0D05"/>
    <w:rsid w:val="008B281F"/>
    <w:rsid w:val="008B3621"/>
    <w:rsid w:val="008B3918"/>
    <w:rsid w:val="008B52D8"/>
    <w:rsid w:val="008B6138"/>
    <w:rsid w:val="008C2E61"/>
    <w:rsid w:val="008C37BB"/>
    <w:rsid w:val="008D308B"/>
    <w:rsid w:val="008D3FF4"/>
    <w:rsid w:val="008D7F45"/>
    <w:rsid w:val="008E2BA1"/>
    <w:rsid w:val="008E36B7"/>
    <w:rsid w:val="008E6130"/>
    <w:rsid w:val="008F7658"/>
    <w:rsid w:val="009063E2"/>
    <w:rsid w:val="0090796D"/>
    <w:rsid w:val="00910D18"/>
    <w:rsid w:val="00922009"/>
    <w:rsid w:val="00926655"/>
    <w:rsid w:val="00927281"/>
    <w:rsid w:val="009312AB"/>
    <w:rsid w:val="009365A0"/>
    <w:rsid w:val="00937049"/>
    <w:rsid w:val="009402B0"/>
    <w:rsid w:val="00942877"/>
    <w:rsid w:val="00942F5E"/>
    <w:rsid w:val="00945EEA"/>
    <w:rsid w:val="009460A5"/>
    <w:rsid w:val="00947380"/>
    <w:rsid w:val="0095093B"/>
    <w:rsid w:val="0095454C"/>
    <w:rsid w:val="00955F39"/>
    <w:rsid w:val="00960A3D"/>
    <w:rsid w:val="00962202"/>
    <w:rsid w:val="009623C9"/>
    <w:rsid w:val="00965D0B"/>
    <w:rsid w:val="00970785"/>
    <w:rsid w:val="00977B08"/>
    <w:rsid w:val="00977BAB"/>
    <w:rsid w:val="009847D3"/>
    <w:rsid w:val="00985E74"/>
    <w:rsid w:val="00991430"/>
    <w:rsid w:val="009916CB"/>
    <w:rsid w:val="009A0F2F"/>
    <w:rsid w:val="009A1E24"/>
    <w:rsid w:val="009A4B81"/>
    <w:rsid w:val="009A66CF"/>
    <w:rsid w:val="009B12A6"/>
    <w:rsid w:val="009B143F"/>
    <w:rsid w:val="009B48E6"/>
    <w:rsid w:val="009C3157"/>
    <w:rsid w:val="009C7378"/>
    <w:rsid w:val="009C781B"/>
    <w:rsid w:val="009C7980"/>
    <w:rsid w:val="009D4DA8"/>
    <w:rsid w:val="009D4F87"/>
    <w:rsid w:val="009D6B3D"/>
    <w:rsid w:val="009E01DD"/>
    <w:rsid w:val="009E12BF"/>
    <w:rsid w:val="009E2A60"/>
    <w:rsid w:val="009E3A6E"/>
    <w:rsid w:val="009E5F5E"/>
    <w:rsid w:val="009E70B3"/>
    <w:rsid w:val="009F28A0"/>
    <w:rsid w:val="009F47B5"/>
    <w:rsid w:val="009F5EAD"/>
    <w:rsid w:val="009F6392"/>
    <w:rsid w:val="009F7607"/>
    <w:rsid w:val="009F7A50"/>
    <w:rsid w:val="00A01766"/>
    <w:rsid w:val="00A0332A"/>
    <w:rsid w:val="00A04C72"/>
    <w:rsid w:val="00A05338"/>
    <w:rsid w:val="00A12029"/>
    <w:rsid w:val="00A127AB"/>
    <w:rsid w:val="00A13043"/>
    <w:rsid w:val="00A15414"/>
    <w:rsid w:val="00A2245A"/>
    <w:rsid w:val="00A22F1E"/>
    <w:rsid w:val="00A230F0"/>
    <w:rsid w:val="00A274E0"/>
    <w:rsid w:val="00A277E2"/>
    <w:rsid w:val="00A27B79"/>
    <w:rsid w:val="00A33CD3"/>
    <w:rsid w:val="00A360B8"/>
    <w:rsid w:val="00A36C83"/>
    <w:rsid w:val="00A415AC"/>
    <w:rsid w:val="00A41960"/>
    <w:rsid w:val="00A41BDA"/>
    <w:rsid w:val="00A42FE0"/>
    <w:rsid w:val="00A44445"/>
    <w:rsid w:val="00A45145"/>
    <w:rsid w:val="00A4614B"/>
    <w:rsid w:val="00A46C46"/>
    <w:rsid w:val="00A515F1"/>
    <w:rsid w:val="00A51B5D"/>
    <w:rsid w:val="00A60559"/>
    <w:rsid w:val="00A60E2C"/>
    <w:rsid w:val="00A8473C"/>
    <w:rsid w:val="00A87FBE"/>
    <w:rsid w:val="00A91C18"/>
    <w:rsid w:val="00A945BA"/>
    <w:rsid w:val="00A948CF"/>
    <w:rsid w:val="00AA4E66"/>
    <w:rsid w:val="00AA5E51"/>
    <w:rsid w:val="00AA6CB2"/>
    <w:rsid w:val="00AB62D1"/>
    <w:rsid w:val="00AC2A9D"/>
    <w:rsid w:val="00AC35D9"/>
    <w:rsid w:val="00AC5318"/>
    <w:rsid w:val="00AD05AC"/>
    <w:rsid w:val="00AD1715"/>
    <w:rsid w:val="00AD3138"/>
    <w:rsid w:val="00AD3D62"/>
    <w:rsid w:val="00AD744F"/>
    <w:rsid w:val="00AE1EE4"/>
    <w:rsid w:val="00AE2832"/>
    <w:rsid w:val="00AE2A8B"/>
    <w:rsid w:val="00AE2EB4"/>
    <w:rsid w:val="00AE3AB2"/>
    <w:rsid w:val="00AE587B"/>
    <w:rsid w:val="00AF120D"/>
    <w:rsid w:val="00AF140C"/>
    <w:rsid w:val="00AF3853"/>
    <w:rsid w:val="00AF42DE"/>
    <w:rsid w:val="00AF4DE7"/>
    <w:rsid w:val="00AF5224"/>
    <w:rsid w:val="00AF560D"/>
    <w:rsid w:val="00AF5870"/>
    <w:rsid w:val="00AF60EC"/>
    <w:rsid w:val="00B06B56"/>
    <w:rsid w:val="00B06C11"/>
    <w:rsid w:val="00B07287"/>
    <w:rsid w:val="00B147E0"/>
    <w:rsid w:val="00B268AB"/>
    <w:rsid w:val="00B26A2B"/>
    <w:rsid w:val="00B4432C"/>
    <w:rsid w:val="00B463B8"/>
    <w:rsid w:val="00B54334"/>
    <w:rsid w:val="00B6123B"/>
    <w:rsid w:val="00B66400"/>
    <w:rsid w:val="00B6699E"/>
    <w:rsid w:val="00B66B4F"/>
    <w:rsid w:val="00B75C97"/>
    <w:rsid w:val="00B76681"/>
    <w:rsid w:val="00B80D7F"/>
    <w:rsid w:val="00B81087"/>
    <w:rsid w:val="00B84208"/>
    <w:rsid w:val="00B86D31"/>
    <w:rsid w:val="00B968A8"/>
    <w:rsid w:val="00B973D3"/>
    <w:rsid w:val="00B9797E"/>
    <w:rsid w:val="00B97BA7"/>
    <w:rsid w:val="00BA2356"/>
    <w:rsid w:val="00BA3420"/>
    <w:rsid w:val="00BA45C5"/>
    <w:rsid w:val="00BA4FAC"/>
    <w:rsid w:val="00BA7B68"/>
    <w:rsid w:val="00BB1DF3"/>
    <w:rsid w:val="00BB20DF"/>
    <w:rsid w:val="00BB38CE"/>
    <w:rsid w:val="00BB42BE"/>
    <w:rsid w:val="00BB4663"/>
    <w:rsid w:val="00BC0636"/>
    <w:rsid w:val="00BC0DC7"/>
    <w:rsid w:val="00BC5748"/>
    <w:rsid w:val="00BC77FA"/>
    <w:rsid w:val="00BD1F8A"/>
    <w:rsid w:val="00BD2F7D"/>
    <w:rsid w:val="00BD3500"/>
    <w:rsid w:val="00BD6BCF"/>
    <w:rsid w:val="00BE03F4"/>
    <w:rsid w:val="00BF0F8E"/>
    <w:rsid w:val="00BF1BC2"/>
    <w:rsid w:val="00BF2796"/>
    <w:rsid w:val="00BF2842"/>
    <w:rsid w:val="00BF4666"/>
    <w:rsid w:val="00BF4B69"/>
    <w:rsid w:val="00BF6F2D"/>
    <w:rsid w:val="00C020D4"/>
    <w:rsid w:val="00C020F9"/>
    <w:rsid w:val="00C03CAC"/>
    <w:rsid w:val="00C048FD"/>
    <w:rsid w:val="00C0528C"/>
    <w:rsid w:val="00C13625"/>
    <w:rsid w:val="00C156DF"/>
    <w:rsid w:val="00C17A17"/>
    <w:rsid w:val="00C23EE6"/>
    <w:rsid w:val="00C257B1"/>
    <w:rsid w:val="00C26B7B"/>
    <w:rsid w:val="00C333DF"/>
    <w:rsid w:val="00C338EF"/>
    <w:rsid w:val="00C3684C"/>
    <w:rsid w:val="00C373C5"/>
    <w:rsid w:val="00C379F1"/>
    <w:rsid w:val="00C37BE2"/>
    <w:rsid w:val="00C42528"/>
    <w:rsid w:val="00C43AB0"/>
    <w:rsid w:val="00C462D7"/>
    <w:rsid w:val="00C46BD1"/>
    <w:rsid w:val="00C47E33"/>
    <w:rsid w:val="00C53B99"/>
    <w:rsid w:val="00C53DCA"/>
    <w:rsid w:val="00C54530"/>
    <w:rsid w:val="00C57EB3"/>
    <w:rsid w:val="00C60297"/>
    <w:rsid w:val="00C61EF1"/>
    <w:rsid w:val="00C63979"/>
    <w:rsid w:val="00C63DB9"/>
    <w:rsid w:val="00C67CF5"/>
    <w:rsid w:val="00C70243"/>
    <w:rsid w:val="00C71672"/>
    <w:rsid w:val="00C72833"/>
    <w:rsid w:val="00C83142"/>
    <w:rsid w:val="00C869BD"/>
    <w:rsid w:val="00C90FC5"/>
    <w:rsid w:val="00C91184"/>
    <w:rsid w:val="00C9155C"/>
    <w:rsid w:val="00C93DB6"/>
    <w:rsid w:val="00C93EC7"/>
    <w:rsid w:val="00C948EB"/>
    <w:rsid w:val="00C9641B"/>
    <w:rsid w:val="00CA0E3E"/>
    <w:rsid w:val="00CA1813"/>
    <w:rsid w:val="00CA2F93"/>
    <w:rsid w:val="00CA7753"/>
    <w:rsid w:val="00CA7F62"/>
    <w:rsid w:val="00CB2408"/>
    <w:rsid w:val="00CB3C9C"/>
    <w:rsid w:val="00CB60F6"/>
    <w:rsid w:val="00CB6F9E"/>
    <w:rsid w:val="00CC0118"/>
    <w:rsid w:val="00CC3FAC"/>
    <w:rsid w:val="00CC5807"/>
    <w:rsid w:val="00CD6481"/>
    <w:rsid w:val="00CD74F9"/>
    <w:rsid w:val="00CE0EAD"/>
    <w:rsid w:val="00CE2158"/>
    <w:rsid w:val="00CE40E8"/>
    <w:rsid w:val="00CE51A7"/>
    <w:rsid w:val="00CE52E4"/>
    <w:rsid w:val="00CE723A"/>
    <w:rsid w:val="00CE796C"/>
    <w:rsid w:val="00CF06CC"/>
    <w:rsid w:val="00CF3738"/>
    <w:rsid w:val="00CF639F"/>
    <w:rsid w:val="00CF7302"/>
    <w:rsid w:val="00D00161"/>
    <w:rsid w:val="00D00A45"/>
    <w:rsid w:val="00D01450"/>
    <w:rsid w:val="00D0437D"/>
    <w:rsid w:val="00D050A7"/>
    <w:rsid w:val="00D05BD2"/>
    <w:rsid w:val="00D1448B"/>
    <w:rsid w:val="00D15330"/>
    <w:rsid w:val="00D15CEC"/>
    <w:rsid w:val="00D173C2"/>
    <w:rsid w:val="00D21E83"/>
    <w:rsid w:val="00D240F4"/>
    <w:rsid w:val="00D300A7"/>
    <w:rsid w:val="00D32F65"/>
    <w:rsid w:val="00D3302F"/>
    <w:rsid w:val="00D338A1"/>
    <w:rsid w:val="00D350F6"/>
    <w:rsid w:val="00D37147"/>
    <w:rsid w:val="00D4185D"/>
    <w:rsid w:val="00D42108"/>
    <w:rsid w:val="00D436E4"/>
    <w:rsid w:val="00D51EA8"/>
    <w:rsid w:val="00D54935"/>
    <w:rsid w:val="00D551E7"/>
    <w:rsid w:val="00D56E9E"/>
    <w:rsid w:val="00D60239"/>
    <w:rsid w:val="00D63C0A"/>
    <w:rsid w:val="00D67675"/>
    <w:rsid w:val="00D67D4E"/>
    <w:rsid w:val="00D70BCC"/>
    <w:rsid w:val="00D7129B"/>
    <w:rsid w:val="00D733A5"/>
    <w:rsid w:val="00D742BD"/>
    <w:rsid w:val="00D76433"/>
    <w:rsid w:val="00D77C36"/>
    <w:rsid w:val="00D81071"/>
    <w:rsid w:val="00D86927"/>
    <w:rsid w:val="00D91555"/>
    <w:rsid w:val="00D9172A"/>
    <w:rsid w:val="00D9259A"/>
    <w:rsid w:val="00D955B9"/>
    <w:rsid w:val="00D97ADD"/>
    <w:rsid w:val="00D97C50"/>
    <w:rsid w:val="00DA6804"/>
    <w:rsid w:val="00DB04D2"/>
    <w:rsid w:val="00DB110E"/>
    <w:rsid w:val="00DB18D5"/>
    <w:rsid w:val="00DB1F62"/>
    <w:rsid w:val="00DB3DE4"/>
    <w:rsid w:val="00DB4C8D"/>
    <w:rsid w:val="00DB4EA7"/>
    <w:rsid w:val="00DB672C"/>
    <w:rsid w:val="00DB71B7"/>
    <w:rsid w:val="00DC090E"/>
    <w:rsid w:val="00DC1462"/>
    <w:rsid w:val="00DC4445"/>
    <w:rsid w:val="00DC5426"/>
    <w:rsid w:val="00DD0F89"/>
    <w:rsid w:val="00DD31F3"/>
    <w:rsid w:val="00DD48A7"/>
    <w:rsid w:val="00DE2A55"/>
    <w:rsid w:val="00DE3C61"/>
    <w:rsid w:val="00DE4D30"/>
    <w:rsid w:val="00DE5203"/>
    <w:rsid w:val="00DE5704"/>
    <w:rsid w:val="00DE5A1D"/>
    <w:rsid w:val="00DF25C0"/>
    <w:rsid w:val="00DF3F95"/>
    <w:rsid w:val="00E0082F"/>
    <w:rsid w:val="00E0174D"/>
    <w:rsid w:val="00E062A0"/>
    <w:rsid w:val="00E10CF0"/>
    <w:rsid w:val="00E11E53"/>
    <w:rsid w:val="00E17F2B"/>
    <w:rsid w:val="00E35824"/>
    <w:rsid w:val="00E402A4"/>
    <w:rsid w:val="00E42B4C"/>
    <w:rsid w:val="00E43272"/>
    <w:rsid w:val="00E447E8"/>
    <w:rsid w:val="00E53880"/>
    <w:rsid w:val="00E60C69"/>
    <w:rsid w:val="00E629F1"/>
    <w:rsid w:val="00E62FE6"/>
    <w:rsid w:val="00E6452A"/>
    <w:rsid w:val="00E64F82"/>
    <w:rsid w:val="00E77840"/>
    <w:rsid w:val="00E8559C"/>
    <w:rsid w:val="00E87A07"/>
    <w:rsid w:val="00E90830"/>
    <w:rsid w:val="00E91E58"/>
    <w:rsid w:val="00E92B9A"/>
    <w:rsid w:val="00E93781"/>
    <w:rsid w:val="00EA029B"/>
    <w:rsid w:val="00EA69C2"/>
    <w:rsid w:val="00EB0820"/>
    <w:rsid w:val="00EB0D4E"/>
    <w:rsid w:val="00EB4835"/>
    <w:rsid w:val="00EB5EA6"/>
    <w:rsid w:val="00EB69DD"/>
    <w:rsid w:val="00EC73E6"/>
    <w:rsid w:val="00ED27A8"/>
    <w:rsid w:val="00ED6699"/>
    <w:rsid w:val="00ED6CA9"/>
    <w:rsid w:val="00EE0E51"/>
    <w:rsid w:val="00EE3359"/>
    <w:rsid w:val="00EF0FA6"/>
    <w:rsid w:val="00EF171B"/>
    <w:rsid w:val="00EF6636"/>
    <w:rsid w:val="00F00638"/>
    <w:rsid w:val="00F00811"/>
    <w:rsid w:val="00F02835"/>
    <w:rsid w:val="00F038C1"/>
    <w:rsid w:val="00F04268"/>
    <w:rsid w:val="00F06004"/>
    <w:rsid w:val="00F0642F"/>
    <w:rsid w:val="00F1029F"/>
    <w:rsid w:val="00F21CC6"/>
    <w:rsid w:val="00F25FB8"/>
    <w:rsid w:val="00F26989"/>
    <w:rsid w:val="00F32FF7"/>
    <w:rsid w:val="00F35234"/>
    <w:rsid w:val="00F4195B"/>
    <w:rsid w:val="00F41BFF"/>
    <w:rsid w:val="00F44FD9"/>
    <w:rsid w:val="00F460CD"/>
    <w:rsid w:val="00F511D6"/>
    <w:rsid w:val="00F51239"/>
    <w:rsid w:val="00F62DF8"/>
    <w:rsid w:val="00F63875"/>
    <w:rsid w:val="00F6551D"/>
    <w:rsid w:val="00F670EE"/>
    <w:rsid w:val="00F70647"/>
    <w:rsid w:val="00F7169F"/>
    <w:rsid w:val="00F717A2"/>
    <w:rsid w:val="00F72F0E"/>
    <w:rsid w:val="00F76F08"/>
    <w:rsid w:val="00F82D14"/>
    <w:rsid w:val="00F834D3"/>
    <w:rsid w:val="00F85808"/>
    <w:rsid w:val="00F87A54"/>
    <w:rsid w:val="00FA1A21"/>
    <w:rsid w:val="00FA1B6E"/>
    <w:rsid w:val="00FA39F0"/>
    <w:rsid w:val="00FA76BA"/>
    <w:rsid w:val="00FB1B37"/>
    <w:rsid w:val="00FB2984"/>
    <w:rsid w:val="00FB62CD"/>
    <w:rsid w:val="00FB7318"/>
    <w:rsid w:val="00FC0FD0"/>
    <w:rsid w:val="00FC108F"/>
    <w:rsid w:val="00FC1B72"/>
    <w:rsid w:val="00FC26F2"/>
    <w:rsid w:val="00FC431A"/>
    <w:rsid w:val="00FC4327"/>
    <w:rsid w:val="00FD1314"/>
    <w:rsid w:val="00FE1DDA"/>
    <w:rsid w:val="00FE42BE"/>
    <w:rsid w:val="00FE6287"/>
    <w:rsid w:val="00FE7CC9"/>
    <w:rsid w:val="00FF1D5D"/>
    <w:rsid w:val="00FF57ED"/>
    <w:rsid w:val="00FF5AD2"/>
    <w:rsid w:val="00FF6DC9"/>
    <w:rsid w:val="00FF6F67"/>
    <w:rsid w:val="00FF7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List" w:semiHidden="1" w:unhideWhenUsed="1"/>
    <w:lsdException w:name="List Bullet"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0"/>
    <w:lsdException w:name="Table Grid" w:uiPriority="59"/>
    <w:lsdException w:name="Placeholder Text" w:semiHidden="1"/>
    <w:lsdException w:name="No Spacing" w:uiPriority="0"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ny">
    <w:name w:val="Normal"/>
    <w:semiHidden/>
    <w:pPr>
      <w:jc w:val="both"/>
    </w:pPr>
    <w:rPr>
      <w:sz w:val="24"/>
      <w:szCs w:val="22"/>
    </w:rPr>
  </w:style>
  <w:style w:type="paragraph" w:styleId="Nagwek1">
    <w:name w:val="heading 1"/>
    <w:basedOn w:val="Normalny"/>
    <w:next w:val="Normalny"/>
    <w:link w:val="Nagwek1Znak"/>
    <w:uiPriority w:val="9"/>
    <w:semiHidden/>
    <w:pPr>
      <w:numPr>
        <w:numId w:val="22"/>
      </w:numPr>
      <w:spacing w:before="480"/>
      <w:contextualSpacing/>
      <w:outlineLvl w:val="0"/>
    </w:pPr>
    <w:rPr>
      <w:b/>
      <w:bCs/>
      <w:color w:val="333333"/>
      <w:sz w:val="28"/>
      <w:szCs w:val="28"/>
    </w:rPr>
  </w:style>
  <w:style w:type="paragraph" w:styleId="Nagwek2">
    <w:name w:val="heading 2"/>
    <w:basedOn w:val="Normalny"/>
    <w:next w:val="Normalny"/>
    <w:link w:val="Nagwek2Znak"/>
    <w:uiPriority w:val="9"/>
    <w:semiHidden/>
    <w:pPr>
      <w:numPr>
        <w:ilvl w:val="1"/>
        <w:numId w:val="22"/>
      </w:numPr>
      <w:spacing w:before="200"/>
      <w:outlineLvl w:val="1"/>
    </w:pPr>
    <w:rPr>
      <w:b/>
      <w:bCs/>
      <w:color w:val="4D4D4D"/>
      <w:sz w:val="26"/>
      <w:szCs w:val="26"/>
    </w:rPr>
  </w:style>
  <w:style w:type="paragraph" w:styleId="Nagwek3">
    <w:name w:val="heading 3"/>
    <w:basedOn w:val="Normalny"/>
    <w:next w:val="Normalny"/>
    <w:link w:val="Nagwek3Znak"/>
    <w:uiPriority w:val="9"/>
    <w:semiHidden/>
    <w:pPr>
      <w:numPr>
        <w:ilvl w:val="2"/>
        <w:numId w:val="22"/>
      </w:numPr>
      <w:spacing w:before="200" w:line="271" w:lineRule="auto"/>
      <w:outlineLvl w:val="2"/>
    </w:pPr>
    <w:rPr>
      <w:b/>
      <w:bCs/>
      <w:color w:val="5F5F5F"/>
    </w:rPr>
  </w:style>
  <w:style w:type="paragraph" w:styleId="Nagwek4">
    <w:name w:val="heading 4"/>
    <w:basedOn w:val="Normalny"/>
    <w:next w:val="Normalny"/>
    <w:link w:val="Nagwek4Znak"/>
    <w:uiPriority w:val="9"/>
    <w:semiHidden/>
    <w:pPr>
      <w:numPr>
        <w:ilvl w:val="3"/>
        <w:numId w:val="22"/>
      </w:numPr>
      <w:spacing w:before="200"/>
      <w:outlineLvl w:val="3"/>
    </w:pPr>
    <w:rPr>
      <w:b/>
      <w:bCs/>
      <w:i/>
      <w:iCs/>
      <w:color w:val="777777"/>
    </w:rPr>
  </w:style>
  <w:style w:type="paragraph" w:styleId="Nagwek5">
    <w:name w:val="heading 5"/>
    <w:basedOn w:val="Normalny"/>
    <w:next w:val="Normalny"/>
    <w:link w:val="Nagwek5Znak"/>
    <w:uiPriority w:val="99"/>
    <w:semiHidden/>
    <w:qFormat/>
    <w:pPr>
      <w:numPr>
        <w:ilvl w:val="4"/>
        <w:numId w:val="22"/>
      </w:numPr>
      <w:spacing w:before="200"/>
      <w:outlineLvl w:val="4"/>
    </w:pPr>
    <w:rPr>
      <w:b/>
      <w:bCs/>
      <w:color w:val="808080"/>
      <w:sz w:val="22"/>
    </w:rPr>
  </w:style>
  <w:style w:type="paragraph" w:styleId="Nagwek6">
    <w:name w:val="heading 6"/>
    <w:basedOn w:val="Normalny"/>
    <w:next w:val="Normalny"/>
    <w:link w:val="Nagwek6Znak"/>
    <w:uiPriority w:val="9"/>
    <w:semiHidden/>
    <w:pPr>
      <w:numPr>
        <w:ilvl w:val="5"/>
        <w:numId w:val="22"/>
      </w:numPr>
      <w:spacing w:line="271" w:lineRule="auto"/>
      <w:outlineLvl w:val="5"/>
    </w:pPr>
    <w:rPr>
      <w:b/>
      <w:bCs/>
      <w:i/>
      <w:iCs/>
      <w:color w:val="7F7F7F"/>
    </w:rPr>
  </w:style>
  <w:style w:type="paragraph" w:styleId="Nagwek7">
    <w:name w:val="heading 7"/>
    <w:basedOn w:val="Normalny"/>
    <w:next w:val="Normalny"/>
    <w:link w:val="Nagwek7Znak"/>
    <w:uiPriority w:val="99"/>
    <w:semiHidden/>
    <w:qFormat/>
    <w:pPr>
      <w:numPr>
        <w:ilvl w:val="6"/>
        <w:numId w:val="22"/>
      </w:numPr>
      <w:outlineLvl w:val="6"/>
    </w:pPr>
    <w:rPr>
      <w:i/>
      <w:iCs/>
      <w:sz w:val="22"/>
    </w:rPr>
  </w:style>
  <w:style w:type="paragraph" w:styleId="Nagwek8">
    <w:name w:val="heading 8"/>
    <w:basedOn w:val="Normalny"/>
    <w:next w:val="Normalny"/>
    <w:link w:val="Nagwek8Znak"/>
    <w:uiPriority w:val="99"/>
    <w:semiHidden/>
    <w:qFormat/>
    <w:pPr>
      <w:numPr>
        <w:ilvl w:val="7"/>
        <w:numId w:val="22"/>
      </w:numPr>
      <w:outlineLvl w:val="7"/>
    </w:pPr>
    <w:rPr>
      <w:sz w:val="20"/>
      <w:szCs w:val="20"/>
    </w:rPr>
  </w:style>
  <w:style w:type="paragraph" w:styleId="Nagwek9">
    <w:name w:val="heading 9"/>
    <w:basedOn w:val="Normalny"/>
    <w:next w:val="Normalny"/>
    <w:link w:val="Nagwek9Znak"/>
    <w:uiPriority w:val="99"/>
    <w:semiHidden/>
    <w:qFormat/>
    <w:pPr>
      <w:numPr>
        <w:ilvl w:val="8"/>
        <w:numId w:val="22"/>
      </w:numPr>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semiHidden/>
    <w:locked/>
    <w:rPr>
      <w:b/>
      <w:bCs/>
      <w:color w:val="333333"/>
      <w:sz w:val="28"/>
      <w:szCs w:val="28"/>
    </w:rPr>
  </w:style>
  <w:style w:type="character" w:customStyle="1" w:styleId="Nagwek2Znak">
    <w:name w:val="Nagłówek 2 Znak"/>
    <w:basedOn w:val="Domylnaczcionkaakapitu"/>
    <w:link w:val="Nagwek2"/>
    <w:uiPriority w:val="9"/>
    <w:semiHidden/>
    <w:locked/>
    <w:rPr>
      <w:b/>
      <w:bCs/>
      <w:color w:val="4D4D4D"/>
      <w:sz w:val="26"/>
      <w:szCs w:val="26"/>
    </w:rPr>
  </w:style>
  <w:style w:type="character" w:customStyle="1" w:styleId="Nagwek3Znak">
    <w:name w:val="Nagłówek 3 Znak"/>
    <w:basedOn w:val="Domylnaczcionkaakapitu"/>
    <w:link w:val="Nagwek3"/>
    <w:uiPriority w:val="9"/>
    <w:semiHidden/>
    <w:locked/>
    <w:rPr>
      <w:b/>
      <w:bCs/>
      <w:color w:val="5F5F5F"/>
      <w:sz w:val="24"/>
      <w:szCs w:val="22"/>
    </w:rPr>
  </w:style>
  <w:style w:type="character" w:customStyle="1" w:styleId="Nagwek4Znak">
    <w:name w:val="Nagłówek 4 Znak"/>
    <w:basedOn w:val="Domylnaczcionkaakapitu"/>
    <w:link w:val="Nagwek4"/>
    <w:uiPriority w:val="9"/>
    <w:semiHidden/>
    <w:locked/>
    <w:rPr>
      <w:b/>
      <w:bCs/>
      <w:i/>
      <w:iCs/>
      <w:color w:val="777777"/>
      <w:sz w:val="24"/>
      <w:szCs w:val="22"/>
    </w:rPr>
  </w:style>
  <w:style w:type="character" w:customStyle="1" w:styleId="Nagwek5Znak">
    <w:name w:val="Nagłówek 5 Znak"/>
    <w:basedOn w:val="Domylnaczcionkaakapitu"/>
    <w:link w:val="Nagwek5"/>
    <w:uiPriority w:val="99"/>
    <w:semiHidden/>
    <w:locked/>
    <w:rPr>
      <w:b/>
      <w:bCs/>
      <w:color w:val="808080"/>
      <w:sz w:val="22"/>
      <w:szCs w:val="22"/>
    </w:rPr>
  </w:style>
  <w:style w:type="character" w:customStyle="1" w:styleId="Nagwek6Znak">
    <w:name w:val="Nagłówek 6 Znak"/>
    <w:basedOn w:val="Domylnaczcionkaakapitu"/>
    <w:link w:val="Nagwek6"/>
    <w:uiPriority w:val="9"/>
    <w:semiHidden/>
    <w:locked/>
    <w:rPr>
      <w:b/>
      <w:bCs/>
      <w:i/>
      <w:iCs/>
      <w:color w:val="7F7F7F"/>
      <w:sz w:val="24"/>
      <w:szCs w:val="22"/>
    </w:rPr>
  </w:style>
  <w:style w:type="character" w:customStyle="1" w:styleId="Nagwek7Znak">
    <w:name w:val="Nagłówek 7 Znak"/>
    <w:basedOn w:val="Domylnaczcionkaakapitu"/>
    <w:link w:val="Nagwek7"/>
    <w:uiPriority w:val="99"/>
    <w:semiHidden/>
    <w:locked/>
    <w:rPr>
      <w:i/>
      <w:iCs/>
      <w:sz w:val="22"/>
      <w:szCs w:val="22"/>
    </w:rPr>
  </w:style>
  <w:style w:type="character" w:customStyle="1" w:styleId="Nagwek8Znak">
    <w:name w:val="Nagłówek 8 Znak"/>
    <w:basedOn w:val="Domylnaczcionkaakapitu"/>
    <w:link w:val="Nagwek8"/>
    <w:uiPriority w:val="99"/>
    <w:semiHidden/>
    <w:locked/>
  </w:style>
  <w:style w:type="character" w:customStyle="1" w:styleId="Nagwek9Znak">
    <w:name w:val="Nagłówek 9 Znak"/>
    <w:basedOn w:val="Domylnaczcionkaakapitu"/>
    <w:link w:val="Nagwek9"/>
    <w:uiPriority w:val="99"/>
    <w:semiHidden/>
    <w:locked/>
    <w:rPr>
      <w:i/>
      <w:iCs/>
      <w:spacing w:val="5"/>
    </w:rPr>
  </w:style>
  <w:style w:type="paragraph" w:customStyle="1" w:styleId="ECHRPara">
    <w:name w:val="ECHR_Para"/>
    <w:aliases w:val="Ju_Para"/>
    <w:basedOn w:val="Normalny"/>
    <w:link w:val="ECHRParaChar"/>
    <w:uiPriority w:val="12"/>
    <w:qFormat/>
    <w:pPr>
      <w:ind w:firstLine="284"/>
    </w:pPr>
  </w:style>
  <w:style w:type="character" w:customStyle="1" w:styleId="ECHRParaChar">
    <w:name w:val="ECHR_Para Char"/>
    <w:aliases w:val="Ju_Para Char"/>
    <w:link w:val="ECHRPara"/>
    <w:uiPriority w:val="12"/>
    <w:locked/>
    <w:rPr>
      <w:rFonts w:eastAsia="Times New Roman"/>
      <w:sz w:val="24"/>
      <w:lang w:val="pl-PL" w:eastAsia="pl-PL"/>
    </w:rPr>
  </w:style>
  <w:style w:type="paragraph" w:customStyle="1" w:styleId="ECHRHeading1">
    <w:name w:val="ECHR_Heading_1"/>
    <w:aliases w:val="Ju_H_I_Roman"/>
    <w:basedOn w:val="Nagwek1"/>
    <w:next w:val="ECHRPara"/>
    <w:uiPriority w:val="19"/>
    <w:qFormat/>
    <w:pPr>
      <w:keepNext/>
      <w:keepLines/>
      <w:tabs>
        <w:tab w:val="left" w:pos="357"/>
      </w:tabs>
      <w:spacing w:before="360" w:after="240"/>
      <w:ind w:left="357" w:hanging="357"/>
      <w:contextualSpacing w:val="0"/>
    </w:pPr>
    <w:rPr>
      <w:b w:val="0"/>
      <w:color w:val="000000"/>
      <w:sz w:val="24"/>
    </w:rPr>
  </w:style>
  <w:style w:type="paragraph" w:customStyle="1" w:styleId="ECHRTitle1">
    <w:name w:val="ECHR_Title_1"/>
    <w:aliases w:val="Ju_H_Head"/>
    <w:basedOn w:val="Normalny"/>
    <w:next w:val="ECHRPara"/>
    <w:uiPriority w:val="18"/>
    <w:qFormat/>
    <w:pPr>
      <w:keepNext/>
      <w:keepLines/>
      <w:spacing w:before="720" w:after="240"/>
      <w:outlineLvl w:val="0"/>
    </w:pPr>
    <w:rPr>
      <w:sz w:val="28"/>
    </w:rPr>
  </w:style>
  <w:style w:type="paragraph" w:styleId="Stopka">
    <w:name w:val="footer"/>
    <w:basedOn w:val="Normalny"/>
    <w:link w:val="StopkaZnak"/>
    <w:uiPriority w:val="99"/>
    <w:semiHidden/>
    <w:pPr>
      <w:tabs>
        <w:tab w:val="center" w:pos="4536"/>
        <w:tab w:val="right" w:pos="9696"/>
      </w:tabs>
      <w:ind w:left="-680" w:right="-680"/>
    </w:pPr>
  </w:style>
  <w:style w:type="character" w:customStyle="1" w:styleId="StopkaZnak">
    <w:name w:val="Stopka Znak"/>
    <w:basedOn w:val="Domylnaczcionkaakapitu"/>
    <w:link w:val="Stopka"/>
    <w:uiPriority w:val="57"/>
    <w:semiHidden/>
    <w:locked/>
    <w:rPr>
      <w:rFonts w:cs="Times New Roman"/>
      <w:sz w:val="24"/>
      <w:lang w:val="pl-PL" w:eastAsia="pl-PL"/>
    </w:rPr>
  </w:style>
  <w:style w:type="paragraph" w:customStyle="1" w:styleId="JuAppQuestion">
    <w:name w:val="Ju_App_Question"/>
    <w:basedOn w:val="Normalny"/>
    <w:uiPriority w:val="5"/>
    <w:pPr>
      <w:numPr>
        <w:numId w:val="21"/>
      </w:numPr>
      <w:jc w:val="left"/>
    </w:pPr>
    <w:rPr>
      <w:b/>
    </w:rPr>
  </w:style>
  <w:style w:type="paragraph" w:customStyle="1" w:styleId="ECHRHeading2">
    <w:name w:val="ECHR_Heading_2"/>
    <w:aliases w:val="Ju_H_A"/>
    <w:basedOn w:val="Nagwek2"/>
    <w:next w:val="ECHRPara"/>
    <w:uiPriority w:val="20"/>
    <w:qFormat/>
    <w:pPr>
      <w:keepNext/>
      <w:keepLines/>
      <w:tabs>
        <w:tab w:val="left" w:pos="584"/>
      </w:tabs>
      <w:spacing w:before="360" w:after="240"/>
      <w:ind w:left="584" w:hanging="352"/>
    </w:pPr>
    <w:rPr>
      <w:color w:val="000000"/>
      <w:sz w:val="24"/>
    </w:rPr>
  </w:style>
  <w:style w:type="paragraph" w:customStyle="1" w:styleId="ECHRParaQuote">
    <w:name w:val="ECHR_Para_Quote"/>
    <w:aliases w:val="Ju_Quot"/>
    <w:basedOn w:val="Normalny"/>
    <w:uiPriority w:val="14"/>
    <w:qFormat/>
    <w:pPr>
      <w:spacing w:before="120" w:after="120"/>
      <w:ind w:left="425" w:firstLine="142"/>
    </w:pPr>
    <w:rPr>
      <w:sz w:val="20"/>
    </w:rPr>
  </w:style>
  <w:style w:type="paragraph" w:customStyle="1" w:styleId="JuSigned">
    <w:name w:val="Ju_Signed"/>
    <w:basedOn w:val="Normalny"/>
    <w:next w:val="JuParaLast"/>
    <w:uiPriority w:val="32"/>
    <w:qFormat/>
    <w:pPr>
      <w:tabs>
        <w:tab w:val="center" w:pos="851"/>
        <w:tab w:val="center" w:pos="6407"/>
      </w:tabs>
      <w:spacing w:before="720"/>
      <w:jc w:val="left"/>
    </w:pPr>
  </w:style>
  <w:style w:type="paragraph" w:customStyle="1" w:styleId="JuParaLast">
    <w:name w:val="Ju_Para_Last"/>
    <w:basedOn w:val="Normalny"/>
    <w:next w:val="ECHRPara"/>
    <w:uiPriority w:val="30"/>
    <w:qFormat/>
    <w:pPr>
      <w:keepNext/>
      <w:keepLines/>
      <w:spacing w:before="240"/>
      <w:ind w:firstLine="284"/>
    </w:pPr>
  </w:style>
  <w:style w:type="paragraph" w:customStyle="1" w:styleId="JuCase">
    <w:name w:val="Ju_Case"/>
    <w:basedOn w:val="Normalny"/>
    <w:next w:val="ECHRPara"/>
    <w:uiPriority w:val="10"/>
    <w:pPr>
      <w:ind w:firstLine="284"/>
    </w:pPr>
    <w:rPr>
      <w:b/>
    </w:rPr>
  </w:style>
  <w:style w:type="paragraph" w:customStyle="1" w:styleId="JuList">
    <w:name w:val="Ju_List"/>
    <w:basedOn w:val="Normalny"/>
    <w:uiPriority w:val="28"/>
    <w:qFormat/>
    <w:pPr>
      <w:ind w:left="340" w:hanging="340"/>
    </w:pPr>
  </w:style>
  <w:style w:type="paragraph" w:customStyle="1" w:styleId="ECHRHeading3">
    <w:name w:val="ECHR_Heading_3"/>
    <w:aliases w:val="Ju_H_1."/>
    <w:basedOn w:val="Nagwek3"/>
    <w:next w:val="ECHRPara"/>
    <w:uiPriority w:val="21"/>
    <w:qFormat/>
    <w:pPr>
      <w:keepNext/>
      <w:keepLines/>
      <w:tabs>
        <w:tab w:val="left" w:pos="731"/>
      </w:tabs>
      <w:spacing w:before="240" w:after="120" w:line="240" w:lineRule="auto"/>
      <w:ind w:left="732" w:hanging="301"/>
    </w:pPr>
    <w:rPr>
      <w:b w:val="0"/>
      <w:i/>
      <w:color w:val="000000"/>
    </w:rPr>
  </w:style>
  <w:style w:type="paragraph" w:styleId="Tekstkomentarza">
    <w:name w:val="annotation text"/>
    <w:basedOn w:val="Normalny"/>
    <w:link w:val="TekstkomentarzaZnak"/>
    <w:uiPriority w:val="99"/>
    <w:semiHidden/>
    <w:rPr>
      <w:sz w:val="20"/>
    </w:rPr>
  </w:style>
  <w:style w:type="character" w:customStyle="1" w:styleId="TekstkomentarzaZnak">
    <w:name w:val="Tekst komentarza Znak"/>
    <w:basedOn w:val="Domylnaczcionkaakapitu"/>
    <w:link w:val="Tekstkomentarza"/>
    <w:uiPriority w:val="99"/>
    <w:semiHidden/>
    <w:locked/>
    <w:rPr>
      <w:rFonts w:eastAsia="Times New Roman" w:cs="Times New Roman"/>
      <w:sz w:val="20"/>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locked/>
    <w:rPr>
      <w:rFonts w:eastAsia="Times New Roman" w:cs="Times New Roman"/>
      <w:b/>
      <w:sz w:val="20"/>
      <w:lang w:val="pl-PL" w:eastAsia="pl-PL"/>
    </w:rPr>
  </w:style>
  <w:style w:type="paragraph" w:customStyle="1" w:styleId="OpiParaSub">
    <w:name w:val="Opi_Para_Sub"/>
    <w:basedOn w:val="JuParaSub"/>
    <w:uiPriority w:val="47"/>
    <w:qFormat/>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basedOn w:val="Domylnaczcionkaakapitu"/>
    <w:link w:val="Tekstprzypisudolnego"/>
    <w:uiPriority w:val="99"/>
    <w:semiHidden/>
    <w:locked/>
    <w:rPr>
      <w:rFonts w:eastAsia="Times New Roman" w:cs="Times New Roman"/>
      <w:sz w:val="20"/>
      <w:lang w:val="pl-PL" w:eastAsia="pl-PL"/>
    </w:rPr>
  </w:style>
  <w:style w:type="character" w:styleId="Odwoanieprzypisudolnego">
    <w:name w:val="footnote reference"/>
    <w:basedOn w:val="Domylnaczcionkaakapitu"/>
    <w:uiPriority w:val="99"/>
    <w:semiHidden/>
    <w:rPr>
      <w:rFonts w:cs="Times New Roman"/>
      <w:vertAlign w:val="superscript"/>
      <w:lang w:val="pl-PL" w:eastAsia="pl-PL"/>
    </w:rPr>
  </w:style>
  <w:style w:type="paragraph" w:styleId="Nagwek">
    <w:name w:val="header"/>
    <w:basedOn w:val="Normalny"/>
    <w:link w:val="NagwekZnak"/>
    <w:uiPriority w:val="99"/>
    <w:semiHidden/>
    <w:pPr>
      <w:tabs>
        <w:tab w:val="center" w:pos="4536"/>
        <w:tab w:val="right" w:pos="9072"/>
      </w:tabs>
    </w:pPr>
  </w:style>
  <w:style w:type="character" w:customStyle="1" w:styleId="NagwekZnak">
    <w:name w:val="Nagłówek Znak"/>
    <w:basedOn w:val="Domylnaczcionkaakapitu"/>
    <w:link w:val="Nagwek"/>
    <w:uiPriority w:val="57"/>
    <w:semiHidden/>
    <w:locked/>
    <w:rPr>
      <w:rFonts w:cs="Times New Roman"/>
      <w:sz w:val="24"/>
      <w:lang w:val="pl-PL" w:eastAsia="pl-PL"/>
    </w:rPr>
  </w:style>
  <w:style w:type="character" w:styleId="Numerstrony">
    <w:name w:val="page number"/>
    <w:basedOn w:val="Domylnaczcionkaakapitu"/>
    <w:uiPriority w:val="99"/>
    <w:semiHidden/>
    <w:rPr>
      <w:rFonts w:ascii="Times New Roman" w:hAnsi="Times New Roman" w:cs="Times New Roman"/>
      <w:sz w:val="18"/>
      <w:lang w:val="pl-PL" w:eastAsia="pl-PL"/>
    </w:rPr>
  </w:style>
  <w:style w:type="paragraph" w:customStyle="1" w:styleId="OpiQuot">
    <w:name w:val="Opi_Quot"/>
    <w:basedOn w:val="ECHRParaQuote"/>
    <w:uiPriority w:val="48"/>
    <w:qFormat/>
  </w:style>
  <w:style w:type="paragraph" w:customStyle="1" w:styleId="OpiQuotSub">
    <w:name w:val="Opi_Quot_Sub"/>
    <w:basedOn w:val="JuQuotSub"/>
    <w:uiPriority w:val="49"/>
    <w:qFormat/>
  </w:style>
  <w:style w:type="character" w:styleId="Odwoaniedokomentarza">
    <w:name w:val="annotation reference"/>
    <w:basedOn w:val="Domylnaczcionkaakapitu"/>
    <w:uiPriority w:val="99"/>
    <w:semiHidden/>
    <w:rPr>
      <w:rFonts w:cs="Times New Roman"/>
      <w:sz w:val="16"/>
      <w:lang w:val="pl-PL" w:eastAsia="pl-PL"/>
    </w:rPr>
  </w:style>
  <w:style w:type="paragraph" w:customStyle="1" w:styleId="JuInitialled">
    <w:name w:val="Ju_Initialled"/>
    <w:basedOn w:val="Normalny"/>
    <w:uiPriority w:val="31"/>
    <w:qFormat/>
    <w:pPr>
      <w:tabs>
        <w:tab w:val="center" w:pos="6407"/>
      </w:tabs>
      <w:spacing w:before="720"/>
      <w:jc w:val="right"/>
    </w:p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imes New Roman"/>
      <w:sz w:val="16"/>
      <w:lang w:val="pl-PL" w:eastAsia="pl-PL"/>
    </w:rPr>
  </w:style>
  <w:style w:type="character" w:styleId="Odwoanieprzypisukocowego">
    <w:name w:val="endnote reference"/>
    <w:basedOn w:val="Domylnaczcionkaakapitu"/>
    <w:uiPriority w:val="99"/>
    <w:semiHidden/>
    <w:rPr>
      <w:rFonts w:ascii="Times New Roman" w:hAnsi="Times New Roman" w:cs="Times New Roman"/>
      <w:vertAlign w:val="superscript"/>
      <w:lang w:val="pl-PL" w:eastAsia="pl-PL"/>
    </w:rPr>
  </w:style>
  <w:style w:type="paragraph" w:styleId="Tekstprzypisukocowego">
    <w:name w:val="endnote text"/>
    <w:basedOn w:val="Normalny"/>
    <w:link w:val="TekstprzypisukocowegoZnak"/>
    <w:uiPriority w:val="99"/>
    <w:semiHidden/>
    <w:rPr>
      <w:sz w:val="20"/>
    </w:rPr>
  </w:style>
  <w:style w:type="character" w:customStyle="1" w:styleId="TekstprzypisukocowegoZnak">
    <w:name w:val="Tekst przypisu końcowego Znak"/>
    <w:basedOn w:val="Domylnaczcionkaakapitu"/>
    <w:link w:val="Tekstprzypisukocowego"/>
    <w:uiPriority w:val="99"/>
    <w:semiHidden/>
    <w:locked/>
    <w:rPr>
      <w:rFonts w:eastAsia="Times New Roman" w:cs="Times New Roman"/>
      <w:sz w:val="20"/>
      <w:lang w:val="pl-PL" w:eastAsia="pl-PL"/>
    </w:rPr>
  </w:style>
  <w:style w:type="character" w:styleId="UyteHipercze">
    <w:name w:val="FollowedHyperlink"/>
    <w:basedOn w:val="Domylnaczcionkaakapitu"/>
    <w:uiPriority w:val="99"/>
    <w:semiHidden/>
    <w:rPr>
      <w:rFonts w:ascii="Times New Roman" w:hAnsi="Times New Roman" w:cs="Times New Roman"/>
      <w:color w:val="800080"/>
      <w:u w:val="single"/>
      <w:lang w:val="pl-PL" w:eastAsia="pl-PL"/>
    </w:rPr>
  </w:style>
  <w:style w:type="character" w:styleId="Hipercze">
    <w:name w:val="Hyperlink"/>
    <w:basedOn w:val="Domylnaczcionkaakapitu"/>
    <w:uiPriority w:val="99"/>
    <w:semiHidden/>
    <w:rPr>
      <w:rFonts w:cs="Times New Roman"/>
      <w:color w:val="0072BC"/>
      <w:u w:val="single"/>
      <w:lang w:val="pl-PL" w:eastAsia="pl-PL"/>
    </w:rPr>
  </w:style>
  <w:style w:type="character" w:styleId="Pogrubienie">
    <w:name w:val="Strong"/>
    <w:basedOn w:val="Domylnaczcionkaakapitu"/>
    <w:uiPriority w:val="99"/>
    <w:semiHidden/>
    <w:qFormat/>
    <w:rPr>
      <w:rFonts w:cs="Times New Roman"/>
      <w:b/>
      <w:lang w:val="pl-PL" w:eastAsia="pl-PL"/>
    </w:rPr>
  </w:style>
  <w:style w:type="paragraph" w:styleId="Mapadokumentu">
    <w:name w:val="Document Map"/>
    <w:basedOn w:val="Normalny"/>
    <w:link w:val="MapadokumentuZnak"/>
    <w:uiPriority w:val="99"/>
    <w:semiHidden/>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locked/>
    <w:rPr>
      <w:rFonts w:ascii="Segoe UI" w:hAnsi="Segoe UI" w:cs="Times New Roman"/>
      <w:sz w:val="16"/>
      <w:lang w:val="pl-PL" w:eastAsia="pl-PL"/>
    </w:rPr>
  </w:style>
  <w:style w:type="paragraph" w:styleId="Listapunktowana">
    <w:name w:val="List Bullet"/>
    <w:basedOn w:val="Normalny"/>
    <w:uiPriority w:val="99"/>
    <w:semiHidden/>
    <w:pPr>
      <w:numPr>
        <w:numId w:val="1"/>
      </w:numPr>
    </w:pPr>
  </w:style>
  <w:style w:type="character" w:styleId="Tytuksiki">
    <w:name w:val="Book Title"/>
    <w:basedOn w:val="Domylnaczcionkaakapitu"/>
    <w:uiPriority w:val="99"/>
    <w:semiHidden/>
    <w:qFormat/>
    <w:rPr>
      <w:rFonts w:cs="Times New Roman"/>
      <w:i/>
      <w:smallCaps/>
      <w:spacing w:val="5"/>
      <w:lang w:val="pl-PL" w:eastAsia="pl-PL"/>
    </w:rPr>
  </w:style>
  <w:style w:type="paragraph" w:styleId="Bezodstpw">
    <w:name w:val="No Spacing"/>
    <w:basedOn w:val="Normalny"/>
    <w:link w:val="BezodstpwZnak"/>
    <w:uiPriority w:val="1"/>
    <w:semiHidden/>
    <w:qFormat/>
    <w:rPr>
      <w:sz w:val="22"/>
    </w:rPr>
  </w:style>
  <w:style w:type="character" w:customStyle="1" w:styleId="BezodstpwZnak">
    <w:name w:val="Bez odstępów Znak"/>
    <w:link w:val="Bezodstpw"/>
    <w:semiHidden/>
    <w:locked/>
    <w:rPr>
      <w:rFonts w:eastAsia="Times New Roman"/>
      <w:lang w:val="pl-PL" w:eastAsia="pl-PL"/>
    </w:rPr>
  </w:style>
  <w:style w:type="paragraph" w:styleId="Tytu">
    <w:name w:val="Title"/>
    <w:basedOn w:val="Normalny"/>
    <w:next w:val="Normalny"/>
    <w:link w:val="TytuZnak"/>
    <w:uiPriority w:val="99"/>
    <w:semiHidden/>
    <w:qFormat/>
    <w:pPr>
      <w:pBdr>
        <w:bottom w:val="single" w:sz="4" w:space="1" w:color="auto"/>
      </w:pBdr>
      <w:contextualSpacing/>
    </w:pPr>
    <w:rPr>
      <w:spacing w:val="5"/>
      <w:sz w:val="52"/>
      <w:szCs w:val="52"/>
    </w:rPr>
  </w:style>
  <w:style w:type="character" w:customStyle="1" w:styleId="TytuZnak">
    <w:name w:val="Tytuł Znak"/>
    <w:basedOn w:val="Domylnaczcionkaakapitu"/>
    <w:link w:val="Tytu"/>
    <w:uiPriority w:val="99"/>
    <w:semiHidden/>
    <w:locked/>
    <w:rPr>
      <w:rFonts w:ascii="Times New Roman" w:hAnsi="Times New Roman" w:cs="Times New Roman"/>
      <w:spacing w:val="5"/>
      <w:sz w:val="52"/>
      <w:lang w:val="pl-PL" w:eastAsia="pl-PL"/>
    </w:rPr>
  </w:style>
  <w:style w:type="paragraph" w:styleId="Podtytu">
    <w:name w:val="Subtitle"/>
    <w:basedOn w:val="Normalny"/>
    <w:next w:val="Normalny"/>
    <w:link w:val="PodtytuZnak"/>
    <w:uiPriority w:val="99"/>
    <w:semiHidden/>
    <w:qFormat/>
    <w:pPr>
      <w:spacing w:after="600"/>
    </w:pPr>
    <w:rPr>
      <w:i/>
      <w:iCs/>
      <w:spacing w:val="13"/>
      <w:szCs w:val="24"/>
    </w:rPr>
  </w:style>
  <w:style w:type="character" w:customStyle="1" w:styleId="PodtytuZnak">
    <w:name w:val="Podtytuł Znak"/>
    <w:basedOn w:val="Domylnaczcionkaakapitu"/>
    <w:link w:val="Podtytu"/>
    <w:uiPriority w:val="99"/>
    <w:semiHidden/>
    <w:locked/>
    <w:rPr>
      <w:rFonts w:ascii="Times New Roman" w:hAnsi="Times New Roman" w:cs="Times New Roman"/>
      <w:i/>
      <w:spacing w:val="13"/>
      <w:sz w:val="24"/>
      <w:lang w:val="pl-PL" w:eastAsia="pl-PL"/>
    </w:rPr>
  </w:style>
  <w:style w:type="paragraph" w:customStyle="1" w:styleId="ECHRFooter">
    <w:name w:val="ECHR_Footer"/>
    <w:aliases w:val="Footer_ECHR"/>
    <w:basedOn w:val="Stopka"/>
    <w:uiPriority w:val="57"/>
    <w:semiHidden/>
    <w:pPr>
      <w:jc w:val="left"/>
    </w:pPr>
    <w:rPr>
      <w:sz w:val="8"/>
    </w:rPr>
  </w:style>
  <w:style w:type="paragraph" w:customStyle="1" w:styleId="ECHRFooterLine">
    <w:name w:val="ECHR_Footer_Line"/>
    <w:aliases w:val="Footer_Line"/>
    <w:basedOn w:val="Normalny"/>
    <w:next w:val="ECHRFooter"/>
    <w:uiPriority w:val="57"/>
    <w:semiHidden/>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Nagwek"/>
    <w:uiPriority w:val="4"/>
    <w:qFormat/>
    <w:pPr>
      <w:tabs>
        <w:tab w:val="clear" w:pos="4536"/>
        <w:tab w:val="clear" w:pos="9072"/>
        <w:tab w:val="center" w:pos="3686"/>
        <w:tab w:val="right" w:pos="7371"/>
      </w:tabs>
      <w:jc w:val="left"/>
    </w:pPr>
    <w:rPr>
      <w:sz w:val="18"/>
    </w:rPr>
  </w:style>
  <w:style w:type="character" w:styleId="Wyrnieniedelikatne">
    <w:name w:val="Subtle Emphasis"/>
    <w:basedOn w:val="Domylnaczcionkaakapitu"/>
    <w:uiPriority w:val="99"/>
    <w:semiHidden/>
    <w:qFormat/>
    <w:rPr>
      <w:rFonts w:cs="Times New Roman"/>
      <w:i/>
      <w:lang w:val="pl-PL" w:eastAsia="pl-PL"/>
    </w:rPr>
  </w:style>
  <w:style w:type="character" w:styleId="Uwydatnienie">
    <w:name w:val="Emphasis"/>
    <w:basedOn w:val="Domylnaczcionkaakapitu"/>
    <w:uiPriority w:val="99"/>
    <w:semiHidden/>
    <w:qFormat/>
    <w:rPr>
      <w:rFonts w:cs="Times New Roman"/>
      <w:b/>
      <w:i/>
      <w:spacing w:val="10"/>
      <w:lang w:val="pl-PL" w:eastAsia="pl-PL"/>
    </w:rPr>
  </w:style>
  <w:style w:type="character" w:styleId="Wyrnienieintensywne">
    <w:name w:val="Intense Emphasis"/>
    <w:basedOn w:val="Domylnaczcionkaakapitu"/>
    <w:uiPriority w:val="99"/>
    <w:semiHidden/>
    <w:qFormat/>
    <w:rPr>
      <w:rFonts w:cs="Times New Roman"/>
      <w:b/>
      <w:lang w:val="pl-PL" w:eastAsia="pl-PL"/>
    </w:rPr>
  </w:style>
  <w:style w:type="paragraph" w:styleId="Cytatintensywny">
    <w:name w:val="Intense Quote"/>
    <w:basedOn w:val="Normalny"/>
    <w:next w:val="Normalny"/>
    <w:link w:val="CytatintensywnyZnak"/>
    <w:uiPriority w:val="99"/>
    <w:semiHidden/>
    <w:qFormat/>
    <w:pPr>
      <w:pBdr>
        <w:bottom w:val="single" w:sz="4" w:space="1" w:color="auto"/>
      </w:pBdr>
      <w:spacing w:before="200" w:after="280"/>
      <w:ind w:left="1008" w:right="1152"/>
    </w:pPr>
    <w:rPr>
      <w:b/>
      <w:bCs/>
      <w:i/>
      <w:iCs/>
      <w:sz w:val="22"/>
    </w:rPr>
  </w:style>
  <w:style w:type="character" w:customStyle="1" w:styleId="CytatintensywnyZnak">
    <w:name w:val="Cytat intensywny Znak"/>
    <w:basedOn w:val="Domylnaczcionkaakapitu"/>
    <w:link w:val="Cytatintensywny"/>
    <w:uiPriority w:val="99"/>
    <w:semiHidden/>
    <w:locked/>
    <w:rPr>
      <w:rFonts w:eastAsia="Times New Roman" w:cs="Times New Roman"/>
      <w:b/>
      <w:i/>
      <w:lang w:val="pl-PL" w:eastAsia="pl-PL"/>
    </w:rPr>
  </w:style>
  <w:style w:type="character" w:styleId="Odwoanieintensywne">
    <w:name w:val="Intense Reference"/>
    <w:basedOn w:val="Domylnaczcionkaakapitu"/>
    <w:uiPriority w:val="99"/>
    <w:semiHidden/>
    <w:qFormat/>
    <w:rPr>
      <w:rFonts w:cs="Times New Roman"/>
      <w:smallCaps/>
      <w:spacing w:val="5"/>
      <w:u w:val="single"/>
      <w:lang w:val="pl-PL" w:eastAsia="pl-PL"/>
    </w:rPr>
  </w:style>
  <w:style w:type="paragraph" w:customStyle="1" w:styleId="JuTitle">
    <w:name w:val="Ju_Title"/>
    <w:basedOn w:val="Normalny"/>
    <w:next w:val="ECHRPara"/>
    <w:uiPriority w:val="3"/>
    <w:pPr>
      <w:spacing w:before="720" w:after="240"/>
      <w:jc w:val="center"/>
      <w:outlineLvl w:val="0"/>
    </w:pPr>
    <w:rPr>
      <w:b/>
      <w:caps/>
    </w:rPr>
  </w:style>
  <w:style w:type="paragraph" w:customStyle="1" w:styleId="OpiPara">
    <w:name w:val="Opi_Para"/>
    <w:basedOn w:val="ECHRPara"/>
    <w:uiPriority w:val="46"/>
    <w:qFormat/>
  </w:style>
  <w:style w:type="paragraph" w:customStyle="1" w:styleId="JuParaSub">
    <w:name w:val="Ju_Para_Sub"/>
    <w:basedOn w:val="ECHRPara"/>
    <w:uiPriority w:val="13"/>
    <w:qFormat/>
    <w:pPr>
      <w:ind w:left="284"/>
    </w:pPr>
  </w:style>
  <w:style w:type="character" w:customStyle="1" w:styleId="JUNAMES">
    <w:name w:val="JU_NAMES"/>
    <w:uiPriority w:val="17"/>
    <w:qFormat/>
    <w:rPr>
      <w:smallCaps/>
      <w:lang w:val="pl-PL" w:eastAsia="pl-PL"/>
    </w:rPr>
  </w:style>
  <w:style w:type="character" w:customStyle="1" w:styleId="JuITMark">
    <w:name w:val="Ju_ITMark"/>
    <w:uiPriority w:val="38"/>
    <w:qFormat/>
    <w:rPr>
      <w:color w:val="000000"/>
      <w:sz w:val="14"/>
      <w:lang w:val="pl-PL" w:eastAsia="pl-PL"/>
    </w:rPr>
  </w:style>
  <w:style w:type="paragraph" w:customStyle="1" w:styleId="OpiTranslation">
    <w:name w:val="Opi_Translation"/>
    <w:basedOn w:val="Normalny"/>
    <w:next w:val="OpiPara"/>
    <w:uiPriority w:val="40"/>
    <w:qFormat/>
    <w:pPr>
      <w:jc w:val="center"/>
      <w:outlineLvl w:val="0"/>
    </w:pPr>
    <w:rPr>
      <w:i/>
    </w:rPr>
  </w:style>
  <w:style w:type="paragraph" w:styleId="Akapitzlist">
    <w:name w:val="List Paragraph"/>
    <w:basedOn w:val="Normalny"/>
    <w:uiPriority w:val="34"/>
    <w:qFormat/>
    <w:pPr>
      <w:ind w:left="720"/>
      <w:contextualSpacing/>
    </w:pPr>
  </w:style>
  <w:style w:type="paragraph" w:styleId="Cytat">
    <w:name w:val="Quote"/>
    <w:basedOn w:val="Normalny"/>
    <w:next w:val="Normalny"/>
    <w:link w:val="CytatZnak"/>
    <w:uiPriority w:val="99"/>
    <w:semiHidden/>
    <w:qFormat/>
    <w:pPr>
      <w:spacing w:before="200"/>
      <w:ind w:left="360" w:right="360"/>
    </w:pPr>
    <w:rPr>
      <w:i/>
      <w:iCs/>
      <w:sz w:val="22"/>
    </w:rPr>
  </w:style>
  <w:style w:type="character" w:customStyle="1" w:styleId="CytatZnak">
    <w:name w:val="Cytat Znak"/>
    <w:basedOn w:val="Domylnaczcionkaakapitu"/>
    <w:link w:val="Cytat"/>
    <w:uiPriority w:val="99"/>
    <w:semiHidden/>
    <w:locked/>
    <w:rPr>
      <w:rFonts w:eastAsia="Times New Roman" w:cs="Times New Roman"/>
      <w:i/>
      <w:lang w:val="pl-PL" w:eastAsia="pl-PL"/>
    </w:rPr>
  </w:style>
  <w:style w:type="character" w:styleId="Odwoaniedelikatne">
    <w:name w:val="Subtle Reference"/>
    <w:basedOn w:val="Domylnaczcionkaakapitu"/>
    <w:uiPriority w:val="99"/>
    <w:semiHidden/>
    <w:qFormat/>
    <w:rPr>
      <w:rFonts w:cs="Times New Roman"/>
      <w:smallCaps/>
      <w:lang w:val="pl-PL" w:eastAsia="pl-PL"/>
    </w:rPr>
  </w:style>
  <w:style w:type="table" w:styleId="Tabela-Siatka">
    <w:name w:val="Table Grid"/>
    <w:basedOn w:val="Standardowy"/>
    <w:uiPriority w:val="59"/>
    <w:semiHidden/>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pPr>
      <w:spacing w:before="120" w:after="60"/>
      <w:ind w:left="340" w:right="340" w:hanging="340"/>
    </w:pPr>
    <w:rPr>
      <w:color w:val="0D0D0D"/>
    </w:rPr>
  </w:style>
  <w:style w:type="paragraph" w:styleId="Spistreci2">
    <w:name w:val="toc 2"/>
    <w:basedOn w:val="Normalny"/>
    <w:next w:val="Normalny"/>
    <w:autoRedefine/>
    <w:uiPriority w:val="99"/>
    <w:semiHidden/>
    <w:pPr>
      <w:spacing w:after="60"/>
      <w:ind w:left="680" w:right="340" w:hanging="340"/>
    </w:pPr>
  </w:style>
  <w:style w:type="paragraph" w:styleId="Spistreci3">
    <w:name w:val="toc 3"/>
    <w:basedOn w:val="Normalny"/>
    <w:next w:val="Normalny"/>
    <w:autoRedefine/>
    <w:uiPriority w:val="99"/>
    <w:semiHidden/>
    <w:pPr>
      <w:spacing w:after="60"/>
      <w:ind w:left="1020" w:right="340" w:hanging="340"/>
    </w:pPr>
  </w:style>
  <w:style w:type="paragraph" w:styleId="Spistreci4">
    <w:name w:val="toc 4"/>
    <w:basedOn w:val="Normalny"/>
    <w:next w:val="Normalny"/>
    <w:autoRedefine/>
    <w:uiPriority w:val="99"/>
    <w:semiHidden/>
    <w:pPr>
      <w:tabs>
        <w:tab w:val="right" w:leader="dot" w:pos="9017"/>
      </w:tabs>
      <w:spacing w:after="60"/>
      <w:ind w:left="1361" w:right="340" w:hanging="340"/>
    </w:pPr>
  </w:style>
  <w:style w:type="paragraph" w:styleId="Spistreci5">
    <w:name w:val="toc 5"/>
    <w:basedOn w:val="Normalny"/>
    <w:next w:val="Normalny"/>
    <w:autoRedefine/>
    <w:uiPriority w:val="99"/>
    <w:semiHidden/>
    <w:pPr>
      <w:spacing w:after="60"/>
      <w:ind w:left="1701" w:right="340" w:hanging="340"/>
    </w:pPr>
  </w:style>
  <w:style w:type="paragraph" w:styleId="Nagwekspisutreci">
    <w:name w:val="TOC Heading"/>
    <w:basedOn w:val="Nagwek1"/>
    <w:next w:val="Normalny"/>
    <w:uiPriority w:val="99"/>
    <w:semiHidden/>
    <w:qFormat/>
    <w:pPr>
      <w:outlineLvl w:val="9"/>
    </w:pPr>
    <w:rPr>
      <w:color w:val="474747"/>
    </w:rPr>
  </w:style>
  <w:style w:type="paragraph" w:customStyle="1" w:styleId="ECHRTitleCentre3">
    <w:name w:val="ECHR_Title_Centre_3"/>
    <w:aliases w:val="Ju_H_Article"/>
    <w:basedOn w:val="Normalny"/>
    <w:next w:val="ECHRParaQuote"/>
    <w:uiPriority w:val="27"/>
    <w:qFormat/>
    <w:pPr>
      <w:keepNext/>
      <w:keepLines/>
      <w:spacing w:before="240" w:after="120"/>
      <w:jc w:val="center"/>
      <w:outlineLvl w:val="3"/>
    </w:pPr>
    <w:rPr>
      <w:b/>
      <w:sz w:val="20"/>
    </w:rPr>
  </w:style>
  <w:style w:type="paragraph" w:customStyle="1" w:styleId="ECHRTitleCentre2">
    <w:name w:val="ECHR_Title_Centre_2"/>
    <w:aliases w:val="Dec_H_Case"/>
    <w:basedOn w:val="Normalny"/>
    <w:next w:val="ECHRPara"/>
    <w:uiPriority w:val="8"/>
    <w:pPr>
      <w:spacing w:after="240"/>
      <w:jc w:val="center"/>
      <w:outlineLvl w:val="0"/>
    </w:pPr>
  </w:style>
  <w:style w:type="paragraph" w:customStyle="1" w:styleId="DecHTitle">
    <w:name w:val="Dec_H_Title"/>
    <w:basedOn w:val="ECHRTitleCentre1"/>
    <w:uiPriority w:val="7"/>
  </w:style>
  <w:style w:type="paragraph" w:customStyle="1" w:styleId="ECHRTitleCentre1">
    <w:name w:val="ECHR_Title_Centre_1"/>
    <w:aliases w:val="Opi_H_Head"/>
    <w:basedOn w:val="Normalny"/>
    <w:next w:val="OpiPara"/>
    <w:uiPriority w:val="39"/>
    <w:qFormat/>
    <w:pPr>
      <w:keepNext/>
      <w:keepLines/>
      <w:spacing w:after="240"/>
      <w:jc w:val="center"/>
      <w:outlineLvl w:val="0"/>
    </w:pPr>
    <w:rPr>
      <w:sz w:val="28"/>
    </w:rPr>
  </w:style>
  <w:style w:type="paragraph" w:customStyle="1" w:styleId="JuQuotSub">
    <w:name w:val="Ju_Quot_Sub"/>
    <w:basedOn w:val="ECHRParaQuote"/>
    <w:uiPriority w:val="15"/>
    <w:qFormat/>
    <w:pPr>
      <w:ind w:left="567"/>
    </w:pPr>
  </w:style>
  <w:style w:type="paragraph" w:customStyle="1" w:styleId="OpiHA">
    <w:name w:val="Opi_H_A"/>
    <w:basedOn w:val="ECHRHeading1"/>
    <w:next w:val="OpiPara"/>
    <w:uiPriority w:val="41"/>
    <w:qFormat/>
    <w:pPr>
      <w:tabs>
        <w:tab w:val="clear" w:pos="357"/>
      </w:tabs>
      <w:outlineLvl w:val="1"/>
    </w:pPr>
    <w:rPr>
      <w:b/>
    </w:rPr>
  </w:style>
  <w:style w:type="paragraph" w:customStyle="1" w:styleId="JuCourt">
    <w:name w:val="Ju_Court"/>
    <w:basedOn w:val="Normalny"/>
    <w:next w:val="Normalny"/>
    <w:uiPriority w:val="16"/>
    <w:qFormat/>
    <w:pPr>
      <w:tabs>
        <w:tab w:val="left" w:pos="907"/>
        <w:tab w:val="left" w:pos="1701"/>
        <w:tab w:val="right" w:pos="7371"/>
      </w:tabs>
      <w:spacing w:before="240"/>
      <w:ind w:left="397" w:hanging="397"/>
      <w:jc w:val="left"/>
    </w:pPr>
  </w:style>
  <w:style w:type="paragraph" w:customStyle="1" w:styleId="DecList">
    <w:name w:val="Dec_List"/>
    <w:basedOn w:val="Normalny"/>
    <w:uiPriority w:val="9"/>
    <w:pPr>
      <w:spacing w:before="240"/>
      <w:ind w:left="284"/>
    </w:pPr>
  </w:style>
  <w:style w:type="paragraph" w:customStyle="1" w:styleId="JuLista">
    <w:name w:val="Ju_List_a"/>
    <w:basedOn w:val="JuList"/>
    <w:uiPriority w:val="28"/>
    <w:qFormat/>
    <w:pPr>
      <w:ind w:left="346" w:firstLine="0"/>
    </w:pPr>
  </w:style>
  <w:style w:type="paragraph" w:customStyle="1" w:styleId="JuListi">
    <w:name w:val="Ju_List_i"/>
    <w:basedOn w:val="Normalny"/>
    <w:next w:val="JuLista"/>
    <w:uiPriority w:val="28"/>
    <w:qFormat/>
    <w:pPr>
      <w:ind w:left="794"/>
    </w:pPr>
  </w:style>
  <w:style w:type="paragraph" w:styleId="Nagwekwykazurde">
    <w:name w:val="toa heading"/>
    <w:basedOn w:val="Normalny"/>
    <w:next w:val="Normalny"/>
    <w:uiPriority w:val="99"/>
    <w:semiHidden/>
    <w:pPr>
      <w:spacing w:before="120"/>
    </w:pPr>
    <w:rPr>
      <w:b/>
      <w:bCs/>
      <w:color w:val="474747"/>
      <w:szCs w:val="24"/>
    </w:rPr>
  </w:style>
  <w:style w:type="paragraph" w:customStyle="1" w:styleId="ECHRHeading4">
    <w:name w:val="ECHR_Heading_4"/>
    <w:aliases w:val="Ju_H_a"/>
    <w:basedOn w:val="Nagwek4"/>
    <w:next w:val="ECHRPara"/>
    <w:uiPriority w:val="22"/>
    <w:qFormat/>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Nagwek5"/>
    <w:next w:val="ECHRPara"/>
    <w:uiPriority w:val="23"/>
    <w:qFormat/>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Nagwek6"/>
    <w:next w:val="ECHRPara"/>
    <w:uiPriority w:val="24"/>
    <w:qFormat/>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Nagwek7"/>
    <w:next w:val="ECHRPara"/>
    <w:uiPriority w:val="25"/>
    <w:qFormat/>
    <w:pPr>
      <w:keepNext/>
      <w:keepLines/>
      <w:spacing w:before="240" w:after="120"/>
      <w:ind w:left="1236"/>
    </w:pPr>
    <w:rPr>
      <w:sz w:val="20"/>
    </w:rPr>
  </w:style>
  <w:style w:type="paragraph" w:customStyle="1" w:styleId="OpiH1">
    <w:name w:val="Opi_H_1"/>
    <w:basedOn w:val="ECHRHeading2"/>
    <w:uiPriority w:val="42"/>
    <w:qFormat/>
    <w:pPr>
      <w:ind w:left="635" w:hanging="357"/>
      <w:outlineLvl w:val="2"/>
    </w:pPr>
  </w:style>
  <w:style w:type="paragraph" w:customStyle="1" w:styleId="ECHRDecisionBody">
    <w:name w:val="ECHR_Decision_Body"/>
    <w:aliases w:val="Ju_Judges"/>
    <w:basedOn w:val="Normalny"/>
    <w:uiPriority w:val="11"/>
    <w:qFormat/>
    <w:pPr>
      <w:tabs>
        <w:tab w:val="left" w:pos="567"/>
        <w:tab w:val="left" w:pos="1134"/>
      </w:tabs>
      <w:jc w:val="left"/>
    </w:pPr>
  </w:style>
  <w:style w:type="paragraph" w:customStyle="1" w:styleId="OpiHa0">
    <w:name w:val="Opi_H_a"/>
    <w:basedOn w:val="ECHRHeading3"/>
    <w:uiPriority w:val="43"/>
    <w:qFormat/>
    <w:pPr>
      <w:ind w:left="833" w:hanging="357"/>
      <w:outlineLvl w:val="3"/>
    </w:pPr>
    <w:rPr>
      <w:b/>
      <w:i w:val="0"/>
      <w:sz w:val="20"/>
    </w:rPr>
  </w:style>
  <w:style w:type="paragraph" w:customStyle="1" w:styleId="OpiHi">
    <w:name w:val="Opi_H_i"/>
    <w:basedOn w:val="ECHRHeading4"/>
    <w:uiPriority w:val="44"/>
    <w:qFormat/>
    <w:pPr>
      <w:ind w:left="1037" w:hanging="357"/>
      <w:outlineLvl w:val="4"/>
    </w:pPr>
    <w:rPr>
      <w:b w:val="0"/>
      <w:i/>
    </w:rPr>
  </w:style>
  <w:style w:type="table" w:customStyle="1" w:styleId="ECHRListTable">
    <w:name w:val="ECHR_List_Table"/>
    <w:basedOn w:val="Standardowy"/>
    <w:uiPriority w:val="99"/>
    <w:rPr>
      <w:lang w:val="en-US" w:eastAsia="en-US"/>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cs="Times New Roman"/>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fia">
    <w:name w:val="Bibliography"/>
    <w:basedOn w:val="Normalny"/>
    <w:next w:val="Normalny"/>
    <w:uiPriority w:val="99"/>
    <w:semiHidden/>
    <w:unhideWhenUsed/>
  </w:style>
  <w:style w:type="paragraph" w:styleId="Tekstblokowy">
    <w:name w:val="Block Text"/>
    <w:basedOn w:val="Normalny"/>
    <w:uiPriority w:val="99"/>
    <w:semiHidden/>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Tekstpodstawowy">
    <w:name w:val="Body Text"/>
    <w:basedOn w:val="Normalny"/>
    <w:link w:val="TekstpodstawowyZnak"/>
    <w:uiPriority w:val="99"/>
    <w:semiHidden/>
    <w:pPr>
      <w:spacing w:after="120"/>
    </w:pPr>
  </w:style>
  <w:style w:type="character" w:customStyle="1" w:styleId="TekstpodstawowyZnak">
    <w:name w:val="Tekst podstawowy Znak"/>
    <w:basedOn w:val="Domylnaczcionkaakapitu"/>
    <w:link w:val="Tekstpodstawowy"/>
    <w:uiPriority w:val="99"/>
    <w:locked/>
    <w:rPr>
      <w:rFonts w:eastAsia="Times New Roman" w:cs="Times New Roman"/>
      <w:sz w:val="24"/>
      <w:lang w:val="pl-PL" w:eastAsia="pl-PL"/>
    </w:rPr>
  </w:style>
  <w:style w:type="paragraph" w:styleId="Tekstpodstawowy2">
    <w:name w:val="Body Text 2"/>
    <w:basedOn w:val="Normalny"/>
    <w:link w:val="Tekstpodstawowy2Znak"/>
    <w:uiPriority w:val="99"/>
    <w:semiHidden/>
    <w:pPr>
      <w:spacing w:after="120" w:line="480" w:lineRule="auto"/>
    </w:pPr>
  </w:style>
  <w:style w:type="character" w:customStyle="1" w:styleId="Tekstpodstawowy2Znak">
    <w:name w:val="Tekst podstawowy 2 Znak"/>
    <w:basedOn w:val="Domylnaczcionkaakapitu"/>
    <w:link w:val="Tekstpodstawowy2"/>
    <w:uiPriority w:val="99"/>
    <w:locked/>
    <w:rPr>
      <w:rFonts w:eastAsia="Times New Roman" w:cs="Times New Roman"/>
      <w:sz w:val="24"/>
      <w:lang w:val="pl-PL" w:eastAsia="pl-PL"/>
    </w:rPr>
  </w:style>
  <w:style w:type="paragraph" w:styleId="Tekstpodstawowy3">
    <w:name w:val="Body Text 3"/>
    <w:basedOn w:val="Normalny"/>
    <w:link w:val="Tekstpodstawowy3Znak"/>
    <w:uiPriority w:val="99"/>
    <w:semiHidden/>
    <w:pPr>
      <w:spacing w:after="120"/>
    </w:pPr>
    <w:rPr>
      <w:sz w:val="16"/>
      <w:szCs w:val="16"/>
    </w:rPr>
  </w:style>
  <w:style w:type="character" w:customStyle="1" w:styleId="Tekstpodstawowy3Znak">
    <w:name w:val="Tekst podstawowy 3 Znak"/>
    <w:basedOn w:val="Domylnaczcionkaakapitu"/>
    <w:link w:val="Tekstpodstawowy3"/>
    <w:uiPriority w:val="99"/>
    <w:locked/>
    <w:rPr>
      <w:rFonts w:eastAsia="Times New Roman" w:cs="Times New Roman"/>
      <w:sz w:val="16"/>
      <w:lang w:val="pl-PL" w:eastAsia="pl-PL"/>
    </w:rPr>
  </w:style>
  <w:style w:type="paragraph" w:styleId="Tekstpodstawowyzwciciem">
    <w:name w:val="Body Text First Indent"/>
    <w:basedOn w:val="Tekstpodstawowy"/>
    <w:link w:val="TekstpodstawowyzwciciemZnak"/>
    <w:uiPriority w:val="99"/>
    <w:semiHidden/>
    <w:pPr>
      <w:spacing w:after="0"/>
      <w:ind w:firstLine="360"/>
    </w:pPr>
  </w:style>
  <w:style w:type="character" w:customStyle="1" w:styleId="TekstpodstawowyzwciciemZnak">
    <w:name w:val="Tekst podstawowy z wcięciem Znak"/>
    <w:basedOn w:val="TekstpodstawowyZnak"/>
    <w:link w:val="Tekstpodstawowyzwciciem"/>
    <w:uiPriority w:val="99"/>
    <w:locked/>
    <w:rPr>
      <w:rFonts w:eastAsia="Times New Roman" w:cs="Times New Roman"/>
      <w:sz w:val="24"/>
      <w:lang w:val="pl-PL" w:eastAsia="pl-PL"/>
    </w:rPr>
  </w:style>
  <w:style w:type="paragraph" w:styleId="Tekstpodstawowywcity">
    <w:name w:val="Body Text Indent"/>
    <w:basedOn w:val="Normalny"/>
    <w:link w:val="TekstpodstawowywcityZnak"/>
    <w:uiPriority w:val="99"/>
    <w:semiHidden/>
    <w:pPr>
      <w:spacing w:after="120"/>
      <w:ind w:left="283"/>
    </w:pPr>
  </w:style>
  <w:style w:type="character" w:customStyle="1" w:styleId="TekstpodstawowywcityZnak">
    <w:name w:val="Tekst podstawowy wcięty Znak"/>
    <w:basedOn w:val="Domylnaczcionkaakapitu"/>
    <w:link w:val="Tekstpodstawowywcity"/>
    <w:uiPriority w:val="99"/>
    <w:locked/>
    <w:rPr>
      <w:rFonts w:eastAsia="Times New Roman" w:cs="Times New Roman"/>
      <w:sz w:val="24"/>
      <w:lang w:val="pl-PL" w:eastAsia="pl-PL"/>
    </w:rPr>
  </w:style>
  <w:style w:type="paragraph" w:styleId="Tekstpodstawowyzwciciem2">
    <w:name w:val="Body Text First Indent 2"/>
    <w:basedOn w:val="Tekstpodstawowywcity"/>
    <w:link w:val="Tekstpodstawowyzwciciem2Znak"/>
    <w:uiPriority w:val="99"/>
    <w:semiHidden/>
    <w:pPr>
      <w:spacing w:after="0"/>
      <w:ind w:left="360" w:firstLine="360"/>
    </w:pPr>
  </w:style>
  <w:style w:type="character" w:customStyle="1" w:styleId="Tekstpodstawowyzwciciem2Znak">
    <w:name w:val="Tekst podstawowy z wcięciem 2 Znak"/>
    <w:basedOn w:val="TekstpodstawowywcityZnak"/>
    <w:link w:val="Tekstpodstawowyzwciciem2"/>
    <w:uiPriority w:val="99"/>
    <w:locked/>
    <w:rPr>
      <w:rFonts w:eastAsia="Times New Roman" w:cs="Times New Roman"/>
      <w:sz w:val="24"/>
      <w:lang w:val="pl-PL" w:eastAsia="pl-PL"/>
    </w:rPr>
  </w:style>
  <w:style w:type="paragraph" w:styleId="Tekstpodstawowywcity2">
    <w:name w:val="Body Text Indent 2"/>
    <w:basedOn w:val="Normalny"/>
    <w:link w:val="Tekstpodstawowywcity2Znak"/>
    <w:uiPriority w:val="99"/>
    <w:semiHidden/>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Pr>
      <w:rFonts w:eastAsia="Times New Roman" w:cs="Times New Roman"/>
      <w:sz w:val="24"/>
      <w:lang w:val="pl-PL" w:eastAsia="pl-PL"/>
    </w:rPr>
  </w:style>
  <w:style w:type="paragraph" w:styleId="Tekstpodstawowywcity3">
    <w:name w:val="Body Text Indent 3"/>
    <w:basedOn w:val="Normalny"/>
    <w:link w:val="Tekstpodstawowywcity3Znak"/>
    <w:uiPriority w:val="99"/>
    <w:semiHidden/>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Pr>
      <w:rFonts w:eastAsia="Times New Roman" w:cs="Times New Roman"/>
      <w:sz w:val="16"/>
      <w:lang w:val="pl-PL" w:eastAsia="pl-PL"/>
    </w:rPr>
  </w:style>
  <w:style w:type="paragraph" w:styleId="Legenda">
    <w:name w:val="caption"/>
    <w:basedOn w:val="Normalny"/>
    <w:next w:val="Normalny"/>
    <w:uiPriority w:val="99"/>
    <w:semiHidden/>
    <w:qFormat/>
    <w:pPr>
      <w:spacing w:after="200"/>
    </w:pPr>
    <w:rPr>
      <w:b/>
      <w:bCs/>
      <w:color w:val="0072BC"/>
      <w:sz w:val="18"/>
      <w:szCs w:val="18"/>
    </w:rPr>
  </w:style>
  <w:style w:type="paragraph" w:styleId="Zwrotpoegnalny">
    <w:name w:val="Closing"/>
    <w:basedOn w:val="Normalny"/>
    <w:link w:val="ZwrotpoegnalnyZnak"/>
    <w:uiPriority w:val="99"/>
    <w:semiHidden/>
    <w:pPr>
      <w:ind w:left="4252"/>
    </w:pPr>
  </w:style>
  <w:style w:type="character" w:customStyle="1" w:styleId="ZwrotpoegnalnyZnak">
    <w:name w:val="Zwrot pożegnalny Znak"/>
    <w:basedOn w:val="Domylnaczcionkaakapitu"/>
    <w:link w:val="Zwrotpoegnalny"/>
    <w:uiPriority w:val="99"/>
    <w:locked/>
    <w:rPr>
      <w:rFonts w:eastAsia="Times New Roman" w:cs="Times New Roman"/>
      <w:sz w:val="24"/>
      <w:lang w:val="pl-PL" w:eastAsia="pl-PL"/>
    </w:rPr>
  </w:style>
  <w:style w:type="table" w:styleId="Kolorowasiatka">
    <w:name w:val="Colorful Grid"/>
    <w:basedOn w:val="Standardowy"/>
    <w:uiPriority w:val="99"/>
    <w:semiHidden/>
    <w:rPr>
      <w:color w:val="000000"/>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Kolorowasiatkaakcent1">
    <w:name w:val="Colorful Grid Accent 1"/>
    <w:basedOn w:val="Standardowy"/>
    <w:uiPriority w:val="99"/>
    <w:semiHidden/>
    <w:rPr>
      <w:color w:val="000000"/>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Kolorowasiatkaakcent2">
    <w:name w:val="Colorful Grid Accent 2"/>
    <w:basedOn w:val="Standardowy"/>
    <w:uiPriority w:val="99"/>
    <w:semiHidden/>
    <w:rPr>
      <w:color w:val="000000"/>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Kolorowasiatkaakcent3">
    <w:name w:val="Colorful Grid Accent 3"/>
    <w:basedOn w:val="Standardowy"/>
    <w:uiPriority w:val="99"/>
    <w:semiHidden/>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Kolorowasiatkaakcent4">
    <w:name w:val="Colorful Grid Accent 4"/>
    <w:basedOn w:val="Standardowy"/>
    <w:uiPriority w:val="99"/>
    <w:semiHidden/>
    <w:rPr>
      <w:color w:val="000000"/>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Kolorowasiatkaakcent5">
    <w:name w:val="Colorful Grid Accent 5"/>
    <w:basedOn w:val="Standardowy"/>
    <w:uiPriority w:val="99"/>
    <w:semiHidden/>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Kolorowasiatkaakcent6">
    <w:name w:val="Colorful Grid Accent 6"/>
    <w:basedOn w:val="Standardowy"/>
    <w:uiPriority w:val="99"/>
    <w:semiHidden/>
    <w:rPr>
      <w:color w:val="000000"/>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Kolorowalista">
    <w:name w:val="Colorful List"/>
    <w:basedOn w:val="Standardowy"/>
    <w:uiPriority w:val="99"/>
    <w:semiHidden/>
    <w:rPr>
      <w:color w:val="000000"/>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Kolorowalistaakcent1">
    <w:name w:val="Colorful List Accent 1"/>
    <w:basedOn w:val="Standardowy"/>
    <w:uiPriority w:val="99"/>
    <w:semiHidden/>
    <w:rPr>
      <w:color w:val="000000"/>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Kolorowalistaakcent2">
    <w:name w:val="Colorful List Accent 2"/>
    <w:basedOn w:val="Standardowy"/>
    <w:uiPriority w:val="99"/>
    <w:semiHidden/>
    <w:rPr>
      <w:color w:val="000000"/>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Kolorowalistaakcent3">
    <w:name w:val="Colorful List Accent 3"/>
    <w:basedOn w:val="Standardowy"/>
    <w:uiPriority w:val="99"/>
    <w:semiHidden/>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Kolorowalistaakcent4">
    <w:name w:val="Colorful List Accent 4"/>
    <w:basedOn w:val="Standardowy"/>
    <w:uiPriority w:val="99"/>
    <w:semiHidden/>
    <w:rPr>
      <w:color w:val="000000"/>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Kolorowalistaakcent5">
    <w:name w:val="Colorful List Accent 5"/>
    <w:basedOn w:val="Standardowy"/>
    <w:uiPriority w:val="99"/>
    <w:semiHidden/>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Kolorowalistaakcent6">
    <w:name w:val="Colorful List Accent 6"/>
    <w:basedOn w:val="Standardowy"/>
    <w:uiPriority w:val="99"/>
    <w:semiHidden/>
    <w:rPr>
      <w:color w:val="000000"/>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Kolorowecieniowanie">
    <w:name w:val="Colorful Shading"/>
    <w:basedOn w:val="Standardowy"/>
    <w:uiPriority w:val="99"/>
    <w:semiHidden/>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Kolorowecieniowanieakcent1">
    <w:name w:val="Colorful Shading Accent 1"/>
    <w:basedOn w:val="Standardowy"/>
    <w:uiPriority w:val="99"/>
    <w:semiHidden/>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Kolorowecieniowanieakcent2">
    <w:name w:val="Colorful Shading Accent 2"/>
    <w:basedOn w:val="Standardowy"/>
    <w:uiPriority w:val="99"/>
    <w:semiHidden/>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Kolorowecieniowanieakcent3">
    <w:name w:val="Colorful Shading Accent 3"/>
    <w:basedOn w:val="Standardowy"/>
    <w:uiPriority w:val="99"/>
    <w:semiHidden/>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Kolorowecieniowanieakcent4">
    <w:name w:val="Colorful Shading Accent 4"/>
    <w:basedOn w:val="Standardowy"/>
    <w:uiPriority w:val="99"/>
    <w:semiHidden/>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Kolorowecieniowanieakcent5">
    <w:name w:val="Colorful Shading Accent 5"/>
    <w:basedOn w:val="Standardowy"/>
    <w:uiPriority w:val="99"/>
    <w:semiHidden/>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Kolorowecieniowanieakcent6">
    <w:name w:val="Colorful Shading Accent 6"/>
    <w:basedOn w:val="Standardowy"/>
    <w:uiPriority w:val="99"/>
    <w:semiHidden/>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Ciemnalista">
    <w:name w:val="Dark List"/>
    <w:basedOn w:val="Standardowy"/>
    <w:uiPriority w:val="99"/>
    <w:semiHidden/>
    <w:rPr>
      <w:color w:val="0072BC"/>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Ciemnalista2akcent1">
    <w:name w:val="Dark List Accent 1"/>
    <w:basedOn w:val="Standardowy"/>
    <w:uiPriority w:val="99"/>
    <w:semiHidden/>
    <w:rPr>
      <w:color w:val="0072BC"/>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Ciemnalistaakcent2">
    <w:name w:val="Dark List Accent 2"/>
    <w:basedOn w:val="Standardowy"/>
    <w:uiPriority w:val="99"/>
    <w:semiHidden/>
    <w:rPr>
      <w:color w:val="0072BC"/>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Ciemnalistaakcent3">
    <w:name w:val="Dark List Accent 3"/>
    <w:basedOn w:val="Standardowy"/>
    <w:uiPriority w:val="99"/>
    <w:semiHidden/>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Ciemnalistaakcent4">
    <w:name w:val="Dark List Accent 4"/>
    <w:basedOn w:val="Standardowy"/>
    <w:uiPriority w:val="99"/>
    <w:semiHidden/>
    <w:rPr>
      <w:color w:val="0072BC"/>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Ciemnalistaakcent5">
    <w:name w:val="Dark List Accent 5"/>
    <w:basedOn w:val="Standardowy"/>
    <w:uiPriority w:val="99"/>
    <w:semiHidden/>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Ciemnalistaakcent6">
    <w:name w:val="Dark List Accent 6"/>
    <w:basedOn w:val="Standardowy"/>
    <w:uiPriority w:val="99"/>
    <w:semiHidden/>
    <w:rPr>
      <w:color w:val="0072BC"/>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a">
    <w:name w:val="Date"/>
    <w:basedOn w:val="Normalny"/>
    <w:next w:val="Normalny"/>
    <w:link w:val="DataZnak"/>
    <w:uiPriority w:val="99"/>
    <w:semiHidden/>
  </w:style>
  <w:style w:type="character" w:customStyle="1" w:styleId="DataZnak">
    <w:name w:val="Data Znak"/>
    <w:basedOn w:val="Domylnaczcionkaakapitu"/>
    <w:link w:val="Data"/>
    <w:uiPriority w:val="99"/>
    <w:locked/>
    <w:rPr>
      <w:rFonts w:eastAsia="Times New Roman" w:cs="Times New Roman"/>
      <w:sz w:val="24"/>
      <w:lang w:val="pl-PL" w:eastAsia="pl-PL"/>
    </w:rPr>
  </w:style>
  <w:style w:type="paragraph" w:styleId="Podpise-mail">
    <w:name w:val="E-mail Signature"/>
    <w:basedOn w:val="Normalny"/>
    <w:link w:val="Podpise-mailZnak"/>
    <w:uiPriority w:val="99"/>
    <w:semiHidden/>
  </w:style>
  <w:style w:type="character" w:customStyle="1" w:styleId="Podpise-mailZnak">
    <w:name w:val="Podpis e-mail Znak"/>
    <w:basedOn w:val="Domylnaczcionkaakapitu"/>
    <w:link w:val="Podpise-mail"/>
    <w:uiPriority w:val="99"/>
    <w:locked/>
    <w:rPr>
      <w:rFonts w:eastAsia="Times New Roman" w:cs="Times New Roman"/>
      <w:sz w:val="24"/>
      <w:lang w:val="pl-PL" w:eastAsia="pl-PL"/>
    </w:rPr>
  </w:style>
  <w:style w:type="paragraph" w:styleId="Adresnakopercie">
    <w:name w:val="envelope address"/>
    <w:basedOn w:val="Normalny"/>
    <w:uiPriority w:val="99"/>
    <w:semiHidden/>
    <w:pPr>
      <w:framePr w:w="7938" w:h="1985" w:hRule="exact" w:hSpace="141" w:wrap="auto" w:hAnchor="page" w:xAlign="center" w:yAlign="bottom"/>
      <w:ind w:left="2835"/>
    </w:pPr>
    <w:rPr>
      <w:szCs w:val="24"/>
    </w:rPr>
  </w:style>
  <w:style w:type="paragraph" w:styleId="Adreszwrotnynakopercie">
    <w:name w:val="envelope return"/>
    <w:basedOn w:val="Normalny"/>
    <w:uiPriority w:val="99"/>
    <w:semiHidden/>
    <w:rPr>
      <w:sz w:val="20"/>
      <w:szCs w:val="20"/>
    </w:rPr>
  </w:style>
  <w:style w:type="character" w:styleId="HTML-akronim">
    <w:name w:val="HTML Acronym"/>
    <w:basedOn w:val="Domylnaczcionkaakapitu"/>
    <w:uiPriority w:val="99"/>
    <w:semiHidden/>
    <w:rPr>
      <w:rFonts w:cs="Times New Roman"/>
      <w:lang w:val="pl-PL" w:eastAsia="pl-PL"/>
    </w:rPr>
  </w:style>
  <w:style w:type="paragraph" w:styleId="HTML-adres">
    <w:name w:val="HTML Address"/>
    <w:basedOn w:val="Normalny"/>
    <w:link w:val="HTML-adresZnak"/>
    <w:uiPriority w:val="99"/>
    <w:semiHidden/>
    <w:rPr>
      <w:i/>
      <w:iCs/>
    </w:rPr>
  </w:style>
  <w:style w:type="character" w:customStyle="1" w:styleId="HTML-adresZnak">
    <w:name w:val="HTML - adres Znak"/>
    <w:basedOn w:val="Domylnaczcionkaakapitu"/>
    <w:link w:val="HTML-adres"/>
    <w:uiPriority w:val="99"/>
    <w:locked/>
    <w:rPr>
      <w:rFonts w:eastAsia="Times New Roman" w:cs="Times New Roman"/>
      <w:i/>
      <w:sz w:val="24"/>
      <w:lang w:val="pl-PL" w:eastAsia="pl-PL"/>
    </w:rPr>
  </w:style>
  <w:style w:type="character" w:styleId="HTML-cytat">
    <w:name w:val="HTML Cite"/>
    <w:basedOn w:val="Domylnaczcionkaakapitu"/>
    <w:uiPriority w:val="99"/>
    <w:semiHidden/>
    <w:rPr>
      <w:rFonts w:cs="Times New Roman"/>
      <w:i/>
      <w:lang w:val="pl-PL" w:eastAsia="pl-PL"/>
    </w:rPr>
  </w:style>
  <w:style w:type="character" w:styleId="HTML-kod">
    <w:name w:val="HTML Code"/>
    <w:basedOn w:val="Domylnaczcionkaakapitu"/>
    <w:uiPriority w:val="99"/>
    <w:semiHidden/>
    <w:rPr>
      <w:rFonts w:ascii="Consolas" w:hAnsi="Consolas" w:cs="Times New Roman"/>
      <w:sz w:val="20"/>
      <w:lang w:val="pl-PL" w:eastAsia="pl-PL"/>
    </w:rPr>
  </w:style>
  <w:style w:type="character" w:styleId="HTML-definicja">
    <w:name w:val="HTML Definition"/>
    <w:basedOn w:val="Domylnaczcionkaakapitu"/>
    <w:uiPriority w:val="99"/>
    <w:semiHidden/>
    <w:rPr>
      <w:rFonts w:cs="Times New Roman"/>
      <w:i/>
      <w:lang w:val="pl-PL" w:eastAsia="pl-PL"/>
    </w:rPr>
  </w:style>
  <w:style w:type="character" w:styleId="HTML-klawiatura">
    <w:name w:val="HTML Keyboard"/>
    <w:basedOn w:val="Domylnaczcionkaakapitu"/>
    <w:uiPriority w:val="99"/>
    <w:semiHidden/>
    <w:rPr>
      <w:rFonts w:ascii="Consolas" w:hAnsi="Consolas" w:cs="Times New Roman"/>
      <w:sz w:val="20"/>
      <w:lang w:val="pl-PL" w:eastAsia="pl-PL"/>
    </w:rPr>
  </w:style>
  <w:style w:type="paragraph" w:styleId="HTML-wstpniesformatowany">
    <w:name w:val="HTML Preformatted"/>
    <w:basedOn w:val="Normalny"/>
    <w:link w:val="HTML-wstpniesformatowanyZnak"/>
    <w:uiPriority w:val="99"/>
    <w:semiHidden/>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locked/>
    <w:rPr>
      <w:rFonts w:ascii="Consolas" w:hAnsi="Consolas" w:cs="Times New Roman"/>
      <w:sz w:val="20"/>
      <w:lang w:val="pl-PL" w:eastAsia="pl-PL"/>
    </w:rPr>
  </w:style>
  <w:style w:type="character" w:styleId="HTML-przykad">
    <w:name w:val="HTML Sample"/>
    <w:basedOn w:val="Domylnaczcionkaakapitu"/>
    <w:uiPriority w:val="99"/>
    <w:semiHidden/>
    <w:rPr>
      <w:rFonts w:ascii="Consolas" w:hAnsi="Consolas" w:cs="Times New Roman"/>
      <w:sz w:val="24"/>
      <w:lang w:val="pl-PL" w:eastAsia="pl-PL"/>
    </w:rPr>
  </w:style>
  <w:style w:type="character" w:styleId="HTML-staaszeroko">
    <w:name w:val="HTML Typewriter"/>
    <w:basedOn w:val="Domylnaczcionkaakapitu"/>
    <w:uiPriority w:val="99"/>
    <w:semiHidden/>
    <w:rPr>
      <w:rFonts w:ascii="Consolas" w:hAnsi="Consolas" w:cs="Times New Roman"/>
      <w:sz w:val="20"/>
      <w:lang w:val="pl-PL" w:eastAsia="pl-PL"/>
    </w:rPr>
  </w:style>
  <w:style w:type="character" w:styleId="HTML-zmienna">
    <w:name w:val="HTML Variable"/>
    <w:basedOn w:val="Domylnaczcionkaakapitu"/>
    <w:uiPriority w:val="99"/>
    <w:semiHidden/>
    <w:rPr>
      <w:rFonts w:cs="Times New Roman"/>
      <w:i/>
      <w:lang w:val="pl-PL" w:eastAsia="pl-PL"/>
    </w:rPr>
  </w:style>
  <w:style w:type="paragraph" w:styleId="Indeks1">
    <w:name w:val="index 1"/>
    <w:basedOn w:val="Normalny"/>
    <w:next w:val="Normalny"/>
    <w:autoRedefine/>
    <w:uiPriority w:val="99"/>
    <w:semiHidden/>
    <w:pPr>
      <w:ind w:left="240" w:hanging="240"/>
    </w:pPr>
  </w:style>
  <w:style w:type="paragraph" w:styleId="Indeks2">
    <w:name w:val="index 2"/>
    <w:basedOn w:val="Normalny"/>
    <w:next w:val="Normalny"/>
    <w:autoRedefine/>
    <w:uiPriority w:val="99"/>
    <w:semiHidden/>
    <w:pPr>
      <w:ind w:left="480" w:hanging="240"/>
    </w:pPr>
  </w:style>
  <w:style w:type="paragraph" w:styleId="Indeks3">
    <w:name w:val="index 3"/>
    <w:basedOn w:val="Normalny"/>
    <w:next w:val="Normalny"/>
    <w:autoRedefine/>
    <w:uiPriority w:val="99"/>
    <w:semiHidden/>
    <w:pPr>
      <w:ind w:left="720" w:hanging="240"/>
    </w:pPr>
  </w:style>
  <w:style w:type="paragraph" w:styleId="Indeks4">
    <w:name w:val="index 4"/>
    <w:basedOn w:val="Normalny"/>
    <w:next w:val="Normalny"/>
    <w:autoRedefine/>
    <w:uiPriority w:val="99"/>
    <w:semiHidden/>
    <w:pPr>
      <w:ind w:left="960" w:hanging="240"/>
    </w:pPr>
  </w:style>
  <w:style w:type="paragraph" w:styleId="Indeks5">
    <w:name w:val="index 5"/>
    <w:basedOn w:val="Normalny"/>
    <w:next w:val="Normalny"/>
    <w:autoRedefine/>
    <w:uiPriority w:val="99"/>
    <w:semiHidden/>
    <w:pPr>
      <w:ind w:left="1200" w:hanging="240"/>
    </w:pPr>
  </w:style>
  <w:style w:type="paragraph" w:styleId="Indeks6">
    <w:name w:val="index 6"/>
    <w:basedOn w:val="Normalny"/>
    <w:next w:val="Normalny"/>
    <w:autoRedefine/>
    <w:uiPriority w:val="99"/>
    <w:semiHidden/>
    <w:pPr>
      <w:ind w:left="1440" w:hanging="240"/>
    </w:pPr>
  </w:style>
  <w:style w:type="paragraph" w:styleId="Indeks7">
    <w:name w:val="index 7"/>
    <w:basedOn w:val="Normalny"/>
    <w:next w:val="Normalny"/>
    <w:autoRedefine/>
    <w:uiPriority w:val="99"/>
    <w:semiHidden/>
    <w:pPr>
      <w:ind w:left="1680" w:hanging="240"/>
    </w:pPr>
  </w:style>
  <w:style w:type="paragraph" w:styleId="Indeks8">
    <w:name w:val="index 8"/>
    <w:basedOn w:val="Normalny"/>
    <w:next w:val="Normalny"/>
    <w:autoRedefine/>
    <w:uiPriority w:val="99"/>
    <w:semiHidden/>
    <w:pPr>
      <w:ind w:left="1920" w:hanging="240"/>
    </w:pPr>
  </w:style>
  <w:style w:type="paragraph" w:styleId="Indeks9">
    <w:name w:val="index 9"/>
    <w:basedOn w:val="Normalny"/>
    <w:next w:val="Normalny"/>
    <w:autoRedefine/>
    <w:uiPriority w:val="99"/>
    <w:semiHidden/>
    <w:pPr>
      <w:ind w:left="2160" w:hanging="240"/>
    </w:pPr>
  </w:style>
  <w:style w:type="paragraph" w:styleId="Nagwekindeksu">
    <w:name w:val="index heading"/>
    <w:basedOn w:val="Normalny"/>
    <w:next w:val="Indeks1"/>
    <w:uiPriority w:val="99"/>
    <w:semiHidden/>
    <w:rPr>
      <w:b/>
      <w:bCs/>
    </w:rPr>
  </w:style>
  <w:style w:type="table" w:styleId="Jasnasiatka">
    <w:name w:val="Light Grid"/>
    <w:basedOn w:val="Standardowy"/>
    <w:uiPriority w:val="99"/>
    <w:semiHidden/>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Times New Roman"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Times New Roman"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Jasnasiatkaakcent2">
    <w:name w:val="Light Grid Accent 2"/>
    <w:basedOn w:val="Standardowy"/>
    <w:uiPriority w:val="99"/>
    <w:semiHidden/>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Times New Roman"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Times New Roman"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Jasnasiatkaakcent3">
    <w:name w:val="Light Grid Accent 3"/>
    <w:basedOn w:val="Standardowy"/>
    <w:uiPriority w:val="99"/>
    <w:semiHidden/>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Jasnasiatkaakcent4">
    <w:name w:val="Light Grid Accent 4"/>
    <w:basedOn w:val="Standardowy"/>
    <w:uiPriority w:val="99"/>
    <w:semiHidden/>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Times New Roman"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Times New Roman"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Jasnasiatkaakcent5">
    <w:name w:val="Light Grid Accent 5"/>
    <w:basedOn w:val="Standardowy"/>
    <w:uiPriority w:val="99"/>
    <w:semiHidden/>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Jasnasiatkaakcent6">
    <w:name w:val="Light Grid Accent 6"/>
    <w:basedOn w:val="Standardowy"/>
    <w:uiPriority w:val="99"/>
    <w:semiHidden/>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Times New Roman"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Times New Roman"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Jasnalista">
    <w:name w:val="Light List"/>
    <w:basedOn w:val="Standardowy"/>
    <w:uiPriority w:val="99"/>
    <w:semiHidden/>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Jasnalistaakcent1">
    <w:name w:val="Light List Accent 1"/>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Jasnalistaakcent2">
    <w:name w:val="Light List Accent 2"/>
    <w:basedOn w:val="Standardowy"/>
    <w:uiPriority w:val="99"/>
    <w:semiHidden/>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Jasnalistaakcent3">
    <w:name w:val="Light List Accent 3"/>
    <w:basedOn w:val="Standardowy"/>
    <w:uiPriority w:val="99"/>
    <w:semiHidden/>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Jasnalistaakcent4">
    <w:name w:val="Light List Accent 4"/>
    <w:basedOn w:val="Standardowy"/>
    <w:uiPriority w:val="99"/>
    <w:semiHidden/>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Jasnalistaakcent5">
    <w:name w:val="Light List Accent 5"/>
    <w:basedOn w:val="Standardowy"/>
    <w:uiPriority w:val="99"/>
    <w:semiHidden/>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Jasnalistaakcent6">
    <w:name w:val="Light List Accent 6"/>
    <w:basedOn w:val="Standardowy"/>
    <w:uiPriority w:val="99"/>
    <w:semiHidden/>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Jasnecieniowanie">
    <w:name w:val="Light Shading"/>
    <w:basedOn w:val="Standardowy"/>
    <w:uiPriority w:val="99"/>
    <w:semiHidden/>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Jasnecieniowanieakcent1">
    <w:name w:val="Light Shading Accent 1"/>
    <w:basedOn w:val="Standardowy"/>
    <w:uiPriority w:val="99"/>
    <w:semiHidden/>
    <w:rPr>
      <w:color w:val="00548C"/>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Jasnecieniowanieakcent2">
    <w:name w:val="Light Shading Accent 2"/>
    <w:basedOn w:val="Standardowy"/>
    <w:uiPriority w:val="99"/>
    <w:semiHidden/>
    <w:rPr>
      <w:color w:val="8F0000"/>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Jasnecieniowanieakcent3">
    <w:name w:val="Light Shading Accent 3"/>
    <w:basedOn w:val="Standardowy"/>
    <w:uiPriority w:val="99"/>
    <w:semiHidden/>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Jasnecieniowanieakcent4">
    <w:name w:val="Light Shading Accent 4"/>
    <w:basedOn w:val="Standardowy"/>
    <w:uiPriority w:val="99"/>
    <w:semiHidden/>
    <w:rPr>
      <w:color w:val="707070"/>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Jasnecieniowanieakcent5">
    <w:name w:val="Light Shading Accent 5"/>
    <w:basedOn w:val="Standardowy"/>
    <w:uiPriority w:val="99"/>
    <w:semiHidden/>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Jasnecieniowanieakcent6">
    <w:name w:val="Light Shading Accent 6"/>
    <w:basedOn w:val="Standardowy"/>
    <w:uiPriority w:val="99"/>
    <w:semiHidden/>
    <w:rPr>
      <w:color w:val="393939"/>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Numerwiersza">
    <w:name w:val="line number"/>
    <w:basedOn w:val="Domylnaczcionkaakapitu"/>
    <w:uiPriority w:val="99"/>
    <w:semiHidden/>
    <w:rPr>
      <w:rFonts w:cs="Times New Roman"/>
      <w:lang w:val="pl-PL" w:eastAsia="pl-PL"/>
    </w:rPr>
  </w:style>
  <w:style w:type="paragraph" w:styleId="Lista">
    <w:name w:val="List"/>
    <w:basedOn w:val="Normalny"/>
    <w:uiPriority w:val="99"/>
    <w:semiHidden/>
    <w:pPr>
      <w:ind w:left="283" w:hanging="283"/>
      <w:contextualSpacing/>
    </w:pPr>
  </w:style>
  <w:style w:type="paragraph" w:styleId="Lista2">
    <w:name w:val="List 2"/>
    <w:basedOn w:val="Normalny"/>
    <w:uiPriority w:val="99"/>
    <w:semiHidden/>
    <w:pPr>
      <w:ind w:left="566" w:hanging="283"/>
      <w:contextualSpacing/>
    </w:pPr>
  </w:style>
  <w:style w:type="paragraph" w:styleId="Lista3">
    <w:name w:val="List 3"/>
    <w:basedOn w:val="Normalny"/>
    <w:uiPriority w:val="99"/>
    <w:semiHidden/>
    <w:pPr>
      <w:ind w:left="849" w:hanging="283"/>
      <w:contextualSpacing/>
    </w:pPr>
  </w:style>
  <w:style w:type="paragraph" w:styleId="Lista4">
    <w:name w:val="List 4"/>
    <w:basedOn w:val="Normalny"/>
    <w:uiPriority w:val="99"/>
    <w:semiHidden/>
    <w:pPr>
      <w:ind w:left="1132" w:hanging="283"/>
      <w:contextualSpacing/>
    </w:pPr>
  </w:style>
  <w:style w:type="paragraph" w:styleId="Lista5">
    <w:name w:val="List 5"/>
    <w:basedOn w:val="Normalny"/>
    <w:uiPriority w:val="99"/>
    <w:semiHidden/>
    <w:pPr>
      <w:ind w:left="1415" w:hanging="283"/>
      <w:contextualSpacing/>
    </w:pPr>
  </w:style>
  <w:style w:type="paragraph" w:styleId="Listapunktowana2">
    <w:name w:val="List Bullet 2"/>
    <w:basedOn w:val="Normalny"/>
    <w:uiPriority w:val="99"/>
    <w:semiHidden/>
    <w:pPr>
      <w:numPr>
        <w:numId w:val="2"/>
      </w:numPr>
      <w:contextualSpacing/>
    </w:pPr>
  </w:style>
  <w:style w:type="paragraph" w:styleId="Listapunktowana3">
    <w:name w:val="List Bullet 3"/>
    <w:basedOn w:val="Normalny"/>
    <w:uiPriority w:val="99"/>
    <w:semiHidden/>
    <w:pPr>
      <w:numPr>
        <w:numId w:val="3"/>
      </w:numPr>
      <w:contextualSpacing/>
    </w:pPr>
  </w:style>
  <w:style w:type="paragraph" w:styleId="Listapunktowana4">
    <w:name w:val="List Bullet 4"/>
    <w:basedOn w:val="Normalny"/>
    <w:uiPriority w:val="99"/>
    <w:semiHidden/>
    <w:pPr>
      <w:numPr>
        <w:numId w:val="4"/>
      </w:numPr>
      <w:contextualSpacing/>
    </w:pPr>
  </w:style>
  <w:style w:type="paragraph" w:styleId="Listapunktowana5">
    <w:name w:val="List Bullet 5"/>
    <w:basedOn w:val="Normalny"/>
    <w:uiPriority w:val="99"/>
    <w:semiHidden/>
    <w:pPr>
      <w:numPr>
        <w:numId w:val="5"/>
      </w:numPr>
      <w:contextualSpacing/>
    </w:pPr>
  </w:style>
  <w:style w:type="paragraph" w:styleId="Lista-kontynuacja">
    <w:name w:val="List Continue"/>
    <w:basedOn w:val="Normalny"/>
    <w:uiPriority w:val="99"/>
    <w:semiHidden/>
    <w:pPr>
      <w:spacing w:after="120"/>
      <w:ind w:left="283"/>
      <w:contextualSpacing/>
    </w:pPr>
  </w:style>
  <w:style w:type="paragraph" w:styleId="Lista-kontynuacja2">
    <w:name w:val="List Continue 2"/>
    <w:basedOn w:val="Normalny"/>
    <w:uiPriority w:val="99"/>
    <w:semiHidden/>
    <w:pPr>
      <w:spacing w:after="120"/>
      <w:ind w:left="566"/>
      <w:contextualSpacing/>
    </w:pPr>
  </w:style>
  <w:style w:type="paragraph" w:styleId="Lista-kontynuacja3">
    <w:name w:val="List Continue 3"/>
    <w:basedOn w:val="Normalny"/>
    <w:uiPriority w:val="99"/>
    <w:semiHidden/>
    <w:pPr>
      <w:spacing w:after="120"/>
      <w:ind w:left="849"/>
      <w:contextualSpacing/>
    </w:pPr>
  </w:style>
  <w:style w:type="paragraph" w:styleId="Lista-kontynuacja4">
    <w:name w:val="List Continue 4"/>
    <w:basedOn w:val="Normalny"/>
    <w:uiPriority w:val="99"/>
    <w:semiHidden/>
    <w:pPr>
      <w:spacing w:after="120"/>
      <w:ind w:left="1132"/>
      <w:contextualSpacing/>
    </w:pPr>
  </w:style>
  <w:style w:type="paragraph" w:styleId="Lista-kontynuacja5">
    <w:name w:val="List Continue 5"/>
    <w:basedOn w:val="Normalny"/>
    <w:uiPriority w:val="99"/>
    <w:semiHidden/>
    <w:pPr>
      <w:spacing w:after="120"/>
      <w:ind w:left="1415"/>
      <w:contextualSpacing/>
    </w:pPr>
  </w:style>
  <w:style w:type="paragraph" w:styleId="Listanumerowana">
    <w:name w:val="List Number"/>
    <w:basedOn w:val="Normalny"/>
    <w:uiPriority w:val="99"/>
    <w:semiHidden/>
    <w:pPr>
      <w:numPr>
        <w:numId w:val="6"/>
      </w:numPr>
      <w:contextualSpacing/>
    </w:pPr>
  </w:style>
  <w:style w:type="paragraph" w:styleId="Listanumerowana2">
    <w:name w:val="List Number 2"/>
    <w:basedOn w:val="Normalny"/>
    <w:uiPriority w:val="99"/>
    <w:semiHidden/>
    <w:pPr>
      <w:numPr>
        <w:numId w:val="7"/>
      </w:numPr>
      <w:contextualSpacing/>
    </w:pPr>
  </w:style>
  <w:style w:type="paragraph" w:styleId="Listanumerowana3">
    <w:name w:val="List Number 3"/>
    <w:basedOn w:val="Normalny"/>
    <w:uiPriority w:val="99"/>
    <w:semiHidden/>
    <w:pPr>
      <w:numPr>
        <w:numId w:val="8"/>
      </w:numPr>
      <w:contextualSpacing/>
    </w:pPr>
  </w:style>
  <w:style w:type="paragraph" w:styleId="Listanumerowana4">
    <w:name w:val="List Number 4"/>
    <w:basedOn w:val="Normalny"/>
    <w:uiPriority w:val="99"/>
    <w:semiHidden/>
    <w:pPr>
      <w:numPr>
        <w:numId w:val="9"/>
      </w:numPr>
      <w:contextualSpacing/>
    </w:pPr>
  </w:style>
  <w:style w:type="paragraph" w:styleId="Listanumerowana5">
    <w:name w:val="List Number 5"/>
    <w:basedOn w:val="Normalny"/>
    <w:uiPriority w:val="99"/>
    <w:semiHidden/>
    <w:pPr>
      <w:numPr>
        <w:numId w:val="10"/>
      </w:numPr>
      <w:contextualSpacing/>
    </w:pPr>
  </w:style>
  <w:style w:type="paragraph" w:styleId="Tekstmakra">
    <w:name w:val="macro"/>
    <w:link w:val="TekstmakraZnak"/>
    <w:uiPriority w:val="99"/>
    <w:semiHidden/>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TekstmakraZnak">
    <w:name w:val="Tekst makra Znak"/>
    <w:basedOn w:val="Domylnaczcionkaakapitu"/>
    <w:link w:val="Tekstmakra"/>
    <w:uiPriority w:val="99"/>
    <w:locked/>
    <w:rPr>
      <w:rFonts w:ascii="Consolas" w:hAnsi="Consolas" w:cs="Times New Roman"/>
      <w:sz w:val="20"/>
      <w:lang w:val="pl-PL" w:eastAsia="pl-PL"/>
    </w:rPr>
  </w:style>
  <w:style w:type="table" w:styleId="redniasiatka1">
    <w:name w:val="Medium Grid 1"/>
    <w:basedOn w:val="Standardowy"/>
    <w:uiPriority w:val="99"/>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redniasiatka1akcent1">
    <w:name w:val="Medium Grid 1 Accent 1"/>
    <w:basedOn w:val="Standardowy"/>
    <w:uiPriority w:val="99"/>
    <w:semiHidden/>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redniasiatka1akcent2">
    <w:name w:val="Medium Grid 1 Accent 2"/>
    <w:basedOn w:val="Standardowy"/>
    <w:uiPriority w:val="99"/>
    <w:semiHidden/>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redniasiatka1akcent3">
    <w:name w:val="Medium Grid 1 Accent 3"/>
    <w:basedOn w:val="Standardowy"/>
    <w:uiPriority w:val="99"/>
    <w:semiHidden/>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redniasiatka1akcent4">
    <w:name w:val="Medium Grid 1 Accent 4"/>
    <w:basedOn w:val="Standardowy"/>
    <w:uiPriority w:val="99"/>
    <w:semiHidden/>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redniasiatka1akcent5">
    <w:name w:val="Medium Grid 1 Accent 5"/>
    <w:basedOn w:val="Standardowy"/>
    <w:uiPriority w:val="99"/>
    <w:semiHidden/>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redniasiatka1akcent6">
    <w:name w:val="Medium Grid 1 Accent 6"/>
    <w:basedOn w:val="Standardowy"/>
    <w:uiPriority w:val="99"/>
    <w:semiHidden/>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redniasiatka2">
    <w:name w:val="Medium Grid 2"/>
    <w:basedOn w:val="Standardowy"/>
    <w:uiPriority w:val="99"/>
    <w:semiHidden/>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redniasiatka2akcent1">
    <w:name w:val="Medium Grid 2 Accent 1"/>
    <w:basedOn w:val="Standardowy"/>
    <w:uiPriority w:val="99"/>
    <w:semiHidden/>
    <w:rPr>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redniasiatka2akcent2">
    <w:name w:val="Medium Grid 2 Accent 2"/>
    <w:basedOn w:val="Standardowy"/>
    <w:uiPriority w:val="99"/>
    <w:semiHidden/>
    <w:rPr>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redniasiatka2akcent3">
    <w:name w:val="Medium Grid 2 Accent 3"/>
    <w:basedOn w:val="Standardowy"/>
    <w:uiPriority w:val="99"/>
    <w:semiHidden/>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redniasiatka2akcent4">
    <w:name w:val="Medium Grid 2 Accent 4"/>
    <w:basedOn w:val="Standardowy"/>
    <w:uiPriority w:val="99"/>
    <w:semiHidden/>
    <w:rPr>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redniasiatka2akcent5">
    <w:name w:val="Medium Grid 2 Accent 5"/>
    <w:basedOn w:val="Standardowy"/>
    <w:uiPriority w:val="99"/>
    <w:semiHidden/>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redniasiatka2akcent6">
    <w:name w:val="Medium Grid 2 Accent 6"/>
    <w:basedOn w:val="Standardowy"/>
    <w:uiPriority w:val="99"/>
    <w:semiHidden/>
    <w:rPr>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redniasiatka3">
    <w:name w:val="Medium Grid 3"/>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redniasiatka3akcent1">
    <w:name w:val="Medium Grid 3 Accent 1"/>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redniasiatka3akcent2">
    <w:name w:val="Medium Grid 3 Accent 2"/>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redniasiatka3akcent3">
    <w:name w:val="Medium Grid 3 Accent 3"/>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redniasiatka3akcent4">
    <w:name w:val="Medium Grid 3 Accent 4"/>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redniasiatka3akcent5">
    <w:name w:val="Medium Grid 3 Accent 5"/>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redniasiatka3akcent6">
    <w:name w:val="Medium Grid 3 Accent 6"/>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rednialista1">
    <w:name w:val="Medium List 1"/>
    <w:basedOn w:val="Standardowy"/>
    <w:uiPriority w:val="99"/>
    <w:semiHidden/>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rednialista1akcent1">
    <w:name w:val="Medium List 1 Accent 1"/>
    <w:basedOn w:val="Standardowy"/>
    <w:uiPriority w:val="99"/>
    <w:semiHidden/>
    <w:rPr>
      <w:color w:val="000000"/>
    </w:rPr>
    <w:tblPr>
      <w:tblStyleRowBandSize w:val="1"/>
      <w:tblStyleColBandSize w:val="1"/>
      <w:tblBorders>
        <w:top w:val="single" w:sz="8" w:space="0" w:color="0072BC"/>
        <w:bottom w:val="single" w:sz="8" w:space="0" w:color="0072BC"/>
      </w:tblBorders>
    </w:tblPr>
    <w:tblStylePr w:type="firstRow">
      <w:rPr>
        <w:rFonts w:ascii="Times New Roman" w:eastAsia="Times New Roman"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rednialista1akcent2">
    <w:name w:val="Medium List 1 Accent 2"/>
    <w:basedOn w:val="Standardowy"/>
    <w:uiPriority w:val="99"/>
    <w:semiHidden/>
    <w:rPr>
      <w:color w:val="000000"/>
    </w:rPr>
    <w:tblPr>
      <w:tblStyleRowBandSize w:val="1"/>
      <w:tblStyleColBandSize w:val="1"/>
      <w:tblBorders>
        <w:top w:val="single" w:sz="8" w:space="0" w:color="C00000"/>
        <w:bottom w:val="single" w:sz="8" w:space="0" w:color="C00000"/>
      </w:tblBorders>
    </w:tblPr>
    <w:tblStylePr w:type="firstRow">
      <w:rPr>
        <w:rFonts w:ascii="Times New Roman" w:eastAsia="Times New Roman"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rednialista1akcent3">
    <w:name w:val="Medium List 1 Accent 3"/>
    <w:basedOn w:val="Standardowy"/>
    <w:uiPriority w:val="99"/>
    <w:semiHidden/>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rednialista1akcent4">
    <w:name w:val="Medium List 1 Accent 4"/>
    <w:basedOn w:val="Standardowy"/>
    <w:uiPriority w:val="99"/>
    <w:semiHidden/>
    <w:rPr>
      <w:color w:val="000000"/>
    </w:rPr>
    <w:tblPr>
      <w:tblStyleRowBandSize w:val="1"/>
      <w:tblStyleColBandSize w:val="1"/>
      <w:tblBorders>
        <w:top w:val="single" w:sz="8" w:space="0" w:color="969696"/>
        <w:bottom w:val="single" w:sz="8" w:space="0" w:color="969696"/>
      </w:tblBorders>
    </w:tblPr>
    <w:tblStylePr w:type="firstRow">
      <w:rPr>
        <w:rFonts w:ascii="Times New Roman" w:eastAsia="Times New Roman"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rednialista1akcent5">
    <w:name w:val="Medium List 1 Accent 5"/>
    <w:basedOn w:val="Standardowy"/>
    <w:uiPriority w:val="99"/>
    <w:semiHidden/>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rednialista1akcent6">
    <w:name w:val="Medium List 1 Accent 6"/>
    <w:basedOn w:val="Standardowy"/>
    <w:uiPriority w:val="99"/>
    <w:semiHidden/>
    <w:rPr>
      <w:color w:val="000000"/>
    </w:rPr>
    <w:tblPr>
      <w:tblStyleRowBandSize w:val="1"/>
      <w:tblStyleColBandSize w:val="1"/>
      <w:tblBorders>
        <w:top w:val="single" w:sz="8" w:space="0" w:color="4D4D4D"/>
        <w:bottom w:val="single" w:sz="8" w:space="0" w:color="4D4D4D"/>
      </w:tblBorders>
    </w:tblPr>
    <w:tblStylePr w:type="firstRow">
      <w:rPr>
        <w:rFonts w:ascii="Times New Roman" w:eastAsia="Times New Roman"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rednialista2">
    <w:name w:val="Medium List 2"/>
    <w:basedOn w:val="Standardowy"/>
    <w:uiPriority w:val="99"/>
    <w:semiHidden/>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1">
    <w:name w:val="Medium List 2 Accent 1"/>
    <w:basedOn w:val="Standardowy"/>
    <w:uiPriority w:val="99"/>
    <w:semiHidden/>
    <w:rPr>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2">
    <w:name w:val="Medium List 2 Accent 2"/>
    <w:basedOn w:val="Standardowy"/>
    <w:uiPriority w:val="99"/>
    <w:semiHidden/>
    <w:rPr>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3">
    <w:name w:val="Medium List 2 Accent 3"/>
    <w:basedOn w:val="Standardowy"/>
    <w:uiPriority w:val="99"/>
    <w:semiHidden/>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4">
    <w:name w:val="Medium List 2 Accent 4"/>
    <w:basedOn w:val="Standardowy"/>
    <w:uiPriority w:val="99"/>
    <w:semiHidden/>
    <w:rPr>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5">
    <w:name w:val="Medium List 2 Accent 5"/>
    <w:basedOn w:val="Standardowy"/>
    <w:uiPriority w:val="99"/>
    <w:semiHidden/>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6">
    <w:name w:val="Medium List 2 Accent 6"/>
    <w:basedOn w:val="Standardowy"/>
    <w:uiPriority w:val="99"/>
    <w:semiHidden/>
    <w:rPr>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ecieniowanie1">
    <w:name w:val="Medium Shading 1"/>
    <w:basedOn w:val="Standardowy"/>
    <w:uiPriority w:val="99"/>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redniecieniowanie1akcent1">
    <w:name w:val="Medium Shading 1 Accent 1"/>
    <w:basedOn w:val="Standardowy"/>
    <w:uiPriority w:val="99"/>
    <w:semiHidden/>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redniecieniowanie1akcent2">
    <w:name w:val="Medium Shading 1 Accent 2"/>
    <w:basedOn w:val="Standardowy"/>
    <w:uiPriority w:val="99"/>
    <w:semiHidden/>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redniecieniowanie1akcent3">
    <w:name w:val="Medium Shading 1 Accent 3"/>
    <w:basedOn w:val="Standardowy"/>
    <w:uiPriority w:val="99"/>
    <w:semiHidden/>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redniecieniowanie1akcent4">
    <w:name w:val="Medium Shading 1 Accent 4"/>
    <w:basedOn w:val="Standardowy"/>
    <w:uiPriority w:val="99"/>
    <w:semiHidden/>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redniecieniowanie1akcent5">
    <w:name w:val="Medium Shading 1 Accent 5"/>
    <w:basedOn w:val="Standardowy"/>
    <w:uiPriority w:val="99"/>
    <w:semiHidden/>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redniecieniowanie1akcent6">
    <w:name w:val="Medium Shading 1 Accent 6"/>
    <w:basedOn w:val="Standardowy"/>
    <w:uiPriority w:val="99"/>
    <w:semiHidden/>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redniecieniowanie2">
    <w:name w:val="Medium Shading 2"/>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gwekwiadomociZnak">
    <w:name w:val="Nagłówek wiadomości Znak"/>
    <w:basedOn w:val="Domylnaczcionkaakapitu"/>
    <w:link w:val="Nagwekwiadomoci"/>
    <w:uiPriority w:val="99"/>
    <w:locked/>
    <w:rPr>
      <w:rFonts w:ascii="Times New Roman" w:hAnsi="Times New Roman" w:cs="Times New Roman"/>
      <w:sz w:val="24"/>
      <w:shd w:val="clear" w:color="000000" w:fill="000000"/>
      <w:lang w:val="pl-PL" w:eastAsia="pl-PL"/>
    </w:rPr>
  </w:style>
  <w:style w:type="paragraph" w:styleId="NormalnyWeb">
    <w:name w:val="Normal (Web)"/>
    <w:basedOn w:val="Normalny"/>
    <w:uiPriority w:val="99"/>
    <w:semiHidden/>
    <w:rPr>
      <w:szCs w:val="24"/>
    </w:rPr>
  </w:style>
  <w:style w:type="paragraph" w:styleId="Wcicienormalne">
    <w:name w:val="Normal Indent"/>
    <w:basedOn w:val="Normalny"/>
    <w:uiPriority w:val="99"/>
    <w:semiHidden/>
    <w:pPr>
      <w:ind w:left="720"/>
    </w:pPr>
  </w:style>
  <w:style w:type="paragraph" w:styleId="Nagweknotatki">
    <w:name w:val="Note Heading"/>
    <w:basedOn w:val="Normalny"/>
    <w:next w:val="Normalny"/>
    <w:link w:val="NagweknotatkiZnak"/>
    <w:uiPriority w:val="99"/>
    <w:semiHidden/>
  </w:style>
  <w:style w:type="character" w:customStyle="1" w:styleId="NagweknotatkiZnak">
    <w:name w:val="Nagłówek notatki Znak"/>
    <w:basedOn w:val="Domylnaczcionkaakapitu"/>
    <w:link w:val="Nagweknotatki"/>
    <w:uiPriority w:val="99"/>
    <w:locked/>
    <w:rPr>
      <w:rFonts w:eastAsia="Times New Roman" w:cs="Times New Roman"/>
      <w:sz w:val="24"/>
      <w:lang w:val="pl-PL" w:eastAsia="pl-PL"/>
    </w:rPr>
  </w:style>
  <w:style w:type="character" w:styleId="Tekstzastpczy">
    <w:name w:val="Placeholder Text"/>
    <w:basedOn w:val="Domylnaczcionkaakapitu"/>
    <w:uiPriority w:val="99"/>
    <w:semiHidden/>
    <w:rPr>
      <w:rFonts w:cs="Times New Roman"/>
      <w:color w:val="808080"/>
      <w:lang w:val="pl-PL" w:eastAsia="pl-PL"/>
    </w:rPr>
  </w:style>
  <w:style w:type="paragraph" w:styleId="Zwykytekst">
    <w:name w:val="Plain Text"/>
    <w:basedOn w:val="Normalny"/>
    <w:link w:val="ZwykytekstZnak"/>
    <w:uiPriority w:val="99"/>
    <w:semiHidden/>
    <w:rPr>
      <w:rFonts w:ascii="Consolas" w:hAnsi="Consolas" w:cs="Consolas"/>
      <w:sz w:val="21"/>
      <w:szCs w:val="21"/>
    </w:rPr>
  </w:style>
  <w:style w:type="character" w:customStyle="1" w:styleId="ZwykytekstZnak">
    <w:name w:val="Zwykły tekst Znak"/>
    <w:basedOn w:val="Domylnaczcionkaakapitu"/>
    <w:link w:val="Zwykytekst"/>
    <w:uiPriority w:val="99"/>
    <w:locked/>
    <w:rPr>
      <w:rFonts w:ascii="Consolas" w:hAnsi="Consolas" w:cs="Times New Roman"/>
      <w:sz w:val="21"/>
      <w:lang w:val="pl-PL" w:eastAsia="pl-PL"/>
    </w:rPr>
  </w:style>
  <w:style w:type="paragraph" w:styleId="Zwrotgrzecznociowy">
    <w:name w:val="Salutation"/>
    <w:basedOn w:val="Normalny"/>
    <w:next w:val="Normalny"/>
    <w:link w:val="ZwrotgrzecznociowyZnak"/>
    <w:uiPriority w:val="99"/>
    <w:semiHidden/>
  </w:style>
  <w:style w:type="character" w:customStyle="1" w:styleId="ZwrotgrzecznociowyZnak">
    <w:name w:val="Zwrot grzecznościowy Znak"/>
    <w:basedOn w:val="Domylnaczcionkaakapitu"/>
    <w:link w:val="Zwrotgrzecznociowy"/>
    <w:uiPriority w:val="99"/>
    <w:locked/>
    <w:rPr>
      <w:rFonts w:eastAsia="Times New Roman" w:cs="Times New Roman"/>
      <w:sz w:val="24"/>
      <w:lang w:val="pl-PL" w:eastAsia="pl-PL"/>
    </w:rPr>
  </w:style>
  <w:style w:type="paragraph" w:styleId="Podpis">
    <w:name w:val="Signature"/>
    <w:basedOn w:val="Normalny"/>
    <w:link w:val="PodpisZnak"/>
    <w:uiPriority w:val="99"/>
    <w:semiHidden/>
    <w:pPr>
      <w:ind w:left="4252"/>
    </w:pPr>
  </w:style>
  <w:style w:type="character" w:customStyle="1" w:styleId="PodpisZnak">
    <w:name w:val="Podpis Znak"/>
    <w:basedOn w:val="Domylnaczcionkaakapitu"/>
    <w:link w:val="Podpis"/>
    <w:uiPriority w:val="99"/>
    <w:locked/>
    <w:rPr>
      <w:rFonts w:eastAsia="Times New Roman" w:cs="Times New Roman"/>
      <w:sz w:val="24"/>
      <w:lang w:val="pl-PL" w:eastAsia="pl-PL"/>
    </w:rPr>
  </w:style>
  <w:style w:type="table" w:styleId="Tabela-Efekty3W1">
    <w:name w:val="Table 3D effects 1"/>
    <w:basedOn w:val="Standardowy"/>
    <w:uiPriority w:val="99"/>
    <w:semiHidden/>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Kolumnowy5">
    <w:name w:val="Table Columns 5"/>
    <w:basedOn w:val="Standardowy"/>
    <w:uiPriority w:val="99"/>
    <w:semiHidden/>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Wspczesny">
    <w:name w:val="Table Contemporary"/>
    <w:basedOn w:val="Standardowy"/>
    <w:uiPriority w:val="99"/>
    <w:semiHidden/>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a-Siatka2">
    <w:name w:val="Table Grid 2"/>
    <w:basedOn w:val="Standardowy"/>
    <w:uiPriority w:val="99"/>
    <w:semiHidden/>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Siatka3">
    <w:name w:val="Table Grid 3"/>
    <w:basedOn w:val="Standardowy"/>
    <w:uiPriority w:val="99"/>
    <w:semiHidden/>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Siatka4">
    <w:name w:val="Table Grid 4"/>
    <w:basedOn w:val="Standardowy"/>
    <w:uiPriority w:val="99"/>
    <w:semiHidden/>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6">
    <w:name w:val="Table Grid 6"/>
    <w:basedOn w:val="Standardowy"/>
    <w:uiPriority w:val="99"/>
    <w:semiHidden/>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7">
    <w:name w:val="Table Grid 7"/>
    <w:basedOn w:val="Standardowy"/>
    <w:uiPriority w:val="99"/>
    <w:semiHidden/>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8">
    <w:name w:val="Table Grid 8"/>
    <w:basedOn w:val="Standardowy"/>
    <w:uiPriority w:val="99"/>
    <w:semiHidden/>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Lista2">
    <w:name w:val="Table List 2"/>
    <w:basedOn w:val="Standardowy"/>
    <w:uiPriority w:val="99"/>
    <w:semiHidden/>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Lista3">
    <w:name w:val="Table List 3"/>
    <w:basedOn w:val="Standardowy"/>
    <w:uiPriority w:val="99"/>
    <w:semiHidden/>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Lista6">
    <w:name w:val="Table List 6"/>
    <w:basedOn w:val="Standardowy"/>
    <w:uiPriority w:val="99"/>
    <w:semiHidden/>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pPr>
      <w:ind w:left="240" w:hanging="240"/>
    </w:pPr>
  </w:style>
  <w:style w:type="paragraph" w:styleId="Spisilustracji">
    <w:name w:val="table of figures"/>
    <w:basedOn w:val="Normalny"/>
    <w:next w:val="Normalny"/>
    <w:uiPriority w:val="99"/>
    <w:semiHidden/>
  </w:style>
  <w:style w:type="table" w:styleId="Tabela-Profesjonalny">
    <w:name w:val="Table Professional"/>
    <w:basedOn w:val="Standardowy"/>
    <w:uiPriority w:val="99"/>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Delikatny2">
    <w:name w:val="Table Subtle 2"/>
    <w:basedOn w:val="Standardowy"/>
    <w:uiPriority w:val="99"/>
    <w:semiHidden/>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Motyw">
    <w:name w:val="Table Theme"/>
    <w:basedOn w:val="Standardowy"/>
    <w:uiPriority w:val="99"/>
    <w:semiHidden/>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pPr>
      <w:spacing w:after="100"/>
      <w:ind w:left="1200"/>
    </w:pPr>
  </w:style>
  <w:style w:type="paragraph" w:styleId="Spistreci7">
    <w:name w:val="toc 7"/>
    <w:basedOn w:val="Normalny"/>
    <w:next w:val="Normalny"/>
    <w:autoRedefine/>
    <w:uiPriority w:val="99"/>
    <w:semiHidden/>
    <w:pPr>
      <w:spacing w:after="100"/>
      <w:ind w:left="1440"/>
    </w:pPr>
  </w:style>
  <w:style w:type="paragraph" w:styleId="Spistreci8">
    <w:name w:val="toc 8"/>
    <w:basedOn w:val="Normalny"/>
    <w:next w:val="Normalny"/>
    <w:autoRedefine/>
    <w:uiPriority w:val="99"/>
    <w:semiHidden/>
    <w:pPr>
      <w:spacing w:after="100"/>
      <w:ind w:left="1680"/>
    </w:pPr>
  </w:style>
  <w:style w:type="paragraph" w:styleId="Spistreci9">
    <w:name w:val="toc 9"/>
    <w:basedOn w:val="Normalny"/>
    <w:next w:val="Normalny"/>
    <w:autoRedefine/>
    <w:uiPriority w:val="99"/>
    <w:semiHidden/>
    <w:pPr>
      <w:spacing w:after="100"/>
      <w:ind w:left="1920"/>
    </w:pPr>
  </w:style>
  <w:style w:type="paragraph" w:customStyle="1" w:styleId="DummyStyle">
    <w:name w:val="Dummy_Style"/>
    <w:basedOn w:val="Normalny"/>
    <w:semiHidden/>
    <w:qFormat/>
    <w:rPr>
      <w:color w:val="00B050"/>
    </w:rPr>
  </w:style>
  <w:style w:type="paragraph" w:styleId="Poprawka">
    <w:name w:val="Revision"/>
    <w:hidden/>
    <w:uiPriority w:val="99"/>
    <w:semiHidden/>
    <w:rPr>
      <w:sz w:val="24"/>
      <w:szCs w:val="22"/>
    </w:rPr>
  </w:style>
  <w:style w:type="paragraph" w:customStyle="1" w:styleId="jupara">
    <w:name w:val="jupara"/>
    <w:basedOn w:val="Normalny"/>
    <w:pPr>
      <w:ind w:firstLine="284"/>
    </w:pPr>
    <w:rPr>
      <w:szCs w:val="24"/>
    </w:rPr>
  </w:style>
  <w:style w:type="paragraph" w:customStyle="1" w:styleId="jucase0">
    <w:name w:val="jucase"/>
    <w:basedOn w:val="Normalny"/>
    <w:pPr>
      <w:ind w:firstLine="284"/>
    </w:pPr>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List" w:semiHidden="1" w:unhideWhenUsed="1"/>
    <w:lsdException w:name="List Bullet"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0"/>
    <w:lsdException w:name="Table Grid" w:uiPriority="59"/>
    <w:lsdException w:name="Placeholder Text" w:semiHidden="1"/>
    <w:lsdException w:name="No Spacing" w:uiPriority="0"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ny">
    <w:name w:val="Normal"/>
    <w:semiHidden/>
    <w:pPr>
      <w:jc w:val="both"/>
    </w:pPr>
    <w:rPr>
      <w:sz w:val="24"/>
      <w:szCs w:val="22"/>
    </w:rPr>
  </w:style>
  <w:style w:type="paragraph" w:styleId="Nagwek1">
    <w:name w:val="heading 1"/>
    <w:basedOn w:val="Normalny"/>
    <w:next w:val="Normalny"/>
    <w:link w:val="Nagwek1Znak"/>
    <w:uiPriority w:val="9"/>
    <w:semiHidden/>
    <w:pPr>
      <w:numPr>
        <w:numId w:val="22"/>
      </w:numPr>
      <w:spacing w:before="480"/>
      <w:contextualSpacing/>
      <w:outlineLvl w:val="0"/>
    </w:pPr>
    <w:rPr>
      <w:b/>
      <w:bCs/>
      <w:color w:val="333333"/>
      <w:sz w:val="28"/>
      <w:szCs w:val="28"/>
    </w:rPr>
  </w:style>
  <w:style w:type="paragraph" w:styleId="Nagwek2">
    <w:name w:val="heading 2"/>
    <w:basedOn w:val="Normalny"/>
    <w:next w:val="Normalny"/>
    <w:link w:val="Nagwek2Znak"/>
    <w:uiPriority w:val="9"/>
    <w:semiHidden/>
    <w:pPr>
      <w:numPr>
        <w:ilvl w:val="1"/>
        <w:numId w:val="22"/>
      </w:numPr>
      <w:spacing w:before="200"/>
      <w:outlineLvl w:val="1"/>
    </w:pPr>
    <w:rPr>
      <w:b/>
      <w:bCs/>
      <w:color w:val="4D4D4D"/>
      <w:sz w:val="26"/>
      <w:szCs w:val="26"/>
    </w:rPr>
  </w:style>
  <w:style w:type="paragraph" w:styleId="Nagwek3">
    <w:name w:val="heading 3"/>
    <w:basedOn w:val="Normalny"/>
    <w:next w:val="Normalny"/>
    <w:link w:val="Nagwek3Znak"/>
    <w:uiPriority w:val="9"/>
    <w:semiHidden/>
    <w:pPr>
      <w:numPr>
        <w:ilvl w:val="2"/>
        <w:numId w:val="22"/>
      </w:numPr>
      <w:spacing w:before="200" w:line="271" w:lineRule="auto"/>
      <w:outlineLvl w:val="2"/>
    </w:pPr>
    <w:rPr>
      <w:b/>
      <w:bCs/>
      <w:color w:val="5F5F5F"/>
    </w:rPr>
  </w:style>
  <w:style w:type="paragraph" w:styleId="Nagwek4">
    <w:name w:val="heading 4"/>
    <w:basedOn w:val="Normalny"/>
    <w:next w:val="Normalny"/>
    <w:link w:val="Nagwek4Znak"/>
    <w:uiPriority w:val="9"/>
    <w:semiHidden/>
    <w:pPr>
      <w:numPr>
        <w:ilvl w:val="3"/>
        <w:numId w:val="22"/>
      </w:numPr>
      <w:spacing w:before="200"/>
      <w:outlineLvl w:val="3"/>
    </w:pPr>
    <w:rPr>
      <w:b/>
      <w:bCs/>
      <w:i/>
      <w:iCs/>
      <w:color w:val="777777"/>
    </w:rPr>
  </w:style>
  <w:style w:type="paragraph" w:styleId="Nagwek5">
    <w:name w:val="heading 5"/>
    <w:basedOn w:val="Normalny"/>
    <w:next w:val="Normalny"/>
    <w:link w:val="Nagwek5Znak"/>
    <w:uiPriority w:val="99"/>
    <w:semiHidden/>
    <w:qFormat/>
    <w:pPr>
      <w:numPr>
        <w:ilvl w:val="4"/>
        <w:numId w:val="22"/>
      </w:numPr>
      <w:spacing w:before="200"/>
      <w:outlineLvl w:val="4"/>
    </w:pPr>
    <w:rPr>
      <w:b/>
      <w:bCs/>
      <w:color w:val="808080"/>
      <w:sz w:val="22"/>
    </w:rPr>
  </w:style>
  <w:style w:type="paragraph" w:styleId="Nagwek6">
    <w:name w:val="heading 6"/>
    <w:basedOn w:val="Normalny"/>
    <w:next w:val="Normalny"/>
    <w:link w:val="Nagwek6Znak"/>
    <w:uiPriority w:val="9"/>
    <w:semiHidden/>
    <w:pPr>
      <w:numPr>
        <w:ilvl w:val="5"/>
        <w:numId w:val="22"/>
      </w:numPr>
      <w:spacing w:line="271" w:lineRule="auto"/>
      <w:outlineLvl w:val="5"/>
    </w:pPr>
    <w:rPr>
      <w:b/>
      <w:bCs/>
      <w:i/>
      <w:iCs/>
      <w:color w:val="7F7F7F"/>
    </w:rPr>
  </w:style>
  <w:style w:type="paragraph" w:styleId="Nagwek7">
    <w:name w:val="heading 7"/>
    <w:basedOn w:val="Normalny"/>
    <w:next w:val="Normalny"/>
    <w:link w:val="Nagwek7Znak"/>
    <w:uiPriority w:val="99"/>
    <w:semiHidden/>
    <w:qFormat/>
    <w:pPr>
      <w:numPr>
        <w:ilvl w:val="6"/>
        <w:numId w:val="22"/>
      </w:numPr>
      <w:outlineLvl w:val="6"/>
    </w:pPr>
    <w:rPr>
      <w:i/>
      <w:iCs/>
      <w:sz w:val="22"/>
    </w:rPr>
  </w:style>
  <w:style w:type="paragraph" w:styleId="Nagwek8">
    <w:name w:val="heading 8"/>
    <w:basedOn w:val="Normalny"/>
    <w:next w:val="Normalny"/>
    <w:link w:val="Nagwek8Znak"/>
    <w:uiPriority w:val="99"/>
    <w:semiHidden/>
    <w:qFormat/>
    <w:pPr>
      <w:numPr>
        <w:ilvl w:val="7"/>
        <w:numId w:val="22"/>
      </w:numPr>
      <w:outlineLvl w:val="7"/>
    </w:pPr>
    <w:rPr>
      <w:sz w:val="20"/>
      <w:szCs w:val="20"/>
    </w:rPr>
  </w:style>
  <w:style w:type="paragraph" w:styleId="Nagwek9">
    <w:name w:val="heading 9"/>
    <w:basedOn w:val="Normalny"/>
    <w:next w:val="Normalny"/>
    <w:link w:val="Nagwek9Znak"/>
    <w:uiPriority w:val="99"/>
    <w:semiHidden/>
    <w:qFormat/>
    <w:pPr>
      <w:numPr>
        <w:ilvl w:val="8"/>
        <w:numId w:val="22"/>
      </w:numPr>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semiHidden/>
    <w:locked/>
    <w:rPr>
      <w:b/>
      <w:bCs/>
      <w:color w:val="333333"/>
      <w:sz w:val="28"/>
      <w:szCs w:val="28"/>
    </w:rPr>
  </w:style>
  <w:style w:type="character" w:customStyle="1" w:styleId="Nagwek2Znak">
    <w:name w:val="Nagłówek 2 Znak"/>
    <w:basedOn w:val="Domylnaczcionkaakapitu"/>
    <w:link w:val="Nagwek2"/>
    <w:uiPriority w:val="9"/>
    <w:semiHidden/>
    <w:locked/>
    <w:rPr>
      <w:b/>
      <w:bCs/>
      <w:color w:val="4D4D4D"/>
      <w:sz w:val="26"/>
      <w:szCs w:val="26"/>
    </w:rPr>
  </w:style>
  <w:style w:type="character" w:customStyle="1" w:styleId="Nagwek3Znak">
    <w:name w:val="Nagłówek 3 Znak"/>
    <w:basedOn w:val="Domylnaczcionkaakapitu"/>
    <w:link w:val="Nagwek3"/>
    <w:uiPriority w:val="9"/>
    <w:semiHidden/>
    <w:locked/>
    <w:rPr>
      <w:b/>
      <w:bCs/>
      <w:color w:val="5F5F5F"/>
      <w:sz w:val="24"/>
      <w:szCs w:val="22"/>
    </w:rPr>
  </w:style>
  <w:style w:type="character" w:customStyle="1" w:styleId="Nagwek4Znak">
    <w:name w:val="Nagłówek 4 Znak"/>
    <w:basedOn w:val="Domylnaczcionkaakapitu"/>
    <w:link w:val="Nagwek4"/>
    <w:uiPriority w:val="9"/>
    <w:semiHidden/>
    <w:locked/>
    <w:rPr>
      <w:b/>
      <w:bCs/>
      <w:i/>
      <w:iCs/>
      <w:color w:val="777777"/>
      <w:sz w:val="24"/>
      <w:szCs w:val="22"/>
    </w:rPr>
  </w:style>
  <w:style w:type="character" w:customStyle="1" w:styleId="Nagwek5Znak">
    <w:name w:val="Nagłówek 5 Znak"/>
    <w:basedOn w:val="Domylnaczcionkaakapitu"/>
    <w:link w:val="Nagwek5"/>
    <w:uiPriority w:val="99"/>
    <w:semiHidden/>
    <w:locked/>
    <w:rPr>
      <w:b/>
      <w:bCs/>
      <w:color w:val="808080"/>
      <w:sz w:val="22"/>
      <w:szCs w:val="22"/>
    </w:rPr>
  </w:style>
  <w:style w:type="character" w:customStyle="1" w:styleId="Nagwek6Znak">
    <w:name w:val="Nagłówek 6 Znak"/>
    <w:basedOn w:val="Domylnaczcionkaakapitu"/>
    <w:link w:val="Nagwek6"/>
    <w:uiPriority w:val="9"/>
    <w:semiHidden/>
    <w:locked/>
    <w:rPr>
      <w:b/>
      <w:bCs/>
      <w:i/>
      <w:iCs/>
      <w:color w:val="7F7F7F"/>
      <w:sz w:val="24"/>
      <w:szCs w:val="22"/>
    </w:rPr>
  </w:style>
  <w:style w:type="character" w:customStyle="1" w:styleId="Nagwek7Znak">
    <w:name w:val="Nagłówek 7 Znak"/>
    <w:basedOn w:val="Domylnaczcionkaakapitu"/>
    <w:link w:val="Nagwek7"/>
    <w:uiPriority w:val="99"/>
    <w:semiHidden/>
    <w:locked/>
    <w:rPr>
      <w:i/>
      <w:iCs/>
      <w:sz w:val="22"/>
      <w:szCs w:val="22"/>
    </w:rPr>
  </w:style>
  <w:style w:type="character" w:customStyle="1" w:styleId="Nagwek8Znak">
    <w:name w:val="Nagłówek 8 Znak"/>
    <w:basedOn w:val="Domylnaczcionkaakapitu"/>
    <w:link w:val="Nagwek8"/>
    <w:uiPriority w:val="99"/>
    <w:semiHidden/>
    <w:locked/>
  </w:style>
  <w:style w:type="character" w:customStyle="1" w:styleId="Nagwek9Znak">
    <w:name w:val="Nagłówek 9 Znak"/>
    <w:basedOn w:val="Domylnaczcionkaakapitu"/>
    <w:link w:val="Nagwek9"/>
    <w:uiPriority w:val="99"/>
    <w:semiHidden/>
    <w:locked/>
    <w:rPr>
      <w:i/>
      <w:iCs/>
      <w:spacing w:val="5"/>
    </w:rPr>
  </w:style>
  <w:style w:type="paragraph" w:customStyle="1" w:styleId="ECHRPara">
    <w:name w:val="ECHR_Para"/>
    <w:aliases w:val="Ju_Para"/>
    <w:basedOn w:val="Normalny"/>
    <w:link w:val="ECHRParaChar"/>
    <w:uiPriority w:val="12"/>
    <w:qFormat/>
    <w:pPr>
      <w:ind w:firstLine="284"/>
    </w:pPr>
  </w:style>
  <w:style w:type="character" w:customStyle="1" w:styleId="ECHRParaChar">
    <w:name w:val="ECHR_Para Char"/>
    <w:aliases w:val="Ju_Para Char"/>
    <w:link w:val="ECHRPara"/>
    <w:uiPriority w:val="12"/>
    <w:locked/>
    <w:rPr>
      <w:rFonts w:eastAsia="Times New Roman"/>
      <w:sz w:val="24"/>
      <w:lang w:val="pl-PL" w:eastAsia="pl-PL"/>
    </w:rPr>
  </w:style>
  <w:style w:type="paragraph" w:customStyle="1" w:styleId="ECHRHeading1">
    <w:name w:val="ECHR_Heading_1"/>
    <w:aliases w:val="Ju_H_I_Roman"/>
    <w:basedOn w:val="Nagwek1"/>
    <w:next w:val="ECHRPara"/>
    <w:uiPriority w:val="19"/>
    <w:qFormat/>
    <w:pPr>
      <w:keepNext/>
      <w:keepLines/>
      <w:tabs>
        <w:tab w:val="left" w:pos="357"/>
      </w:tabs>
      <w:spacing w:before="360" w:after="240"/>
      <w:ind w:left="357" w:hanging="357"/>
      <w:contextualSpacing w:val="0"/>
    </w:pPr>
    <w:rPr>
      <w:b w:val="0"/>
      <w:color w:val="000000"/>
      <w:sz w:val="24"/>
    </w:rPr>
  </w:style>
  <w:style w:type="paragraph" w:customStyle="1" w:styleId="ECHRTitle1">
    <w:name w:val="ECHR_Title_1"/>
    <w:aliases w:val="Ju_H_Head"/>
    <w:basedOn w:val="Normalny"/>
    <w:next w:val="ECHRPara"/>
    <w:uiPriority w:val="18"/>
    <w:qFormat/>
    <w:pPr>
      <w:keepNext/>
      <w:keepLines/>
      <w:spacing w:before="720" w:after="240"/>
      <w:outlineLvl w:val="0"/>
    </w:pPr>
    <w:rPr>
      <w:sz w:val="28"/>
    </w:rPr>
  </w:style>
  <w:style w:type="paragraph" w:styleId="Stopka">
    <w:name w:val="footer"/>
    <w:basedOn w:val="Normalny"/>
    <w:link w:val="StopkaZnak"/>
    <w:uiPriority w:val="99"/>
    <w:semiHidden/>
    <w:pPr>
      <w:tabs>
        <w:tab w:val="center" w:pos="4536"/>
        <w:tab w:val="right" w:pos="9696"/>
      </w:tabs>
      <w:ind w:left="-680" w:right="-680"/>
    </w:pPr>
  </w:style>
  <w:style w:type="character" w:customStyle="1" w:styleId="StopkaZnak">
    <w:name w:val="Stopka Znak"/>
    <w:basedOn w:val="Domylnaczcionkaakapitu"/>
    <w:link w:val="Stopka"/>
    <w:uiPriority w:val="57"/>
    <w:semiHidden/>
    <w:locked/>
    <w:rPr>
      <w:rFonts w:cs="Times New Roman"/>
      <w:sz w:val="24"/>
      <w:lang w:val="pl-PL" w:eastAsia="pl-PL"/>
    </w:rPr>
  </w:style>
  <w:style w:type="paragraph" w:customStyle="1" w:styleId="JuAppQuestion">
    <w:name w:val="Ju_App_Question"/>
    <w:basedOn w:val="Normalny"/>
    <w:uiPriority w:val="5"/>
    <w:pPr>
      <w:numPr>
        <w:numId w:val="21"/>
      </w:numPr>
      <w:jc w:val="left"/>
    </w:pPr>
    <w:rPr>
      <w:b/>
    </w:rPr>
  </w:style>
  <w:style w:type="paragraph" w:customStyle="1" w:styleId="ECHRHeading2">
    <w:name w:val="ECHR_Heading_2"/>
    <w:aliases w:val="Ju_H_A"/>
    <w:basedOn w:val="Nagwek2"/>
    <w:next w:val="ECHRPara"/>
    <w:uiPriority w:val="20"/>
    <w:qFormat/>
    <w:pPr>
      <w:keepNext/>
      <w:keepLines/>
      <w:tabs>
        <w:tab w:val="left" w:pos="584"/>
      </w:tabs>
      <w:spacing w:before="360" w:after="240"/>
      <w:ind w:left="584" w:hanging="352"/>
    </w:pPr>
    <w:rPr>
      <w:color w:val="000000"/>
      <w:sz w:val="24"/>
    </w:rPr>
  </w:style>
  <w:style w:type="paragraph" w:customStyle="1" w:styleId="ECHRParaQuote">
    <w:name w:val="ECHR_Para_Quote"/>
    <w:aliases w:val="Ju_Quot"/>
    <w:basedOn w:val="Normalny"/>
    <w:uiPriority w:val="14"/>
    <w:qFormat/>
    <w:pPr>
      <w:spacing w:before="120" w:after="120"/>
      <w:ind w:left="425" w:firstLine="142"/>
    </w:pPr>
    <w:rPr>
      <w:sz w:val="20"/>
    </w:rPr>
  </w:style>
  <w:style w:type="paragraph" w:customStyle="1" w:styleId="JuSigned">
    <w:name w:val="Ju_Signed"/>
    <w:basedOn w:val="Normalny"/>
    <w:next w:val="JuParaLast"/>
    <w:uiPriority w:val="32"/>
    <w:qFormat/>
    <w:pPr>
      <w:tabs>
        <w:tab w:val="center" w:pos="851"/>
        <w:tab w:val="center" w:pos="6407"/>
      </w:tabs>
      <w:spacing w:before="720"/>
      <w:jc w:val="left"/>
    </w:pPr>
  </w:style>
  <w:style w:type="paragraph" w:customStyle="1" w:styleId="JuParaLast">
    <w:name w:val="Ju_Para_Last"/>
    <w:basedOn w:val="Normalny"/>
    <w:next w:val="ECHRPara"/>
    <w:uiPriority w:val="30"/>
    <w:qFormat/>
    <w:pPr>
      <w:keepNext/>
      <w:keepLines/>
      <w:spacing w:before="240"/>
      <w:ind w:firstLine="284"/>
    </w:pPr>
  </w:style>
  <w:style w:type="paragraph" w:customStyle="1" w:styleId="JuCase">
    <w:name w:val="Ju_Case"/>
    <w:basedOn w:val="Normalny"/>
    <w:next w:val="ECHRPara"/>
    <w:uiPriority w:val="10"/>
    <w:pPr>
      <w:ind w:firstLine="284"/>
    </w:pPr>
    <w:rPr>
      <w:b/>
    </w:rPr>
  </w:style>
  <w:style w:type="paragraph" w:customStyle="1" w:styleId="JuList">
    <w:name w:val="Ju_List"/>
    <w:basedOn w:val="Normalny"/>
    <w:uiPriority w:val="28"/>
    <w:qFormat/>
    <w:pPr>
      <w:ind w:left="340" w:hanging="340"/>
    </w:pPr>
  </w:style>
  <w:style w:type="paragraph" w:customStyle="1" w:styleId="ECHRHeading3">
    <w:name w:val="ECHR_Heading_3"/>
    <w:aliases w:val="Ju_H_1."/>
    <w:basedOn w:val="Nagwek3"/>
    <w:next w:val="ECHRPara"/>
    <w:uiPriority w:val="21"/>
    <w:qFormat/>
    <w:pPr>
      <w:keepNext/>
      <w:keepLines/>
      <w:tabs>
        <w:tab w:val="left" w:pos="731"/>
      </w:tabs>
      <w:spacing w:before="240" w:after="120" w:line="240" w:lineRule="auto"/>
      <w:ind w:left="732" w:hanging="301"/>
    </w:pPr>
    <w:rPr>
      <w:b w:val="0"/>
      <w:i/>
      <w:color w:val="000000"/>
    </w:rPr>
  </w:style>
  <w:style w:type="paragraph" w:styleId="Tekstkomentarza">
    <w:name w:val="annotation text"/>
    <w:basedOn w:val="Normalny"/>
    <w:link w:val="TekstkomentarzaZnak"/>
    <w:uiPriority w:val="99"/>
    <w:semiHidden/>
    <w:rPr>
      <w:sz w:val="20"/>
    </w:rPr>
  </w:style>
  <w:style w:type="character" w:customStyle="1" w:styleId="TekstkomentarzaZnak">
    <w:name w:val="Tekst komentarza Znak"/>
    <w:basedOn w:val="Domylnaczcionkaakapitu"/>
    <w:link w:val="Tekstkomentarza"/>
    <w:uiPriority w:val="99"/>
    <w:semiHidden/>
    <w:locked/>
    <w:rPr>
      <w:rFonts w:eastAsia="Times New Roman" w:cs="Times New Roman"/>
      <w:sz w:val="20"/>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locked/>
    <w:rPr>
      <w:rFonts w:eastAsia="Times New Roman" w:cs="Times New Roman"/>
      <w:b/>
      <w:sz w:val="20"/>
      <w:lang w:val="pl-PL" w:eastAsia="pl-PL"/>
    </w:rPr>
  </w:style>
  <w:style w:type="paragraph" w:customStyle="1" w:styleId="OpiParaSub">
    <w:name w:val="Opi_Para_Sub"/>
    <w:basedOn w:val="JuParaSub"/>
    <w:uiPriority w:val="47"/>
    <w:qFormat/>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basedOn w:val="Domylnaczcionkaakapitu"/>
    <w:link w:val="Tekstprzypisudolnego"/>
    <w:uiPriority w:val="99"/>
    <w:semiHidden/>
    <w:locked/>
    <w:rPr>
      <w:rFonts w:eastAsia="Times New Roman" w:cs="Times New Roman"/>
      <w:sz w:val="20"/>
      <w:lang w:val="pl-PL" w:eastAsia="pl-PL"/>
    </w:rPr>
  </w:style>
  <w:style w:type="character" w:styleId="Odwoanieprzypisudolnego">
    <w:name w:val="footnote reference"/>
    <w:basedOn w:val="Domylnaczcionkaakapitu"/>
    <w:uiPriority w:val="99"/>
    <w:semiHidden/>
    <w:rPr>
      <w:rFonts w:cs="Times New Roman"/>
      <w:vertAlign w:val="superscript"/>
      <w:lang w:val="pl-PL" w:eastAsia="pl-PL"/>
    </w:rPr>
  </w:style>
  <w:style w:type="paragraph" w:styleId="Nagwek">
    <w:name w:val="header"/>
    <w:basedOn w:val="Normalny"/>
    <w:link w:val="NagwekZnak"/>
    <w:uiPriority w:val="99"/>
    <w:semiHidden/>
    <w:pPr>
      <w:tabs>
        <w:tab w:val="center" w:pos="4536"/>
        <w:tab w:val="right" w:pos="9072"/>
      </w:tabs>
    </w:pPr>
  </w:style>
  <w:style w:type="character" w:customStyle="1" w:styleId="NagwekZnak">
    <w:name w:val="Nagłówek Znak"/>
    <w:basedOn w:val="Domylnaczcionkaakapitu"/>
    <w:link w:val="Nagwek"/>
    <w:uiPriority w:val="57"/>
    <w:semiHidden/>
    <w:locked/>
    <w:rPr>
      <w:rFonts w:cs="Times New Roman"/>
      <w:sz w:val="24"/>
      <w:lang w:val="pl-PL" w:eastAsia="pl-PL"/>
    </w:rPr>
  </w:style>
  <w:style w:type="character" w:styleId="Numerstrony">
    <w:name w:val="page number"/>
    <w:basedOn w:val="Domylnaczcionkaakapitu"/>
    <w:uiPriority w:val="99"/>
    <w:semiHidden/>
    <w:rPr>
      <w:rFonts w:ascii="Times New Roman" w:hAnsi="Times New Roman" w:cs="Times New Roman"/>
      <w:sz w:val="18"/>
      <w:lang w:val="pl-PL" w:eastAsia="pl-PL"/>
    </w:rPr>
  </w:style>
  <w:style w:type="paragraph" w:customStyle="1" w:styleId="OpiQuot">
    <w:name w:val="Opi_Quot"/>
    <w:basedOn w:val="ECHRParaQuote"/>
    <w:uiPriority w:val="48"/>
    <w:qFormat/>
  </w:style>
  <w:style w:type="paragraph" w:customStyle="1" w:styleId="OpiQuotSub">
    <w:name w:val="Opi_Quot_Sub"/>
    <w:basedOn w:val="JuQuotSub"/>
    <w:uiPriority w:val="49"/>
    <w:qFormat/>
  </w:style>
  <w:style w:type="character" w:styleId="Odwoaniedokomentarza">
    <w:name w:val="annotation reference"/>
    <w:basedOn w:val="Domylnaczcionkaakapitu"/>
    <w:uiPriority w:val="99"/>
    <w:semiHidden/>
    <w:rPr>
      <w:rFonts w:cs="Times New Roman"/>
      <w:sz w:val="16"/>
      <w:lang w:val="pl-PL" w:eastAsia="pl-PL"/>
    </w:rPr>
  </w:style>
  <w:style w:type="paragraph" w:customStyle="1" w:styleId="JuInitialled">
    <w:name w:val="Ju_Initialled"/>
    <w:basedOn w:val="Normalny"/>
    <w:uiPriority w:val="31"/>
    <w:qFormat/>
    <w:pPr>
      <w:tabs>
        <w:tab w:val="center" w:pos="6407"/>
      </w:tabs>
      <w:spacing w:before="720"/>
      <w:jc w:val="right"/>
    </w:p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imes New Roman"/>
      <w:sz w:val="16"/>
      <w:lang w:val="pl-PL" w:eastAsia="pl-PL"/>
    </w:rPr>
  </w:style>
  <w:style w:type="character" w:styleId="Odwoanieprzypisukocowego">
    <w:name w:val="endnote reference"/>
    <w:basedOn w:val="Domylnaczcionkaakapitu"/>
    <w:uiPriority w:val="99"/>
    <w:semiHidden/>
    <w:rPr>
      <w:rFonts w:ascii="Times New Roman" w:hAnsi="Times New Roman" w:cs="Times New Roman"/>
      <w:vertAlign w:val="superscript"/>
      <w:lang w:val="pl-PL" w:eastAsia="pl-PL"/>
    </w:rPr>
  </w:style>
  <w:style w:type="paragraph" w:styleId="Tekstprzypisukocowego">
    <w:name w:val="endnote text"/>
    <w:basedOn w:val="Normalny"/>
    <w:link w:val="TekstprzypisukocowegoZnak"/>
    <w:uiPriority w:val="99"/>
    <w:semiHidden/>
    <w:rPr>
      <w:sz w:val="20"/>
    </w:rPr>
  </w:style>
  <w:style w:type="character" w:customStyle="1" w:styleId="TekstprzypisukocowegoZnak">
    <w:name w:val="Tekst przypisu końcowego Znak"/>
    <w:basedOn w:val="Domylnaczcionkaakapitu"/>
    <w:link w:val="Tekstprzypisukocowego"/>
    <w:uiPriority w:val="99"/>
    <w:semiHidden/>
    <w:locked/>
    <w:rPr>
      <w:rFonts w:eastAsia="Times New Roman" w:cs="Times New Roman"/>
      <w:sz w:val="20"/>
      <w:lang w:val="pl-PL" w:eastAsia="pl-PL"/>
    </w:rPr>
  </w:style>
  <w:style w:type="character" w:styleId="UyteHipercze">
    <w:name w:val="FollowedHyperlink"/>
    <w:basedOn w:val="Domylnaczcionkaakapitu"/>
    <w:uiPriority w:val="99"/>
    <w:semiHidden/>
    <w:rPr>
      <w:rFonts w:ascii="Times New Roman" w:hAnsi="Times New Roman" w:cs="Times New Roman"/>
      <w:color w:val="800080"/>
      <w:u w:val="single"/>
      <w:lang w:val="pl-PL" w:eastAsia="pl-PL"/>
    </w:rPr>
  </w:style>
  <w:style w:type="character" w:styleId="Hipercze">
    <w:name w:val="Hyperlink"/>
    <w:basedOn w:val="Domylnaczcionkaakapitu"/>
    <w:uiPriority w:val="99"/>
    <w:semiHidden/>
    <w:rPr>
      <w:rFonts w:cs="Times New Roman"/>
      <w:color w:val="0072BC"/>
      <w:u w:val="single"/>
      <w:lang w:val="pl-PL" w:eastAsia="pl-PL"/>
    </w:rPr>
  </w:style>
  <w:style w:type="character" w:styleId="Pogrubienie">
    <w:name w:val="Strong"/>
    <w:basedOn w:val="Domylnaczcionkaakapitu"/>
    <w:uiPriority w:val="99"/>
    <w:semiHidden/>
    <w:qFormat/>
    <w:rPr>
      <w:rFonts w:cs="Times New Roman"/>
      <w:b/>
      <w:lang w:val="pl-PL" w:eastAsia="pl-PL"/>
    </w:rPr>
  </w:style>
  <w:style w:type="paragraph" w:styleId="Mapadokumentu">
    <w:name w:val="Document Map"/>
    <w:basedOn w:val="Normalny"/>
    <w:link w:val="MapadokumentuZnak"/>
    <w:uiPriority w:val="99"/>
    <w:semiHidden/>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locked/>
    <w:rPr>
      <w:rFonts w:ascii="Segoe UI" w:hAnsi="Segoe UI" w:cs="Times New Roman"/>
      <w:sz w:val="16"/>
      <w:lang w:val="pl-PL" w:eastAsia="pl-PL"/>
    </w:rPr>
  </w:style>
  <w:style w:type="paragraph" w:styleId="Listapunktowana">
    <w:name w:val="List Bullet"/>
    <w:basedOn w:val="Normalny"/>
    <w:uiPriority w:val="99"/>
    <w:semiHidden/>
    <w:pPr>
      <w:numPr>
        <w:numId w:val="1"/>
      </w:numPr>
    </w:pPr>
  </w:style>
  <w:style w:type="character" w:styleId="Tytuksiki">
    <w:name w:val="Book Title"/>
    <w:basedOn w:val="Domylnaczcionkaakapitu"/>
    <w:uiPriority w:val="99"/>
    <w:semiHidden/>
    <w:qFormat/>
    <w:rPr>
      <w:rFonts w:cs="Times New Roman"/>
      <w:i/>
      <w:smallCaps/>
      <w:spacing w:val="5"/>
      <w:lang w:val="pl-PL" w:eastAsia="pl-PL"/>
    </w:rPr>
  </w:style>
  <w:style w:type="paragraph" w:styleId="Bezodstpw">
    <w:name w:val="No Spacing"/>
    <w:basedOn w:val="Normalny"/>
    <w:link w:val="BezodstpwZnak"/>
    <w:uiPriority w:val="1"/>
    <w:semiHidden/>
    <w:qFormat/>
    <w:rPr>
      <w:sz w:val="22"/>
    </w:rPr>
  </w:style>
  <w:style w:type="character" w:customStyle="1" w:styleId="BezodstpwZnak">
    <w:name w:val="Bez odstępów Znak"/>
    <w:link w:val="Bezodstpw"/>
    <w:semiHidden/>
    <w:locked/>
    <w:rPr>
      <w:rFonts w:eastAsia="Times New Roman"/>
      <w:lang w:val="pl-PL" w:eastAsia="pl-PL"/>
    </w:rPr>
  </w:style>
  <w:style w:type="paragraph" w:styleId="Tytu">
    <w:name w:val="Title"/>
    <w:basedOn w:val="Normalny"/>
    <w:next w:val="Normalny"/>
    <w:link w:val="TytuZnak"/>
    <w:uiPriority w:val="99"/>
    <w:semiHidden/>
    <w:qFormat/>
    <w:pPr>
      <w:pBdr>
        <w:bottom w:val="single" w:sz="4" w:space="1" w:color="auto"/>
      </w:pBdr>
      <w:contextualSpacing/>
    </w:pPr>
    <w:rPr>
      <w:spacing w:val="5"/>
      <w:sz w:val="52"/>
      <w:szCs w:val="52"/>
    </w:rPr>
  </w:style>
  <w:style w:type="character" w:customStyle="1" w:styleId="TytuZnak">
    <w:name w:val="Tytuł Znak"/>
    <w:basedOn w:val="Domylnaczcionkaakapitu"/>
    <w:link w:val="Tytu"/>
    <w:uiPriority w:val="99"/>
    <w:semiHidden/>
    <w:locked/>
    <w:rPr>
      <w:rFonts w:ascii="Times New Roman" w:hAnsi="Times New Roman" w:cs="Times New Roman"/>
      <w:spacing w:val="5"/>
      <w:sz w:val="52"/>
      <w:lang w:val="pl-PL" w:eastAsia="pl-PL"/>
    </w:rPr>
  </w:style>
  <w:style w:type="paragraph" w:styleId="Podtytu">
    <w:name w:val="Subtitle"/>
    <w:basedOn w:val="Normalny"/>
    <w:next w:val="Normalny"/>
    <w:link w:val="PodtytuZnak"/>
    <w:uiPriority w:val="99"/>
    <w:semiHidden/>
    <w:qFormat/>
    <w:pPr>
      <w:spacing w:after="600"/>
    </w:pPr>
    <w:rPr>
      <w:i/>
      <w:iCs/>
      <w:spacing w:val="13"/>
      <w:szCs w:val="24"/>
    </w:rPr>
  </w:style>
  <w:style w:type="character" w:customStyle="1" w:styleId="PodtytuZnak">
    <w:name w:val="Podtytuł Znak"/>
    <w:basedOn w:val="Domylnaczcionkaakapitu"/>
    <w:link w:val="Podtytu"/>
    <w:uiPriority w:val="99"/>
    <w:semiHidden/>
    <w:locked/>
    <w:rPr>
      <w:rFonts w:ascii="Times New Roman" w:hAnsi="Times New Roman" w:cs="Times New Roman"/>
      <w:i/>
      <w:spacing w:val="13"/>
      <w:sz w:val="24"/>
      <w:lang w:val="pl-PL" w:eastAsia="pl-PL"/>
    </w:rPr>
  </w:style>
  <w:style w:type="paragraph" w:customStyle="1" w:styleId="ECHRFooter">
    <w:name w:val="ECHR_Footer"/>
    <w:aliases w:val="Footer_ECHR"/>
    <w:basedOn w:val="Stopka"/>
    <w:uiPriority w:val="57"/>
    <w:semiHidden/>
    <w:pPr>
      <w:jc w:val="left"/>
    </w:pPr>
    <w:rPr>
      <w:sz w:val="8"/>
    </w:rPr>
  </w:style>
  <w:style w:type="paragraph" w:customStyle="1" w:styleId="ECHRFooterLine">
    <w:name w:val="ECHR_Footer_Line"/>
    <w:aliases w:val="Footer_Line"/>
    <w:basedOn w:val="Normalny"/>
    <w:next w:val="ECHRFooter"/>
    <w:uiPriority w:val="57"/>
    <w:semiHidden/>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Nagwek"/>
    <w:uiPriority w:val="4"/>
    <w:qFormat/>
    <w:pPr>
      <w:tabs>
        <w:tab w:val="clear" w:pos="4536"/>
        <w:tab w:val="clear" w:pos="9072"/>
        <w:tab w:val="center" w:pos="3686"/>
        <w:tab w:val="right" w:pos="7371"/>
      </w:tabs>
      <w:jc w:val="left"/>
    </w:pPr>
    <w:rPr>
      <w:sz w:val="18"/>
    </w:rPr>
  </w:style>
  <w:style w:type="character" w:styleId="Wyrnieniedelikatne">
    <w:name w:val="Subtle Emphasis"/>
    <w:basedOn w:val="Domylnaczcionkaakapitu"/>
    <w:uiPriority w:val="99"/>
    <w:semiHidden/>
    <w:qFormat/>
    <w:rPr>
      <w:rFonts w:cs="Times New Roman"/>
      <w:i/>
      <w:lang w:val="pl-PL" w:eastAsia="pl-PL"/>
    </w:rPr>
  </w:style>
  <w:style w:type="character" w:styleId="Uwydatnienie">
    <w:name w:val="Emphasis"/>
    <w:basedOn w:val="Domylnaczcionkaakapitu"/>
    <w:uiPriority w:val="99"/>
    <w:semiHidden/>
    <w:qFormat/>
    <w:rPr>
      <w:rFonts w:cs="Times New Roman"/>
      <w:b/>
      <w:i/>
      <w:spacing w:val="10"/>
      <w:lang w:val="pl-PL" w:eastAsia="pl-PL"/>
    </w:rPr>
  </w:style>
  <w:style w:type="character" w:styleId="Wyrnienieintensywne">
    <w:name w:val="Intense Emphasis"/>
    <w:basedOn w:val="Domylnaczcionkaakapitu"/>
    <w:uiPriority w:val="99"/>
    <w:semiHidden/>
    <w:qFormat/>
    <w:rPr>
      <w:rFonts w:cs="Times New Roman"/>
      <w:b/>
      <w:lang w:val="pl-PL" w:eastAsia="pl-PL"/>
    </w:rPr>
  </w:style>
  <w:style w:type="paragraph" w:styleId="Cytatintensywny">
    <w:name w:val="Intense Quote"/>
    <w:basedOn w:val="Normalny"/>
    <w:next w:val="Normalny"/>
    <w:link w:val="CytatintensywnyZnak"/>
    <w:uiPriority w:val="99"/>
    <w:semiHidden/>
    <w:qFormat/>
    <w:pPr>
      <w:pBdr>
        <w:bottom w:val="single" w:sz="4" w:space="1" w:color="auto"/>
      </w:pBdr>
      <w:spacing w:before="200" w:after="280"/>
      <w:ind w:left="1008" w:right="1152"/>
    </w:pPr>
    <w:rPr>
      <w:b/>
      <w:bCs/>
      <w:i/>
      <w:iCs/>
      <w:sz w:val="22"/>
    </w:rPr>
  </w:style>
  <w:style w:type="character" w:customStyle="1" w:styleId="CytatintensywnyZnak">
    <w:name w:val="Cytat intensywny Znak"/>
    <w:basedOn w:val="Domylnaczcionkaakapitu"/>
    <w:link w:val="Cytatintensywny"/>
    <w:uiPriority w:val="99"/>
    <w:semiHidden/>
    <w:locked/>
    <w:rPr>
      <w:rFonts w:eastAsia="Times New Roman" w:cs="Times New Roman"/>
      <w:b/>
      <w:i/>
      <w:lang w:val="pl-PL" w:eastAsia="pl-PL"/>
    </w:rPr>
  </w:style>
  <w:style w:type="character" w:styleId="Odwoanieintensywne">
    <w:name w:val="Intense Reference"/>
    <w:basedOn w:val="Domylnaczcionkaakapitu"/>
    <w:uiPriority w:val="99"/>
    <w:semiHidden/>
    <w:qFormat/>
    <w:rPr>
      <w:rFonts w:cs="Times New Roman"/>
      <w:smallCaps/>
      <w:spacing w:val="5"/>
      <w:u w:val="single"/>
      <w:lang w:val="pl-PL" w:eastAsia="pl-PL"/>
    </w:rPr>
  </w:style>
  <w:style w:type="paragraph" w:customStyle="1" w:styleId="JuTitle">
    <w:name w:val="Ju_Title"/>
    <w:basedOn w:val="Normalny"/>
    <w:next w:val="ECHRPara"/>
    <w:uiPriority w:val="3"/>
    <w:pPr>
      <w:spacing w:before="720" w:after="240"/>
      <w:jc w:val="center"/>
      <w:outlineLvl w:val="0"/>
    </w:pPr>
    <w:rPr>
      <w:b/>
      <w:caps/>
    </w:rPr>
  </w:style>
  <w:style w:type="paragraph" w:customStyle="1" w:styleId="OpiPara">
    <w:name w:val="Opi_Para"/>
    <w:basedOn w:val="ECHRPara"/>
    <w:uiPriority w:val="46"/>
    <w:qFormat/>
  </w:style>
  <w:style w:type="paragraph" w:customStyle="1" w:styleId="JuParaSub">
    <w:name w:val="Ju_Para_Sub"/>
    <w:basedOn w:val="ECHRPara"/>
    <w:uiPriority w:val="13"/>
    <w:qFormat/>
    <w:pPr>
      <w:ind w:left="284"/>
    </w:pPr>
  </w:style>
  <w:style w:type="character" w:customStyle="1" w:styleId="JUNAMES">
    <w:name w:val="JU_NAMES"/>
    <w:uiPriority w:val="17"/>
    <w:qFormat/>
    <w:rPr>
      <w:smallCaps/>
      <w:lang w:val="pl-PL" w:eastAsia="pl-PL"/>
    </w:rPr>
  </w:style>
  <w:style w:type="character" w:customStyle="1" w:styleId="JuITMark">
    <w:name w:val="Ju_ITMark"/>
    <w:uiPriority w:val="38"/>
    <w:qFormat/>
    <w:rPr>
      <w:color w:val="000000"/>
      <w:sz w:val="14"/>
      <w:lang w:val="pl-PL" w:eastAsia="pl-PL"/>
    </w:rPr>
  </w:style>
  <w:style w:type="paragraph" w:customStyle="1" w:styleId="OpiTranslation">
    <w:name w:val="Opi_Translation"/>
    <w:basedOn w:val="Normalny"/>
    <w:next w:val="OpiPara"/>
    <w:uiPriority w:val="40"/>
    <w:qFormat/>
    <w:pPr>
      <w:jc w:val="center"/>
      <w:outlineLvl w:val="0"/>
    </w:pPr>
    <w:rPr>
      <w:i/>
    </w:rPr>
  </w:style>
  <w:style w:type="paragraph" w:styleId="Akapitzlist">
    <w:name w:val="List Paragraph"/>
    <w:basedOn w:val="Normalny"/>
    <w:uiPriority w:val="34"/>
    <w:qFormat/>
    <w:pPr>
      <w:ind w:left="720"/>
      <w:contextualSpacing/>
    </w:pPr>
  </w:style>
  <w:style w:type="paragraph" w:styleId="Cytat">
    <w:name w:val="Quote"/>
    <w:basedOn w:val="Normalny"/>
    <w:next w:val="Normalny"/>
    <w:link w:val="CytatZnak"/>
    <w:uiPriority w:val="99"/>
    <w:semiHidden/>
    <w:qFormat/>
    <w:pPr>
      <w:spacing w:before="200"/>
      <w:ind w:left="360" w:right="360"/>
    </w:pPr>
    <w:rPr>
      <w:i/>
      <w:iCs/>
      <w:sz w:val="22"/>
    </w:rPr>
  </w:style>
  <w:style w:type="character" w:customStyle="1" w:styleId="CytatZnak">
    <w:name w:val="Cytat Znak"/>
    <w:basedOn w:val="Domylnaczcionkaakapitu"/>
    <w:link w:val="Cytat"/>
    <w:uiPriority w:val="99"/>
    <w:semiHidden/>
    <w:locked/>
    <w:rPr>
      <w:rFonts w:eastAsia="Times New Roman" w:cs="Times New Roman"/>
      <w:i/>
      <w:lang w:val="pl-PL" w:eastAsia="pl-PL"/>
    </w:rPr>
  </w:style>
  <w:style w:type="character" w:styleId="Odwoaniedelikatne">
    <w:name w:val="Subtle Reference"/>
    <w:basedOn w:val="Domylnaczcionkaakapitu"/>
    <w:uiPriority w:val="99"/>
    <w:semiHidden/>
    <w:qFormat/>
    <w:rPr>
      <w:rFonts w:cs="Times New Roman"/>
      <w:smallCaps/>
      <w:lang w:val="pl-PL" w:eastAsia="pl-PL"/>
    </w:rPr>
  </w:style>
  <w:style w:type="table" w:styleId="Tabela-Siatka">
    <w:name w:val="Table Grid"/>
    <w:basedOn w:val="Standardowy"/>
    <w:uiPriority w:val="59"/>
    <w:semiHidden/>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pPr>
      <w:spacing w:before="120" w:after="60"/>
      <w:ind w:left="340" w:right="340" w:hanging="340"/>
    </w:pPr>
    <w:rPr>
      <w:color w:val="0D0D0D"/>
    </w:rPr>
  </w:style>
  <w:style w:type="paragraph" w:styleId="Spistreci2">
    <w:name w:val="toc 2"/>
    <w:basedOn w:val="Normalny"/>
    <w:next w:val="Normalny"/>
    <w:autoRedefine/>
    <w:uiPriority w:val="99"/>
    <w:semiHidden/>
    <w:pPr>
      <w:spacing w:after="60"/>
      <w:ind w:left="680" w:right="340" w:hanging="340"/>
    </w:pPr>
  </w:style>
  <w:style w:type="paragraph" w:styleId="Spistreci3">
    <w:name w:val="toc 3"/>
    <w:basedOn w:val="Normalny"/>
    <w:next w:val="Normalny"/>
    <w:autoRedefine/>
    <w:uiPriority w:val="99"/>
    <w:semiHidden/>
    <w:pPr>
      <w:spacing w:after="60"/>
      <w:ind w:left="1020" w:right="340" w:hanging="340"/>
    </w:pPr>
  </w:style>
  <w:style w:type="paragraph" w:styleId="Spistreci4">
    <w:name w:val="toc 4"/>
    <w:basedOn w:val="Normalny"/>
    <w:next w:val="Normalny"/>
    <w:autoRedefine/>
    <w:uiPriority w:val="99"/>
    <w:semiHidden/>
    <w:pPr>
      <w:tabs>
        <w:tab w:val="right" w:leader="dot" w:pos="9017"/>
      </w:tabs>
      <w:spacing w:after="60"/>
      <w:ind w:left="1361" w:right="340" w:hanging="340"/>
    </w:pPr>
  </w:style>
  <w:style w:type="paragraph" w:styleId="Spistreci5">
    <w:name w:val="toc 5"/>
    <w:basedOn w:val="Normalny"/>
    <w:next w:val="Normalny"/>
    <w:autoRedefine/>
    <w:uiPriority w:val="99"/>
    <w:semiHidden/>
    <w:pPr>
      <w:spacing w:after="60"/>
      <w:ind w:left="1701" w:right="340" w:hanging="340"/>
    </w:pPr>
  </w:style>
  <w:style w:type="paragraph" w:styleId="Nagwekspisutreci">
    <w:name w:val="TOC Heading"/>
    <w:basedOn w:val="Nagwek1"/>
    <w:next w:val="Normalny"/>
    <w:uiPriority w:val="99"/>
    <w:semiHidden/>
    <w:qFormat/>
    <w:pPr>
      <w:outlineLvl w:val="9"/>
    </w:pPr>
    <w:rPr>
      <w:color w:val="474747"/>
    </w:rPr>
  </w:style>
  <w:style w:type="paragraph" w:customStyle="1" w:styleId="ECHRTitleCentre3">
    <w:name w:val="ECHR_Title_Centre_3"/>
    <w:aliases w:val="Ju_H_Article"/>
    <w:basedOn w:val="Normalny"/>
    <w:next w:val="ECHRParaQuote"/>
    <w:uiPriority w:val="27"/>
    <w:qFormat/>
    <w:pPr>
      <w:keepNext/>
      <w:keepLines/>
      <w:spacing w:before="240" w:after="120"/>
      <w:jc w:val="center"/>
      <w:outlineLvl w:val="3"/>
    </w:pPr>
    <w:rPr>
      <w:b/>
      <w:sz w:val="20"/>
    </w:rPr>
  </w:style>
  <w:style w:type="paragraph" w:customStyle="1" w:styleId="ECHRTitleCentre2">
    <w:name w:val="ECHR_Title_Centre_2"/>
    <w:aliases w:val="Dec_H_Case"/>
    <w:basedOn w:val="Normalny"/>
    <w:next w:val="ECHRPara"/>
    <w:uiPriority w:val="8"/>
    <w:pPr>
      <w:spacing w:after="240"/>
      <w:jc w:val="center"/>
      <w:outlineLvl w:val="0"/>
    </w:pPr>
  </w:style>
  <w:style w:type="paragraph" w:customStyle="1" w:styleId="DecHTitle">
    <w:name w:val="Dec_H_Title"/>
    <w:basedOn w:val="ECHRTitleCentre1"/>
    <w:uiPriority w:val="7"/>
  </w:style>
  <w:style w:type="paragraph" w:customStyle="1" w:styleId="ECHRTitleCentre1">
    <w:name w:val="ECHR_Title_Centre_1"/>
    <w:aliases w:val="Opi_H_Head"/>
    <w:basedOn w:val="Normalny"/>
    <w:next w:val="OpiPara"/>
    <w:uiPriority w:val="39"/>
    <w:qFormat/>
    <w:pPr>
      <w:keepNext/>
      <w:keepLines/>
      <w:spacing w:after="240"/>
      <w:jc w:val="center"/>
      <w:outlineLvl w:val="0"/>
    </w:pPr>
    <w:rPr>
      <w:sz w:val="28"/>
    </w:rPr>
  </w:style>
  <w:style w:type="paragraph" w:customStyle="1" w:styleId="JuQuotSub">
    <w:name w:val="Ju_Quot_Sub"/>
    <w:basedOn w:val="ECHRParaQuote"/>
    <w:uiPriority w:val="15"/>
    <w:qFormat/>
    <w:pPr>
      <w:ind w:left="567"/>
    </w:pPr>
  </w:style>
  <w:style w:type="paragraph" w:customStyle="1" w:styleId="OpiHA">
    <w:name w:val="Opi_H_A"/>
    <w:basedOn w:val="ECHRHeading1"/>
    <w:next w:val="OpiPara"/>
    <w:uiPriority w:val="41"/>
    <w:qFormat/>
    <w:pPr>
      <w:tabs>
        <w:tab w:val="clear" w:pos="357"/>
      </w:tabs>
      <w:outlineLvl w:val="1"/>
    </w:pPr>
    <w:rPr>
      <w:b/>
    </w:rPr>
  </w:style>
  <w:style w:type="paragraph" w:customStyle="1" w:styleId="JuCourt">
    <w:name w:val="Ju_Court"/>
    <w:basedOn w:val="Normalny"/>
    <w:next w:val="Normalny"/>
    <w:uiPriority w:val="16"/>
    <w:qFormat/>
    <w:pPr>
      <w:tabs>
        <w:tab w:val="left" w:pos="907"/>
        <w:tab w:val="left" w:pos="1701"/>
        <w:tab w:val="right" w:pos="7371"/>
      </w:tabs>
      <w:spacing w:before="240"/>
      <w:ind w:left="397" w:hanging="397"/>
      <w:jc w:val="left"/>
    </w:pPr>
  </w:style>
  <w:style w:type="paragraph" w:customStyle="1" w:styleId="DecList">
    <w:name w:val="Dec_List"/>
    <w:basedOn w:val="Normalny"/>
    <w:uiPriority w:val="9"/>
    <w:pPr>
      <w:spacing w:before="240"/>
      <w:ind w:left="284"/>
    </w:pPr>
  </w:style>
  <w:style w:type="paragraph" w:customStyle="1" w:styleId="JuLista">
    <w:name w:val="Ju_List_a"/>
    <w:basedOn w:val="JuList"/>
    <w:uiPriority w:val="28"/>
    <w:qFormat/>
    <w:pPr>
      <w:ind w:left="346" w:firstLine="0"/>
    </w:pPr>
  </w:style>
  <w:style w:type="paragraph" w:customStyle="1" w:styleId="JuListi">
    <w:name w:val="Ju_List_i"/>
    <w:basedOn w:val="Normalny"/>
    <w:next w:val="JuLista"/>
    <w:uiPriority w:val="28"/>
    <w:qFormat/>
    <w:pPr>
      <w:ind w:left="794"/>
    </w:pPr>
  </w:style>
  <w:style w:type="paragraph" w:styleId="Nagwekwykazurde">
    <w:name w:val="toa heading"/>
    <w:basedOn w:val="Normalny"/>
    <w:next w:val="Normalny"/>
    <w:uiPriority w:val="99"/>
    <w:semiHidden/>
    <w:pPr>
      <w:spacing w:before="120"/>
    </w:pPr>
    <w:rPr>
      <w:b/>
      <w:bCs/>
      <w:color w:val="474747"/>
      <w:szCs w:val="24"/>
    </w:rPr>
  </w:style>
  <w:style w:type="paragraph" w:customStyle="1" w:styleId="ECHRHeading4">
    <w:name w:val="ECHR_Heading_4"/>
    <w:aliases w:val="Ju_H_a"/>
    <w:basedOn w:val="Nagwek4"/>
    <w:next w:val="ECHRPara"/>
    <w:uiPriority w:val="22"/>
    <w:qFormat/>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Nagwek5"/>
    <w:next w:val="ECHRPara"/>
    <w:uiPriority w:val="23"/>
    <w:qFormat/>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Nagwek6"/>
    <w:next w:val="ECHRPara"/>
    <w:uiPriority w:val="24"/>
    <w:qFormat/>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Nagwek7"/>
    <w:next w:val="ECHRPara"/>
    <w:uiPriority w:val="25"/>
    <w:qFormat/>
    <w:pPr>
      <w:keepNext/>
      <w:keepLines/>
      <w:spacing w:before="240" w:after="120"/>
      <w:ind w:left="1236"/>
    </w:pPr>
    <w:rPr>
      <w:sz w:val="20"/>
    </w:rPr>
  </w:style>
  <w:style w:type="paragraph" w:customStyle="1" w:styleId="OpiH1">
    <w:name w:val="Opi_H_1"/>
    <w:basedOn w:val="ECHRHeading2"/>
    <w:uiPriority w:val="42"/>
    <w:qFormat/>
    <w:pPr>
      <w:ind w:left="635" w:hanging="357"/>
      <w:outlineLvl w:val="2"/>
    </w:pPr>
  </w:style>
  <w:style w:type="paragraph" w:customStyle="1" w:styleId="ECHRDecisionBody">
    <w:name w:val="ECHR_Decision_Body"/>
    <w:aliases w:val="Ju_Judges"/>
    <w:basedOn w:val="Normalny"/>
    <w:uiPriority w:val="11"/>
    <w:qFormat/>
    <w:pPr>
      <w:tabs>
        <w:tab w:val="left" w:pos="567"/>
        <w:tab w:val="left" w:pos="1134"/>
      </w:tabs>
      <w:jc w:val="left"/>
    </w:pPr>
  </w:style>
  <w:style w:type="paragraph" w:customStyle="1" w:styleId="OpiHa0">
    <w:name w:val="Opi_H_a"/>
    <w:basedOn w:val="ECHRHeading3"/>
    <w:uiPriority w:val="43"/>
    <w:qFormat/>
    <w:pPr>
      <w:ind w:left="833" w:hanging="357"/>
      <w:outlineLvl w:val="3"/>
    </w:pPr>
    <w:rPr>
      <w:b/>
      <w:i w:val="0"/>
      <w:sz w:val="20"/>
    </w:rPr>
  </w:style>
  <w:style w:type="paragraph" w:customStyle="1" w:styleId="OpiHi">
    <w:name w:val="Opi_H_i"/>
    <w:basedOn w:val="ECHRHeading4"/>
    <w:uiPriority w:val="44"/>
    <w:qFormat/>
    <w:pPr>
      <w:ind w:left="1037" w:hanging="357"/>
      <w:outlineLvl w:val="4"/>
    </w:pPr>
    <w:rPr>
      <w:b w:val="0"/>
      <w:i/>
    </w:rPr>
  </w:style>
  <w:style w:type="table" w:customStyle="1" w:styleId="ECHRListTable">
    <w:name w:val="ECHR_List_Table"/>
    <w:basedOn w:val="Standardowy"/>
    <w:uiPriority w:val="99"/>
    <w:rPr>
      <w:lang w:val="en-US" w:eastAsia="en-US"/>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cs="Times New Roman"/>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fia">
    <w:name w:val="Bibliography"/>
    <w:basedOn w:val="Normalny"/>
    <w:next w:val="Normalny"/>
    <w:uiPriority w:val="99"/>
    <w:semiHidden/>
    <w:unhideWhenUsed/>
  </w:style>
  <w:style w:type="paragraph" w:styleId="Tekstblokowy">
    <w:name w:val="Block Text"/>
    <w:basedOn w:val="Normalny"/>
    <w:uiPriority w:val="99"/>
    <w:semiHidden/>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Tekstpodstawowy">
    <w:name w:val="Body Text"/>
    <w:basedOn w:val="Normalny"/>
    <w:link w:val="TekstpodstawowyZnak"/>
    <w:uiPriority w:val="99"/>
    <w:semiHidden/>
    <w:pPr>
      <w:spacing w:after="120"/>
    </w:pPr>
  </w:style>
  <w:style w:type="character" w:customStyle="1" w:styleId="TekstpodstawowyZnak">
    <w:name w:val="Tekst podstawowy Znak"/>
    <w:basedOn w:val="Domylnaczcionkaakapitu"/>
    <w:link w:val="Tekstpodstawowy"/>
    <w:uiPriority w:val="99"/>
    <w:locked/>
    <w:rPr>
      <w:rFonts w:eastAsia="Times New Roman" w:cs="Times New Roman"/>
      <w:sz w:val="24"/>
      <w:lang w:val="pl-PL" w:eastAsia="pl-PL"/>
    </w:rPr>
  </w:style>
  <w:style w:type="paragraph" w:styleId="Tekstpodstawowy2">
    <w:name w:val="Body Text 2"/>
    <w:basedOn w:val="Normalny"/>
    <w:link w:val="Tekstpodstawowy2Znak"/>
    <w:uiPriority w:val="99"/>
    <w:semiHidden/>
    <w:pPr>
      <w:spacing w:after="120" w:line="480" w:lineRule="auto"/>
    </w:pPr>
  </w:style>
  <w:style w:type="character" w:customStyle="1" w:styleId="Tekstpodstawowy2Znak">
    <w:name w:val="Tekst podstawowy 2 Znak"/>
    <w:basedOn w:val="Domylnaczcionkaakapitu"/>
    <w:link w:val="Tekstpodstawowy2"/>
    <w:uiPriority w:val="99"/>
    <w:locked/>
    <w:rPr>
      <w:rFonts w:eastAsia="Times New Roman" w:cs="Times New Roman"/>
      <w:sz w:val="24"/>
      <w:lang w:val="pl-PL" w:eastAsia="pl-PL"/>
    </w:rPr>
  </w:style>
  <w:style w:type="paragraph" w:styleId="Tekstpodstawowy3">
    <w:name w:val="Body Text 3"/>
    <w:basedOn w:val="Normalny"/>
    <w:link w:val="Tekstpodstawowy3Znak"/>
    <w:uiPriority w:val="99"/>
    <w:semiHidden/>
    <w:pPr>
      <w:spacing w:after="120"/>
    </w:pPr>
    <w:rPr>
      <w:sz w:val="16"/>
      <w:szCs w:val="16"/>
    </w:rPr>
  </w:style>
  <w:style w:type="character" w:customStyle="1" w:styleId="Tekstpodstawowy3Znak">
    <w:name w:val="Tekst podstawowy 3 Znak"/>
    <w:basedOn w:val="Domylnaczcionkaakapitu"/>
    <w:link w:val="Tekstpodstawowy3"/>
    <w:uiPriority w:val="99"/>
    <w:locked/>
    <w:rPr>
      <w:rFonts w:eastAsia="Times New Roman" w:cs="Times New Roman"/>
      <w:sz w:val="16"/>
      <w:lang w:val="pl-PL" w:eastAsia="pl-PL"/>
    </w:rPr>
  </w:style>
  <w:style w:type="paragraph" w:styleId="Tekstpodstawowyzwciciem">
    <w:name w:val="Body Text First Indent"/>
    <w:basedOn w:val="Tekstpodstawowy"/>
    <w:link w:val="TekstpodstawowyzwciciemZnak"/>
    <w:uiPriority w:val="99"/>
    <w:semiHidden/>
    <w:pPr>
      <w:spacing w:after="0"/>
      <w:ind w:firstLine="360"/>
    </w:pPr>
  </w:style>
  <w:style w:type="character" w:customStyle="1" w:styleId="TekstpodstawowyzwciciemZnak">
    <w:name w:val="Tekst podstawowy z wcięciem Znak"/>
    <w:basedOn w:val="TekstpodstawowyZnak"/>
    <w:link w:val="Tekstpodstawowyzwciciem"/>
    <w:uiPriority w:val="99"/>
    <w:locked/>
    <w:rPr>
      <w:rFonts w:eastAsia="Times New Roman" w:cs="Times New Roman"/>
      <w:sz w:val="24"/>
      <w:lang w:val="pl-PL" w:eastAsia="pl-PL"/>
    </w:rPr>
  </w:style>
  <w:style w:type="paragraph" w:styleId="Tekstpodstawowywcity">
    <w:name w:val="Body Text Indent"/>
    <w:basedOn w:val="Normalny"/>
    <w:link w:val="TekstpodstawowywcityZnak"/>
    <w:uiPriority w:val="99"/>
    <w:semiHidden/>
    <w:pPr>
      <w:spacing w:after="120"/>
      <w:ind w:left="283"/>
    </w:pPr>
  </w:style>
  <w:style w:type="character" w:customStyle="1" w:styleId="TekstpodstawowywcityZnak">
    <w:name w:val="Tekst podstawowy wcięty Znak"/>
    <w:basedOn w:val="Domylnaczcionkaakapitu"/>
    <w:link w:val="Tekstpodstawowywcity"/>
    <w:uiPriority w:val="99"/>
    <w:locked/>
    <w:rPr>
      <w:rFonts w:eastAsia="Times New Roman" w:cs="Times New Roman"/>
      <w:sz w:val="24"/>
      <w:lang w:val="pl-PL" w:eastAsia="pl-PL"/>
    </w:rPr>
  </w:style>
  <w:style w:type="paragraph" w:styleId="Tekstpodstawowyzwciciem2">
    <w:name w:val="Body Text First Indent 2"/>
    <w:basedOn w:val="Tekstpodstawowywcity"/>
    <w:link w:val="Tekstpodstawowyzwciciem2Znak"/>
    <w:uiPriority w:val="99"/>
    <w:semiHidden/>
    <w:pPr>
      <w:spacing w:after="0"/>
      <w:ind w:left="360" w:firstLine="360"/>
    </w:pPr>
  </w:style>
  <w:style w:type="character" w:customStyle="1" w:styleId="Tekstpodstawowyzwciciem2Znak">
    <w:name w:val="Tekst podstawowy z wcięciem 2 Znak"/>
    <w:basedOn w:val="TekstpodstawowywcityZnak"/>
    <w:link w:val="Tekstpodstawowyzwciciem2"/>
    <w:uiPriority w:val="99"/>
    <w:locked/>
    <w:rPr>
      <w:rFonts w:eastAsia="Times New Roman" w:cs="Times New Roman"/>
      <w:sz w:val="24"/>
      <w:lang w:val="pl-PL" w:eastAsia="pl-PL"/>
    </w:rPr>
  </w:style>
  <w:style w:type="paragraph" w:styleId="Tekstpodstawowywcity2">
    <w:name w:val="Body Text Indent 2"/>
    <w:basedOn w:val="Normalny"/>
    <w:link w:val="Tekstpodstawowywcity2Znak"/>
    <w:uiPriority w:val="99"/>
    <w:semiHidden/>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Pr>
      <w:rFonts w:eastAsia="Times New Roman" w:cs="Times New Roman"/>
      <w:sz w:val="24"/>
      <w:lang w:val="pl-PL" w:eastAsia="pl-PL"/>
    </w:rPr>
  </w:style>
  <w:style w:type="paragraph" w:styleId="Tekstpodstawowywcity3">
    <w:name w:val="Body Text Indent 3"/>
    <w:basedOn w:val="Normalny"/>
    <w:link w:val="Tekstpodstawowywcity3Znak"/>
    <w:uiPriority w:val="99"/>
    <w:semiHidden/>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Pr>
      <w:rFonts w:eastAsia="Times New Roman" w:cs="Times New Roman"/>
      <w:sz w:val="16"/>
      <w:lang w:val="pl-PL" w:eastAsia="pl-PL"/>
    </w:rPr>
  </w:style>
  <w:style w:type="paragraph" w:styleId="Legenda">
    <w:name w:val="caption"/>
    <w:basedOn w:val="Normalny"/>
    <w:next w:val="Normalny"/>
    <w:uiPriority w:val="99"/>
    <w:semiHidden/>
    <w:qFormat/>
    <w:pPr>
      <w:spacing w:after="200"/>
    </w:pPr>
    <w:rPr>
      <w:b/>
      <w:bCs/>
      <w:color w:val="0072BC"/>
      <w:sz w:val="18"/>
      <w:szCs w:val="18"/>
    </w:rPr>
  </w:style>
  <w:style w:type="paragraph" w:styleId="Zwrotpoegnalny">
    <w:name w:val="Closing"/>
    <w:basedOn w:val="Normalny"/>
    <w:link w:val="ZwrotpoegnalnyZnak"/>
    <w:uiPriority w:val="99"/>
    <w:semiHidden/>
    <w:pPr>
      <w:ind w:left="4252"/>
    </w:pPr>
  </w:style>
  <w:style w:type="character" w:customStyle="1" w:styleId="ZwrotpoegnalnyZnak">
    <w:name w:val="Zwrot pożegnalny Znak"/>
    <w:basedOn w:val="Domylnaczcionkaakapitu"/>
    <w:link w:val="Zwrotpoegnalny"/>
    <w:uiPriority w:val="99"/>
    <w:locked/>
    <w:rPr>
      <w:rFonts w:eastAsia="Times New Roman" w:cs="Times New Roman"/>
      <w:sz w:val="24"/>
      <w:lang w:val="pl-PL" w:eastAsia="pl-PL"/>
    </w:rPr>
  </w:style>
  <w:style w:type="table" w:styleId="Kolorowasiatka">
    <w:name w:val="Colorful Grid"/>
    <w:basedOn w:val="Standardowy"/>
    <w:uiPriority w:val="99"/>
    <w:semiHidden/>
    <w:rPr>
      <w:color w:val="000000"/>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Kolorowasiatkaakcent1">
    <w:name w:val="Colorful Grid Accent 1"/>
    <w:basedOn w:val="Standardowy"/>
    <w:uiPriority w:val="99"/>
    <w:semiHidden/>
    <w:rPr>
      <w:color w:val="000000"/>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Kolorowasiatkaakcent2">
    <w:name w:val="Colorful Grid Accent 2"/>
    <w:basedOn w:val="Standardowy"/>
    <w:uiPriority w:val="99"/>
    <w:semiHidden/>
    <w:rPr>
      <w:color w:val="000000"/>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Kolorowasiatkaakcent3">
    <w:name w:val="Colorful Grid Accent 3"/>
    <w:basedOn w:val="Standardowy"/>
    <w:uiPriority w:val="99"/>
    <w:semiHidden/>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Kolorowasiatkaakcent4">
    <w:name w:val="Colorful Grid Accent 4"/>
    <w:basedOn w:val="Standardowy"/>
    <w:uiPriority w:val="99"/>
    <w:semiHidden/>
    <w:rPr>
      <w:color w:val="000000"/>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Kolorowasiatkaakcent5">
    <w:name w:val="Colorful Grid Accent 5"/>
    <w:basedOn w:val="Standardowy"/>
    <w:uiPriority w:val="99"/>
    <w:semiHidden/>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Kolorowasiatkaakcent6">
    <w:name w:val="Colorful Grid Accent 6"/>
    <w:basedOn w:val="Standardowy"/>
    <w:uiPriority w:val="99"/>
    <w:semiHidden/>
    <w:rPr>
      <w:color w:val="000000"/>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Kolorowalista">
    <w:name w:val="Colorful List"/>
    <w:basedOn w:val="Standardowy"/>
    <w:uiPriority w:val="99"/>
    <w:semiHidden/>
    <w:rPr>
      <w:color w:val="000000"/>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Kolorowalistaakcent1">
    <w:name w:val="Colorful List Accent 1"/>
    <w:basedOn w:val="Standardowy"/>
    <w:uiPriority w:val="99"/>
    <w:semiHidden/>
    <w:rPr>
      <w:color w:val="000000"/>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Kolorowalistaakcent2">
    <w:name w:val="Colorful List Accent 2"/>
    <w:basedOn w:val="Standardowy"/>
    <w:uiPriority w:val="99"/>
    <w:semiHidden/>
    <w:rPr>
      <w:color w:val="000000"/>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Kolorowalistaakcent3">
    <w:name w:val="Colorful List Accent 3"/>
    <w:basedOn w:val="Standardowy"/>
    <w:uiPriority w:val="99"/>
    <w:semiHidden/>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Kolorowalistaakcent4">
    <w:name w:val="Colorful List Accent 4"/>
    <w:basedOn w:val="Standardowy"/>
    <w:uiPriority w:val="99"/>
    <w:semiHidden/>
    <w:rPr>
      <w:color w:val="000000"/>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Kolorowalistaakcent5">
    <w:name w:val="Colorful List Accent 5"/>
    <w:basedOn w:val="Standardowy"/>
    <w:uiPriority w:val="99"/>
    <w:semiHidden/>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Kolorowalistaakcent6">
    <w:name w:val="Colorful List Accent 6"/>
    <w:basedOn w:val="Standardowy"/>
    <w:uiPriority w:val="99"/>
    <w:semiHidden/>
    <w:rPr>
      <w:color w:val="000000"/>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Kolorowecieniowanie">
    <w:name w:val="Colorful Shading"/>
    <w:basedOn w:val="Standardowy"/>
    <w:uiPriority w:val="99"/>
    <w:semiHidden/>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Kolorowecieniowanieakcent1">
    <w:name w:val="Colorful Shading Accent 1"/>
    <w:basedOn w:val="Standardowy"/>
    <w:uiPriority w:val="99"/>
    <w:semiHidden/>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Kolorowecieniowanieakcent2">
    <w:name w:val="Colorful Shading Accent 2"/>
    <w:basedOn w:val="Standardowy"/>
    <w:uiPriority w:val="99"/>
    <w:semiHidden/>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Kolorowecieniowanieakcent3">
    <w:name w:val="Colorful Shading Accent 3"/>
    <w:basedOn w:val="Standardowy"/>
    <w:uiPriority w:val="99"/>
    <w:semiHidden/>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Kolorowecieniowanieakcent4">
    <w:name w:val="Colorful Shading Accent 4"/>
    <w:basedOn w:val="Standardowy"/>
    <w:uiPriority w:val="99"/>
    <w:semiHidden/>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Kolorowecieniowanieakcent5">
    <w:name w:val="Colorful Shading Accent 5"/>
    <w:basedOn w:val="Standardowy"/>
    <w:uiPriority w:val="99"/>
    <w:semiHidden/>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Kolorowecieniowanieakcent6">
    <w:name w:val="Colorful Shading Accent 6"/>
    <w:basedOn w:val="Standardowy"/>
    <w:uiPriority w:val="99"/>
    <w:semiHidden/>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Ciemnalista">
    <w:name w:val="Dark List"/>
    <w:basedOn w:val="Standardowy"/>
    <w:uiPriority w:val="99"/>
    <w:semiHidden/>
    <w:rPr>
      <w:color w:val="0072BC"/>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Ciemnalista2akcent1">
    <w:name w:val="Dark List Accent 1"/>
    <w:basedOn w:val="Standardowy"/>
    <w:uiPriority w:val="99"/>
    <w:semiHidden/>
    <w:rPr>
      <w:color w:val="0072BC"/>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Ciemnalistaakcent2">
    <w:name w:val="Dark List Accent 2"/>
    <w:basedOn w:val="Standardowy"/>
    <w:uiPriority w:val="99"/>
    <w:semiHidden/>
    <w:rPr>
      <w:color w:val="0072BC"/>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Ciemnalistaakcent3">
    <w:name w:val="Dark List Accent 3"/>
    <w:basedOn w:val="Standardowy"/>
    <w:uiPriority w:val="99"/>
    <w:semiHidden/>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Ciemnalistaakcent4">
    <w:name w:val="Dark List Accent 4"/>
    <w:basedOn w:val="Standardowy"/>
    <w:uiPriority w:val="99"/>
    <w:semiHidden/>
    <w:rPr>
      <w:color w:val="0072BC"/>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Ciemnalistaakcent5">
    <w:name w:val="Dark List Accent 5"/>
    <w:basedOn w:val="Standardowy"/>
    <w:uiPriority w:val="99"/>
    <w:semiHidden/>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Ciemnalistaakcent6">
    <w:name w:val="Dark List Accent 6"/>
    <w:basedOn w:val="Standardowy"/>
    <w:uiPriority w:val="99"/>
    <w:semiHidden/>
    <w:rPr>
      <w:color w:val="0072BC"/>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a">
    <w:name w:val="Date"/>
    <w:basedOn w:val="Normalny"/>
    <w:next w:val="Normalny"/>
    <w:link w:val="DataZnak"/>
    <w:uiPriority w:val="99"/>
    <w:semiHidden/>
  </w:style>
  <w:style w:type="character" w:customStyle="1" w:styleId="DataZnak">
    <w:name w:val="Data Znak"/>
    <w:basedOn w:val="Domylnaczcionkaakapitu"/>
    <w:link w:val="Data"/>
    <w:uiPriority w:val="99"/>
    <w:locked/>
    <w:rPr>
      <w:rFonts w:eastAsia="Times New Roman" w:cs="Times New Roman"/>
      <w:sz w:val="24"/>
      <w:lang w:val="pl-PL" w:eastAsia="pl-PL"/>
    </w:rPr>
  </w:style>
  <w:style w:type="paragraph" w:styleId="Podpise-mail">
    <w:name w:val="E-mail Signature"/>
    <w:basedOn w:val="Normalny"/>
    <w:link w:val="Podpise-mailZnak"/>
    <w:uiPriority w:val="99"/>
    <w:semiHidden/>
  </w:style>
  <w:style w:type="character" w:customStyle="1" w:styleId="Podpise-mailZnak">
    <w:name w:val="Podpis e-mail Znak"/>
    <w:basedOn w:val="Domylnaczcionkaakapitu"/>
    <w:link w:val="Podpise-mail"/>
    <w:uiPriority w:val="99"/>
    <w:locked/>
    <w:rPr>
      <w:rFonts w:eastAsia="Times New Roman" w:cs="Times New Roman"/>
      <w:sz w:val="24"/>
      <w:lang w:val="pl-PL" w:eastAsia="pl-PL"/>
    </w:rPr>
  </w:style>
  <w:style w:type="paragraph" w:styleId="Adresnakopercie">
    <w:name w:val="envelope address"/>
    <w:basedOn w:val="Normalny"/>
    <w:uiPriority w:val="99"/>
    <w:semiHidden/>
    <w:pPr>
      <w:framePr w:w="7938" w:h="1985" w:hRule="exact" w:hSpace="141" w:wrap="auto" w:hAnchor="page" w:xAlign="center" w:yAlign="bottom"/>
      <w:ind w:left="2835"/>
    </w:pPr>
    <w:rPr>
      <w:szCs w:val="24"/>
    </w:rPr>
  </w:style>
  <w:style w:type="paragraph" w:styleId="Adreszwrotnynakopercie">
    <w:name w:val="envelope return"/>
    <w:basedOn w:val="Normalny"/>
    <w:uiPriority w:val="99"/>
    <w:semiHidden/>
    <w:rPr>
      <w:sz w:val="20"/>
      <w:szCs w:val="20"/>
    </w:rPr>
  </w:style>
  <w:style w:type="character" w:styleId="HTML-akronim">
    <w:name w:val="HTML Acronym"/>
    <w:basedOn w:val="Domylnaczcionkaakapitu"/>
    <w:uiPriority w:val="99"/>
    <w:semiHidden/>
    <w:rPr>
      <w:rFonts w:cs="Times New Roman"/>
      <w:lang w:val="pl-PL" w:eastAsia="pl-PL"/>
    </w:rPr>
  </w:style>
  <w:style w:type="paragraph" w:styleId="HTML-adres">
    <w:name w:val="HTML Address"/>
    <w:basedOn w:val="Normalny"/>
    <w:link w:val="HTML-adresZnak"/>
    <w:uiPriority w:val="99"/>
    <w:semiHidden/>
    <w:rPr>
      <w:i/>
      <w:iCs/>
    </w:rPr>
  </w:style>
  <w:style w:type="character" w:customStyle="1" w:styleId="HTML-adresZnak">
    <w:name w:val="HTML - adres Znak"/>
    <w:basedOn w:val="Domylnaczcionkaakapitu"/>
    <w:link w:val="HTML-adres"/>
    <w:uiPriority w:val="99"/>
    <w:locked/>
    <w:rPr>
      <w:rFonts w:eastAsia="Times New Roman" w:cs="Times New Roman"/>
      <w:i/>
      <w:sz w:val="24"/>
      <w:lang w:val="pl-PL" w:eastAsia="pl-PL"/>
    </w:rPr>
  </w:style>
  <w:style w:type="character" w:styleId="HTML-cytat">
    <w:name w:val="HTML Cite"/>
    <w:basedOn w:val="Domylnaczcionkaakapitu"/>
    <w:uiPriority w:val="99"/>
    <w:semiHidden/>
    <w:rPr>
      <w:rFonts w:cs="Times New Roman"/>
      <w:i/>
      <w:lang w:val="pl-PL" w:eastAsia="pl-PL"/>
    </w:rPr>
  </w:style>
  <w:style w:type="character" w:styleId="HTML-kod">
    <w:name w:val="HTML Code"/>
    <w:basedOn w:val="Domylnaczcionkaakapitu"/>
    <w:uiPriority w:val="99"/>
    <w:semiHidden/>
    <w:rPr>
      <w:rFonts w:ascii="Consolas" w:hAnsi="Consolas" w:cs="Times New Roman"/>
      <w:sz w:val="20"/>
      <w:lang w:val="pl-PL" w:eastAsia="pl-PL"/>
    </w:rPr>
  </w:style>
  <w:style w:type="character" w:styleId="HTML-definicja">
    <w:name w:val="HTML Definition"/>
    <w:basedOn w:val="Domylnaczcionkaakapitu"/>
    <w:uiPriority w:val="99"/>
    <w:semiHidden/>
    <w:rPr>
      <w:rFonts w:cs="Times New Roman"/>
      <w:i/>
      <w:lang w:val="pl-PL" w:eastAsia="pl-PL"/>
    </w:rPr>
  </w:style>
  <w:style w:type="character" w:styleId="HTML-klawiatura">
    <w:name w:val="HTML Keyboard"/>
    <w:basedOn w:val="Domylnaczcionkaakapitu"/>
    <w:uiPriority w:val="99"/>
    <w:semiHidden/>
    <w:rPr>
      <w:rFonts w:ascii="Consolas" w:hAnsi="Consolas" w:cs="Times New Roman"/>
      <w:sz w:val="20"/>
      <w:lang w:val="pl-PL" w:eastAsia="pl-PL"/>
    </w:rPr>
  </w:style>
  <w:style w:type="paragraph" w:styleId="HTML-wstpniesformatowany">
    <w:name w:val="HTML Preformatted"/>
    <w:basedOn w:val="Normalny"/>
    <w:link w:val="HTML-wstpniesformatowanyZnak"/>
    <w:uiPriority w:val="99"/>
    <w:semiHidden/>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locked/>
    <w:rPr>
      <w:rFonts w:ascii="Consolas" w:hAnsi="Consolas" w:cs="Times New Roman"/>
      <w:sz w:val="20"/>
      <w:lang w:val="pl-PL" w:eastAsia="pl-PL"/>
    </w:rPr>
  </w:style>
  <w:style w:type="character" w:styleId="HTML-przykad">
    <w:name w:val="HTML Sample"/>
    <w:basedOn w:val="Domylnaczcionkaakapitu"/>
    <w:uiPriority w:val="99"/>
    <w:semiHidden/>
    <w:rPr>
      <w:rFonts w:ascii="Consolas" w:hAnsi="Consolas" w:cs="Times New Roman"/>
      <w:sz w:val="24"/>
      <w:lang w:val="pl-PL" w:eastAsia="pl-PL"/>
    </w:rPr>
  </w:style>
  <w:style w:type="character" w:styleId="HTML-staaszeroko">
    <w:name w:val="HTML Typewriter"/>
    <w:basedOn w:val="Domylnaczcionkaakapitu"/>
    <w:uiPriority w:val="99"/>
    <w:semiHidden/>
    <w:rPr>
      <w:rFonts w:ascii="Consolas" w:hAnsi="Consolas" w:cs="Times New Roman"/>
      <w:sz w:val="20"/>
      <w:lang w:val="pl-PL" w:eastAsia="pl-PL"/>
    </w:rPr>
  </w:style>
  <w:style w:type="character" w:styleId="HTML-zmienna">
    <w:name w:val="HTML Variable"/>
    <w:basedOn w:val="Domylnaczcionkaakapitu"/>
    <w:uiPriority w:val="99"/>
    <w:semiHidden/>
    <w:rPr>
      <w:rFonts w:cs="Times New Roman"/>
      <w:i/>
      <w:lang w:val="pl-PL" w:eastAsia="pl-PL"/>
    </w:rPr>
  </w:style>
  <w:style w:type="paragraph" w:styleId="Indeks1">
    <w:name w:val="index 1"/>
    <w:basedOn w:val="Normalny"/>
    <w:next w:val="Normalny"/>
    <w:autoRedefine/>
    <w:uiPriority w:val="99"/>
    <w:semiHidden/>
    <w:pPr>
      <w:ind w:left="240" w:hanging="240"/>
    </w:pPr>
  </w:style>
  <w:style w:type="paragraph" w:styleId="Indeks2">
    <w:name w:val="index 2"/>
    <w:basedOn w:val="Normalny"/>
    <w:next w:val="Normalny"/>
    <w:autoRedefine/>
    <w:uiPriority w:val="99"/>
    <w:semiHidden/>
    <w:pPr>
      <w:ind w:left="480" w:hanging="240"/>
    </w:pPr>
  </w:style>
  <w:style w:type="paragraph" w:styleId="Indeks3">
    <w:name w:val="index 3"/>
    <w:basedOn w:val="Normalny"/>
    <w:next w:val="Normalny"/>
    <w:autoRedefine/>
    <w:uiPriority w:val="99"/>
    <w:semiHidden/>
    <w:pPr>
      <w:ind w:left="720" w:hanging="240"/>
    </w:pPr>
  </w:style>
  <w:style w:type="paragraph" w:styleId="Indeks4">
    <w:name w:val="index 4"/>
    <w:basedOn w:val="Normalny"/>
    <w:next w:val="Normalny"/>
    <w:autoRedefine/>
    <w:uiPriority w:val="99"/>
    <w:semiHidden/>
    <w:pPr>
      <w:ind w:left="960" w:hanging="240"/>
    </w:pPr>
  </w:style>
  <w:style w:type="paragraph" w:styleId="Indeks5">
    <w:name w:val="index 5"/>
    <w:basedOn w:val="Normalny"/>
    <w:next w:val="Normalny"/>
    <w:autoRedefine/>
    <w:uiPriority w:val="99"/>
    <w:semiHidden/>
    <w:pPr>
      <w:ind w:left="1200" w:hanging="240"/>
    </w:pPr>
  </w:style>
  <w:style w:type="paragraph" w:styleId="Indeks6">
    <w:name w:val="index 6"/>
    <w:basedOn w:val="Normalny"/>
    <w:next w:val="Normalny"/>
    <w:autoRedefine/>
    <w:uiPriority w:val="99"/>
    <w:semiHidden/>
    <w:pPr>
      <w:ind w:left="1440" w:hanging="240"/>
    </w:pPr>
  </w:style>
  <w:style w:type="paragraph" w:styleId="Indeks7">
    <w:name w:val="index 7"/>
    <w:basedOn w:val="Normalny"/>
    <w:next w:val="Normalny"/>
    <w:autoRedefine/>
    <w:uiPriority w:val="99"/>
    <w:semiHidden/>
    <w:pPr>
      <w:ind w:left="1680" w:hanging="240"/>
    </w:pPr>
  </w:style>
  <w:style w:type="paragraph" w:styleId="Indeks8">
    <w:name w:val="index 8"/>
    <w:basedOn w:val="Normalny"/>
    <w:next w:val="Normalny"/>
    <w:autoRedefine/>
    <w:uiPriority w:val="99"/>
    <w:semiHidden/>
    <w:pPr>
      <w:ind w:left="1920" w:hanging="240"/>
    </w:pPr>
  </w:style>
  <w:style w:type="paragraph" w:styleId="Indeks9">
    <w:name w:val="index 9"/>
    <w:basedOn w:val="Normalny"/>
    <w:next w:val="Normalny"/>
    <w:autoRedefine/>
    <w:uiPriority w:val="99"/>
    <w:semiHidden/>
    <w:pPr>
      <w:ind w:left="2160" w:hanging="240"/>
    </w:pPr>
  </w:style>
  <w:style w:type="paragraph" w:styleId="Nagwekindeksu">
    <w:name w:val="index heading"/>
    <w:basedOn w:val="Normalny"/>
    <w:next w:val="Indeks1"/>
    <w:uiPriority w:val="99"/>
    <w:semiHidden/>
    <w:rPr>
      <w:b/>
      <w:bCs/>
    </w:rPr>
  </w:style>
  <w:style w:type="table" w:styleId="Jasnasiatka">
    <w:name w:val="Light Grid"/>
    <w:basedOn w:val="Standardowy"/>
    <w:uiPriority w:val="99"/>
    <w:semiHidden/>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Times New Roman"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Times New Roman"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Jasnasiatkaakcent2">
    <w:name w:val="Light Grid Accent 2"/>
    <w:basedOn w:val="Standardowy"/>
    <w:uiPriority w:val="99"/>
    <w:semiHidden/>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Times New Roman"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Times New Roman"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Jasnasiatkaakcent3">
    <w:name w:val="Light Grid Accent 3"/>
    <w:basedOn w:val="Standardowy"/>
    <w:uiPriority w:val="99"/>
    <w:semiHidden/>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Jasnasiatkaakcent4">
    <w:name w:val="Light Grid Accent 4"/>
    <w:basedOn w:val="Standardowy"/>
    <w:uiPriority w:val="99"/>
    <w:semiHidden/>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Times New Roman"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Times New Roman"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Jasnasiatkaakcent5">
    <w:name w:val="Light Grid Accent 5"/>
    <w:basedOn w:val="Standardowy"/>
    <w:uiPriority w:val="99"/>
    <w:semiHidden/>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Jasnasiatkaakcent6">
    <w:name w:val="Light Grid Accent 6"/>
    <w:basedOn w:val="Standardowy"/>
    <w:uiPriority w:val="99"/>
    <w:semiHidden/>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Times New Roman"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Times New Roman"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Jasnalista">
    <w:name w:val="Light List"/>
    <w:basedOn w:val="Standardowy"/>
    <w:uiPriority w:val="99"/>
    <w:semiHidden/>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Jasnalistaakcent1">
    <w:name w:val="Light List Accent 1"/>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Jasnalistaakcent2">
    <w:name w:val="Light List Accent 2"/>
    <w:basedOn w:val="Standardowy"/>
    <w:uiPriority w:val="99"/>
    <w:semiHidden/>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Jasnalistaakcent3">
    <w:name w:val="Light List Accent 3"/>
    <w:basedOn w:val="Standardowy"/>
    <w:uiPriority w:val="99"/>
    <w:semiHidden/>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Jasnalistaakcent4">
    <w:name w:val="Light List Accent 4"/>
    <w:basedOn w:val="Standardowy"/>
    <w:uiPriority w:val="99"/>
    <w:semiHidden/>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Jasnalistaakcent5">
    <w:name w:val="Light List Accent 5"/>
    <w:basedOn w:val="Standardowy"/>
    <w:uiPriority w:val="99"/>
    <w:semiHidden/>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Jasnalistaakcent6">
    <w:name w:val="Light List Accent 6"/>
    <w:basedOn w:val="Standardowy"/>
    <w:uiPriority w:val="99"/>
    <w:semiHidden/>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Jasnecieniowanie">
    <w:name w:val="Light Shading"/>
    <w:basedOn w:val="Standardowy"/>
    <w:uiPriority w:val="99"/>
    <w:semiHidden/>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Jasnecieniowanieakcent1">
    <w:name w:val="Light Shading Accent 1"/>
    <w:basedOn w:val="Standardowy"/>
    <w:uiPriority w:val="99"/>
    <w:semiHidden/>
    <w:rPr>
      <w:color w:val="00548C"/>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Jasnecieniowanieakcent2">
    <w:name w:val="Light Shading Accent 2"/>
    <w:basedOn w:val="Standardowy"/>
    <w:uiPriority w:val="99"/>
    <w:semiHidden/>
    <w:rPr>
      <w:color w:val="8F0000"/>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Jasnecieniowanieakcent3">
    <w:name w:val="Light Shading Accent 3"/>
    <w:basedOn w:val="Standardowy"/>
    <w:uiPriority w:val="99"/>
    <w:semiHidden/>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Jasnecieniowanieakcent4">
    <w:name w:val="Light Shading Accent 4"/>
    <w:basedOn w:val="Standardowy"/>
    <w:uiPriority w:val="99"/>
    <w:semiHidden/>
    <w:rPr>
      <w:color w:val="707070"/>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Jasnecieniowanieakcent5">
    <w:name w:val="Light Shading Accent 5"/>
    <w:basedOn w:val="Standardowy"/>
    <w:uiPriority w:val="99"/>
    <w:semiHidden/>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Jasnecieniowanieakcent6">
    <w:name w:val="Light Shading Accent 6"/>
    <w:basedOn w:val="Standardowy"/>
    <w:uiPriority w:val="99"/>
    <w:semiHidden/>
    <w:rPr>
      <w:color w:val="393939"/>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Numerwiersza">
    <w:name w:val="line number"/>
    <w:basedOn w:val="Domylnaczcionkaakapitu"/>
    <w:uiPriority w:val="99"/>
    <w:semiHidden/>
    <w:rPr>
      <w:rFonts w:cs="Times New Roman"/>
      <w:lang w:val="pl-PL" w:eastAsia="pl-PL"/>
    </w:rPr>
  </w:style>
  <w:style w:type="paragraph" w:styleId="Lista">
    <w:name w:val="List"/>
    <w:basedOn w:val="Normalny"/>
    <w:uiPriority w:val="99"/>
    <w:semiHidden/>
    <w:pPr>
      <w:ind w:left="283" w:hanging="283"/>
      <w:contextualSpacing/>
    </w:pPr>
  </w:style>
  <w:style w:type="paragraph" w:styleId="Lista2">
    <w:name w:val="List 2"/>
    <w:basedOn w:val="Normalny"/>
    <w:uiPriority w:val="99"/>
    <w:semiHidden/>
    <w:pPr>
      <w:ind w:left="566" w:hanging="283"/>
      <w:contextualSpacing/>
    </w:pPr>
  </w:style>
  <w:style w:type="paragraph" w:styleId="Lista3">
    <w:name w:val="List 3"/>
    <w:basedOn w:val="Normalny"/>
    <w:uiPriority w:val="99"/>
    <w:semiHidden/>
    <w:pPr>
      <w:ind w:left="849" w:hanging="283"/>
      <w:contextualSpacing/>
    </w:pPr>
  </w:style>
  <w:style w:type="paragraph" w:styleId="Lista4">
    <w:name w:val="List 4"/>
    <w:basedOn w:val="Normalny"/>
    <w:uiPriority w:val="99"/>
    <w:semiHidden/>
    <w:pPr>
      <w:ind w:left="1132" w:hanging="283"/>
      <w:contextualSpacing/>
    </w:pPr>
  </w:style>
  <w:style w:type="paragraph" w:styleId="Lista5">
    <w:name w:val="List 5"/>
    <w:basedOn w:val="Normalny"/>
    <w:uiPriority w:val="99"/>
    <w:semiHidden/>
    <w:pPr>
      <w:ind w:left="1415" w:hanging="283"/>
      <w:contextualSpacing/>
    </w:pPr>
  </w:style>
  <w:style w:type="paragraph" w:styleId="Listapunktowana2">
    <w:name w:val="List Bullet 2"/>
    <w:basedOn w:val="Normalny"/>
    <w:uiPriority w:val="99"/>
    <w:semiHidden/>
    <w:pPr>
      <w:numPr>
        <w:numId w:val="2"/>
      </w:numPr>
      <w:contextualSpacing/>
    </w:pPr>
  </w:style>
  <w:style w:type="paragraph" w:styleId="Listapunktowana3">
    <w:name w:val="List Bullet 3"/>
    <w:basedOn w:val="Normalny"/>
    <w:uiPriority w:val="99"/>
    <w:semiHidden/>
    <w:pPr>
      <w:numPr>
        <w:numId w:val="3"/>
      </w:numPr>
      <w:contextualSpacing/>
    </w:pPr>
  </w:style>
  <w:style w:type="paragraph" w:styleId="Listapunktowana4">
    <w:name w:val="List Bullet 4"/>
    <w:basedOn w:val="Normalny"/>
    <w:uiPriority w:val="99"/>
    <w:semiHidden/>
    <w:pPr>
      <w:numPr>
        <w:numId w:val="4"/>
      </w:numPr>
      <w:contextualSpacing/>
    </w:pPr>
  </w:style>
  <w:style w:type="paragraph" w:styleId="Listapunktowana5">
    <w:name w:val="List Bullet 5"/>
    <w:basedOn w:val="Normalny"/>
    <w:uiPriority w:val="99"/>
    <w:semiHidden/>
    <w:pPr>
      <w:numPr>
        <w:numId w:val="5"/>
      </w:numPr>
      <w:contextualSpacing/>
    </w:pPr>
  </w:style>
  <w:style w:type="paragraph" w:styleId="Lista-kontynuacja">
    <w:name w:val="List Continue"/>
    <w:basedOn w:val="Normalny"/>
    <w:uiPriority w:val="99"/>
    <w:semiHidden/>
    <w:pPr>
      <w:spacing w:after="120"/>
      <w:ind w:left="283"/>
      <w:contextualSpacing/>
    </w:pPr>
  </w:style>
  <w:style w:type="paragraph" w:styleId="Lista-kontynuacja2">
    <w:name w:val="List Continue 2"/>
    <w:basedOn w:val="Normalny"/>
    <w:uiPriority w:val="99"/>
    <w:semiHidden/>
    <w:pPr>
      <w:spacing w:after="120"/>
      <w:ind w:left="566"/>
      <w:contextualSpacing/>
    </w:pPr>
  </w:style>
  <w:style w:type="paragraph" w:styleId="Lista-kontynuacja3">
    <w:name w:val="List Continue 3"/>
    <w:basedOn w:val="Normalny"/>
    <w:uiPriority w:val="99"/>
    <w:semiHidden/>
    <w:pPr>
      <w:spacing w:after="120"/>
      <w:ind w:left="849"/>
      <w:contextualSpacing/>
    </w:pPr>
  </w:style>
  <w:style w:type="paragraph" w:styleId="Lista-kontynuacja4">
    <w:name w:val="List Continue 4"/>
    <w:basedOn w:val="Normalny"/>
    <w:uiPriority w:val="99"/>
    <w:semiHidden/>
    <w:pPr>
      <w:spacing w:after="120"/>
      <w:ind w:left="1132"/>
      <w:contextualSpacing/>
    </w:pPr>
  </w:style>
  <w:style w:type="paragraph" w:styleId="Lista-kontynuacja5">
    <w:name w:val="List Continue 5"/>
    <w:basedOn w:val="Normalny"/>
    <w:uiPriority w:val="99"/>
    <w:semiHidden/>
    <w:pPr>
      <w:spacing w:after="120"/>
      <w:ind w:left="1415"/>
      <w:contextualSpacing/>
    </w:pPr>
  </w:style>
  <w:style w:type="paragraph" w:styleId="Listanumerowana">
    <w:name w:val="List Number"/>
    <w:basedOn w:val="Normalny"/>
    <w:uiPriority w:val="99"/>
    <w:semiHidden/>
    <w:pPr>
      <w:numPr>
        <w:numId w:val="6"/>
      </w:numPr>
      <w:contextualSpacing/>
    </w:pPr>
  </w:style>
  <w:style w:type="paragraph" w:styleId="Listanumerowana2">
    <w:name w:val="List Number 2"/>
    <w:basedOn w:val="Normalny"/>
    <w:uiPriority w:val="99"/>
    <w:semiHidden/>
    <w:pPr>
      <w:numPr>
        <w:numId w:val="7"/>
      </w:numPr>
      <w:contextualSpacing/>
    </w:pPr>
  </w:style>
  <w:style w:type="paragraph" w:styleId="Listanumerowana3">
    <w:name w:val="List Number 3"/>
    <w:basedOn w:val="Normalny"/>
    <w:uiPriority w:val="99"/>
    <w:semiHidden/>
    <w:pPr>
      <w:numPr>
        <w:numId w:val="8"/>
      </w:numPr>
      <w:contextualSpacing/>
    </w:pPr>
  </w:style>
  <w:style w:type="paragraph" w:styleId="Listanumerowana4">
    <w:name w:val="List Number 4"/>
    <w:basedOn w:val="Normalny"/>
    <w:uiPriority w:val="99"/>
    <w:semiHidden/>
    <w:pPr>
      <w:numPr>
        <w:numId w:val="9"/>
      </w:numPr>
      <w:contextualSpacing/>
    </w:pPr>
  </w:style>
  <w:style w:type="paragraph" w:styleId="Listanumerowana5">
    <w:name w:val="List Number 5"/>
    <w:basedOn w:val="Normalny"/>
    <w:uiPriority w:val="99"/>
    <w:semiHidden/>
    <w:pPr>
      <w:numPr>
        <w:numId w:val="10"/>
      </w:numPr>
      <w:contextualSpacing/>
    </w:pPr>
  </w:style>
  <w:style w:type="paragraph" w:styleId="Tekstmakra">
    <w:name w:val="macro"/>
    <w:link w:val="TekstmakraZnak"/>
    <w:uiPriority w:val="99"/>
    <w:semiHidden/>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TekstmakraZnak">
    <w:name w:val="Tekst makra Znak"/>
    <w:basedOn w:val="Domylnaczcionkaakapitu"/>
    <w:link w:val="Tekstmakra"/>
    <w:uiPriority w:val="99"/>
    <w:locked/>
    <w:rPr>
      <w:rFonts w:ascii="Consolas" w:hAnsi="Consolas" w:cs="Times New Roman"/>
      <w:sz w:val="20"/>
      <w:lang w:val="pl-PL" w:eastAsia="pl-PL"/>
    </w:rPr>
  </w:style>
  <w:style w:type="table" w:styleId="redniasiatka1">
    <w:name w:val="Medium Grid 1"/>
    <w:basedOn w:val="Standardowy"/>
    <w:uiPriority w:val="99"/>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redniasiatka1akcent1">
    <w:name w:val="Medium Grid 1 Accent 1"/>
    <w:basedOn w:val="Standardowy"/>
    <w:uiPriority w:val="99"/>
    <w:semiHidden/>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redniasiatka1akcent2">
    <w:name w:val="Medium Grid 1 Accent 2"/>
    <w:basedOn w:val="Standardowy"/>
    <w:uiPriority w:val="99"/>
    <w:semiHidden/>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redniasiatka1akcent3">
    <w:name w:val="Medium Grid 1 Accent 3"/>
    <w:basedOn w:val="Standardowy"/>
    <w:uiPriority w:val="99"/>
    <w:semiHidden/>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redniasiatka1akcent4">
    <w:name w:val="Medium Grid 1 Accent 4"/>
    <w:basedOn w:val="Standardowy"/>
    <w:uiPriority w:val="99"/>
    <w:semiHidden/>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redniasiatka1akcent5">
    <w:name w:val="Medium Grid 1 Accent 5"/>
    <w:basedOn w:val="Standardowy"/>
    <w:uiPriority w:val="99"/>
    <w:semiHidden/>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redniasiatka1akcent6">
    <w:name w:val="Medium Grid 1 Accent 6"/>
    <w:basedOn w:val="Standardowy"/>
    <w:uiPriority w:val="99"/>
    <w:semiHidden/>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redniasiatka2">
    <w:name w:val="Medium Grid 2"/>
    <w:basedOn w:val="Standardowy"/>
    <w:uiPriority w:val="99"/>
    <w:semiHidden/>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redniasiatka2akcent1">
    <w:name w:val="Medium Grid 2 Accent 1"/>
    <w:basedOn w:val="Standardowy"/>
    <w:uiPriority w:val="99"/>
    <w:semiHidden/>
    <w:rPr>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redniasiatka2akcent2">
    <w:name w:val="Medium Grid 2 Accent 2"/>
    <w:basedOn w:val="Standardowy"/>
    <w:uiPriority w:val="99"/>
    <w:semiHidden/>
    <w:rPr>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redniasiatka2akcent3">
    <w:name w:val="Medium Grid 2 Accent 3"/>
    <w:basedOn w:val="Standardowy"/>
    <w:uiPriority w:val="99"/>
    <w:semiHidden/>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redniasiatka2akcent4">
    <w:name w:val="Medium Grid 2 Accent 4"/>
    <w:basedOn w:val="Standardowy"/>
    <w:uiPriority w:val="99"/>
    <w:semiHidden/>
    <w:rPr>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redniasiatka2akcent5">
    <w:name w:val="Medium Grid 2 Accent 5"/>
    <w:basedOn w:val="Standardowy"/>
    <w:uiPriority w:val="99"/>
    <w:semiHidden/>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redniasiatka2akcent6">
    <w:name w:val="Medium Grid 2 Accent 6"/>
    <w:basedOn w:val="Standardowy"/>
    <w:uiPriority w:val="99"/>
    <w:semiHidden/>
    <w:rPr>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redniasiatka3">
    <w:name w:val="Medium Grid 3"/>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redniasiatka3akcent1">
    <w:name w:val="Medium Grid 3 Accent 1"/>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redniasiatka3akcent2">
    <w:name w:val="Medium Grid 3 Accent 2"/>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redniasiatka3akcent3">
    <w:name w:val="Medium Grid 3 Accent 3"/>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redniasiatka3akcent4">
    <w:name w:val="Medium Grid 3 Accent 4"/>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redniasiatka3akcent5">
    <w:name w:val="Medium Grid 3 Accent 5"/>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redniasiatka3akcent6">
    <w:name w:val="Medium Grid 3 Accent 6"/>
    <w:basedOn w:val="Standardowy"/>
    <w:uiPriority w:val="99"/>
    <w:semiHidden/>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rednialista1">
    <w:name w:val="Medium List 1"/>
    <w:basedOn w:val="Standardowy"/>
    <w:uiPriority w:val="99"/>
    <w:semiHidden/>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rednialista1akcent1">
    <w:name w:val="Medium List 1 Accent 1"/>
    <w:basedOn w:val="Standardowy"/>
    <w:uiPriority w:val="99"/>
    <w:semiHidden/>
    <w:rPr>
      <w:color w:val="000000"/>
    </w:rPr>
    <w:tblPr>
      <w:tblStyleRowBandSize w:val="1"/>
      <w:tblStyleColBandSize w:val="1"/>
      <w:tblBorders>
        <w:top w:val="single" w:sz="8" w:space="0" w:color="0072BC"/>
        <w:bottom w:val="single" w:sz="8" w:space="0" w:color="0072BC"/>
      </w:tblBorders>
    </w:tblPr>
    <w:tblStylePr w:type="firstRow">
      <w:rPr>
        <w:rFonts w:ascii="Times New Roman" w:eastAsia="Times New Roman"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rednialista1akcent2">
    <w:name w:val="Medium List 1 Accent 2"/>
    <w:basedOn w:val="Standardowy"/>
    <w:uiPriority w:val="99"/>
    <w:semiHidden/>
    <w:rPr>
      <w:color w:val="000000"/>
    </w:rPr>
    <w:tblPr>
      <w:tblStyleRowBandSize w:val="1"/>
      <w:tblStyleColBandSize w:val="1"/>
      <w:tblBorders>
        <w:top w:val="single" w:sz="8" w:space="0" w:color="C00000"/>
        <w:bottom w:val="single" w:sz="8" w:space="0" w:color="C00000"/>
      </w:tblBorders>
    </w:tblPr>
    <w:tblStylePr w:type="firstRow">
      <w:rPr>
        <w:rFonts w:ascii="Times New Roman" w:eastAsia="Times New Roman"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rednialista1akcent3">
    <w:name w:val="Medium List 1 Accent 3"/>
    <w:basedOn w:val="Standardowy"/>
    <w:uiPriority w:val="99"/>
    <w:semiHidden/>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rednialista1akcent4">
    <w:name w:val="Medium List 1 Accent 4"/>
    <w:basedOn w:val="Standardowy"/>
    <w:uiPriority w:val="99"/>
    <w:semiHidden/>
    <w:rPr>
      <w:color w:val="000000"/>
    </w:rPr>
    <w:tblPr>
      <w:tblStyleRowBandSize w:val="1"/>
      <w:tblStyleColBandSize w:val="1"/>
      <w:tblBorders>
        <w:top w:val="single" w:sz="8" w:space="0" w:color="969696"/>
        <w:bottom w:val="single" w:sz="8" w:space="0" w:color="969696"/>
      </w:tblBorders>
    </w:tblPr>
    <w:tblStylePr w:type="firstRow">
      <w:rPr>
        <w:rFonts w:ascii="Times New Roman" w:eastAsia="Times New Roman"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rednialista1akcent5">
    <w:name w:val="Medium List 1 Accent 5"/>
    <w:basedOn w:val="Standardowy"/>
    <w:uiPriority w:val="99"/>
    <w:semiHidden/>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rednialista1akcent6">
    <w:name w:val="Medium List 1 Accent 6"/>
    <w:basedOn w:val="Standardowy"/>
    <w:uiPriority w:val="99"/>
    <w:semiHidden/>
    <w:rPr>
      <w:color w:val="000000"/>
    </w:rPr>
    <w:tblPr>
      <w:tblStyleRowBandSize w:val="1"/>
      <w:tblStyleColBandSize w:val="1"/>
      <w:tblBorders>
        <w:top w:val="single" w:sz="8" w:space="0" w:color="4D4D4D"/>
        <w:bottom w:val="single" w:sz="8" w:space="0" w:color="4D4D4D"/>
      </w:tblBorders>
    </w:tblPr>
    <w:tblStylePr w:type="firstRow">
      <w:rPr>
        <w:rFonts w:ascii="Times New Roman" w:eastAsia="Times New Roman"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rednialista2">
    <w:name w:val="Medium List 2"/>
    <w:basedOn w:val="Standardowy"/>
    <w:uiPriority w:val="99"/>
    <w:semiHidden/>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1">
    <w:name w:val="Medium List 2 Accent 1"/>
    <w:basedOn w:val="Standardowy"/>
    <w:uiPriority w:val="99"/>
    <w:semiHidden/>
    <w:rPr>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2">
    <w:name w:val="Medium List 2 Accent 2"/>
    <w:basedOn w:val="Standardowy"/>
    <w:uiPriority w:val="99"/>
    <w:semiHidden/>
    <w:rPr>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3">
    <w:name w:val="Medium List 2 Accent 3"/>
    <w:basedOn w:val="Standardowy"/>
    <w:uiPriority w:val="99"/>
    <w:semiHidden/>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4">
    <w:name w:val="Medium List 2 Accent 4"/>
    <w:basedOn w:val="Standardowy"/>
    <w:uiPriority w:val="99"/>
    <w:semiHidden/>
    <w:rPr>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5">
    <w:name w:val="Medium List 2 Accent 5"/>
    <w:basedOn w:val="Standardowy"/>
    <w:uiPriority w:val="99"/>
    <w:semiHidden/>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alista2akcent6">
    <w:name w:val="Medium List 2 Accent 6"/>
    <w:basedOn w:val="Standardowy"/>
    <w:uiPriority w:val="99"/>
    <w:semiHidden/>
    <w:rPr>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redniecieniowanie1">
    <w:name w:val="Medium Shading 1"/>
    <w:basedOn w:val="Standardowy"/>
    <w:uiPriority w:val="99"/>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redniecieniowanie1akcent1">
    <w:name w:val="Medium Shading 1 Accent 1"/>
    <w:basedOn w:val="Standardowy"/>
    <w:uiPriority w:val="99"/>
    <w:semiHidden/>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redniecieniowanie1akcent2">
    <w:name w:val="Medium Shading 1 Accent 2"/>
    <w:basedOn w:val="Standardowy"/>
    <w:uiPriority w:val="99"/>
    <w:semiHidden/>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redniecieniowanie1akcent3">
    <w:name w:val="Medium Shading 1 Accent 3"/>
    <w:basedOn w:val="Standardowy"/>
    <w:uiPriority w:val="99"/>
    <w:semiHidden/>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redniecieniowanie1akcent4">
    <w:name w:val="Medium Shading 1 Accent 4"/>
    <w:basedOn w:val="Standardowy"/>
    <w:uiPriority w:val="99"/>
    <w:semiHidden/>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redniecieniowanie1akcent5">
    <w:name w:val="Medium Shading 1 Accent 5"/>
    <w:basedOn w:val="Standardowy"/>
    <w:uiPriority w:val="99"/>
    <w:semiHidden/>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redniecieniowanie1akcent6">
    <w:name w:val="Medium Shading 1 Accent 6"/>
    <w:basedOn w:val="Standardowy"/>
    <w:uiPriority w:val="99"/>
    <w:semiHidden/>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redniecieniowanie2">
    <w:name w:val="Medium Shading 2"/>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gwekwiadomociZnak">
    <w:name w:val="Nagłówek wiadomości Znak"/>
    <w:basedOn w:val="Domylnaczcionkaakapitu"/>
    <w:link w:val="Nagwekwiadomoci"/>
    <w:uiPriority w:val="99"/>
    <w:locked/>
    <w:rPr>
      <w:rFonts w:ascii="Times New Roman" w:hAnsi="Times New Roman" w:cs="Times New Roman"/>
      <w:sz w:val="24"/>
      <w:shd w:val="clear" w:color="000000" w:fill="000000"/>
      <w:lang w:val="pl-PL" w:eastAsia="pl-PL"/>
    </w:rPr>
  </w:style>
  <w:style w:type="paragraph" w:styleId="NormalnyWeb">
    <w:name w:val="Normal (Web)"/>
    <w:basedOn w:val="Normalny"/>
    <w:uiPriority w:val="99"/>
    <w:semiHidden/>
    <w:rPr>
      <w:szCs w:val="24"/>
    </w:rPr>
  </w:style>
  <w:style w:type="paragraph" w:styleId="Wcicienormalne">
    <w:name w:val="Normal Indent"/>
    <w:basedOn w:val="Normalny"/>
    <w:uiPriority w:val="99"/>
    <w:semiHidden/>
    <w:pPr>
      <w:ind w:left="720"/>
    </w:pPr>
  </w:style>
  <w:style w:type="paragraph" w:styleId="Nagweknotatki">
    <w:name w:val="Note Heading"/>
    <w:basedOn w:val="Normalny"/>
    <w:next w:val="Normalny"/>
    <w:link w:val="NagweknotatkiZnak"/>
    <w:uiPriority w:val="99"/>
    <w:semiHidden/>
  </w:style>
  <w:style w:type="character" w:customStyle="1" w:styleId="NagweknotatkiZnak">
    <w:name w:val="Nagłówek notatki Znak"/>
    <w:basedOn w:val="Domylnaczcionkaakapitu"/>
    <w:link w:val="Nagweknotatki"/>
    <w:uiPriority w:val="99"/>
    <w:locked/>
    <w:rPr>
      <w:rFonts w:eastAsia="Times New Roman" w:cs="Times New Roman"/>
      <w:sz w:val="24"/>
      <w:lang w:val="pl-PL" w:eastAsia="pl-PL"/>
    </w:rPr>
  </w:style>
  <w:style w:type="character" w:styleId="Tekstzastpczy">
    <w:name w:val="Placeholder Text"/>
    <w:basedOn w:val="Domylnaczcionkaakapitu"/>
    <w:uiPriority w:val="99"/>
    <w:semiHidden/>
    <w:rPr>
      <w:rFonts w:cs="Times New Roman"/>
      <w:color w:val="808080"/>
      <w:lang w:val="pl-PL" w:eastAsia="pl-PL"/>
    </w:rPr>
  </w:style>
  <w:style w:type="paragraph" w:styleId="Zwykytekst">
    <w:name w:val="Plain Text"/>
    <w:basedOn w:val="Normalny"/>
    <w:link w:val="ZwykytekstZnak"/>
    <w:uiPriority w:val="99"/>
    <w:semiHidden/>
    <w:rPr>
      <w:rFonts w:ascii="Consolas" w:hAnsi="Consolas" w:cs="Consolas"/>
      <w:sz w:val="21"/>
      <w:szCs w:val="21"/>
    </w:rPr>
  </w:style>
  <w:style w:type="character" w:customStyle="1" w:styleId="ZwykytekstZnak">
    <w:name w:val="Zwykły tekst Znak"/>
    <w:basedOn w:val="Domylnaczcionkaakapitu"/>
    <w:link w:val="Zwykytekst"/>
    <w:uiPriority w:val="99"/>
    <w:locked/>
    <w:rPr>
      <w:rFonts w:ascii="Consolas" w:hAnsi="Consolas" w:cs="Times New Roman"/>
      <w:sz w:val="21"/>
      <w:lang w:val="pl-PL" w:eastAsia="pl-PL"/>
    </w:rPr>
  </w:style>
  <w:style w:type="paragraph" w:styleId="Zwrotgrzecznociowy">
    <w:name w:val="Salutation"/>
    <w:basedOn w:val="Normalny"/>
    <w:next w:val="Normalny"/>
    <w:link w:val="ZwrotgrzecznociowyZnak"/>
    <w:uiPriority w:val="99"/>
    <w:semiHidden/>
  </w:style>
  <w:style w:type="character" w:customStyle="1" w:styleId="ZwrotgrzecznociowyZnak">
    <w:name w:val="Zwrot grzecznościowy Znak"/>
    <w:basedOn w:val="Domylnaczcionkaakapitu"/>
    <w:link w:val="Zwrotgrzecznociowy"/>
    <w:uiPriority w:val="99"/>
    <w:locked/>
    <w:rPr>
      <w:rFonts w:eastAsia="Times New Roman" w:cs="Times New Roman"/>
      <w:sz w:val="24"/>
      <w:lang w:val="pl-PL" w:eastAsia="pl-PL"/>
    </w:rPr>
  </w:style>
  <w:style w:type="paragraph" w:styleId="Podpis">
    <w:name w:val="Signature"/>
    <w:basedOn w:val="Normalny"/>
    <w:link w:val="PodpisZnak"/>
    <w:uiPriority w:val="99"/>
    <w:semiHidden/>
    <w:pPr>
      <w:ind w:left="4252"/>
    </w:pPr>
  </w:style>
  <w:style w:type="character" w:customStyle="1" w:styleId="PodpisZnak">
    <w:name w:val="Podpis Znak"/>
    <w:basedOn w:val="Domylnaczcionkaakapitu"/>
    <w:link w:val="Podpis"/>
    <w:uiPriority w:val="99"/>
    <w:locked/>
    <w:rPr>
      <w:rFonts w:eastAsia="Times New Roman" w:cs="Times New Roman"/>
      <w:sz w:val="24"/>
      <w:lang w:val="pl-PL" w:eastAsia="pl-PL"/>
    </w:rPr>
  </w:style>
  <w:style w:type="table" w:styleId="Tabela-Efekty3W1">
    <w:name w:val="Table 3D effects 1"/>
    <w:basedOn w:val="Standardowy"/>
    <w:uiPriority w:val="99"/>
    <w:semiHidden/>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Kolumnowy5">
    <w:name w:val="Table Columns 5"/>
    <w:basedOn w:val="Standardowy"/>
    <w:uiPriority w:val="99"/>
    <w:semiHidden/>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Wspczesny">
    <w:name w:val="Table Contemporary"/>
    <w:basedOn w:val="Standardowy"/>
    <w:uiPriority w:val="99"/>
    <w:semiHidden/>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a-Siatka2">
    <w:name w:val="Table Grid 2"/>
    <w:basedOn w:val="Standardowy"/>
    <w:uiPriority w:val="99"/>
    <w:semiHidden/>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Siatka3">
    <w:name w:val="Table Grid 3"/>
    <w:basedOn w:val="Standardowy"/>
    <w:uiPriority w:val="99"/>
    <w:semiHidden/>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Siatka4">
    <w:name w:val="Table Grid 4"/>
    <w:basedOn w:val="Standardowy"/>
    <w:uiPriority w:val="99"/>
    <w:semiHidden/>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6">
    <w:name w:val="Table Grid 6"/>
    <w:basedOn w:val="Standardowy"/>
    <w:uiPriority w:val="99"/>
    <w:semiHidden/>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7">
    <w:name w:val="Table Grid 7"/>
    <w:basedOn w:val="Standardowy"/>
    <w:uiPriority w:val="99"/>
    <w:semiHidden/>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8">
    <w:name w:val="Table Grid 8"/>
    <w:basedOn w:val="Standardowy"/>
    <w:uiPriority w:val="99"/>
    <w:semiHidden/>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Lista2">
    <w:name w:val="Table List 2"/>
    <w:basedOn w:val="Standardowy"/>
    <w:uiPriority w:val="99"/>
    <w:semiHidden/>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Lista3">
    <w:name w:val="Table List 3"/>
    <w:basedOn w:val="Standardowy"/>
    <w:uiPriority w:val="99"/>
    <w:semiHidden/>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Lista6">
    <w:name w:val="Table List 6"/>
    <w:basedOn w:val="Standardowy"/>
    <w:uiPriority w:val="99"/>
    <w:semiHidden/>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pPr>
      <w:ind w:left="240" w:hanging="240"/>
    </w:pPr>
  </w:style>
  <w:style w:type="paragraph" w:styleId="Spisilustracji">
    <w:name w:val="table of figures"/>
    <w:basedOn w:val="Normalny"/>
    <w:next w:val="Normalny"/>
    <w:uiPriority w:val="99"/>
    <w:semiHidden/>
  </w:style>
  <w:style w:type="table" w:styleId="Tabela-Profesjonalny">
    <w:name w:val="Table Professional"/>
    <w:basedOn w:val="Standardowy"/>
    <w:uiPriority w:val="99"/>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Delikatny2">
    <w:name w:val="Table Subtle 2"/>
    <w:basedOn w:val="Standardowy"/>
    <w:uiPriority w:val="99"/>
    <w:semiHidden/>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Motyw">
    <w:name w:val="Table Theme"/>
    <w:basedOn w:val="Standardowy"/>
    <w:uiPriority w:val="99"/>
    <w:semiHidden/>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pPr>
      <w:spacing w:after="100"/>
      <w:ind w:left="1200"/>
    </w:pPr>
  </w:style>
  <w:style w:type="paragraph" w:styleId="Spistreci7">
    <w:name w:val="toc 7"/>
    <w:basedOn w:val="Normalny"/>
    <w:next w:val="Normalny"/>
    <w:autoRedefine/>
    <w:uiPriority w:val="99"/>
    <w:semiHidden/>
    <w:pPr>
      <w:spacing w:after="100"/>
      <w:ind w:left="1440"/>
    </w:pPr>
  </w:style>
  <w:style w:type="paragraph" w:styleId="Spistreci8">
    <w:name w:val="toc 8"/>
    <w:basedOn w:val="Normalny"/>
    <w:next w:val="Normalny"/>
    <w:autoRedefine/>
    <w:uiPriority w:val="99"/>
    <w:semiHidden/>
    <w:pPr>
      <w:spacing w:after="100"/>
      <w:ind w:left="1680"/>
    </w:pPr>
  </w:style>
  <w:style w:type="paragraph" w:styleId="Spistreci9">
    <w:name w:val="toc 9"/>
    <w:basedOn w:val="Normalny"/>
    <w:next w:val="Normalny"/>
    <w:autoRedefine/>
    <w:uiPriority w:val="99"/>
    <w:semiHidden/>
    <w:pPr>
      <w:spacing w:after="100"/>
      <w:ind w:left="1920"/>
    </w:pPr>
  </w:style>
  <w:style w:type="paragraph" w:customStyle="1" w:styleId="DummyStyle">
    <w:name w:val="Dummy_Style"/>
    <w:basedOn w:val="Normalny"/>
    <w:semiHidden/>
    <w:qFormat/>
    <w:rPr>
      <w:color w:val="00B050"/>
    </w:rPr>
  </w:style>
  <w:style w:type="paragraph" w:styleId="Poprawka">
    <w:name w:val="Revision"/>
    <w:hidden/>
    <w:uiPriority w:val="99"/>
    <w:semiHidden/>
    <w:rPr>
      <w:sz w:val="24"/>
      <w:szCs w:val="22"/>
    </w:rPr>
  </w:style>
  <w:style w:type="paragraph" w:customStyle="1" w:styleId="jupara">
    <w:name w:val="jupara"/>
    <w:basedOn w:val="Normalny"/>
    <w:pPr>
      <w:ind w:firstLine="284"/>
    </w:pPr>
    <w:rPr>
      <w:szCs w:val="24"/>
    </w:rPr>
  </w:style>
  <w:style w:type="paragraph" w:customStyle="1" w:styleId="jucase0">
    <w:name w:val="jucase"/>
    <w:basedOn w:val="Normalny"/>
    <w:pPr>
      <w:ind w:firstLine="284"/>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16706</Words>
  <Characters>100242</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2017-07-18T12:59:00Z</dcterms:created>
  <dcterms:modified xsi:type="dcterms:W3CDTF">2017-07-19T14:22:00Z</dcterms:modified>
  <cp:category/>
</cp:coreProperties>
</file>