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4B1B" w:rsidRDefault="00C64B1B" w:rsidP="00C64B1B">
      <w:pPr>
        <w:jc w:val="center"/>
      </w:pP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843"/>
        <w:gridCol w:w="4678"/>
        <w:gridCol w:w="5812"/>
        <w:gridCol w:w="1359"/>
      </w:tblGrid>
      <w:tr w:rsidR="00A06425" w:rsidRPr="00A06425" w:rsidTr="00A06425">
        <w:tc>
          <w:tcPr>
            <w:tcW w:w="15388" w:type="dxa"/>
            <w:gridSpan w:val="6"/>
            <w:shd w:val="clear" w:color="auto" w:fill="auto"/>
            <w:vAlign w:val="center"/>
          </w:tcPr>
          <w:p w:rsidR="00A06425" w:rsidRPr="00B843C0" w:rsidRDefault="00A06425" w:rsidP="00B871B6">
            <w:pPr>
              <w:spacing w:before="120" w:after="120"/>
              <w:rPr>
                <w:rFonts w:asciiTheme="minorHAnsi" w:hAnsiTheme="minorHAnsi" w:cstheme="minorHAnsi"/>
                <w:b/>
                <w:i/>
                <w:sz w:val="22"/>
                <w:szCs w:val="22"/>
              </w:rPr>
            </w:pPr>
            <w:r w:rsidRPr="00A06425">
              <w:rPr>
                <w:rFonts w:asciiTheme="minorHAnsi" w:hAnsiTheme="minorHAnsi" w:cstheme="minorHAnsi"/>
                <w:b/>
                <w:i/>
                <w:sz w:val="22"/>
                <w:szCs w:val="22"/>
              </w:rPr>
              <w:t>Nazwa dokumentu:</w:t>
            </w:r>
            <w:r w:rsidR="000C2474">
              <w:rPr>
                <w:rFonts w:asciiTheme="minorHAnsi" w:hAnsiTheme="minorHAnsi" w:cstheme="minorHAnsi"/>
                <w:b/>
                <w:i/>
                <w:sz w:val="22"/>
                <w:szCs w:val="22"/>
              </w:rPr>
              <w:t xml:space="preserve"> </w:t>
            </w:r>
            <w:r w:rsidR="000C2474" w:rsidRPr="00B843C0">
              <w:rPr>
                <w:rFonts w:asciiTheme="minorHAnsi" w:hAnsiTheme="minorHAnsi" w:cstheme="minorHAnsi"/>
                <w:i/>
                <w:sz w:val="22"/>
                <w:szCs w:val="22"/>
              </w:rPr>
              <w:t xml:space="preserve">opis założeń projektu informatycznego pn. System </w:t>
            </w:r>
            <w:r w:rsidR="0060727F" w:rsidRPr="00B843C0">
              <w:rPr>
                <w:rStyle w:val="Hipercze"/>
                <w:rFonts w:asciiTheme="minorHAnsi" w:hAnsiTheme="minorHAnsi" w:cstheme="minorHAnsi"/>
                <w:bCs/>
                <w:i/>
                <w:color w:val="auto"/>
                <w:sz w:val="22"/>
                <w:szCs w:val="22"/>
                <w:u w:val="none"/>
              </w:rPr>
              <w:t>Dokumentacji Prawnej</w:t>
            </w:r>
            <w:r w:rsidR="0060727F" w:rsidRPr="00B843C0">
              <w:rPr>
                <w:rStyle w:val="Hipercze"/>
                <w:rFonts w:asciiTheme="minorHAnsi" w:hAnsiTheme="minorHAnsi" w:cstheme="minorHAnsi"/>
                <w:bCs/>
                <w:color w:val="auto"/>
                <w:sz w:val="22"/>
                <w:szCs w:val="22"/>
                <w:u w:val="none"/>
              </w:rPr>
              <w:t xml:space="preserve"> (autokorekta)</w:t>
            </w:r>
          </w:p>
          <w:p w:rsidR="00A06425" w:rsidRPr="00A06425" w:rsidRDefault="00A06425" w:rsidP="00B871B6">
            <w:pPr>
              <w:spacing w:before="120" w:after="120"/>
              <w:rPr>
                <w:rFonts w:asciiTheme="minorHAnsi" w:hAnsiTheme="minorHAnsi" w:cstheme="minorHAnsi"/>
                <w:b/>
                <w:i/>
                <w:sz w:val="22"/>
                <w:szCs w:val="22"/>
              </w:rPr>
            </w:pPr>
          </w:p>
        </w:tc>
      </w:tr>
      <w:tr w:rsidR="00A06425" w:rsidRPr="00A06425" w:rsidTr="00A06425">
        <w:tc>
          <w:tcPr>
            <w:tcW w:w="562"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Pr>
                <w:rFonts w:asciiTheme="minorHAnsi" w:hAnsiTheme="minorHAnsi" w:cstheme="minorHAnsi"/>
                <w:b/>
                <w:sz w:val="22"/>
                <w:szCs w:val="22"/>
              </w:rPr>
              <w:t>L</w:t>
            </w:r>
            <w:r w:rsidRPr="00A06425">
              <w:rPr>
                <w:rFonts w:asciiTheme="minorHAnsi" w:hAnsiTheme="minorHAnsi" w:cstheme="minorHAnsi"/>
                <w:b/>
                <w:sz w:val="22"/>
                <w:szCs w:val="22"/>
              </w:rPr>
              <w:t>p.</w:t>
            </w:r>
          </w:p>
        </w:tc>
        <w:tc>
          <w:tcPr>
            <w:tcW w:w="1134"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Organ wnoszący uwagi</w:t>
            </w:r>
          </w:p>
        </w:tc>
        <w:tc>
          <w:tcPr>
            <w:tcW w:w="1843"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Jednostka redakcyjna, do której wnoszone są uwagi</w:t>
            </w:r>
          </w:p>
        </w:tc>
        <w:tc>
          <w:tcPr>
            <w:tcW w:w="4678"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Treść uwagi</w:t>
            </w:r>
          </w:p>
        </w:tc>
        <w:tc>
          <w:tcPr>
            <w:tcW w:w="5812"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Propozycja zmian zapisu</w:t>
            </w:r>
          </w:p>
        </w:tc>
        <w:tc>
          <w:tcPr>
            <w:tcW w:w="1359" w:type="dxa"/>
            <w:vAlign w:val="center"/>
          </w:tcPr>
          <w:p w:rsidR="00A06425" w:rsidRPr="00A06425" w:rsidRDefault="00A06425" w:rsidP="00A06425">
            <w:pPr>
              <w:jc w:val="center"/>
              <w:rPr>
                <w:rFonts w:asciiTheme="minorHAnsi" w:hAnsiTheme="minorHAnsi" w:cstheme="minorHAnsi"/>
                <w:b/>
                <w:sz w:val="22"/>
                <w:szCs w:val="22"/>
              </w:rPr>
            </w:pPr>
            <w:r w:rsidRPr="00A06425">
              <w:rPr>
                <w:rFonts w:asciiTheme="minorHAnsi" w:hAnsiTheme="minorHAnsi" w:cstheme="minorHAnsi"/>
                <w:b/>
                <w:sz w:val="22"/>
                <w:szCs w:val="22"/>
              </w:rPr>
              <w:t>Odniesienie do uwagi</w:t>
            </w:r>
          </w:p>
        </w:tc>
      </w:tr>
      <w:tr w:rsidR="00A06425" w:rsidRPr="00A06425" w:rsidTr="00A06425">
        <w:tc>
          <w:tcPr>
            <w:tcW w:w="562" w:type="dxa"/>
            <w:shd w:val="clear" w:color="auto" w:fill="auto"/>
          </w:tcPr>
          <w:p w:rsidR="00A06425" w:rsidRPr="00A06425" w:rsidRDefault="00A06425"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1</w:t>
            </w:r>
          </w:p>
        </w:tc>
        <w:tc>
          <w:tcPr>
            <w:tcW w:w="1134" w:type="dxa"/>
            <w:shd w:val="clear" w:color="auto" w:fill="auto"/>
          </w:tcPr>
          <w:p w:rsidR="00A06425" w:rsidRPr="00A06425" w:rsidRDefault="0060727F"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MSWiA</w:t>
            </w:r>
          </w:p>
        </w:tc>
        <w:tc>
          <w:tcPr>
            <w:tcW w:w="1843" w:type="dxa"/>
            <w:shd w:val="clear" w:color="auto" w:fill="auto"/>
          </w:tcPr>
          <w:p w:rsidR="00A06425" w:rsidRPr="00A06425" w:rsidRDefault="0060727F" w:rsidP="004D086F">
            <w:pPr>
              <w:jc w:val="center"/>
              <w:rPr>
                <w:rFonts w:asciiTheme="minorHAnsi" w:hAnsiTheme="minorHAnsi" w:cstheme="minorHAnsi"/>
                <w:sz w:val="22"/>
                <w:szCs w:val="22"/>
              </w:rPr>
            </w:pPr>
            <w:r>
              <w:rPr>
                <w:rFonts w:asciiTheme="minorHAnsi" w:hAnsiTheme="minorHAnsi" w:cstheme="minorHAnsi"/>
                <w:sz w:val="22"/>
                <w:szCs w:val="22"/>
              </w:rPr>
              <w:t>Uwaga ogólna</w:t>
            </w:r>
          </w:p>
        </w:tc>
        <w:tc>
          <w:tcPr>
            <w:tcW w:w="4678" w:type="dxa"/>
            <w:shd w:val="clear" w:color="auto" w:fill="auto"/>
          </w:tcPr>
          <w:p w:rsidR="0060727F" w:rsidRDefault="0060727F" w:rsidP="0060727F">
            <w:pPr>
              <w:pStyle w:val="Zwykytekst"/>
            </w:pPr>
            <w:r>
              <w:t xml:space="preserve">Projekt jest tożsamy w </w:t>
            </w:r>
            <w:r w:rsidR="00B074B3">
              <w:t xml:space="preserve">założonych </w:t>
            </w:r>
            <w:r>
              <w:t xml:space="preserve">celach, </w:t>
            </w:r>
            <w:r w:rsidR="00B074B3">
              <w:t xml:space="preserve">                   z oczekiwanymi efektami pracy Z</w:t>
            </w:r>
            <w:r w:rsidR="00B843C0">
              <w:t>espołu, powołanego na mocy zarządzenia</w:t>
            </w:r>
            <w:r>
              <w:t xml:space="preserve"> Prezesa Rady Ministrów nr 42 z 18 kwietnia 2024 r. w sprawie Zespołu „e-Legislacja” (M.P.2024.319). Zespół </w:t>
            </w:r>
            <w:r w:rsidR="002215FC">
              <w:t xml:space="preserve">            </w:t>
            </w:r>
            <w:r>
              <w:t>„e-Legislacja”</w:t>
            </w:r>
            <w:r w:rsidR="00B843C0">
              <w:t>,</w:t>
            </w:r>
            <w:r>
              <w:t xml:space="preserve"> będący organem pomocniczym Rady Ministrów</w:t>
            </w:r>
            <w:r w:rsidR="00B843C0">
              <w:t>,</w:t>
            </w:r>
            <w:r>
              <w:t xml:space="preserve"> ma za zadanie m.in. opracowanie założeń dla systemów teleinformatycznych obsługujących proces legislacyjny oraz zwiększających powszechny dostęp do informacji o prawie oraz wypracowanie rozwiązań pozwalających na efektywne wykorzystanie sztucznej inteligencji   w systemach e-legislacji. Przy czym zakładana jest identyfikacja i analiza elementów infrastruktury informatycznej wykorzystywanej w urzędach obsługujących konstytucyjne organy publiczne oraz instytucje im podległe lub przez nie nadzorowane oraz opracowanie propozycji zmian w przepisach prawa niezbędnych do wdrożenia systemów e-legislacji. </w:t>
            </w:r>
          </w:p>
          <w:p w:rsidR="0060727F" w:rsidRDefault="0060727F" w:rsidP="0060727F">
            <w:pPr>
              <w:pStyle w:val="Zwykytekst"/>
            </w:pPr>
            <w:r>
              <w:t xml:space="preserve">Celem Zespołu </w:t>
            </w:r>
            <w:r w:rsidR="00B843C0">
              <w:t xml:space="preserve">„e-Legislacja” </w:t>
            </w:r>
            <w:r>
              <w:t xml:space="preserve">jest opracowanie założeń dla systemów informatycznych obsługujących proces legislacyjny oraz zwiększających powszechny dostęp do informacji o prawie. W efekcie wypracowana ma zostać koncepcja spójnego systemu obsługującego </w:t>
            </w:r>
            <w:r w:rsidR="00B843C0">
              <w:t xml:space="preserve">                     </w:t>
            </w:r>
            <w:r>
              <w:t xml:space="preserve">i wspierającego wszystkie organy uczestniczące </w:t>
            </w:r>
            <w:r w:rsidR="00B843C0">
              <w:t xml:space="preserve">             </w:t>
            </w:r>
            <w:r>
              <w:t xml:space="preserve">w procesie legislacyjnym. Zakres jest więc jednocześnie większy i obejmuje szerszy zakres </w:t>
            </w:r>
            <w:r>
              <w:lastRenderedPageBreak/>
              <w:t xml:space="preserve">użytkowy niż proponowany projekt </w:t>
            </w:r>
            <w:r w:rsidR="00B843C0">
              <w:t xml:space="preserve">pn. </w:t>
            </w:r>
            <w:r>
              <w:t xml:space="preserve">"System Dokumentacji Prawnej" </w:t>
            </w:r>
            <w:r w:rsidR="00B843C0">
              <w:t xml:space="preserve">dedykowany </w:t>
            </w:r>
            <w:r>
              <w:t>dla Prokuratorii Generalnej RP,</w:t>
            </w:r>
            <w:r w:rsidR="002215FC">
              <w:t xml:space="preserve"> przy czym efekt ten konsumuje </w:t>
            </w:r>
            <w:bookmarkStart w:id="0" w:name="_GoBack"/>
            <w:bookmarkEnd w:id="0"/>
            <w:r>
              <w:t xml:space="preserve">w pełni zakładane cele wnioskowanego projektu. Wydaje się być </w:t>
            </w:r>
            <w:r w:rsidR="00B843C0">
              <w:t xml:space="preserve">zatem </w:t>
            </w:r>
            <w:r>
              <w:t xml:space="preserve">zasadnym, wpisanie założeń wnioskowanego projektu w prace Zespołu </w:t>
            </w:r>
            <w:r w:rsidR="00B843C0">
              <w:t xml:space="preserve">„e-Legislacja” </w:t>
            </w:r>
            <w:r>
              <w:t>oraz powrót do prac koncepcyjnych.</w:t>
            </w:r>
          </w:p>
          <w:p w:rsidR="00A06425" w:rsidRPr="00A06425" w:rsidRDefault="00A06425" w:rsidP="004D086F">
            <w:pPr>
              <w:jc w:val="center"/>
              <w:rPr>
                <w:rFonts w:asciiTheme="minorHAnsi" w:hAnsiTheme="minorHAnsi" w:cstheme="minorHAnsi"/>
                <w:sz w:val="22"/>
                <w:szCs w:val="22"/>
              </w:rPr>
            </w:pPr>
          </w:p>
        </w:tc>
        <w:tc>
          <w:tcPr>
            <w:tcW w:w="5812" w:type="dxa"/>
            <w:shd w:val="clear" w:color="auto" w:fill="auto"/>
          </w:tcPr>
          <w:p w:rsidR="00A06425" w:rsidRPr="00A06425" w:rsidRDefault="0060727F" w:rsidP="004D086F">
            <w:pPr>
              <w:jc w:val="center"/>
              <w:rPr>
                <w:rFonts w:asciiTheme="minorHAnsi" w:hAnsiTheme="minorHAnsi" w:cstheme="minorHAnsi"/>
                <w:sz w:val="22"/>
                <w:szCs w:val="22"/>
              </w:rPr>
            </w:pPr>
            <w:r>
              <w:rPr>
                <w:rFonts w:asciiTheme="minorHAnsi" w:hAnsiTheme="minorHAnsi" w:cstheme="minorHAnsi"/>
                <w:sz w:val="22"/>
                <w:szCs w:val="22"/>
              </w:rPr>
              <w:lastRenderedPageBreak/>
              <w:t>Nie dotyczy</w:t>
            </w:r>
          </w:p>
        </w:tc>
        <w:tc>
          <w:tcPr>
            <w:tcW w:w="1359" w:type="dxa"/>
          </w:tcPr>
          <w:p w:rsidR="00A06425" w:rsidRPr="00A06425" w:rsidRDefault="00A06425" w:rsidP="004D086F">
            <w:pPr>
              <w:jc w:val="center"/>
              <w:rPr>
                <w:rFonts w:asciiTheme="minorHAnsi" w:hAnsiTheme="minorHAnsi" w:cstheme="minorHAnsi"/>
                <w:sz w:val="22"/>
                <w:szCs w:val="22"/>
              </w:rPr>
            </w:pPr>
          </w:p>
        </w:tc>
      </w:tr>
      <w:tr w:rsidR="00A06425" w:rsidRPr="00A06425" w:rsidTr="00A06425">
        <w:tc>
          <w:tcPr>
            <w:tcW w:w="562" w:type="dxa"/>
            <w:shd w:val="clear" w:color="auto" w:fill="auto"/>
          </w:tcPr>
          <w:p w:rsidR="00A06425" w:rsidRPr="00A06425" w:rsidRDefault="00A06425"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2</w:t>
            </w:r>
          </w:p>
        </w:tc>
        <w:tc>
          <w:tcPr>
            <w:tcW w:w="1134" w:type="dxa"/>
            <w:shd w:val="clear" w:color="auto" w:fill="auto"/>
          </w:tcPr>
          <w:p w:rsidR="00A06425" w:rsidRPr="00A06425" w:rsidRDefault="0060727F"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MSWiA</w:t>
            </w:r>
          </w:p>
        </w:tc>
        <w:tc>
          <w:tcPr>
            <w:tcW w:w="1843" w:type="dxa"/>
            <w:shd w:val="clear" w:color="auto" w:fill="auto"/>
          </w:tcPr>
          <w:p w:rsidR="00A06425" w:rsidRPr="00A06425" w:rsidRDefault="0060727F" w:rsidP="004D086F">
            <w:pPr>
              <w:jc w:val="center"/>
              <w:rPr>
                <w:rFonts w:asciiTheme="minorHAnsi" w:hAnsiTheme="minorHAnsi" w:cstheme="minorHAnsi"/>
                <w:sz w:val="22"/>
                <w:szCs w:val="22"/>
              </w:rPr>
            </w:pPr>
            <w:r>
              <w:rPr>
                <w:rFonts w:asciiTheme="minorHAnsi" w:hAnsiTheme="minorHAnsi" w:cstheme="minorHAnsi"/>
                <w:sz w:val="22"/>
                <w:szCs w:val="22"/>
              </w:rPr>
              <w:t>Uwaga ogólna</w:t>
            </w:r>
          </w:p>
        </w:tc>
        <w:tc>
          <w:tcPr>
            <w:tcW w:w="4678" w:type="dxa"/>
            <w:shd w:val="clear" w:color="auto" w:fill="auto"/>
          </w:tcPr>
          <w:p w:rsidR="00A06425" w:rsidRPr="00B843C0" w:rsidRDefault="0060727F" w:rsidP="0060727F">
            <w:pPr>
              <w:rPr>
                <w:rFonts w:ascii="Calibri" w:hAnsi="Calibri" w:cs="Calibri"/>
                <w:sz w:val="22"/>
                <w:szCs w:val="22"/>
              </w:rPr>
            </w:pPr>
            <w:r w:rsidRPr="00B843C0">
              <w:rPr>
                <w:rFonts w:ascii="Calibri" w:hAnsi="Calibri" w:cs="Calibri"/>
                <w:sz w:val="22"/>
                <w:szCs w:val="22"/>
              </w:rPr>
              <w:t xml:space="preserve">Rynek programów zapewniających dostęp do kompleksowej informacji prawnej jest rynkiem konkurencyjnym. Istnieje szereg podmiotów oferujących tego rodzaju oprogramowanie. Dostępne komercyjnie rozwiązania są systemami autorskimi, różniącymi się od siebie jedynie </w:t>
            </w:r>
            <w:r w:rsidR="00B843C0">
              <w:rPr>
                <w:rFonts w:ascii="Calibri" w:hAnsi="Calibri" w:cs="Calibri"/>
                <w:sz w:val="22"/>
                <w:szCs w:val="22"/>
              </w:rPr>
              <w:t xml:space="preserve">                   </w:t>
            </w:r>
            <w:r w:rsidRPr="00B843C0">
              <w:rPr>
                <w:rFonts w:ascii="Calibri" w:hAnsi="Calibri" w:cs="Calibri"/>
                <w:sz w:val="22"/>
                <w:szCs w:val="22"/>
              </w:rPr>
              <w:t>w zakresie niektórych funkcji czy doboru i zakresu dostępnych informacji (w szczególności ilości orzeczeń sądowych i administracyjnych, komentarzy, bazy aktów prawa miejscowego, bazy adresowej instytucji, bazy projektów aktów prawnych itp.). Zgodnie z opinią Preze</w:t>
            </w:r>
            <w:r w:rsidR="00B843C0">
              <w:rPr>
                <w:rFonts w:ascii="Calibri" w:hAnsi="Calibri" w:cs="Calibri"/>
                <w:sz w:val="22"/>
                <w:szCs w:val="22"/>
              </w:rPr>
              <w:t>sa Urzędu Zamówień Publicznych „</w:t>
            </w:r>
            <w:r w:rsidRPr="00B843C0">
              <w:rPr>
                <w:rFonts w:ascii="Calibri" w:hAnsi="Calibri" w:cs="Calibri"/>
                <w:i/>
                <w:sz w:val="22"/>
                <w:szCs w:val="22"/>
              </w:rPr>
              <w:t>różnice (wskazane powyżej) nie uzasadniają przyjęcia, że każde</w:t>
            </w:r>
            <w:r w:rsidR="00B843C0" w:rsidRPr="00B843C0">
              <w:rPr>
                <w:rFonts w:ascii="Calibri" w:hAnsi="Calibri" w:cs="Calibri"/>
                <w:i/>
                <w:sz w:val="22"/>
                <w:szCs w:val="22"/>
              </w:rPr>
              <w:t xml:space="preserve">                   </w:t>
            </w:r>
            <w:r w:rsidRPr="00B843C0">
              <w:rPr>
                <w:rFonts w:ascii="Calibri" w:hAnsi="Calibri" w:cs="Calibri"/>
                <w:i/>
                <w:sz w:val="22"/>
                <w:szCs w:val="22"/>
              </w:rPr>
              <w:t xml:space="preserve"> z tych narzędzi jest programem unikatowym, </w:t>
            </w:r>
            <w:r w:rsidR="00B843C0" w:rsidRPr="00B843C0">
              <w:rPr>
                <w:rFonts w:ascii="Calibri" w:hAnsi="Calibri" w:cs="Calibri"/>
                <w:i/>
                <w:sz w:val="22"/>
                <w:szCs w:val="22"/>
              </w:rPr>
              <w:t xml:space="preserve">                </w:t>
            </w:r>
            <w:r w:rsidRPr="00B843C0">
              <w:rPr>
                <w:rFonts w:ascii="Calibri" w:hAnsi="Calibri" w:cs="Calibri"/>
                <w:i/>
                <w:sz w:val="22"/>
                <w:szCs w:val="22"/>
              </w:rPr>
              <w:t xml:space="preserve">a zatem nie może być zastąpione przez program konkurencyjny. Istotne bowiem jest, że podstawowe funkcje oferowane przez te systemy są w przeważającym zakresie porównywalne             (tj. w zakresie dostępu do aktualnej bazy aktów prawnych, orzecznictwa, komentarzy, wzorów pism i dokumentów)". </w:t>
            </w:r>
            <w:r w:rsidRPr="00B843C0">
              <w:rPr>
                <w:rFonts w:ascii="Calibri" w:hAnsi="Calibri" w:cs="Calibri"/>
                <w:sz w:val="22"/>
                <w:szCs w:val="22"/>
              </w:rPr>
              <w:t xml:space="preserve">W takim kontekście nie znajduje uzasadnienia istotne, zakładane </w:t>
            </w:r>
            <w:r w:rsidR="00B843C0">
              <w:rPr>
                <w:rFonts w:ascii="Calibri" w:hAnsi="Calibri" w:cs="Calibri"/>
                <w:sz w:val="22"/>
                <w:szCs w:val="22"/>
              </w:rPr>
              <w:t xml:space="preserve">                     </w:t>
            </w:r>
            <w:r w:rsidRPr="00B843C0">
              <w:rPr>
                <w:rFonts w:ascii="Calibri" w:hAnsi="Calibri" w:cs="Calibri"/>
                <w:sz w:val="22"/>
                <w:szCs w:val="22"/>
              </w:rPr>
              <w:t>w projekcie, wzmocnienie pozycji rynkowej, jednego tylko dostawcy systemu informacji prawnej tj. Wolters Kluwer Polska sp. z o.o. (System Informacji Prawnej Lex) poprzez wkomponowanie go w</w:t>
            </w:r>
            <w:r w:rsidR="00B843C0">
              <w:rPr>
                <w:rFonts w:ascii="Calibri" w:hAnsi="Calibri" w:cs="Calibri"/>
                <w:sz w:val="22"/>
                <w:szCs w:val="22"/>
              </w:rPr>
              <w:t>e</w:t>
            </w:r>
            <w:r w:rsidRPr="00B843C0">
              <w:rPr>
                <w:rFonts w:ascii="Calibri" w:hAnsi="Calibri" w:cs="Calibri"/>
                <w:sz w:val="22"/>
                <w:szCs w:val="22"/>
              </w:rPr>
              <w:t xml:space="preserve"> wnioskowany projekt mechanizmami wiążącymi treści SDP </w:t>
            </w:r>
            <w:r w:rsidR="00B843C0">
              <w:rPr>
                <w:rFonts w:ascii="Calibri" w:hAnsi="Calibri" w:cs="Calibri"/>
                <w:sz w:val="22"/>
                <w:szCs w:val="22"/>
              </w:rPr>
              <w:t xml:space="preserve">                                    </w:t>
            </w:r>
            <w:r w:rsidRPr="00B843C0">
              <w:rPr>
                <w:rFonts w:ascii="Calibri" w:hAnsi="Calibri" w:cs="Calibri"/>
                <w:sz w:val="22"/>
                <w:szCs w:val="22"/>
              </w:rPr>
              <w:lastRenderedPageBreak/>
              <w:t xml:space="preserve">z wykorzystaniem </w:t>
            </w:r>
            <w:proofErr w:type="spellStart"/>
            <w:r w:rsidRPr="00B843C0">
              <w:rPr>
                <w:rFonts w:ascii="Calibri" w:hAnsi="Calibri" w:cs="Calibri"/>
                <w:sz w:val="22"/>
                <w:szCs w:val="22"/>
              </w:rPr>
              <w:t>odwołań</w:t>
            </w:r>
            <w:proofErr w:type="spellEnd"/>
            <w:r w:rsidRPr="00B843C0">
              <w:rPr>
                <w:rFonts w:ascii="Calibri" w:hAnsi="Calibri" w:cs="Calibri"/>
                <w:sz w:val="22"/>
                <w:szCs w:val="22"/>
              </w:rPr>
              <w:t xml:space="preserve"> bezpośrednich lub kopiowanie danych (do SDP), jako jedynego dostawcy treści prawnych. Uznane to być może za praktykę ograniczającą konkurencję. Zasadnym wydaje się opracowanie oraz opublikowanie otwartych API dla wszystkich dostawców systemów informacji prawnej</w:t>
            </w:r>
            <w:r w:rsidR="00B843C0">
              <w:rPr>
                <w:rFonts w:ascii="Calibri" w:hAnsi="Calibri" w:cs="Calibri"/>
                <w:sz w:val="22"/>
                <w:szCs w:val="22"/>
              </w:rPr>
              <w:t>.</w:t>
            </w:r>
          </w:p>
        </w:tc>
        <w:tc>
          <w:tcPr>
            <w:tcW w:w="5812" w:type="dxa"/>
            <w:shd w:val="clear" w:color="auto" w:fill="auto"/>
          </w:tcPr>
          <w:p w:rsidR="00A06425" w:rsidRPr="00A06425" w:rsidRDefault="0060727F" w:rsidP="004D086F">
            <w:pPr>
              <w:jc w:val="center"/>
              <w:rPr>
                <w:rFonts w:asciiTheme="minorHAnsi" w:hAnsiTheme="minorHAnsi" w:cstheme="minorHAnsi"/>
                <w:sz w:val="22"/>
                <w:szCs w:val="22"/>
              </w:rPr>
            </w:pPr>
            <w:r>
              <w:rPr>
                <w:rFonts w:asciiTheme="minorHAnsi" w:hAnsiTheme="minorHAnsi" w:cstheme="minorHAnsi"/>
                <w:sz w:val="22"/>
                <w:szCs w:val="22"/>
              </w:rPr>
              <w:lastRenderedPageBreak/>
              <w:t>Nie dotyczy</w:t>
            </w:r>
          </w:p>
        </w:tc>
        <w:tc>
          <w:tcPr>
            <w:tcW w:w="1359" w:type="dxa"/>
          </w:tcPr>
          <w:p w:rsidR="00A06425" w:rsidRPr="00A06425" w:rsidRDefault="00A06425" w:rsidP="004D086F">
            <w:pPr>
              <w:jc w:val="center"/>
              <w:rPr>
                <w:rFonts w:asciiTheme="minorHAnsi" w:hAnsiTheme="minorHAnsi" w:cstheme="minorHAnsi"/>
                <w:sz w:val="22"/>
                <w:szCs w:val="22"/>
              </w:rPr>
            </w:pPr>
          </w:p>
        </w:tc>
      </w:tr>
    </w:tbl>
    <w:p w:rsidR="00C64B1B" w:rsidRDefault="00C64B1B" w:rsidP="00C64B1B">
      <w:pPr>
        <w:jc w:val="center"/>
      </w:pPr>
    </w:p>
    <w:sectPr w:rsidR="00C64B1B" w:rsidSect="00A06425">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02DF7"/>
    <w:multiLevelType w:val="hybridMultilevel"/>
    <w:tmpl w:val="043CE57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B1B"/>
    <w:rsid w:val="00034258"/>
    <w:rsid w:val="000C2474"/>
    <w:rsid w:val="00140BE8"/>
    <w:rsid w:val="0019648E"/>
    <w:rsid w:val="002215FC"/>
    <w:rsid w:val="002715B2"/>
    <w:rsid w:val="003124D1"/>
    <w:rsid w:val="003B4105"/>
    <w:rsid w:val="004D086F"/>
    <w:rsid w:val="005F6527"/>
    <w:rsid w:val="0060727F"/>
    <w:rsid w:val="006705EC"/>
    <w:rsid w:val="006E16E9"/>
    <w:rsid w:val="00807385"/>
    <w:rsid w:val="00944932"/>
    <w:rsid w:val="009E5FDB"/>
    <w:rsid w:val="00A06425"/>
    <w:rsid w:val="00A102E0"/>
    <w:rsid w:val="00AC7796"/>
    <w:rsid w:val="00B074B3"/>
    <w:rsid w:val="00B843C0"/>
    <w:rsid w:val="00B871B6"/>
    <w:rsid w:val="00C64B1B"/>
    <w:rsid w:val="00CD5EB0"/>
    <w:rsid w:val="00E14C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character" w:styleId="Hipercze">
    <w:name w:val="Hyperlink"/>
    <w:basedOn w:val="Domylnaczcionkaakapitu"/>
    <w:uiPriority w:val="99"/>
    <w:unhideWhenUsed/>
    <w:rsid w:val="0060727F"/>
    <w:rPr>
      <w:color w:val="0563C1" w:themeColor="hyperlink"/>
      <w:u w:val="single"/>
    </w:rPr>
  </w:style>
  <w:style w:type="paragraph" w:styleId="Zwykytekst">
    <w:name w:val="Plain Text"/>
    <w:basedOn w:val="Normalny"/>
    <w:link w:val="ZwykytekstZnak"/>
    <w:uiPriority w:val="99"/>
    <w:unhideWhenUsed/>
    <w:rsid w:val="0060727F"/>
    <w:rPr>
      <w:rFonts w:ascii="Calibri" w:eastAsiaTheme="minorHAnsi" w:hAnsi="Calibri" w:cs="Calibri"/>
      <w:sz w:val="22"/>
      <w:szCs w:val="22"/>
      <w:lang w:eastAsia="en-US"/>
    </w:rPr>
  </w:style>
  <w:style w:type="character" w:customStyle="1" w:styleId="ZwykytekstZnak">
    <w:name w:val="Zwykły tekst Znak"/>
    <w:basedOn w:val="Domylnaczcionkaakapitu"/>
    <w:link w:val="Zwykytekst"/>
    <w:uiPriority w:val="99"/>
    <w:rsid w:val="0060727F"/>
    <w:rPr>
      <w:rFonts w:ascii="Calibri" w:eastAsiaTheme="minorHAns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0898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519</Words>
  <Characters>3116</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3628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WI</cp:lastModifiedBy>
  <cp:revision>8</cp:revision>
  <dcterms:created xsi:type="dcterms:W3CDTF">2024-06-05T12:16:00Z</dcterms:created>
  <dcterms:modified xsi:type="dcterms:W3CDTF">2024-06-05T12:47:00Z</dcterms:modified>
</cp:coreProperties>
</file>