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F0F" w:rsidRDefault="0086187F">
      <w:pPr>
        <w:tabs>
          <w:tab w:val="center" w:pos="1418"/>
        </w:tabs>
        <w:snapToGrid w:val="0"/>
        <w:ind w:right="15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Łódź, </w:t>
      </w:r>
      <w:bookmarkStart w:id="0" w:name="EZDDataPodpisu"/>
      <w:r>
        <w:rPr>
          <w:rFonts w:ascii="Calibri" w:hAnsi="Calibri"/>
          <w:sz w:val="24"/>
          <w:szCs w:val="24"/>
        </w:rPr>
        <w:t>1</w:t>
      </w:r>
      <w:bookmarkEnd w:id="0"/>
      <w:r>
        <w:rPr>
          <w:rFonts w:ascii="Calibri" w:hAnsi="Calibri"/>
          <w:sz w:val="24"/>
          <w:szCs w:val="24"/>
        </w:rPr>
        <w:t>1 lipca 2023 r.</w:t>
      </w:r>
    </w:p>
    <w:p w:rsidR="00671F0F" w:rsidRDefault="0086187F">
      <w:pPr>
        <w:tabs>
          <w:tab w:val="center" w:pos="1985"/>
        </w:tabs>
        <w:spacing w:after="28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ab/>
      </w:r>
      <w:bookmarkStart w:id="1" w:name="ezdSprawaZnak"/>
      <w:bookmarkStart w:id="2" w:name="_GoBack"/>
      <w:r>
        <w:rPr>
          <w:rFonts w:ascii="Calibri" w:hAnsi="Calibri"/>
          <w:sz w:val="22"/>
          <w:szCs w:val="22"/>
        </w:rPr>
        <w:t>GPB-II.7820.5.2023</w:t>
      </w:r>
      <w:bookmarkEnd w:id="1"/>
      <w:r>
        <w:rPr>
          <w:rFonts w:ascii="Calibri" w:hAnsi="Calibri"/>
          <w:sz w:val="22"/>
          <w:szCs w:val="22"/>
        </w:rPr>
        <w:t>.IK</w:t>
      </w:r>
      <w:bookmarkEnd w:id="2"/>
    </w:p>
    <w:p w:rsidR="00671F0F" w:rsidRDefault="0086187F">
      <w:pPr>
        <w:spacing w:line="360" w:lineRule="auto"/>
        <w:jc w:val="center"/>
        <w:rPr>
          <w:rFonts w:eastAsia="NSimSun"/>
          <w:b/>
          <w:bCs/>
          <w:sz w:val="22"/>
          <w:szCs w:val="22"/>
        </w:rPr>
      </w:pPr>
      <w:r>
        <w:rPr>
          <w:rFonts w:ascii="Calibri" w:eastAsia="NSimSun" w:hAnsi="Calibri"/>
          <w:b/>
          <w:bCs/>
          <w:sz w:val="24"/>
          <w:szCs w:val="24"/>
        </w:rPr>
        <w:t xml:space="preserve">OBWIESZCZENIE </w:t>
      </w:r>
    </w:p>
    <w:p w:rsidR="00671F0F" w:rsidRDefault="0086187F">
      <w:pPr>
        <w:spacing w:after="283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bCs/>
          <w:sz w:val="24"/>
          <w:szCs w:val="24"/>
        </w:rPr>
        <w:t xml:space="preserve">WOJEWODY ŁÓDZKIEGO </w:t>
      </w:r>
    </w:p>
    <w:p w:rsidR="00671F0F" w:rsidRDefault="0086187F">
      <w:pPr>
        <w:spacing w:after="283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ab/>
        <w:t>Na podstawie art. 11f ust. 3 ustawy z dnia 10 kwietnia 2003 r. o szczególnych zasadach przygotowania i realizacji inwestycji w zakresie dróg publicznych, w związku z</w:t>
      </w:r>
      <w:r>
        <w:rPr>
          <w:rFonts w:ascii="Calibri" w:eastAsia="NSimSun" w:hAnsi="Calibri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Calibri" w:eastAsia="NSimSun" w:hAnsi="Calibri"/>
          <w:sz w:val="24"/>
          <w:szCs w:val="24"/>
        </w:rPr>
        <w:t>art.</w:t>
      </w:r>
      <w:r>
        <w:rPr>
          <w:rFonts w:ascii="Calibri" w:eastAsia="NSimSun" w:hAnsi="Calibri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Calibri" w:eastAsia="NSimSun" w:hAnsi="Calibri"/>
          <w:sz w:val="24"/>
          <w:szCs w:val="24"/>
        </w:rPr>
        <w:t>49 ustawy z dnia 14 czerwca 1960 r. - Kodeks postępowania administracyjnego (Kpa), zawiadamia się strony postępowania, że 05.07.2023 r. została wydana decyzja Wojewody Łódzkiego Nr 150/23 udzielająca Burmistrzowi Aleksandrowa Łódzkiego z siedzibą Plac Kośc</w:t>
      </w:r>
      <w:r>
        <w:rPr>
          <w:rFonts w:ascii="Calibri" w:eastAsia="NSimSun" w:hAnsi="Calibri"/>
          <w:sz w:val="24"/>
          <w:szCs w:val="24"/>
        </w:rPr>
        <w:t xml:space="preserve">iuszki 2, Aleksandrów Łódzki, zezwolenia na realizację inwestycji drogowej w zakresie </w:t>
      </w:r>
      <w:r>
        <w:rPr>
          <w:rFonts w:ascii="Calibri" w:hAnsi="Calibri"/>
          <w:sz w:val="24"/>
          <w:szCs w:val="24"/>
        </w:rPr>
        <w:t>rozbudowy skrzyżowania drogi krajowej Nr 71 z ul. Pabianicką w Aleksandrowie Łódzkim, w zakresie budowy ronda oraz przebudowy infrastruktury towarzyszącej w km od 23+686,</w:t>
      </w:r>
      <w:r>
        <w:rPr>
          <w:rFonts w:ascii="Calibri" w:hAnsi="Calibri"/>
          <w:sz w:val="24"/>
          <w:szCs w:val="24"/>
        </w:rPr>
        <w:t>45 do 23+786,14 drogi krajowej nr 71</w:t>
      </w:r>
      <w:r>
        <w:rPr>
          <w:rFonts w:ascii="Calibri" w:eastAsia="NSimSun" w:hAnsi="Calibri"/>
          <w:sz w:val="24"/>
          <w:szCs w:val="24"/>
        </w:rPr>
        <w:t>.</w:t>
      </w:r>
    </w:p>
    <w:p w:rsidR="00671F0F" w:rsidRDefault="0086187F">
      <w:pPr>
        <w:spacing w:after="283" w:line="360" w:lineRule="auto"/>
        <w:ind w:firstLine="709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 xml:space="preserve">Decyzji został nadany rygor natychmiastowej wykonalności. </w:t>
      </w:r>
    </w:p>
    <w:p w:rsidR="00671F0F" w:rsidRDefault="0086187F">
      <w:pPr>
        <w:spacing w:after="283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ab/>
        <w:t>Od ww. decyzji stronom przysługuje prawo wniesienia odwołania do Ministra Rozwoju i Technologii w Warszawie za pośrednictwem Wojewody Łódzkiego, w terminie 14</w:t>
      </w:r>
      <w:r>
        <w:rPr>
          <w:rFonts w:ascii="Calibri" w:eastAsia="NSimSun" w:hAnsi="Calibri"/>
          <w:sz w:val="24"/>
          <w:szCs w:val="24"/>
        </w:rPr>
        <w:t xml:space="preserve"> dni od dnia skutecznego doręczenia. Zgodnie z art. 49 Kpa doręczenie uważa się za dokonane po upływie 14 dni od dnia publicznego ogłoszenia. Jednocześnie zawiadamiam, że publiczne ogłoszenie obwieszczenia nastąpiło 14.07.2023 r. </w:t>
      </w:r>
    </w:p>
    <w:p w:rsidR="00671F0F" w:rsidRDefault="0086187F">
      <w:pPr>
        <w:spacing w:after="283" w:line="360" w:lineRule="auto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ab/>
        <w:t xml:space="preserve">W trakcie biegu terminu </w:t>
      </w:r>
      <w:r>
        <w:rPr>
          <w:rFonts w:ascii="Calibri" w:eastAsia="NSimSun" w:hAnsi="Calibri"/>
          <w:sz w:val="24"/>
          <w:szCs w:val="24"/>
        </w:rPr>
        <w:t>do wniesienia odwołania strona może zrzec się prawa do wniesienia odwołania wobec organu administracji publicznej, który wydał decyzję. Z dniem doręczenia organowi administracji publicznej oświadczenia o zrzeczeniu się prawa do wniesienia odwołania przez o</w:t>
      </w:r>
      <w:r>
        <w:rPr>
          <w:rFonts w:ascii="Calibri" w:eastAsia="NSimSun" w:hAnsi="Calibri"/>
          <w:sz w:val="24"/>
          <w:szCs w:val="24"/>
        </w:rPr>
        <w:t xml:space="preserve">statnią ze stron postępowania, decyzja staje się ostateczna i prawomocna. </w:t>
      </w:r>
    </w:p>
    <w:p w:rsidR="00671F0F" w:rsidRDefault="0086187F">
      <w:pPr>
        <w:spacing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>Z treścią ww. decyzji i dokumentacją sprawy można zapoznać się w Wydziale Gospodarki Przestrzennej i Budownictwa Łódzkiego Urzędu Wojewódzkiego w Łodzi, ul. Piotrkowska 104 (po wcz</w:t>
      </w:r>
      <w:r>
        <w:rPr>
          <w:rFonts w:ascii="Calibri" w:eastAsia="NSimSun" w:hAnsi="Calibri"/>
          <w:sz w:val="24"/>
          <w:szCs w:val="24"/>
        </w:rPr>
        <w:t xml:space="preserve">eśniejszym telefonicznym umówieniu terminu wizyty, tel. 42 664-12-20). Ponadto treść decyzji jest udostępniona na stronie BIP ŁUW pod adresem </w:t>
      </w:r>
      <w:r>
        <w:rPr>
          <w:rFonts w:ascii="Calibri" w:eastAsia="NSimSun" w:hAnsi="Calibri"/>
          <w:color w:val="0563C1" w:themeColor="hyperlink"/>
          <w:sz w:val="24"/>
          <w:szCs w:val="24"/>
          <w:u w:val="single"/>
        </w:rPr>
        <w:t>https://www.gov.pl/web/uw-lodzki/wykaz-decyzji-wojewody-lodzkiego</w:t>
      </w:r>
      <w:r>
        <w:rPr>
          <w:rFonts w:ascii="Calibri" w:eastAsia="NSimSun" w:hAnsi="Calibri"/>
          <w:sz w:val="24"/>
          <w:szCs w:val="24"/>
        </w:rPr>
        <w:t xml:space="preserve">. </w:t>
      </w:r>
    </w:p>
    <w:p w:rsidR="00671F0F" w:rsidRDefault="0086187F">
      <w:pPr>
        <w:tabs>
          <w:tab w:val="center" w:pos="6345"/>
        </w:tabs>
        <w:snapToGrid w:val="0"/>
        <w:ind w:left="4965"/>
        <w:jc w:val="center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2"/>
          <w:szCs w:val="22"/>
          <w:lang w:eastAsia="pl-PL"/>
        </w:rPr>
        <w:lastRenderedPageBreak/>
        <w:t>Z up. WOJEWODY ŁÓDZKIEGO</w:t>
      </w:r>
      <w:r>
        <w:rPr>
          <w:rFonts w:ascii="Calibri" w:hAnsi="Calibri"/>
          <w:b/>
          <w:bCs/>
          <w:color w:val="000000"/>
          <w:sz w:val="22"/>
          <w:szCs w:val="22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lang w:eastAsia="pl-PL"/>
        </w:rPr>
        <w:t>Agata Urban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lang w:eastAsia="pl-PL"/>
        </w:rPr>
        <w:br/>
      </w:r>
      <w:r>
        <w:rPr>
          <w:rFonts w:ascii="Calibri" w:hAnsi="Calibri"/>
          <w:b/>
          <w:bCs/>
          <w:iCs/>
          <w:color w:val="000000"/>
          <w:sz w:val="22"/>
          <w:szCs w:val="22"/>
          <w:lang w:eastAsia="pl-PL"/>
        </w:rPr>
        <w:t xml:space="preserve">Dyrektor </w:t>
      </w:r>
      <w:r>
        <w:rPr>
          <w:rFonts w:ascii="Calibri" w:hAnsi="Calibri"/>
          <w:b/>
          <w:bCs/>
          <w:iCs/>
          <w:color w:val="000000"/>
          <w:sz w:val="22"/>
          <w:szCs w:val="22"/>
          <w:lang w:eastAsia="pl-PL"/>
        </w:rPr>
        <w:t xml:space="preserve">Wydziału </w:t>
      </w:r>
    </w:p>
    <w:p w:rsidR="00671F0F" w:rsidRDefault="0086187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2"/>
          <w:szCs w:val="22"/>
          <w:lang w:eastAsia="pl-PL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  <w:lang w:eastAsia="pl-PL"/>
        </w:rPr>
        <w:t xml:space="preserve">Gospodarki Przestrzennej </w:t>
      </w:r>
    </w:p>
    <w:p w:rsidR="00671F0F" w:rsidRDefault="0086187F">
      <w:pPr>
        <w:tabs>
          <w:tab w:val="center" w:pos="6345"/>
        </w:tabs>
        <w:snapToGrid w:val="0"/>
        <w:ind w:left="4965"/>
        <w:jc w:val="center"/>
        <w:rPr>
          <w:sz w:val="22"/>
          <w:szCs w:val="22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  <w:lang w:eastAsia="pl-PL"/>
        </w:rPr>
        <w:t>i Budownictwa</w:t>
      </w:r>
    </w:p>
    <w:p w:rsidR="00671F0F" w:rsidRDefault="0086187F">
      <w:pPr>
        <w:tabs>
          <w:tab w:val="center" w:pos="6345"/>
        </w:tabs>
        <w:snapToGrid w:val="0"/>
        <w:ind w:left="4965"/>
        <w:jc w:val="center"/>
        <w:rPr>
          <w:rFonts w:ascii="Calibri" w:hAnsi="Calibri"/>
        </w:rPr>
      </w:pPr>
      <w:r>
        <w:rPr>
          <w:rFonts w:ascii="Calibri" w:hAnsi="Calibri"/>
        </w:rPr>
        <w:t>/pismo podpisane kwalifikowanym</w:t>
      </w:r>
    </w:p>
    <w:p w:rsidR="00671F0F" w:rsidRDefault="0086187F">
      <w:pPr>
        <w:tabs>
          <w:tab w:val="center" w:pos="6345"/>
        </w:tabs>
        <w:snapToGrid w:val="0"/>
        <w:ind w:left="4965"/>
        <w:jc w:val="center"/>
        <w:rPr>
          <w:rFonts w:ascii="Calibri" w:hAnsi="Calibri"/>
        </w:rPr>
      </w:pPr>
      <w:r>
        <w:rPr>
          <w:rFonts w:ascii="Calibri" w:hAnsi="Calibri"/>
        </w:rPr>
        <w:t xml:space="preserve"> podpisem elektronicznym/</w:t>
      </w:r>
    </w:p>
    <w:p w:rsidR="00671F0F" w:rsidRDefault="00671F0F">
      <w:pPr>
        <w:pStyle w:val="Tekstpodstawowywcity31"/>
        <w:snapToGrid w:val="0"/>
        <w:spacing w:line="360" w:lineRule="auto"/>
        <w:ind w:left="4815"/>
        <w:rPr>
          <w:rFonts w:ascii="Calibri" w:hAnsi="Calibri"/>
        </w:rPr>
      </w:pPr>
    </w:p>
    <w:sectPr w:rsidR="00671F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7F" w:rsidRDefault="0086187F">
      <w:r>
        <w:separator/>
      </w:r>
    </w:p>
  </w:endnote>
  <w:endnote w:type="continuationSeparator" w:id="0">
    <w:p w:rsidR="0086187F" w:rsidRDefault="0086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0F" w:rsidRDefault="0086187F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0F" w:rsidRDefault="00671F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7F" w:rsidRDefault="0086187F">
      <w:r>
        <w:separator/>
      </w:r>
    </w:p>
  </w:footnote>
  <w:footnote w:type="continuationSeparator" w:id="0">
    <w:p w:rsidR="0086187F" w:rsidRDefault="0086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0F" w:rsidRDefault="00671F0F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0F" w:rsidRDefault="00671F0F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D27A2"/>
    <w:multiLevelType w:val="multilevel"/>
    <w:tmpl w:val="712629C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0F"/>
    <w:rsid w:val="001F543C"/>
    <w:rsid w:val="00671F0F"/>
    <w:rsid w:val="008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7FCDE-65A6-4A1A-A033-0A1705A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dcterms:created xsi:type="dcterms:W3CDTF">2023-07-12T07:56:00Z</dcterms:created>
  <dcterms:modified xsi:type="dcterms:W3CDTF">2023-07-12T07:56:00Z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