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99196E" w:rsidP="00A456A1">
      <w:pPr>
        <w:jc w:val="right"/>
      </w:pPr>
      <w:r>
        <w:t xml:space="preserve">Warszawa,  </w:t>
      </w:r>
      <w:bookmarkStart w:id="0" w:name="ezdDataPodpisu"/>
      <w:r>
        <w:t>03 lipca 2019</w:t>
      </w:r>
      <w:bookmarkEnd w:id="0"/>
      <w:r>
        <w:t xml:space="preserve"> r.</w:t>
      </w:r>
    </w:p>
    <w:p w:rsidR="00A456A1" w:rsidRDefault="0099196E" w:rsidP="00A456A1">
      <w:pPr>
        <w:pStyle w:val="menfont"/>
      </w:pPr>
      <w:bookmarkStart w:id="1" w:name="ezdSprawaZnak"/>
      <w:r>
        <w:t>DKO-WNP.4092.51.2019</w:t>
      </w:r>
      <w:bookmarkEnd w:id="1"/>
      <w:r>
        <w:t>.</w:t>
      </w:r>
      <w:bookmarkStart w:id="2" w:name="ezdAutorInicjaly"/>
      <w:r>
        <w:t>DB</w:t>
      </w:r>
      <w:bookmarkEnd w:id="2"/>
    </w:p>
    <w:p w:rsidR="00312C81" w:rsidRDefault="003356C2">
      <w:pPr>
        <w:pStyle w:val="menfont"/>
      </w:pPr>
    </w:p>
    <w:p w:rsidR="00312C81" w:rsidRDefault="003356C2">
      <w:pPr>
        <w:pStyle w:val="menfont"/>
      </w:pPr>
    </w:p>
    <w:p w:rsidR="00312C81" w:rsidRDefault="003356C2">
      <w:pPr>
        <w:pStyle w:val="menfont"/>
      </w:pPr>
      <w:bookmarkStart w:id="3" w:name="_GoBack"/>
      <w:bookmarkEnd w:id="3"/>
    </w:p>
    <w:p w:rsidR="00312C81" w:rsidRDefault="003356C2">
      <w:pPr>
        <w:pStyle w:val="menfont"/>
      </w:pPr>
    </w:p>
    <w:p w:rsidR="003502F1" w:rsidRPr="00974183" w:rsidRDefault="0099196E" w:rsidP="003502F1">
      <w:pPr>
        <w:pStyle w:val="menfont"/>
        <w:jc w:val="both"/>
        <w:rPr>
          <w:color w:val="000000" w:themeColor="text1"/>
        </w:rPr>
      </w:pPr>
      <w:r w:rsidRPr="00974183">
        <w:rPr>
          <w:color w:val="000000" w:themeColor="text1"/>
        </w:rPr>
        <w:t>Na podstawie art. 60 ust. 3 pkt 1 ustawy z dnia 14 grudnia 2016 r. – Prawo oświatowe (Dz. U. z 2019 r. poz. 1148) ustalam następujące kierunki realizacji polityki oświatowej państwa w roku szkolnym 2019/2020:</w:t>
      </w:r>
    </w:p>
    <w:p w:rsidR="003502F1" w:rsidRDefault="003356C2" w:rsidP="003502F1">
      <w:pPr>
        <w:pStyle w:val="menfont"/>
        <w:jc w:val="both"/>
      </w:pPr>
    </w:p>
    <w:p w:rsidR="003502F1" w:rsidRDefault="003356C2" w:rsidP="003502F1">
      <w:pPr>
        <w:pStyle w:val="menfont"/>
      </w:pPr>
    </w:p>
    <w:p w:rsidR="003502F1" w:rsidRPr="00974183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974183">
        <w:rPr>
          <w:color w:val="000000" w:themeColor="text1"/>
        </w:rPr>
        <w:t>Profilaktyka uzależnień w szkołach i placówkach oświatowych.</w:t>
      </w:r>
    </w:p>
    <w:p w:rsidR="003502F1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Wychowanie do wartości</w:t>
      </w:r>
      <w:r w:rsidRPr="001A0D67">
        <w:rPr>
          <w:color w:val="000000" w:themeColor="text1"/>
        </w:rPr>
        <w:t xml:space="preserve"> przez kształtowanie postaw obywatelskich i</w:t>
      </w:r>
      <w:r>
        <w:rPr>
          <w:color w:val="000000" w:themeColor="text1"/>
        </w:rPr>
        <w:t> </w:t>
      </w:r>
      <w:r w:rsidRPr="001A0D67">
        <w:rPr>
          <w:color w:val="000000" w:themeColor="text1"/>
        </w:rPr>
        <w:t>patriotycznych.</w:t>
      </w:r>
    </w:p>
    <w:p w:rsidR="003502F1" w:rsidRPr="00F641FE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F641FE">
        <w:rPr>
          <w:color w:val="000000" w:themeColor="text1"/>
        </w:rPr>
        <w:t>Wdrażanie nowej podstawy programowej kształcenia ogólnego w szkołach podstawowych i ponadpodstawowych.</w:t>
      </w:r>
    </w:p>
    <w:p w:rsidR="003502F1" w:rsidRPr="00F641FE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F641FE">
        <w:rPr>
          <w:color w:val="000000" w:themeColor="text1"/>
        </w:rPr>
        <w:t>Rozwijanie kompetencji matematycznych uczniów.</w:t>
      </w:r>
    </w:p>
    <w:p w:rsidR="003502F1" w:rsidRPr="00F641FE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F641FE">
        <w:rPr>
          <w:color w:val="000000" w:themeColor="text1"/>
        </w:rPr>
        <w:t>Rozwijanie kreatywności, przedsiębiorczości i kompetencji cyfrowych uczniów, w tym bezpieczne i celowe wykorzystywanie technologii informacyjno-komunikacyjnych w realizacji podstawy programowej kształcenia ogólnego.</w:t>
      </w:r>
    </w:p>
    <w:p w:rsidR="003502F1" w:rsidRPr="00974183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Tworzenie oferty programowej w kształceniu zawodowym. </w:t>
      </w:r>
      <w:r w:rsidRPr="00974183">
        <w:rPr>
          <w:color w:val="000000" w:themeColor="text1"/>
        </w:rPr>
        <w:t>Wdrażanie nowych podstaw programowych kształcenia w zawodach szkolnictwa branżowego.</w:t>
      </w:r>
    </w:p>
    <w:p w:rsidR="003502F1" w:rsidRDefault="003356C2" w:rsidP="003502F1">
      <w:pPr>
        <w:pStyle w:val="menfont"/>
        <w:jc w:val="both"/>
      </w:pPr>
    </w:p>
    <w:p w:rsidR="003502F1" w:rsidRDefault="003356C2" w:rsidP="003502F1">
      <w:pPr>
        <w:pStyle w:val="menfont"/>
        <w:jc w:val="both"/>
      </w:pPr>
    </w:p>
    <w:p w:rsidR="003502F1" w:rsidRDefault="0099196E" w:rsidP="003502F1">
      <w:pPr>
        <w:pStyle w:val="menfont"/>
        <w:jc w:val="both"/>
      </w:pPr>
      <w:r>
        <w:t>Zadania z zakresu nadzoru pedagogicznego dla kuratorów oświaty:</w:t>
      </w:r>
    </w:p>
    <w:p w:rsidR="003502F1" w:rsidRDefault="003356C2" w:rsidP="003502F1">
      <w:pPr>
        <w:pStyle w:val="menfont"/>
        <w:jc w:val="both"/>
      </w:pPr>
    </w:p>
    <w:p w:rsidR="003502F1" w:rsidRDefault="0099196E" w:rsidP="003502F1">
      <w:pPr>
        <w:pStyle w:val="menfont"/>
        <w:numPr>
          <w:ilvl w:val="0"/>
          <w:numId w:val="2"/>
        </w:numPr>
        <w:ind w:left="284" w:hanging="284"/>
        <w:rPr>
          <w:b/>
          <w:u w:val="single"/>
        </w:rPr>
      </w:pPr>
      <w:r>
        <w:rPr>
          <w:b/>
          <w:u w:val="single"/>
        </w:rPr>
        <w:t>w zakresie kontroli:</w:t>
      </w:r>
    </w:p>
    <w:p w:rsidR="003502F1" w:rsidRDefault="003356C2" w:rsidP="003502F1">
      <w:pPr>
        <w:pStyle w:val="menfont"/>
        <w:ind w:left="284"/>
        <w:rPr>
          <w:u w:val="single"/>
        </w:rPr>
      </w:pPr>
    </w:p>
    <w:p w:rsidR="003502F1" w:rsidRPr="00F641FE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641FE">
        <w:rPr>
          <w:color w:val="000000" w:themeColor="text1"/>
        </w:rPr>
        <w:t>w publicznych szkołach podstawowych i ponadpodstawowych:</w:t>
      </w:r>
    </w:p>
    <w:p w:rsidR="003502F1" w:rsidRPr="00F641FE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D57B23">
        <w:rPr>
          <w:b/>
        </w:rPr>
        <w:t>„</w:t>
      </w:r>
      <w:r>
        <w:rPr>
          <w:b/>
        </w:rPr>
        <w:t>Zgodność z przepisami prawa f</w:t>
      </w:r>
      <w:r>
        <w:rPr>
          <w:b/>
          <w:color w:val="000000"/>
        </w:rPr>
        <w:t>unkcjonowania</w:t>
      </w:r>
      <w:r w:rsidRPr="00D57B23">
        <w:rPr>
          <w:b/>
          <w:color w:val="000000"/>
        </w:rPr>
        <w:t xml:space="preserve"> </w:t>
      </w:r>
      <w:r w:rsidRPr="00F641FE">
        <w:rPr>
          <w:b/>
          <w:color w:val="000000" w:themeColor="text1"/>
        </w:rPr>
        <w:t>monitoring</w:t>
      </w:r>
      <w:r>
        <w:rPr>
          <w:b/>
          <w:color w:val="000000" w:themeColor="text1"/>
        </w:rPr>
        <w:t>u wizyjnego</w:t>
      </w:r>
      <w:r w:rsidRPr="00D57B23">
        <w:rPr>
          <w:b/>
          <w:color w:val="000000"/>
        </w:rPr>
        <w:t xml:space="preserve"> w szkołach</w:t>
      </w:r>
      <w:r w:rsidRPr="00F641FE">
        <w:rPr>
          <w:b/>
          <w:color w:val="000000" w:themeColor="text1"/>
        </w:rPr>
        <w:t>”;</w:t>
      </w:r>
    </w:p>
    <w:p w:rsidR="003502F1" w:rsidRDefault="003356C2" w:rsidP="003502F1">
      <w:pPr>
        <w:pStyle w:val="menfont"/>
        <w:ind w:left="720"/>
        <w:jc w:val="both"/>
      </w:pPr>
    </w:p>
    <w:p w:rsidR="003502F1" w:rsidRPr="00F476D9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476D9">
        <w:rPr>
          <w:color w:val="000000" w:themeColor="text1"/>
        </w:rPr>
        <w:t>w szkołach ogólnodostępnych i integracyjnych:</w:t>
      </w:r>
    </w:p>
    <w:p w:rsidR="003502F1" w:rsidRPr="00F476D9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F476D9">
        <w:rPr>
          <w:b/>
          <w:color w:val="000000" w:themeColor="text1"/>
        </w:rPr>
        <w:t xml:space="preserve">„Zgodność z przepisami prawa organizowania zajęć w grupie do pięciu uczniów lub w formie indywidualnej oraz udzielania </w:t>
      </w:r>
      <w:r>
        <w:rPr>
          <w:b/>
          <w:color w:val="000000" w:themeColor="text1"/>
        </w:rPr>
        <w:br/>
      </w:r>
      <w:r w:rsidRPr="00F476D9">
        <w:rPr>
          <w:b/>
          <w:color w:val="000000" w:themeColor="text1"/>
        </w:rPr>
        <w:t>uczniom pomocy psychologiczno-pedagogicznej w formie zindywidu</w:t>
      </w:r>
      <w:r>
        <w:rPr>
          <w:b/>
          <w:color w:val="000000" w:themeColor="text1"/>
        </w:rPr>
        <w:t>alizowanej ścieżki kształcenia</w:t>
      </w:r>
      <w:r w:rsidRPr="00F476D9">
        <w:rPr>
          <w:b/>
          <w:color w:val="000000" w:themeColor="text1"/>
        </w:rPr>
        <w:t>”;</w:t>
      </w:r>
    </w:p>
    <w:p w:rsidR="003502F1" w:rsidRPr="00F476D9" w:rsidRDefault="003356C2" w:rsidP="003502F1">
      <w:pPr>
        <w:pStyle w:val="menfont"/>
        <w:ind w:left="284"/>
        <w:rPr>
          <w:color w:val="000000" w:themeColor="text1"/>
        </w:rPr>
      </w:pPr>
    </w:p>
    <w:p w:rsidR="003502F1" w:rsidRPr="00F476D9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476D9">
        <w:rPr>
          <w:color w:val="000000" w:themeColor="text1"/>
        </w:rPr>
        <w:t>w publicznych poradniach psychologiczno-pedagogicznych:</w:t>
      </w:r>
    </w:p>
    <w:p w:rsidR="003502F1" w:rsidRPr="00F476D9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F476D9">
        <w:rPr>
          <w:b/>
          <w:color w:val="000000" w:themeColor="text1"/>
        </w:rPr>
        <w:t>„Zgodność z przepisami prawa wydawania orzeczeń o potrzebie kształcenia specjalnego w zakresie dotyczącym organizacji zajęć w grupie do pięciu uczniów lub w formie indywidualnej oraz opinii w sprawie objęcia ucznia pomocą psychologiczno-pedagogiczną w formie zindywid</w:t>
      </w:r>
      <w:r>
        <w:rPr>
          <w:b/>
          <w:color w:val="000000" w:themeColor="text1"/>
        </w:rPr>
        <w:t>ualizowanej ścieżki kształcenia</w:t>
      </w:r>
      <w:r w:rsidRPr="00F476D9">
        <w:rPr>
          <w:b/>
          <w:color w:val="000000" w:themeColor="text1"/>
        </w:rPr>
        <w:t>”;</w:t>
      </w:r>
    </w:p>
    <w:p w:rsidR="003502F1" w:rsidRDefault="003356C2" w:rsidP="003502F1">
      <w:pPr>
        <w:pStyle w:val="menfont"/>
        <w:ind w:left="284"/>
      </w:pPr>
    </w:p>
    <w:p w:rsidR="003502F1" w:rsidRPr="00F641FE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641FE">
        <w:rPr>
          <w:color w:val="000000" w:themeColor="text1"/>
        </w:rPr>
        <w:t>w publicznych i niepublicznych szkołach prowadzących kształcenie zawodowe (branżowa szkoła I stopnia, technikum, szkoła policealna):</w:t>
      </w:r>
    </w:p>
    <w:p w:rsidR="003502F1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>
        <w:rPr>
          <w:b/>
        </w:rPr>
        <w:t>„</w:t>
      </w:r>
      <w:r w:rsidRPr="00804974">
        <w:rPr>
          <w:b/>
          <w:color w:val="000000"/>
        </w:rPr>
        <w:t>Zgodność oferty kształcenia zawodowego z nową klasyfikacją</w:t>
      </w:r>
      <w:r>
        <w:rPr>
          <w:b/>
          <w:color w:val="000000"/>
        </w:rPr>
        <w:t xml:space="preserve"> zawodów szkolnictwa branżowego</w:t>
      </w:r>
      <w:r>
        <w:rPr>
          <w:b/>
        </w:rPr>
        <w:t>”.</w:t>
      </w:r>
    </w:p>
    <w:p w:rsidR="003502F1" w:rsidRDefault="003356C2" w:rsidP="003502F1">
      <w:pPr>
        <w:pStyle w:val="menfont"/>
        <w:ind w:left="284"/>
        <w:rPr>
          <w:b/>
          <w:u w:val="single"/>
        </w:rPr>
      </w:pPr>
    </w:p>
    <w:p w:rsidR="003502F1" w:rsidRDefault="003356C2" w:rsidP="003502F1">
      <w:pPr>
        <w:pStyle w:val="menfont"/>
        <w:ind w:left="284"/>
        <w:rPr>
          <w:b/>
          <w:u w:val="single"/>
        </w:rPr>
      </w:pPr>
    </w:p>
    <w:p w:rsidR="003502F1" w:rsidRPr="0035675B" w:rsidRDefault="0099196E" w:rsidP="003502F1">
      <w:pPr>
        <w:pStyle w:val="menfont"/>
        <w:numPr>
          <w:ilvl w:val="0"/>
          <w:numId w:val="2"/>
        </w:numPr>
        <w:ind w:left="284" w:hanging="284"/>
        <w:rPr>
          <w:b/>
          <w:color w:val="000000" w:themeColor="text1"/>
          <w:u w:val="single"/>
        </w:rPr>
      </w:pPr>
      <w:r w:rsidRPr="0035675B">
        <w:rPr>
          <w:b/>
          <w:color w:val="000000" w:themeColor="text1"/>
          <w:u w:val="single"/>
        </w:rPr>
        <w:t>w zakresie ewaluacji:</w:t>
      </w:r>
    </w:p>
    <w:p w:rsidR="003502F1" w:rsidRPr="0035675B" w:rsidRDefault="003356C2" w:rsidP="003502F1">
      <w:pPr>
        <w:pStyle w:val="menfont"/>
        <w:rPr>
          <w:color w:val="000000" w:themeColor="text1"/>
        </w:rPr>
      </w:pPr>
    </w:p>
    <w:p w:rsidR="003502F1" w:rsidRPr="0035675B" w:rsidRDefault="0099196E" w:rsidP="003502F1">
      <w:pPr>
        <w:pStyle w:val="menfont"/>
        <w:rPr>
          <w:color w:val="000000" w:themeColor="text1"/>
        </w:rPr>
      </w:pPr>
      <w:r w:rsidRPr="0035675B">
        <w:rPr>
          <w:b/>
          <w:color w:val="000000" w:themeColor="text1"/>
        </w:rPr>
        <w:t>Ewaluacje problemowe</w:t>
      </w:r>
      <w:r w:rsidRPr="0035675B">
        <w:rPr>
          <w:color w:val="000000" w:themeColor="text1"/>
        </w:rPr>
        <w:t xml:space="preserve"> (60% wszystkich ewaluacji w roku szkolnym):</w:t>
      </w:r>
    </w:p>
    <w:p w:rsidR="003502F1" w:rsidRPr="0035675B" w:rsidRDefault="003356C2" w:rsidP="003502F1">
      <w:pPr>
        <w:pStyle w:val="menfont"/>
        <w:rPr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przedszkolach, innych formach wychowania przedszkolnego oraz oddziałach przedszkolnych w szkołach podstawowych – w zakresie wymagań: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Procesy wspomagania rozwoju i edukacji dzieci są zorganizowane w sposób sprzyjający uczeniu się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Przedszkole wspomaga rozwój dzieci, z uwzględnieniem ich indywidualnej sytuacji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„Rodzice są partnerami przedszkola”;</w:t>
      </w:r>
    </w:p>
    <w:p w:rsidR="003502F1" w:rsidRPr="0035675B" w:rsidRDefault="003356C2" w:rsidP="003502F1">
      <w:pPr>
        <w:pStyle w:val="menfont"/>
        <w:ind w:left="720"/>
        <w:jc w:val="both"/>
        <w:rPr>
          <w:b/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szkołach podstawowych i ponadpodstawowych (dla dzieci i młodzieży) – w zakresie wymagań</w:t>
      </w:r>
      <w:r>
        <w:rPr>
          <w:color w:val="000000" w:themeColor="text1"/>
        </w:rPr>
        <w:t>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Kształtowane są postawy i respektowane normy społeczne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„Szkoła lub placówka wspomaga rozwój uczniów, z uwzględnieniem ich indywidualnej sytuacji”;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„Rodzice są partnerami szkoły lub placówki”;</w:t>
      </w:r>
    </w:p>
    <w:p w:rsidR="003502F1" w:rsidRPr="0035675B" w:rsidRDefault="003356C2" w:rsidP="003502F1">
      <w:pPr>
        <w:pStyle w:val="menfont"/>
        <w:rPr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szkołach dla dorosłych – w zakresie wymagań: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Procesy edukacyjne są zorganizowane w sposób sprzyjający uczeniu się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Uczniowie nabywają wiadom</w:t>
      </w:r>
      <w:r>
        <w:rPr>
          <w:b/>
          <w:bCs/>
          <w:color w:val="000000" w:themeColor="text1"/>
        </w:rPr>
        <w:t>ości i umiejętności określone w </w:t>
      </w:r>
      <w:r w:rsidRPr="0035675B">
        <w:rPr>
          <w:b/>
          <w:bCs/>
          <w:color w:val="000000" w:themeColor="text1"/>
        </w:rPr>
        <w:t>podstawie programowej</w:t>
      </w:r>
      <w:r w:rsidRPr="0035675B">
        <w:rPr>
          <w:b/>
          <w:color w:val="000000" w:themeColor="text1"/>
        </w:rPr>
        <w:t>”;</w:t>
      </w:r>
    </w:p>
    <w:p w:rsidR="003502F1" w:rsidRPr="0035675B" w:rsidRDefault="003356C2" w:rsidP="003502F1">
      <w:pPr>
        <w:pStyle w:val="menfont"/>
        <w:ind w:left="720"/>
        <w:jc w:val="both"/>
        <w:rPr>
          <w:b/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lastRenderedPageBreak/>
        <w:t>w bibliotekach pedagogicznych – w zakresie wymagań: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Placówka zaspokaja potrzeby osób, instytucji i organizacji korzystających z oferty placówki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Placówka współpracuje ze środowiskiem lokalnym na rzecz wzajemnego rozwoju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„Zarządzanie placówką służy jej rozwojowi”.</w:t>
      </w:r>
    </w:p>
    <w:p w:rsidR="003502F1" w:rsidRPr="0035675B" w:rsidRDefault="003356C2" w:rsidP="003502F1">
      <w:pPr>
        <w:pStyle w:val="menfont"/>
        <w:jc w:val="both"/>
        <w:rPr>
          <w:b/>
          <w:color w:val="000000" w:themeColor="text1"/>
        </w:rPr>
      </w:pPr>
    </w:p>
    <w:p w:rsidR="003502F1" w:rsidRPr="0035675B" w:rsidRDefault="0099196E" w:rsidP="003502F1">
      <w:pPr>
        <w:pStyle w:val="menfont"/>
        <w:jc w:val="both"/>
        <w:rPr>
          <w:color w:val="000000" w:themeColor="text1"/>
        </w:rPr>
      </w:pPr>
      <w:r w:rsidRPr="0035675B">
        <w:rPr>
          <w:b/>
          <w:color w:val="000000" w:themeColor="text1"/>
        </w:rPr>
        <w:t>Ewaluacje w zakresie wybranym przez kuratora oświaty na podstawie wniosków z nadzoru pedagogicznego</w:t>
      </w:r>
      <w:r w:rsidRPr="0035675B">
        <w:rPr>
          <w:color w:val="000000" w:themeColor="text1"/>
        </w:rPr>
        <w:t xml:space="preserve"> (40% wszystkich ewaluacji w roku szkolnym).</w:t>
      </w:r>
    </w:p>
    <w:p w:rsidR="003502F1" w:rsidRDefault="003356C2" w:rsidP="003502F1">
      <w:pPr>
        <w:pStyle w:val="menfont"/>
        <w:jc w:val="both"/>
      </w:pPr>
    </w:p>
    <w:p w:rsidR="003502F1" w:rsidRDefault="003356C2" w:rsidP="003502F1">
      <w:pPr>
        <w:pStyle w:val="menfont"/>
        <w:jc w:val="both"/>
      </w:pPr>
    </w:p>
    <w:p w:rsidR="003502F1" w:rsidRDefault="0099196E" w:rsidP="003502F1">
      <w:pPr>
        <w:pStyle w:val="menfont"/>
        <w:numPr>
          <w:ilvl w:val="0"/>
          <w:numId w:val="2"/>
        </w:numPr>
        <w:ind w:left="284" w:hanging="284"/>
        <w:rPr>
          <w:b/>
          <w:u w:val="single"/>
        </w:rPr>
      </w:pPr>
      <w:r>
        <w:rPr>
          <w:b/>
          <w:u w:val="single"/>
        </w:rPr>
        <w:t>w zakresie monitorowania:</w:t>
      </w:r>
    </w:p>
    <w:p w:rsidR="003502F1" w:rsidRDefault="003356C2" w:rsidP="003502F1">
      <w:pPr>
        <w:pStyle w:val="menfont"/>
        <w:ind w:left="284"/>
        <w:rPr>
          <w:b/>
          <w:u w:val="single"/>
        </w:rPr>
      </w:pPr>
    </w:p>
    <w:p w:rsidR="003502F1" w:rsidRPr="00F641FE" w:rsidRDefault="0099196E" w:rsidP="003502F1">
      <w:pPr>
        <w:pStyle w:val="menfon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F641FE">
        <w:rPr>
          <w:color w:val="000000" w:themeColor="text1"/>
        </w:rPr>
        <w:t>w publicznych szkołach podstawowych i ponadpodstawowych:</w:t>
      </w:r>
    </w:p>
    <w:p w:rsidR="003502F1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 w:rsidRPr="00F641FE">
        <w:rPr>
          <w:b/>
          <w:color w:val="000000" w:themeColor="text1"/>
        </w:rPr>
        <w:t>„Realizacja obowiązkowych zajęć wychowania fizycznego w</w:t>
      </w:r>
      <w:r>
        <w:rPr>
          <w:b/>
          <w:color w:val="000000" w:themeColor="text1"/>
        </w:rPr>
        <w:t> szkole</w:t>
      </w:r>
      <w:r>
        <w:rPr>
          <w:b/>
        </w:rPr>
        <w:t>”;</w:t>
      </w:r>
    </w:p>
    <w:p w:rsidR="003502F1" w:rsidRPr="005264E0" w:rsidRDefault="003356C2" w:rsidP="003502F1">
      <w:pPr>
        <w:pStyle w:val="menfont"/>
        <w:jc w:val="both"/>
      </w:pPr>
    </w:p>
    <w:p w:rsidR="003502F1" w:rsidRPr="00D83272" w:rsidRDefault="0099196E" w:rsidP="003502F1">
      <w:pPr>
        <w:pStyle w:val="menfon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83272">
        <w:rPr>
          <w:color w:val="000000" w:themeColor="text1"/>
        </w:rPr>
        <w:t xml:space="preserve">w szkołach podstawowych ogólnodostępnych i integracyjnych: </w:t>
      </w:r>
    </w:p>
    <w:p w:rsidR="003502F1" w:rsidRPr="00D84FDE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 w:rsidRPr="005264E0">
        <w:rPr>
          <w:b/>
          <w:bCs/>
        </w:rPr>
        <w:t>„</w:t>
      </w:r>
      <w:r w:rsidRPr="005264E0">
        <w:rPr>
          <w:b/>
          <w:color w:val="000000"/>
        </w:rPr>
        <w:t>Przechodzenie uczniów ze szkół ogólno</w:t>
      </w:r>
      <w:r>
        <w:rPr>
          <w:b/>
          <w:color w:val="000000"/>
        </w:rPr>
        <w:t>dostępnych do szkół specjalnych</w:t>
      </w:r>
      <w:r>
        <w:rPr>
          <w:b/>
          <w:bCs/>
        </w:rPr>
        <w:t>”;</w:t>
      </w:r>
    </w:p>
    <w:p w:rsidR="003502F1" w:rsidRDefault="003356C2" w:rsidP="003502F1">
      <w:pPr>
        <w:pStyle w:val="menfont"/>
      </w:pPr>
    </w:p>
    <w:p w:rsidR="003502F1" w:rsidRPr="00D83272" w:rsidRDefault="0099196E" w:rsidP="003502F1">
      <w:pPr>
        <w:pStyle w:val="menfon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83272">
        <w:rPr>
          <w:color w:val="000000" w:themeColor="text1"/>
        </w:rPr>
        <w:t>w przedszkolach, szkołach i placówkach, o których mowa w art. 2 pkt 7 ustawy – Prawo oświatowe:</w:t>
      </w:r>
    </w:p>
    <w:p w:rsidR="003502F1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>
        <w:rPr>
          <w:b/>
        </w:rPr>
        <w:t>„</w:t>
      </w:r>
      <w:r w:rsidRPr="005264E0">
        <w:rPr>
          <w:b/>
          <w:color w:val="000000"/>
        </w:rPr>
        <w:t>Wspieranie potencjału rozwojowego uczniów i stwarzanie warunków do ich aktywnego i pełnego uczestnictwa w życiu przedszkola, szkoły i placów</w:t>
      </w:r>
      <w:r>
        <w:rPr>
          <w:b/>
          <w:color w:val="000000"/>
        </w:rPr>
        <w:t>ki oraz w środowisku społecznym</w:t>
      </w:r>
      <w:r>
        <w:rPr>
          <w:b/>
        </w:rPr>
        <w:t>”;</w:t>
      </w:r>
    </w:p>
    <w:p w:rsidR="003502F1" w:rsidRDefault="003356C2" w:rsidP="003502F1">
      <w:pPr>
        <w:pStyle w:val="menfont"/>
        <w:rPr>
          <w:color w:val="000000" w:themeColor="text1"/>
        </w:rPr>
      </w:pPr>
    </w:p>
    <w:p w:rsidR="003502F1" w:rsidRPr="00CD7C80" w:rsidRDefault="0099196E" w:rsidP="003502F1">
      <w:pPr>
        <w:pStyle w:val="menfont"/>
        <w:numPr>
          <w:ilvl w:val="0"/>
          <w:numId w:val="7"/>
        </w:numPr>
        <w:ind w:left="284" w:hanging="284"/>
        <w:rPr>
          <w:color w:val="000000" w:themeColor="text1"/>
        </w:rPr>
      </w:pPr>
      <w:r w:rsidRPr="00D57B23">
        <w:t>w publicznych szkołach podstawowych</w:t>
      </w:r>
      <w:r w:rsidRPr="00CD7C80">
        <w:rPr>
          <w:color w:val="000000" w:themeColor="text1"/>
        </w:rPr>
        <w:t>:</w:t>
      </w:r>
    </w:p>
    <w:p w:rsidR="003502F1" w:rsidRPr="007B6353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7B6353">
        <w:rPr>
          <w:b/>
          <w:color w:val="000000" w:themeColor="text1"/>
        </w:rPr>
        <w:t>„Prowad</w:t>
      </w:r>
      <w:r>
        <w:rPr>
          <w:b/>
          <w:color w:val="000000" w:themeColor="text1"/>
        </w:rPr>
        <w:t>zenie działalności innowacyjnej</w:t>
      </w:r>
      <w:r w:rsidRPr="007B6353">
        <w:rPr>
          <w:b/>
          <w:color w:val="000000" w:themeColor="text1"/>
        </w:rPr>
        <w:t xml:space="preserve">”; </w:t>
      </w:r>
    </w:p>
    <w:p w:rsidR="003502F1" w:rsidRDefault="003356C2" w:rsidP="003502F1">
      <w:pPr>
        <w:pStyle w:val="menfont"/>
        <w:rPr>
          <w:color w:val="000000" w:themeColor="text1"/>
        </w:rPr>
      </w:pPr>
    </w:p>
    <w:p w:rsidR="003502F1" w:rsidRPr="007B6353" w:rsidRDefault="0099196E" w:rsidP="003502F1">
      <w:pPr>
        <w:pStyle w:val="menfont"/>
        <w:numPr>
          <w:ilvl w:val="0"/>
          <w:numId w:val="7"/>
        </w:numPr>
        <w:ind w:left="284" w:hanging="284"/>
        <w:rPr>
          <w:color w:val="000000" w:themeColor="text1"/>
        </w:rPr>
      </w:pPr>
      <w:r w:rsidRPr="007B6353">
        <w:rPr>
          <w:color w:val="000000" w:themeColor="text1"/>
        </w:rPr>
        <w:t>w publicznych i niepublicznych szkołach policealnych:</w:t>
      </w:r>
    </w:p>
    <w:p w:rsidR="003502F1" w:rsidRPr="00F641FE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F641FE">
        <w:rPr>
          <w:b/>
          <w:color w:val="000000" w:themeColor="text1"/>
        </w:rPr>
        <w:t xml:space="preserve">„Wdrażanie podstaw programowych kształcenia w zawodach szkolnictwa branżowego w zakresie warunków realizacji kształcenia w zawodzie”; </w:t>
      </w:r>
    </w:p>
    <w:p w:rsidR="003502F1" w:rsidRDefault="003356C2" w:rsidP="003502F1">
      <w:pPr>
        <w:pStyle w:val="menfont"/>
        <w:rPr>
          <w:color w:val="000000" w:themeColor="text1"/>
        </w:rPr>
      </w:pPr>
    </w:p>
    <w:p w:rsidR="003502F1" w:rsidRPr="00CD7C80" w:rsidRDefault="0099196E" w:rsidP="003502F1">
      <w:pPr>
        <w:pStyle w:val="menfont"/>
        <w:numPr>
          <w:ilvl w:val="0"/>
          <w:numId w:val="7"/>
        </w:numPr>
        <w:ind w:left="284" w:hanging="284"/>
        <w:rPr>
          <w:color w:val="000000" w:themeColor="text1"/>
        </w:rPr>
      </w:pPr>
      <w:r w:rsidRPr="00CD7C80">
        <w:rPr>
          <w:color w:val="000000" w:themeColor="text1"/>
        </w:rPr>
        <w:t>we wszystkich typach szkół:</w:t>
      </w:r>
    </w:p>
    <w:p w:rsidR="003502F1" w:rsidRPr="00D83272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D83272">
        <w:rPr>
          <w:b/>
          <w:color w:val="000000" w:themeColor="text1"/>
        </w:rPr>
        <w:t>„Kształcenie u</w:t>
      </w:r>
      <w:r>
        <w:rPr>
          <w:b/>
          <w:color w:val="000000" w:themeColor="text1"/>
        </w:rPr>
        <w:t xml:space="preserve"> uczniów kompetencji kluczowych</w:t>
      </w:r>
      <w:r w:rsidRPr="00D83272">
        <w:rPr>
          <w:b/>
          <w:color w:val="000000" w:themeColor="text1"/>
        </w:rPr>
        <w:t xml:space="preserve">”. </w:t>
      </w:r>
    </w:p>
    <w:p w:rsidR="00312C81" w:rsidRDefault="003356C2">
      <w:pPr>
        <w:pStyle w:val="menfont"/>
      </w:pPr>
    </w:p>
    <w:p w:rsidR="00312C81" w:rsidRDefault="003356C2">
      <w:pPr>
        <w:pStyle w:val="menfont"/>
      </w:pPr>
    </w:p>
    <w:p w:rsidR="009E45BE" w:rsidRDefault="0099196E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121285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1392" w:rsidRDefault="0099196E" w:rsidP="00E8139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Dariusz Piontkowski</w:t>
                            </w:r>
                            <w:bookmarkEnd w:id="4"/>
                          </w:p>
                          <w:p w:rsidR="00E81392" w:rsidRPr="00990AEB" w:rsidRDefault="0099196E" w:rsidP="00E8139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Minister Edukacji Narodowej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9pt;margin-top:9.55pt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" filled="f" stroked="f">
                <v:textbox>
                  <w:txbxContent>
                    <w:p w:rsidR="00E81392" w:rsidRDefault="0099196E" w:rsidP="00E8139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Dariusz Piontkowski</w:t>
                      </w:r>
                      <w:bookmarkEnd w:id="6"/>
                    </w:p>
                    <w:p w:rsidR="00E81392" w:rsidRPr="00990AEB" w:rsidRDefault="0099196E" w:rsidP="00E8139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Minister Edukacji Narodowej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C81" w:rsidRDefault="003356C2">
      <w:pPr>
        <w:pStyle w:val="menfont"/>
      </w:pPr>
    </w:p>
    <w:p w:rsidR="00EF44B2" w:rsidRDefault="003356C2">
      <w:pPr>
        <w:pStyle w:val="menfont"/>
      </w:pPr>
    </w:p>
    <w:sectPr w:rsidR="00EF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C2" w:rsidRDefault="003356C2">
      <w:r>
        <w:separator/>
      </w:r>
    </w:p>
  </w:endnote>
  <w:endnote w:type="continuationSeparator" w:id="0">
    <w:p w:rsidR="003356C2" w:rsidRDefault="0033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D9" w:rsidRDefault="003356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99196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99196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C2" w:rsidRDefault="003356C2">
      <w:r>
        <w:separator/>
      </w:r>
    </w:p>
  </w:footnote>
  <w:footnote w:type="continuationSeparator" w:id="0">
    <w:p w:rsidR="003356C2" w:rsidRDefault="0033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D9" w:rsidRDefault="003356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D9" w:rsidRDefault="003356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3356C2" w:rsidP="00505043">
    <w:pPr>
      <w:pStyle w:val="Nagwek"/>
    </w:pPr>
  </w:p>
  <w:p w:rsidR="00505043" w:rsidRPr="002E763F" w:rsidRDefault="003356C2" w:rsidP="00505043">
    <w:pPr>
      <w:pStyle w:val="Nagwek"/>
      <w:rPr>
        <w:sz w:val="28"/>
      </w:rPr>
    </w:pPr>
  </w:p>
  <w:p w:rsidR="00505043" w:rsidRPr="00F030A2" w:rsidRDefault="0099196E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3356C2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2FE"/>
    <w:multiLevelType w:val="hybridMultilevel"/>
    <w:tmpl w:val="A9C69512"/>
    <w:lvl w:ilvl="0" w:tplc="08D0854E">
      <w:start w:val="1"/>
      <w:numFmt w:val="lowerLetter"/>
      <w:lvlText w:val="%1)"/>
      <w:lvlJc w:val="left"/>
      <w:pPr>
        <w:ind w:left="720" w:hanging="360"/>
      </w:pPr>
    </w:lvl>
    <w:lvl w:ilvl="1" w:tplc="95345BEE">
      <w:start w:val="1"/>
      <w:numFmt w:val="lowerLetter"/>
      <w:lvlText w:val="%2."/>
      <w:lvlJc w:val="left"/>
      <w:pPr>
        <w:ind w:left="1440" w:hanging="360"/>
      </w:pPr>
    </w:lvl>
    <w:lvl w:ilvl="2" w:tplc="3F3EB72C">
      <w:start w:val="1"/>
      <w:numFmt w:val="lowerRoman"/>
      <w:lvlText w:val="%3."/>
      <w:lvlJc w:val="right"/>
      <w:pPr>
        <w:ind w:left="2160" w:hanging="180"/>
      </w:pPr>
    </w:lvl>
    <w:lvl w:ilvl="3" w:tplc="A3C654C8">
      <w:start w:val="1"/>
      <w:numFmt w:val="decimal"/>
      <w:lvlText w:val="%4."/>
      <w:lvlJc w:val="left"/>
      <w:pPr>
        <w:ind w:left="2880" w:hanging="360"/>
      </w:pPr>
    </w:lvl>
    <w:lvl w:ilvl="4" w:tplc="DC30A1AE">
      <w:start w:val="1"/>
      <w:numFmt w:val="lowerLetter"/>
      <w:lvlText w:val="%5."/>
      <w:lvlJc w:val="left"/>
      <w:pPr>
        <w:ind w:left="3600" w:hanging="360"/>
      </w:pPr>
    </w:lvl>
    <w:lvl w:ilvl="5" w:tplc="28441582">
      <w:start w:val="1"/>
      <w:numFmt w:val="lowerRoman"/>
      <w:lvlText w:val="%6."/>
      <w:lvlJc w:val="right"/>
      <w:pPr>
        <w:ind w:left="4320" w:hanging="180"/>
      </w:pPr>
    </w:lvl>
    <w:lvl w:ilvl="6" w:tplc="62A86012">
      <w:start w:val="1"/>
      <w:numFmt w:val="decimal"/>
      <w:lvlText w:val="%7."/>
      <w:lvlJc w:val="left"/>
      <w:pPr>
        <w:ind w:left="5040" w:hanging="360"/>
      </w:pPr>
    </w:lvl>
    <w:lvl w:ilvl="7" w:tplc="068C8C42">
      <w:start w:val="1"/>
      <w:numFmt w:val="lowerLetter"/>
      <w:lvlText w:val="%8."/>
      <w:lvlJc w:val="left"/>
      <w:pPr>
        <w:ind w:left="5760" w:hanging="360"/>
      </w:pPr>
    </w:lvl>
    <w:lvl w:ilvl="8" w:tplc="5A5624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8FD"/>
    <w:multiLevelType w:val="hybridMultilevel"/>
    <w:tmpl w:val="AD5E70C4"/>
    <w:lvl w:ilvl="0" w:tplc="A972F16C">
      <w:start w:val="1"/>
      <w:numFmt w:val="lowerLetter"/>
      <w:lvlText w:val="%1)"/>
      <w:lvlJc w:val="left"/>
      <w:pPr>
        <w:ind w:left="720" w:hanging="360"/>
      </w:pPr>
    </w:lvl>
    <w:lvl w:ilvl="1" w:tplc="4A6EBF2C">
      <w:start w:val="1"/>
      <w:numFmt w:val="lowerLetter"/>
      <w:lvlText w:val="%2."/>
      <w:lvlJc w:val="left"/>
      <w:pPr>
        <w:ind w:left="1440" w:hanging="360"/>
      </w:pPr>
    </w:lvl>
    <w:lvl w:ilvl="2" w:tplc="9FF875C2">
      <w:start w:val="1"/>
      <w:numFmt w:val="lowerRoman"/>
      <w:lvlText w:val="%3."/>
      <w:lvlJc w:val="right"/>
      <w:pPr>
        <w:ind w:left="2160" w:hanging="180"/>
      </w:pPr>
    </w:lvl>
    <w:lvl w:ilvl="3" w:tplc="2F88E41A">
      <w:start w:val="1"/>
      <w:numFmt w:val="decimal"/>
      <w:lvlText w:val="%4."/>
      <w:lvlJc w:val="left"/>
      <w:pPr>
        <w:ind w:left="2880" w:hanging="360"/>
      </w:pPr>
    </w:lvl>
    <w:lvl w:ilvl="4" w:tplc="5F0A6440">
      <w:start w:val="1"/>
      <w:numFmt w:val="lowerLetter"/>
      <w:lvlText w:val="%5."/>
      <w:lvlJc w:val="left"/>
      <w:pPr>
        <w:ind w:left="3600" w:hanging="360"/>
      </w:pPr>
    </w:lvl>
    <w:lvl w:ilvl="5" w:tplc="743A5466">
      <w:start w:val="1"/>
      <w:numFmt w:val="lowerRoman"/>
      <w:lvlText w:val="%6."/>
      <w:lvlJc w:val="right"/>
      <w:pPr>
        <w:ind w:left="4320" w:hanging="180"/>
      </w:pPr>
    </w:lvl>
    <w:lvl w:ilvl="6" w:tplc="61B0F806">
      <w:start w:val="1"/>
      <w:numFmt w:val="decimal"/>
      <w:lvlText w:val="%7."/>
      <w:lvlJc w:val="left"/>
      <w:pPr>
        <w:ind w:left="5040" w:hanging="360"/>
      </w:pPr>
    </w:lvl>
    <w:lvl w:ilvl="7" w:tplc="AFFAB090">
      <w:start w:val="1"/>
      <w:numFmt w:val="lowerLetter"/>
      <w:lvlText w:val="%8."/>
      <w:lvlJc w:val="left"/>
      <w:pPr>
        <w:ind w:left="5760" w:hanging="360"/>
      </w:pPr>
    </w:lvl>
    <w:lvl w:ilvl="8" w:tplc="2F1228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7FB"/>
    <w:multiLevelType w:val="hybridMultilevel"/>
    <w:tmpl w:val="DF64C2BA"/>
    <w:lvl w:ilvl="0" w:tplc="607289F2">
      <w:start w:val="1"/>
      <w:numFmt w:val="decimal"/>
      <w:lvlText w:val="%1)"/>
      <w:lvlJc w:val="left"/>
      <w:pPr>
        <w:ind w:left="720" w:hanging="360"/>
      </w:pPr>
    </w:lvl>
    <w:lvl w:ilvl="1" w:tplc="771C02D4">
      <w:start w:val="1"/>
      <w:numFmt w:val="lowerLetter"/>
      <w:lvlText w:val="%2."/>
      <w:lvlJc w:val="left"/>
      <w:pPr>
        <w:ind w:left="1440" w:hanging="360"/>
      </w:pPr>
    </w:lvl>
    <w:lvl w:ilvl="2" w:tplc="D704338E">
      <w:start w:val="1"/>
      <w:numFmt w:val="lowerRoman"/>
      <w:lvlText w:val="%3."/>
      <w:lvlJc w:val="right"/>
      <w:pPr>
        <w:ind w:left="2160" w:hanging="180"/>
      </w:pPr>
    </w:lvl>
    <w:lvl w:ilvl="3" w:tplc="1804D60A">
      <w:start w:val="1"/>
      <w:numFmt w:val="decimal"/>
      <w:lvlText w:val="%4."/>
      <w:lvlJc w:val="left"/>
      <w:pPr>
        <w:ind w:left="2880" w:hanging="360"/>
      </w:pPr>
    </w:lvl>
    <w:lvl w:ilvl="4" w:tplc="E5A44D42">
      <w:start w:val="1"/>
      <w:numFmt w:val="lowerLetter"/>
      <w:lvlText w:val="%5."/>
      <w:lvlJc w:val="left"/>
      <w:pPr>
        <w:ind w:left="3600" w:hanging="360"/>
      </w:pPr>
    </w:lvl>
    <w:lvl w:ilvl="5" w:tplc="727EB748">
      <w:start w:val="1"/>
      <w:numFmt w:val="lowerRoman"/>
      <w:lvlText w:val="%6."/>
      <w:lvlJc w:val="right"/>
      <w:pPr>
        <w:ind w:left="4320" w:hanging="180"/>
      </w:pPr>
    </w:lvl>
    <w:lvl w:ilvl="6" w:tplc="E154FF94">
      <w:start w:val="1"/>
      <w:numFmt w:val="decimal"/>
      <w:lvlText w:val="%7."/>
      <w:lvlJc w:val="left"/>
      <w:pPr>
        <w:ind w:left="5040" w:hanging="360"/>
      </w:pPr>
    </w:lvl>
    <w:lvl w:ilvl="7" w:tplc="59C08FC2">
      <w:start w:val="1"/>
      <w:numFmt w:val="lowerLetter"/>
      <w:lvlText w:val="%8."/>
      <w:lvlJc w:val="left"/>
      <w:pPr>
        <w:ind w:left="5760" w:hanging="360"/>
      </w:pPr>
    </w:lvl>
    <w:lvl w:ilvl="8" w:tplc="9102A1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523E6"/>
    <w:multiLevelType w:val="hybridMultilevel"/>
    <w:tmpl w:val="DBD06BCE"/>
    <w:lvl w:ilvl="0" w:tplc="C714FDC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64CE3E0">
      <w:start w:val="1"/>
      <w:numFmt w:val="lowerLetter"/>
      <w:lvlText w:val="%2."/>
      <w:lvlJc w:val="left"/>
      <w:pPr>
        <w:ind w:left="1080" w:hanging="360"/>
      </w:pPr>
    </w:lvl>
    <w:lvl w:ilvl="2" w:tplc="8DECFAA8">
      <w:start w:val="1"/>
      <w:numFmt w:val="lowerRoman"/>
      <w:lvlText w:val="%3."/>
      <w:lvlJc w:val="right"/>
      <w:pPr>
        <w:ind w:left="1800" w:hanging="180"/>
      </w:pPr>
    </w:lvl>
    <w:lvl w:ilvl="3" w:tplc="868C1DC8">
      <w:start w:val="1"/>
      <w:numFmt w:val="decimal"/>
      <w:lvlText w:val="%4."/>
      <w:lvlJc w:val="left"/>
      <w:pPr>
        <w:ind w:left="2520" w:hanging="360"/>
      </w:pPr>
    </w:lvl>
    <w:lvl w:ilvl="4" w:tplc="C9401E60">
      <w:start w:val="1"/>
      <w:numFmt w:val="lowerLetter"/>
      <w:lvlText w:val="%5."/>
      <w:lvlJc w:val="left"/>
      <w:pPr>
        <w:ind w:left="3240" w:hanging="360"/>
      </w:pPr>
    </w:lvl>
    <w:lvl w:ilvl="5" w:tplc="A72E2964">
      <w:start w:val="1"/>
      <w:numFmt w:val="lowerRoman"/>
      <w:lvlText w:val="%6."/>
      <w:lvlJc w:val="right"/>
      <w:pPr>
        <w:ind w:left="3960" w:hanging="180"/>
      </w:pPr>
    </w:lvl>
    <w:lvl w:ilvl="6" w:tplc="2C982762">
      <w:start w:val="1"/>
      <w:numFmt w:val="decimal"/>
      <w:lvlText w:val="%7."/>
      <w:lvlJc w:val="left"/>
      <w:pPr>
        <w:ind w:left="4680" w:hanging="360"/>
      </w:pPr>
    </w:lvl>
    <w:lvl w:ilvl="7" w:tplc="358CC3B4">
      <w:start w:val="1"/>
      <w:numFmt w:val="lowerLetter"/>
      <w:lvlText w:val="%8."/>
      <w:lvlJc w:val="left"/>
      <w:pPr>
        <w:ind w:left="5400" w:hanging="360"/>
      </w:pPr>
    </w:lvl>
    <w:lvl w:ilvl="8" w:tplc="6E72761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</w:lvl>
    <w:lvl w:ilvl="1" w:tplc="CC58C090">
      <w:start w:val="1"/>
      <w:numFmt w:val="lowerLetter"/>
      <w:lvlText w:val="%2."/>
      <w:lvlJc w:val="left"/>
      <w:pPr>
        <w:ind w:left="1440" w:hanging="360"/>
      </w:pPr>
    </w:lvl>
    <w:lvl w:ilvl="2" w:tplc="C76E66D4">
      <w:start w:val="1"/>
      <w:numFmt w:val="lowerRoman"/>
      <w:lvlText w:val="%3."/>
      <w:lvlJc w:val="right"/>
      <w:pPr>
        <w:ind w:left="2160" w:hanging="180"/>
      </w:pPr>
    </w:lvl>
    <w:lvl w:ilvl="3" w:tplc="3F982C18">
      <w:start w:val="1"/>
      <w:numFmt w:val="decimal"/>
      <w:lvlText w:val="%4."/>
      <w:lvlJc w:val="left"/>
      <w:pPr>
        <w:ind w:left="2880" w:hanging="360"/>
      </w:pPr>
    </w:lvl>
    <w:lvl w:ilvl="4" w:tplc="07A6D666">
      <w:start w:val="1"/>
      <w:numFmt w:val="lowerLetter"/>
      <w:lvlText w:val="%5."/>
      <w:lvlJc w:val="left"/>
      <w:pPr>
        <w:ind w:left="3600" w:hanging="360"/>
      </w:pPr>
    </w:lvl>
    <w:lvl w:ilvl="5" w:tplc="C8DC560C">
      <w:start w:val="1"/>
      <w:numFmt w:val="lowerRoman"/>
      <w:lvlText w:val="%6."/>
      <w:lvlJc w:val="right"/>
      <w:pPr>
        <w:ind w:left="4320" w:hanging="180"/>
      </w:pPr>
    </w:lvl>
    <w:lvl w:ilvl="6" w:tplc="9F32B832">
      <w:start w:val="1"/>
      <w:numFmt w:val="decimal"/>
      <w:lvlText w:val="%7."/>
      <w:lvlJc w:val="left"/>
      <w:pPr>
        <w:ind w:left="5040" w:hanging="360"/>
      </w:pPr>
    </w:lvl>
    <w:lvl w:ilvl="7" w:tplc="07A0C22E">
      <w:start w:val="1"/>
      <w:numFmt w:val="lowerLetter"/>
      <w:lvlText w:val="%8."/>
      <w:lvlJc w:val="left"/>
      <w:pPr>
        <w:ind w:left="5760" w:hanging="360"/>
      </w:pPr>
    </w:lvl>
    <w:lvl w:ilvl="8" w:tplc="10BC54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1E"/>
    <w:rsid w:val="000E6B0D"/>
    <w:rsid w:val="003356C2"/>
    <w:rsid w:val="005D761E"/>
    <w:rsid w:val="0099196E"/>
    <w:rsid w:val="00A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973C-F6C8-4C32-BDF0-F35C9F51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2019-07-04T06:07:00Z</dcterms:created>
  <dcterms:modified xsi:type="dcterms:W3CDTF">2019-07-04T06:07:00Z</dcterms:modified>
</cp:coreProperties>
</file>