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55E7B" w14:textId="45E9DE6A" w:rsidR="00B605F7" w:rsidRPr="009D4E7A" w:rsidRDefault="00B605F7" w:rsidP="00B605F7">
      <w:pPr>
        <w:jc w:val="center"/>
      </w:pPr>
      <w:bookmarkStart w:id="0" w:name="_Toc462924046"/>
      <w:r w:rsidRPr="009D4E7A">
        <w:t>OPIS ZAŁOŻEŃ PROJEKTU INFORMATYCZNEGO</w:t>
      </w:r>
    </w:p>
    <w:p w14:paraId="380668F1" w14:textId="77777777" w:rsidR="00B605F7" w:rsidRPr="009D4E7A" w:rsidRDefault="00B605F7" w:rsidP="00B605F7">
      <w:pPr>
        <w:jc w:val="center"/>
      </w:pPr>
    </w:p>
    <w:tbl>
      <w:tblPr>
        <w:tblStyle w:val="TableNormal"/>
        <w:tblW w:w="1007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23"/>
        <w:gridCol w:w="2317"/>
        <w:gridCol w:w="3135"/>
        <w:gridCol w:w="1995"/>
      </w:tblGrid>
      <w:tr w:rsidR="00B605F7" w:rsidRPr="009D4E7A" w14:paraId="0BC564B7" w14:textId="77777777" w:rsidTr="00272DBD">
        <w:trPr>
          <w:trHeight w:val="292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33ADD" w14:textId="77777777" w:rsidR="00B605F7" w:rsidRPr="009D4E7A" w:rsidRDefault="00B605F7" w:rsidP="00272DBD">
            <w:pPr>
              <w:spacing w:after="120"/>
            </w:pPr>
            <w:r w:rsidRPr="009D4E7A">
              <w:rPr>
                <w:b/>
                <w:bCs/>
              </w:rPr>
              <w:t>Tytuł projektu</w:t>
            </w:r>
          </w:p>
        </w:tc>
        <w:tc>
          <w:tcPr>
            <w:tcW w:w="7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62C10" w14:textId="2987CADE" w:rsidR="00B605F7" w:rsidRPr="009D4E7A" w:rsidRDefault="004C6BDE" w:rsidP="009749D3">
            <w:r w:rsidRPr="009D4E7A">
              <w:rPr>
                <w:sz w:val="22"/>
                <w:szCs w:val="22"/>
              </w:rPr>
              <w:t>System do Obsługi Postępowań Administracyjnych w Budownictwie</w:t>
            </w:r>
            <w:r w:rsidR="00626970">
              <w:rPr>
                <w:sz w:val="22"/>
                <w:szCs w:val="22"/>
              </w:rPr>
              <w:t xml:space="preserve"> </w:t>
            </w:r>
            <w:r w:rsidRPr="009D4E7A">
              <w:rPr>
                <w:sz w:val="22"/>
                <w:szCs w:val="22"/>
              </w:rPr>
              <w:t>(SOPAB)</w:t>
            </w:r>
            <w:r w:rsidR="00626970">
              <w:rPr>
                <w:sz w:val="22"/>
                <w:szCs w:val="22"/>
              </w:rPr>
              <w:t xml:space="preserve"> – w wersji MVP</w:t>
            </w:r>
          </w:p>
        </w:tc>
      </w:tr>
      <w:tr w:rsidR="00B605F7" w:rsidRPr="009D4E7A" w14:paraId="23E8F6DF" w14:textId="77777777" w:rsidTr="00272DBD">
        <w:trPr>
          <w:trHeight w:val="292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5808C" w14:textId="77777777" w:rsidR="00B605F7" w:rsidRPr="009D4E7A" w:rsidRDefault="00B605F7" w:rsidP="00272DBD">
            <w:pPr>
              <w:spacing w:after="120"/>
            </w:pPr>
            <w:r w:rsidRPr="009D4E7A">
              <w:rPr>
                <w:b/>
                <w:bCs/>
              </w:rPr>
              <w:t>Wnioskodawca</w:t>
            </w:r>
          </w:p>
        </w:tc>
        <w:tc>
          <w:tcPr>
            <w:tcW w:w="7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39F4" w14:textId="173EA080" w:rsidR="00B605F7" w:rsidRPr="009D4E7A" w:rsidRDefault="00F850D2" w:rsidP="00272DBD">
            <w:r w:rsidRPr="009D4E7A">
              <w:rPr>
                <w:rFonts w:eastAsia="Arial Unicode MS" w:cs="Arial Unicode MS"/>
                <w:sz w:val="22"/>
                <w:szCs w:val="22"/>
              </w:rPr>
              <w:t xml:space="preserve">Minister </w:t>
            </w:r>
            <w:r w:rsidR="00230FF8" w:rsidRPr="009D4E7A">
              <w:rPr>
                <w:rFonts w:eastAsia="Arial Unicode MS" w:cs="Arial Unicode MS"/>
                <w:sz w:val="22"/>
                <w:szCs w:val="22"/>
              </w:rPr>
              <w:t>Rozwoju i</w:t>
            </w:r>
            <w:r w:rsidRPr="009D4E7A">
              <w:rPr>
                <w:rFonts w:eastAsia="Arial Unicode MS" w:cs="Arial Unicode MS"/>
                <w:sz w:val="22"/>
                <w:szCs w:val="22"/>
              </w:rPr>
              <w:t xml:space="preserve"> Technologii</w:t>
            </w:r>
          </w:p>
        </w:tc>
      </w:tr>
      <w:tr w:rsidR="00B605F7" w:rsidRPr="009D4E7A" w14:paraId="6522231A" w14:textId="77777777" w:rsidTr="00272DBD">
        <w:trPr>
          <w:trHeight w:val="292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8973" w14:textId="77777777" w:rsidR="00B605F7" w:rsidRPr="009D4E7A" w:rsidRDefault="00B605F7" w:rsidP="00272DBD">
            <w:pPr>
              <w:spacing w:after="120"/>
            </w:pPr>
            <w:r w:rsidRPr="009D4E7A">
              <w:rPr>
                <w:b/>
                <w:bCs/>
              </w:rPr>
              <w:t>Beneficjent</w:t>
            </w:r>
          </w:p>
        </w:tc>
        <w:tc>
          <w:tcPr>
            <w:tcW w:w="7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E2B6" w14:textId="1F420A9C" w:rsidR="00B605F7" w:rsidRPr="009D4E7A" w:rsidRDefault="00CB0F32" w:rsidP="00272DBD">
            <w:r w:rsidRPr="009D4E7A">
              <w:rPr>
                <w:rFonts w:eastAsia="Arial Unicode MS" w:cs="Arial Unicode MS"/>
                <w:sz w:val="22"/>
                <w:szCs w:val="22"/>
              </w:rPr>
              <w:t>Główny Urząd Nadzoru Budowlanego</w:t>
            </w:r>
          </w:p>
        </w:tc>
      </w:tr>
      <w:tr w:rsidR="00B605F7" w:rsidRPr="009D4E7A" w14:paraId="459EF9B2" w14:textId="77777777" w:rsidTr="00626970">
        <w:trPr>
          <w:trHeight w:val="379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9851E" w14:textId="77777777" w:rsidR="00B605F7" w:rsidRPr="009D4E7A" w:rsidRDefault="00B605F7" w:rsidP="00272DBD">
            <w:pPr>
              <w:spacing w:after="120"/>
            </w:pPr>
            <w:r w:rsidRPr="009D4E7A">
              <w:rPr>
                <w:b/>
                <w:bCs/>
              </w:rPr>
              <w:t>Partnerzy</w:t>
            </w:r>
          </w:p>
        </w:tc>
        <w:tc>
          <w:tcPr>
            <w:tcW w:w="7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F4A9" w14:textId="4C36A663" w:rsidR="00B605F7" w:rsidRPr="00626970" w:rsidRDefault="006574FF" w:rsidP="00626970">
            <w:pPr>
              <w:rPr>
                <w:rFonts w:eastAsia="Arial Unicode MS" w:cs="Arial Unicode MS"/>
                <w:sz w:val="22"/>
                <w:szCs w:val="22"/>
              </w:rPr>
            </w:pPr>
            <w:r w:rsidRPr="006574FF">
              <w:rPr>
                <w:rFonts w:eastAsia="Arial Unicode MS" w:cs="Arial Unicode MS"/>
                <w:sz w:val="22"/>
                <w:szCs w:val="22"/>
              </w:rPr>
              <w:t xml:space="preserve">Sieć Badawcza Łukasiewicz </w:t>
            </w:r>
            <w:r w:rsidR="00D807EC">
              <w:rPr>
                <w:rFonts w:eastAsia="Arial Unicode MS" w:cs="Arial Unicode MS"/>
                <w:sz w:val="22"/>
                <w:szCs w:val="22"/>
              </w:rPr>
              <w:t>–</w:t>
            </w:r>
            <w:r w:rsidRPr="006574FF">
              <w:rPr>
                <w:rFonts w:eastAsia="Arial Unicode MS" w:cs="Arial Unicode MS"/>
                <w:sz w:val="22"/>
                <w:szCs w:val="22"/>
              </w:rPr>
              <w:t xml:space="preserve"> Poznański Instytut Technologiczny</w:t>
            </w:r>
          </w:p>
        </w:tc>
      </w:tr>
      <w:tr w:rsidR="00B605F7" w:rsidRPr="009D4E7A" w14:paraId="6D71C94E" w14:textId="77777777" w:rsidTr="00272DBD">
        <w:trPr>
          <w:trHeight w:val="973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DF6B4" w14:textId="77777777" w:rsidR="00B605F7" w:rsidRPr="009D4E7A" w:rsidRDefault="00B605F7" w:rsidP="00272DBD">
            <w:pPr>
              <w:spacing w:after="120"/>
            </w:pPr>
            <w:r w:rsidRPr="009D4E7A">
              <w:rPr>
                <w:b/>
                <w:bCs/>
              </w:rPr>
              <w:t>Źródło finansowania</w:t>
            </w:r>
          </w:p>
        </w:tc>
        <w:tc>
          <w:tcPr>
            <w:tcW w:w="7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E5DD0" w14:textId="60D24161" w:rsidR="00B605F7" w:rsidRPr="009D4E7A" w:rsidRDefault="00B605F7" w:rsidP="00272DBD">
            <w:pPr>
              <w:jc w:val="both"/>
            </w:pPr>
            <w:r w:rsidRPr="009D4E7A">
              <w:rPr>
                <w:sz w:val="22"/>
                <w:szCs w:val="22"/>
              </w:rPr>
              <w:t xml:space="preserve">W ramach współfinansowania: część 18 </w:t>
            </w:r>
            <w:r w:rsidR="00D807EC">
              <w:rPr>
                <w:sz w:val="22"/>
                <w:szCs w:val="22"/>
              </w:rPr>
              <w:t>–</w:t>
            </w:r>
            <w:r w:rsidRPr="009D4E7A">
              <w:rPr>
                <w:sz w:val="22"/>
                <w:szCs w:val="22"/>
              </w:rPr>
              <w:t xml:space="preserve"> Budownictwo, w ramach finansowania ze środków UE: Program Operacyjny Polska Cyfrowa, Oś Priorytetowa nr 2 „E-administracja i otwarty rząd”, Działanie 2.2 „Cyfryzacja procesów </w:t>
            </w:r>
            <w:proofErr w:type="spellStart"/>
            <w:r w:rsidRPr="009D4E7A">
              <w:rPr>
                <w:sz w:val="22"/>
                <w:szCs w:val="22"/>
              </w:rPr>
              <w:t>back-office</w:t>
            </w:r>
            <w:proofErr w:type="spellEnd"/>
            <w:r w:rsidRPr="009D4E7A">
              <w:rPr>
                <w:sz w:val="22"/>
                <w:szCs w:val="22"/>
              </w:rPr>
              <w:t xml:space="preserve"> w administracji rządowej”</w:t>
            </w:r>
          </w:p>
        </w:tc>
      </w:tr>
      <w:tr w:rsidR="00B605F7" w:rsidRPr="009D4E7A" w14:paraId="754C2D90" w14:textId="77777777" w:rsidTr="00272DBD">
        <w:trPr>
          <w:trHeight w:val="572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49FE2" w14:textId="77777777" w:rsidR="00B605F7" w:rsidRPr="009D4E7A" w:rsidRDefault="00B605F7" w:rsidP="00272DBD">
            <w:pPr>
              <w:spacing w:after="120"/>
            </w:pPr>
            <w:r w:rsidRPr="009D4E7A">
              <w:rPr>
                <w:b/>
                <w:bCs/>
              </w:rPr>
              <w:t>Całkowity koszt projektu</w:t>
            </w:r>
          </w:p>
        </w:tc>
        <w:tc>
          <w:tcPr>
            <w:tcW w:w="7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68655" w14:textId="45048CA9" w:rsidR="00B605F7" w:rsidRPr="00D807EC" w:rsidRDefault="00D807EC" w:rsidP="00272DBD">
            <w:pPr>
              <w:rPr>
                <w:rFonts w:ascii="Calibri" w:hAnsi="Calibri" w:cs="Calibri"/>
                <w:bCs/>
                <w:color w:val="000000"/>
              </w:rPr>
            </w:pPr>
            <w:r w:rsidRPr="00D807EC">
              <w:rPr>
                <w:rFonts w:ascii="Calibri" w:hAnsi="Calibri" w:cs="Calibri"/>
                <w:bCs/>
                <w:color w:val="000000"/>
              </w:rPr>
              <w:t xml:space="preserve">13 218 139,46 </w:t>
            </w:r>
            <w:r w:rsidR="00B605F7" w:rsidRPr="00D807EC">
              <w:rPr>
                <w:rFonts w:eastAsia="Arial Unicode MS" w:cs="Arial Unicode MS"/>
                <w:bCs/>
                <w:sz w:val="22"/>
                <w:szCs w:val="22"/>
              </w:rPr>
              <w:t>zł</w:t>
            </w:r>
          </w:p>
        </w:tc>
      </w:tr>
      <w:tr w:rsidR="00B605F7" w:rsidRPr="009D4E7A" w14:paraId="00A3107F" w14:textId="77777777" w:rsidTr="00272DBD">
        <w:trPr>
          <w:trHeight w:val="852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CE07B" w14:textId="77777777" w:rsidR="00B605F7" w:rsidRPr="009D4E7A" w:rsidRDefault="00B605F7" w:rsidP="00272DBD">
            <w:pPr>
              <w:spacing w:after="120"/>
            </w:pPr>
            <w:r w:rsidRPr="009D4E7A">
              <w:rPr>
                <w:b/>
                <w:bCs/>
              </w:rPr>
              <w:t>Planowany okres realizacji projektu</w:t>
            </w:r>
          </w:p>
        </w:tc>
        <w:tc>
          <w:tcPr>
            <w:tcW w:w="7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C94BD" w14:textId="29238B50" w:rsidR="00B605F7" w:rsidRPr="009D4E7A" w:rsidRDefault="00DC47F2" w:rsidP="00272DBD">
            <w:r w:rsidRPr="009D4E7A">
              <w:rPr>
                <w:rFonts w:eastAsia="Arial Unicode MS" w:cs="Arial Unicode MS"/>
                <w:sz w:val="22"/>
                <w:szCs w:val="22"/>
              </w:rPr>
              <w:t>0</w:t>
            </w:r>
            <w:r w:rsidR="006606F9">
              <w:rPr>
                <w:rFonts w:eastAsia="Arial Unicode MS" w:cs="Arial Unicode MS"/>
                <w:sz w:val="22"/>
                <w:szCs w:val="22"/>
              </w:rPr>
              <w:t>6</w:t>
            </w:r>
            <w:r w:rsidR="00B605F7" w:rsidRPr="009D4E7A">
              <w:rPr>
                <w:rFonts w:eastAsia="Arial Unicode MS" w:cs="Arial Unicode MS"/>
                <w:sz w:val="22"/>
                <w:szCs w:val="22"/>
              </w:rPr>
              <w:t>-202</w:t>
            </w:r>
            <w:r w:rsidRPr="009D4E7A">
              <w:rPr>
                <w:rFonts w:eastAsia="Arial Unicode MS" w:cs="Arial Unicode MS"/>
                <w:sz w:val="22"/>
                <w:szCs w:val="22"/>
              </w:rPr>
              <w:t>2</w:t>
            </w:r>
            <w:r w:rsidR="00B605F7" w:rsidRPr="009D4E7A">
              <w:rPr>
                <w:rFonts w:eastAsia="Arial Unicode MS" w:cs="Arial Unicode MS"/>
                <w:sz w:val="22"/>
                <w:szCs w:val="22"/>
              </w:rPr>
              <w:t xml:space="preserve"> do </w:t>
            </w:r>
            <w:r w:rsidR="0067450B">
              <w:rPr>
                <w:rFonts w:eastAsia="Arial Unicode MS" w:cs="Arial Unicode MS"/>
                <w:sz w:val="22"/>
                <w:szCs w:val="22"/>
              </w:rPr>
              <w:t>10</w:t>
            </w:r>
            <w:r w:rsidR="00B605F7" w:rsidRPr="009D4E7A">
              <w:rPr>
                <w:rFonts w:eastAsia="Arial Unicode MS" w:cs="Arial Unicode MS"/>
                <w:sz w:val="22"/>
                <w:szCs w:val="22"/>
              </w:rPr>
              <w:t>-2023</w:t>
            </w:r>
          </w:p>
        </w:tc>
      </w:tr>
      <w:tr w:rsidR="00B605F7" w:rsidRPr="009D4E7A" w14:paraId="02DE6FDD" w14:textId="77777777" w:rsidTr="00DC47F2">
        <w:trPr>
          <w:trHeight w:val="493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C991A" w14:textId="77777777" w:rsidR="00B605F7" w:rsidRPr="009D4E7A" w:rsidRDefault="00B605F7" w:rsidP="00272DBD">
            <w:pPr>
              <w:spacing w:after="120"/>
            </w:pPr>
            <w:r w:rsidRPr="009D4E7A">
              <w:rPr>
                <w:b/>
                <w:bCs/>
              </w:rPr>
              <w:t>Osoba kontaktowa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406F" w14:textId="77777777" w:rsidR="00B605F7" w:rsidRPr="009D4E7A" w:rsidRDefault="00B605F7" w:rsidP="00272DBD">
            <w:r w:rsidRPr="009D4E7A">
              <w:rPr>
                <w:rFonts w:eastAsia="Arial Unicode MS" w:cs="Arial Unicode MS"/>
                <w:sz w:val="22"/>
                <w:szCs w:val="22"/>
              </w:rPr>
              <w:t>Maria Ostaszewska - Cichocka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693F7" w14:textId="77777777" w:rsidR="00B605F7" w:rsidRPr="009D4E7A" w:rsidRDefault="00B605F7" w:rsidP="00272DBD">
            <w:r w:rsidRPr="009D4E7A">
              <w:rPr>
                <w:rFonts w:eastAsia="Arial Unicode MS" w:cs="Arial Unicode MS"/>
                <w:sz w:val="22"/>
                <w:szCs w:val="22"/>
              </w:rPr>
              <w:t>m.ostaszewska@gunb.gov.pl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73E51" w14:textId="3DE517FB" w:rsidR="00B605F7" w:rsidRPr="009D4E7A" w:rsidRDefault="00B605F7" w:rsidP="00272DBD">
            <w:r w:rsidRPr="009D4E7A">
              <w:rPr>
                <w:rFonts w:eastAsia="Arial Unicode MS" w:cs="Arial Unicode MS"/>
                <w:sz w:val="22"/>
                <w:szCs w:val="22"/>
              </w:rPr>
              <w:t>(22) 6619</w:t>
            </w:r>
            <w:r w:rsidR="00DC47F2" w:rsidRPr="009D4E7A">
              <w:rPr>
                <w:rFonts w:eastAsia="Arial Unicode MS" w:cs="Arial Unicode MS"/>
                <w:sz w:val="22"/>
                <w:szCs w:val="22"/>
              </w:rPr>
              <w:t>220</w:t>
            </w:r>
          </w:p>
        </w:tc>
      </w:tr>
    </w:tbl>
    <w:p w14:paraId="2B3F84A3" w14:textId="77777777" w:rsidR="00B605F7" w:rsidRPr="009D4E7A" w:rsidRDefault="00B605F7" w:rsidP="00626970"/>
    <w:p w14:paraId="32936749" w14:textId="77777777" w:rsidR="00BE3ABC" w:rsidRPr="009D4E7A" w:rsidRDefault="00BE3ABC" w:rsidP="00BE3ABC">
      <w:pPr>
        <w:pStyle w:val="Nagwek1"/>
        <w:spacing w:before="1080" w:after="0"/>
        <w:ind w:left="782" w:hanging="357"/>
        <w:jc w:val="both"/>
        <w:rPr>
          <w:rFonts w:cs="Arial"/>
          <w:lang w:val="pl-PL" w:eastAsia="pl-PL"/>
        </w:rPr>
      </w:pPr>
      <w:r w:rsidRPr="009D4E7A">
        <w:rPr>
          <w:rFonts w:cs="Arial"/>
          <w:lang w:val="pl-PL" w:eastAsia="pl-PL"/>
        </w:rPr>
        <w:t>POWODY PODJĘCIA PROJEKTU</w:t>
      </w:r>
      <w:bookmarkEnd w:id="0"/>
    </w:p>
    <w:p w14:paraId="5A73D3C2" w14:textId="77777777" w:rsidR="00BE3ABC" w:rsidRPr="009D4E7A" w:rsidRDefault="00BE3ABC" w:rsidP="00BE3ABC">
      <w:pPr>
        <w:pStyle w:val="Nagwek2"/>
        <w:tabs>
          <w:tab w:val="num" w:pos="1134"/>
        </w:tabs>
        <w:rPr>
          <w:lang w:val="pl-PL" w:eastAsia="pl-PL"/>
        </w:rPr>
      </w:pPr>
      <w:r w:rsidRPr="009D4E7A">
        <w:rPr>
          <w:lang w:val="pl-PL" w:eastAsia="pl-PL"/>
        </w:rPr>
        <w:t xml:space="preserve">Identyfikacja problemu i potrzeb </w:t>
      </w:r>
    </w:p>
    <w:p w14:paraId="3A22D8A3" w14:textId="77777777" w:rsidR="003D3658" w:rsidRPr="009D4E7A" w:rsidRDefault="003D3658" w:rsidP="003D3658">
      <w:pPr>
        <w:jc w:val="both"/>
        <w:rPr>
          <w:rFonts w:eastAsiaTheme="minorHAnsi" w:cs="Arial"/>
          <w:sz w:val="22"/>
          <w:szCs w:val="22"/>
        </w:rPr>
      </w:pPr>
    </w:p>
    <w:p w14:paraId="530A9B24" w14:textId="77777777" w:rsidR="00BE2098" w:rsidRPr="00BE2098" w:rsidRDefault="00BE2098" w:rsidP="00BE2098">
      <w:pPr>
        <w:jc w:val="both"/>
        <w:rPr>
          <w:rFonts w:eastAsiaTheme="minorHAnsi" w:cs="Arial"/>
          <w:sz w:val="22"/>
          <w:szCs w:val="22"/>
        </w:rPr>
      </w:pPr>
      <w:r w:rsidRPr="00BE2098">
        <w:rPr>
          <w:rFonts w:eastAsiaTheme="minorHAnsi" w:cs="Arial"/>
          <w:sz w:val="22"/>
          <w:szCs w:val="22"/>
        </w:rPr>
        <w:t>Od 2020 r. postępuje cyfryzacja procesu inwestycyjno-budowlanego. GUNB planuje stworzenie centralnej platformy wymiany danych w obszarze budownictwa, wpisującej się w planowaną Architekturę Informacyjną Państwa. Pierwszym elementem platformy jest uruchomiony w 2020 r. serwis e-Budownictwo, przy wykorzystaniu którego obywatele mogą wygenerować i przesłać przez Internet wnioski składane w procesie budowlanym. GUNB pracuje również m.in. nad elektronicznym dziennikiem budowy, e-książką obiektu budowlanego, nowym systemem ewidencji wniosków, decyzji i zgłoszeń, centralną ewidencją emisyjności budynków. Jest to duża rewolucja w budownictwie. Inwestorzy i projektanci wykorzystują technologie cyfrowe i są na nią gotowi, jednak administracji potrzebne jest wsparcie. Według informacji zebranych przez GUNB w trakcie przeprowadzonych pilotaży oraz spotkań grup roboczych z urzędnikami, w organach administracji samorządowej brakuje narzędzi do prowadzenia postępowań w obszarze budownictwa – sprawnie działających systemów oraz odpowiedniej infrastruktury.</w:t>
      </w:r>
    </w:p>
    <w:p w14:paraId="58EE8F1D" w14:textId="77777777" w:rsidR="00BE2098" w:rsidRPr="00BE2098" w:rsidRDefault="00BE2098" w:rsidP="00BE2098">
      <w:pPr>
        <w:jc w:val="both"/>
        <w:rPr>
          <w:rFonts w:eastAsiaTheme="minorHAnsi" w:cs="Arial"/>
          <w:sz w:val="22"/>
          <w:szCs w:val="22"/>
        </w:rPr>
      </w:pPr>
    </w:p>
    <w:p w14:paraId="52F53FF9" w14:textId="77777777" w:rsidR="00BE2098" w:rsidRPr="00BE2098" w:rsidRDefault="00BE2098" w:rsidP="00BE2098">
      <w:pPr>
        <w:jc w:val="both"/>
        <w:rPr>
          <w:rFonts w:eastAsiaTheme="minorHAnsi" w:cs="Arial"/>
          <w:sz w:val="22"/>
          <w:szCs w:val="22"/>
        </w:rPr>
      </w:pPr>
      <w:r w:rsidRPr="00BE2098">
        <w:rPr>
          <w:rFonts w:eastAsiaTheme="minorHAnsi" w:cs="Arial"/>
          <w:sz w:val="22"/>
          <w:szCs w:val="22"/>
        </w:rPr>
        <w:t>W ramach realizacji projektu System do Obsługi Postępowań Administracyjnych w Budownictwie (SOPAB) – w wersji MVP do czerwca 2023 r. planowane jest wdrożenie w organach administracji architektoniczno-budowlanej i nadzoru budowlanego podstawowej wersji systemu (MVP) do obsługi postepowań. Zakres projektu obejmuje:</w:t>
      </w:r>
    </w:p>
    <w:p w14:paraId="25A417A3" w14:textId="77777777" w:rsidR="00BE2098" w:rsidRPr="00BE2098" w:rsidRDefault="00BE2098" w:rsidP="00BE2098">
      <w:pPr>
        <w:pStyle w:val="Akapitzlist"/>
        <w:numPr>
          <w:ilvl w:val="0"/>
          <w:numId w:val="20"/>
        </w:numPr>
        <w:rPr>
          <w:rFonts w:eastAsiaTheme="minorHAnsi" w:cs="Arial"/>
          <w:szCs w:val="22"/>
        </w:rPr>
      </w:pPr>
      <w:r w:rsidRPr="00BE2098">
        <w:rPr>
          <w:rFonts w:eastAsiaTheme="minorHAnsi" w:cs="Arial"/>
          <w:szCs w:val="22"/>
        </w:rPr>
        <w:lastRenderedPageBreak/>
        <w:t>obsługę przez System SOPAB podstawowych (kluczowych) procesów w organach administracji architektoniczno-budowlanej i nadzoru budowlanego,</w:t>
      </w:r>
    </w:p>
    <w:p w14:paraId="232B9C70" w14:textId="77777777" w:rsidR="00BE2098" w:rsidRPr="00BE2098" w:rsidRDefault="00BE2098" w:rsidP="00BE2098">
      <w:pPr>
        <w:pStyle w:val="Akapitzlist"/>
        <w:numPr>
          <w:ilvl w:val="0"/>
          <w:numId w:val="20"/>
        </w:numPr>
        <w:rPr>
          <w:rFonts w:eastAsiaTheme="minorHAnsi" w:cs="Arial"/>
          <w:szCs w:val="22"/>
        </w:rPr>
      </w:pPr>
      <w:r w:rsidRPr="00BE2098">
        <w:rPr>
          <w:rFonts w:eastAsiaTheme="minorHAnsi" w:cs="Arial"/>
          <w:szCs w:val="22"/>
        </w:rPr>
        <w:t>integrację z EZD RP,</w:t>
      </w:r>
    </w:p>
    <w:p w14:paraId="5B1D2E75" w14:textId="77777777" w:rsidR="00BE2098" w:rsidRPr="00BE2098" w:rsidRDefault="00BE2098" w:rsidP="00BE2098">
      <w:pPr>
        <w:pStyle w:val="Akapitzlist"/>
        <w:numPr>
          <w:ilvl w:val="0"/>
          <w:numId w:val="20"/>
        </w:numPr>
        <w:rPr>
          <w:rFonts w:eastAsiaTheme="minorHAnsi" w:cs="Arial"/>
          <w:szCs w:val="22"/>
        </w:rPr>
      </w:pPr>
      <w:r w:rsidRPr="00BE2098">
        <w:rPr>
          <w:rFonts w:eastAsiaTheme="minorHAnsi" w:cs="Arial"/>
          <w:szCs w:val="22"/>
        </w:rPr>
        <w:t>integrację z systemem e-Budownictwo,</w:t>
      </w:r>
    </w:p>
    <w:p w14:paraId="098C1A12" w14:textId="77777777" w:rsidR="00BE2098" w:rsidRPr="00BE2098" w:rsidRDefault="00BE2098" w:rsidP="00BE2098">
      <w:pPr>
        <w:pStyle w:val="Akapitzlist"/>
        <w:numPr>
          <w:ilvl w:val="0"/>
          <w:numId w:val="20"/>
        </w:numPr>
        <w:rPr>
          <w:rFonts w:eastAsiaTheme="minorHAnsi" w:cs="Arial"/>
          <w:szCs w:val="22"/>
        </w:rPr>
      </w:pPr>
      <w:r w:rsidRPr="00BE2098">
        <w:rPr>
          <w:rFonts w:eastAsiaTheme="minorHAnsi" w:cs="Arial"/>
          <w:szCs w:val="22"/>
        </w:rPr>
        <w:t>integrację z systemem Rejestr Wniosków, Decyzji i Zgłoszeń,</w:t>
      </w:r>
    </w:p>
    <w:p w14:paraId="5ED0D6AA" w14:textId="77777777" w:rsidR="00BE2098" w:rsidRPr="00BE2098" w:rsidRDefault="00BE2098" w:rsidP="00BE2098">
      <w:pPr>
        <w:pStyle w:val="Akapitzlist"/>
        <w:numPr>
          <w:ilvl w:val="0"/>
          <w:numId w:val="20"/>
        </w:numPr>
        <w:rPr>
          <w:rFonts w:eastAsiaTheme="minorHAnsi" w:cs="Arial"/>
          <w:szCs w:val="22"/>
        </w:rPr>
      </w:pPr>
      <w:r w:rsidRPr="00BE2098">
        <w:rPr>
          <w:rFonts w:eastAsiaTheme="minorHAnsi" w:cs="Arial"/>
          <w:szCs w:val="22"/>
        </w:rPr>
        <w:t>uwzględnienie realizacji funkcji raportowania na potrzeby Głównego Urzędu Statystycznego.</w:t>
      </w:r>
    </w:p>
    <w:p w14:paraId="0CC82575" w14:textId="77777777" w:rsidR="00BE2098" w:rsidRPr="00BE2098" w:rsidRDefault="00BE2098" w:rsidP="00BE2098">
      <w:pPr>
        <w:jc w:val="both"/>
        <w:rPr>
          <w:rFonts w:eastAsiaTheme="minorHAnsi" w:cs="Arial"/>
          <w:sz w:val="22"/>
          <w:szCs w:val="22"/>
        </w:rPr>
      </w:pPr>
      <w:r w:rsidRPr="00BE2098">
        <w:rPr>
          <w:rFonts w:eastAsiaTheme="minorHAnsi" w:cs="Arial"/>
          <w:sz w:val="22"/>
          <w:szCs w:val="22"/>
        </w:rPr>
        <w:t>Konieczne będzie również przeprowadzenie szkoleń dla użytkowników i administratorów SOPAB.</w:t>
      </w:r>
    </w:p>
    <w:p w14:paraId="7551A9FB" w14:textId="77777777" w:rsidR="00BE2098" w:rsidRPr="00BE2098" w:rsidRDefault="00BE2098" w:rsidP="00BE2098">
      <w:pPr>
        <w:jc w:val="both"/>
        <w:rPr>
          <w:rFonts w:eastAsiaTheme="minorHAnsi" w:cs="Arial"/>
          <w:sz w:val="22"/>
          <w:szCs w:val="22"/>
        </w:rPr>
      </w:pPr>
    </w:p>
    <w:p w14:paraId="58F2F007" w14:textId="77777777" w:rsidR="00BE2098" w:rsidRPr="00BE2098" w:rsidRDefault="00BE2098" w:rsidP="00BE2098">
      <w:pPr>
        <w:jc w:val="both"/>
        <w:rPr>
          <w:rFonts w:eastAsiaTheme="minorHAnsi" w:cs="Arial"/>
          <w:sz w:val="22"/>
          <w:szCs w:val="22"/>
        </w:rPr>
      </w:pPr>
      <w:r w:rsidRPr="00BE2098">
        <w:rPr>
          <w:rFonts w:eastAsiaTheme="minorHAnsi" w:cs="Arial"/>
          <w:sz w:val="22"/>
          <w:szCs w:val="22"/>
        </w:rPr>
        <w:t>Zakładane jest rozwijanie systemu oraz doposażanie organów w sprzęt informatyczny w ramach kolejnych etapów projektu, wykraczających poza zakres niniejszego wniosku o dofinansowanie.</w:t>
      </w:r>
    </w:p>
    <w:p w14:paraId="2046516F" w14:textId="77777777" w:rsidR="00913276" w:rsidRPr="009D4E7A" w:rsidRDefault="00913276" w:rsidP="002C7BE2">
      <w:pPr>
        <w:jc w:val="both"/>
        <w:rPr>
          <w:lang w:eastAsia="pl-P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7"/>
        <w:gridCol w:w="4949"/>
        <w:gridCol w:w="1786"/>
      </w:tblGrid>
      <w:tr w:rsidR="00BE3ABC" w:rsidRPr="009D4E7A" w14:paraId="0D6ABB32" w14:textId="77777777" w:rsidTr="00B919D0">
        <w:trPr>
          <w:trHeight w:val="720"/>
        </w:trPr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731DD396" w14:textId="77777777" w:rsidR="00BE3ABC" w:rsidRPr="009D4E7A" w:rsidRDefault="00BE3ABC" w:rsidP="00B03E91">
            <w:pPr>
              <w:spacing w:before="120" w:after="120"/>
              <w:jc w:val="center"/>
              <w:rPr>
                <w:rFonts w:ascii="Times New Roman" w:hAnsi="Times New Roman"/>
                <w:sz w:val="20"/>
                <w:lang w:eastAsia="pl-PL"/>
              </w:rPr>
            </w:pPr>
            <w:r w:rsidRPr="009D4E7A">
              <w:rPr>
                <w:rFonts w:cs="Arial"/>
                <w:b/>
                <w:bCs/>
                <w:sz w:val="20"/>
                <w:lang w:eastAsia="pl-PL"/>
              </w:rPr>
              <w:t>Interesariusz</w:t>
            </w:r>
          </w:p>
        </w:tc>
        <w:tc>
          <w:tcPr>
            <w:tcW w:w="4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5A4B2763" w14:textId="77777777" w:rsidR="00BE3ABC" w:rsidRPr="009D4E7A" w:rsidRDefault="00BE3ABC" w:rsidP="00B03E91">
            <w:pPr>
              <w:spacing w:before="120"/>
              <w:jc w:val="center"/>
              <w:rPr>
                <w:rFonts w:ascii="Times New Roman" w:hAnsi="Times New Roman"/>
                <w:sz w:val="20"/>
                <w:lang w:eastAsia="pl-PL"/>
              </w:rPr>
            </w:pPr>
            <w:r w:rsidRPr="009D4E7A">
              <w:rPr>
                <w:rFonts w:cs="Arial"/>
                <w:b/>
                <w:bCs/>
                <w:sz w:val="20"/>
                <w:lang w:eastAsia="pl-PL"/>
              </w:rPr>
              <w:t>Zidentyfikowany problem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  <w:tcMar>
              <w:top w:w="100" w:type="dxa"/>
              <w:left w:w="120" w:type="dxa"/>
              <w:bottom w:w="100" w:type="dxa"/>
              <w:right w:w="120" w:type="dxa"/>
            </w:tcMar>
            <w:hideMark/>
          </w:tcPr>
          <w:p w14:paraId="1032F196" w14:textId="77777777" w:rsidR="00BE3ABC" w:rsidRPr="009D4E7A" w:rsidRDefault="00BE3ABC" w:rsidP="00B03E91">
            <w:pPr>
              <w:spacing w:before="120"/>
              <w:jc w:val="center"/>
              <w:rPr>
                <w:rFonts w:ascii="Times New Roman" w:hAnsi="Times New Roman"/>
                <w:sz w:val="20"/>
                <w:lang w:eastAsia="pl-PL"/>
              </w:rPr>
            </w:pPr>
            <w:r w:rsidRPr="009D4E7A">
              <w:rPr>
                <w:rFonts w:cs="Arial"/>
                <w:b/>
                <w:bCs/>
                <w:sz w:val="20"/>
                <w:lang w:eastAsia="pl-PL"/>
              </w:rPr>
              <w:t>Szacowana wielkość grupy</w:t>
            </w:r>
          </w:p>
        </w:tc>
      </w:tr>
      <w:tr w:rsidR="00B919D0" w:rsidRPr="009D4E7A" w14:paraId="0030A303" w14:textId="77777777" w:rsidTr="00B03E91">
        <w:trPr>
          <w:trHeight w:val="720"/>
        </w:trPr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29C2D60" w14:textId="714E63A5" w:rsidR="00B919D0" w:rsidRPr="009D4E7A" w:rsidRDefault="00B919D0" w:rsidP="00B919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Arial"/>
                <w:bCs/>
                <w:sz w:val="20"/>
              </w:rPr>
            </w:pPr>
            <w:r w:rsidRPr="009D4E7A">
              <w:rPr>
                <w:rFonts w:cs="Arial"/>
                <w:bCs/>
                <w:sz w:val="20"/>
              </w:rPr>
              <w:t>Organy a</w:t>
            </w:r>
            <w:r w:rsidR="00D6095F" w:rsidRPr="009D4E7A">
              <w:rPr>
                <w:rFonts w:cs="Arial"/>
                <w:bCs/>
                <w:sz w:val="20"/>
              </w:rPr>
              <w:t>dministracji architektoniczno-</w:t>
            </w:r>
            <w:r w:rsidRPr="009D4E7A">
              <w:rPr>
                <w:rFonts w:cs="Arial"/>
                <w:bCs/>
                <w:sz w:val="20"/>
              </w:rPr>
              <w:t>b</w:t>
            </w:r>
            <w:r w:rsidR="00D6095F" w:rsidRPr="009D4E7A">
              <w:rPr>
                <w:rFonts w:cs="Arial"/>
                <w:bCs/>
                <w:sz w:val="20"/>
              </w:rPr>
              <w:t>udowlanej</w:t>
            </w:r>
            <w:r w:rsidRPr="009D4E7A">
              <w:rPr>
                <w:rFonts w:cs="Arial"/>
                <w:bCs/>
                <w:sz w:val="20"/>
              </w:rPr>
              <w:t xml:space="preserve"> </w:t>
            </w:r>
            <w:r w:rsidR="00D6095F" w:rsidRPr="009D4E7A">
              <w:rPr>
                <w:rFonts w:cs="Arial"/>
                <w:bCs/>
                <w:sz w:val="20"/>
              </w:rPr>
              <w:t>(</w:t>
            </w:r>
            <w:proofErr w:type="spellStart"/>
            <w:r w:rsidR="00D6095F" w:rsidRPr="009D4E7A">
              <w:rPr>
                <w:rFonts w:cs="Arial"/>
                <w:bCs/>
                <w:sz w:val="20"/>
              </w:rPr>
              <w:t>aab</w:t>
            </w:r>
            <w:proofErr w:type="spellEnd"/>
            <w:r w:rsidR="00D6095F" w:rsidRPr="009D4E7A">
              <w:rPr>
                <w:rFonts w:cs="Arial"/>
                <w:bCs/>
                <w:sz w:val="20"/>
              </w:rPr>
              <w:t xml:space="preserve">) </w:t>
            </w:r>
            <w:r w:rsidRPr="009D4E7A">
              <w:rPr>
                <w:rFonts w:cs="Arial"/>
                <w:bCs/>
                <w:sz w:val="20"/>
              </w:rPr>
              <w:t>szczebla powiatowego i wojewódzkiego</w:t>
            </w:r>
          </w:p>
          <w:p w14:paraId="4C85AF44" w14:textId="77777777" w:rsidR="00B919D0" w:rsidRPr="009D4E7A" w:rsidRDefault="00B919D0" w:rsidP="00B919D0">
            <w:pPr>
              <w:spacing w:before="120" w:after="120"/>
              <w:rPr>
                <w:rFonts w:cs="Arial"/>
                <w:bCs/>
                <w:sz w:val="20"/>
                <w:lang w:eastAsia="pl-PL"/>
              </w:rPr>
            </w:pPr>
          </w:p>
        </w:tc>
        <w:tc>
          <w:tcPr>
            <w:tcW w:w="4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3FA1930D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 xml:space="preserve">- brak oprogramowania gromadzącego i udostępniającego urzędnikom informacje potrzebne przy wydawaniu decyzji w procesie </w:t>
            </w:r>
            <w:r w:rsidR="006C2F7D" w:rsidRPr="009D4E7A">
              <w:rPr>
                <w:rFonts w:cs="Arial"/>
                <w:bCs/>
                <w:sz w:val="20"/>
                <w:lang w:eastAsia="pl-PL"/>
              </w:rPr>
              <w:t>inwestycyjno</w:t>
            </w:r>
            <w:r w:rsidRPr="009D4E7A">
              <w:rPr>
                <w:rFonts w:cs="Arial"/>
                <w:bCs/>
                <w:sz w:val="20"/>
                <w:lang w:eastAsia="pl-PL"/>
              </w:rPr>
              <w:t xml:space="preserve"> – budowlanym (większość organów)</w:t>
            </w:r>
          </w:p>
          <w:p w14:paraId="34934146" w14:textId="77777777" w:rsidR="006C2F7D" w:rsidRPr="009D4E7A" w:rsidRDefault="006C2F7D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platformy do wymiany informacji z innymi organami – uczestnikami procesu inwestycyjno-budowlanego i wspólnego źródła danych</w:t>
            </w:r>
          </w:p>
          <w:p w14:paraId="103BF552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systemu do obsługi elektronicznej korespondencji (część organów)</w:t>
            </w:r>
          </w:p>
          <w:p w14:paraId="673F0AED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obsługa wielu systemów, powodująca konieczność ręcznego wprowadzania w kilku miejscach tych samych danych</w:t>
            </w:r>
          </w:p>
          <w:p w14:paraId="78931284" w14:textId="1FE6B389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 xml:space="preserve">- brak oprogramowania automatyzującego tworzenie raportów </w:t>
            </w:r>
            <w:r w:rsidR="006141E9" w:rsidRPr="009D4E7A">
              <w:rPr>
                <w:rFonts w:cs="Arial"/>
                <w:bCs/>
                <w:sz w:val="20"/>
                <w:lang w:eastAsia="pl-PL"/>
              </w:rPr>
              <w:t xml:space="preserve">na potrzeby </w:t>
            </w:r>
            <w:r w:rsidRPr="009D4E7A">
              <w:rPr>
                <w:rFonts w:cs="Arial"/>
                <w:bCs/>
                <w:sz w:val="20"/>
                <w:lang w:eastAsia="pl-PL"/>
              </w:rPr>
              <w:t xml:space="preserve">GUNB i GUS </w:t>
            </w:r>
          </w:p>
          <w:p w14:paraId="3D3A4BC9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 xml:space="preserve">- brak wygodnej platformy do szybkiej wymiany informacji pomiędzy organami i inwestorami </w:t>
            </w:r>
          </w:p>
          <w:p w14:paraId="007A455A" w14:textId="77777777" w:rsidR="00B919D0" w:rsidRPr="00626970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626970">
              <w:rPr>
                <w:rFonts w:cs="Arial"/>
                <w:bCs/>
                <w:sz w:val="20"/>
                <w:lang w:eastAsia="pl-PL"/>
              </w:rPr>
              <w:t>- brak stanowiska w urzędzie do udostępniania cyfrowych akt sprawy stronom postępowania</w:t>
            </w:r>
          </w:p>
          <w:p w14:paraId="6DC32D50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626970">
              <w:rPr>
                <w:rFonts w:cs="Arial"/>
                <w:bCs/>
                <w:sz w:val="20"/>
                <w:lang w:eastAsia="pl-PL"/>
              </w:rPr>
              <w:t>- brak infrastruktury sieciowej, nowoczesnych komputerów i monitorów umożliwiających wygodną pracę z projektem budowlanym w wersji cyfrowej</w:t>
            </w:r>
          </w:p>
        </w:tc>
        <w:tc>
          <w:tcPr>
            <w:tcW w:w="17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077540FB" w14:textId="77777777" w:rsidR="00B919D0" w:rsidRPr="009D4E7A" w:rsidRDefault="00B919D0" w:rsidP="00B919D0">
            <w:pPr>
              <w:spacing w:before="120"/>
              <w:jc w:val="center"/>
              <w:rPr>
                <w:rFonts w:cs="Arial"/>
                <w:b/>
                <w:bCs/>
                <w:sz w:val="20"/>
                <w:lang w:eastAsia="pl-PL"/>
              </w:rPr>
            </w:pPr>
            <w:r w:rsidRPr="009D4E7A">
              <w:rPr>
                <w:rFonts w:cs="Arial"/>
                <w:b/>
                <w:bCs/>
                <w:sz w:val="20"/>
                <w:lang w:eastAsia="pl-PL"/>
              </w:rPr>
              <w:t>314 powiatów, 66 miast na prawach powiatu</w:t>
            </w:r>
          </w:p>
          <w:p w14:paraId="73AE48ED" w14:textId="632BAD0F" w:rsidR="002A7D49" w:rsidRPr="009D4E7A" w:rsidRDefault="002A7D49" w:rsidP="00B919D0">
            <w:pPr>
              <w:spacing w:before="120"/>
              <w:jc w:val="center"/>
              <w:rPr>
                <w:rFonts w:cs="Arial"/>
                <w:b/>
                <w:bCs/>
                <w:sz w:val="20"/>
                <w:lang w:eastAsia="pl-PL"/>
              </w:rPr>
            </w:pPr>
            <w:r w:rsidRPr="009D4E7A">
              <w:rPr>
                <w:rFonts w:cs="Arial"/>
                <w:b/>
                <w:bCs/>
                <w:sz w:val="20"/>
                <w:lang w:eastAsia="pl-PL"/>
              </w:rPr>
              <w:t xml:space="preserve">16 urzędów wojewódzkich </w:t>
            </w:r>
          </w:p>
        </w:tc>
      </w:tr>
      <w:tr w:rsidR="00B919D0" w:rsidRPr="009D4E7A" w14:paraId="4028C273" w14:textId="77777777" w:rsidTr="00B03E91">
        <w:trPr>
          <w:trHeight w:val="720"/>
        </w:trPr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4EA67C1" w14:textId="223F59C5" w:rsidR="00B919D0" w:rsidRPr="009D4E7A" w:rsidRDefault="00B919D0" w:rsidP="00B919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Arial"/>
                <w:bCs/>
                <w:sz w:val="20"/>
              </w:rPr>
            </w:pPr>
            <w:r w:rsidRPr="009D4E7A">
              <w:rPr>
                <w:rFonts w:cs="Arial"/>
                <w:bCs/>
                <w:sz w:val="20"/>
              </w:rPr>
              <w:t xml:space="preserve">Organy </w:t>
            </w:r>
            <w:r w:rsidR="006C2F7D" w:rsidRPr="009D4E7A">
              <w:rPr>
                <w:rFonts w:cs="Arial"/>
                <w:bCs/>
                <w:sz w:val="20"/>
              </w:rPr>
              <w:t>n</w:t>
            </w:r>
            <w:r w:rsidR="00D6095F" w:rsidRPr="009D4E7A">
              <w:rPr>
                <w:rFonts w:cs="Arial"/>
                <w:bCs/>
                <w:sz w:val="20"/>
              </w:rPr>
              <w:t>adzoru budowlanego (n)</w:t>
            </w:r>
            <w:r w:rsidR="006C2F7D" w:rsidRPr="009D4E7A">
              <w:rPr>
                <w:rFonts w:cs="Arial"/>
                <w:bCs/>
                <w:sz w:val="20"/>
              </w:rPr>
              <w:t>b</w:t>
            </w:r>
            <w:r w:rsidRPr="009D4E7A">
              <w:rPr>
                <w:rFonts w:cs="Arial"/>
                <w:bCs/>
                <w:sz w:val="20"/>
              </w:rPr>
              <w:t xml:space="preserve"> szczebla powiatowego</w:t>
            </w:r>
          </w:p>
          <w:p w14:paraId="0F9B43C4" w14:textId="77777777" w:rsidR="00B919D0" w:rsidRPr="009D4E7A" w:rsidRDefault="00B919D0" w:rsidP="00B919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Arial"/>
                <w:bCs/>
                <w:sz w:val="20"/>
                <w:lang w:eastAsia="pl-PL"/>
              </w:rPr>
            </w:pPr>
          </w:p>
        </w:tc>
        <w:tc>
          <w:tcPr>
            <w:tcW w:w="4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283603D" w14:textId="77777777" w:rsidR="00B919D0" w:rsidRPr="00626970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626970">
              <w:rPr>
                <w:rFonts w:cs="Arial"/>
                <w:bCs/>
                <w:sz w:val="20"/>
                <w:lang w:eastAsia="pl-PL"/>
              </w:rPr>
              <w:t xml:space="preserve">- </w:t>
            </w:r>
            <w:proofErr w:type="spellStart"/>
            <w:r w:rsidRPr="00626970">
              <w:rPr>
                <w:rFonts w:cs="Arial"/>
                <w:bCs/>
                <w:sz w:val="20"/>
                <w:lang w:eastAsia="pl-PL"/>
              </w:rPr>
              <w:t>j.w</w:t>
            </w:r>
            <w:proofErr w:type="spellEnd"/>
            <w:r w:rsidRPr="00626970">
              <w:rPr>
                <w:rFonts w:cs="Arial"/>
                <w:bCs/>
                <w:sz w:val="20"/>
                <w:lang w:eastAsia="pl-PL"/>
              </w:rPr>
              <w:t>. +</w:t>
            </w:r>
          </w:p>
          <w:p w14:paraId="150FDA2E" w14:textId="77777777" w:rsidR="00B919D0" w:rsidRPr="00626970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626970">
              <w:rPr>
                <w:rFonts w:cs="Arial"/>
                <w:bCs/>
                <w:sz w:val="20"/>
                <w:lang w:eastAsia="pl-PL"/>
              </w:rPr>
              <w:t xml:space="preserve">- brak tabletów do wygodnej pracy w terenie </w:t>
            </w:r>
          </w:p>
        </w:tc>
        <w:tc>
          <w:tcPr>
            <w:tcW w:w="17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C31DE45" w14:textId="77777777" w:rsidR="00B919D0" w:rsidRPr="009D4E7A" w:rsidRDefault="00B919D0" w:rsidP="00B919D0">
            <w:pPr>
              <w:spacing w:before="120"/>
              <w:jc w:val="center"/>
              <w:rPr>
                <w:rFonts w:cs="Arial"/>
                <w:b/>
                <w:bCs/>
                <w:sz w:val="20"/>
                <w:lang w:eastAsia="pl-PL"/>
              </w:rPr>
            </w:pPr>
          </w:p>
        </w:tc>
      </w:tr>
      <w:tr w:rsidR="00B919D0" w:rsidRPr="009D4E7A" w14:paraId="0583A7D3" w14:textId="77777777" w:rsidTr="00B919D0">
        <w:trPr>
          <w:trHeight w:val="720"/>
        </w:trPr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6B89742" w14:textId="77777777" w:rsidR="00B919D0" w:rsidRPr="009D4E7A" w:rsidRDefault="00B919D0" w:rsidP="00B919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Arial"/>
                <w:bCs/>
                <w:sz w:val="20"/>
              </w:rPr>
            </w:pPr>
            <w:r w:rsidRPr="009D4E7A">
              <w:rPr>
                <w:rFonts w:cs="Arial"/>
                <w:bCs/>
                <w:sz w:val="20"/>
              </w:rPr>
              <w:t xml:space="preserve">Organy </w:t>
            </w:r>
            <w:proofErr w:type="spellStart"/>
            <w:r w:rsidR="006C2F7D" w:rsidRPr="009D4E7A">
              <w:rPr>
                <w:rFonts w:cs="Arial"/>
                <w:bCs/>
                <w:sz w:val="20"/>
              </w:rPr>
              <w:t>nb</w:t>
            </w:r>
            <w:proofErr w:type="spellEnd"/>
            <w:r w:rsidRPr="009D4E7A">
              <w:rPr>
                <w:rFonts w:cs="Arial"/>
                <w:bCs/>
                <w:sz w:val="20"/>
              </w:rPr>
              <w:t xml:space="preserve"> szczebla wojewódzkiego</w:t>
            </w:r>
          </w:p>
          <w:p w14:paraId="228FA4E2" w14:textId="77777777" w:rsidR="00B919D0" w:rsidRPr="009D4E7A" w:rsidRDefault="00B919D0" w:rsidP="00B919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Arial"/>
                <w:bCs/>
                <w:sz w:val="20"/>
              </w:rPr>
            </w:pPr>
          </w:p>
        </w:tc>
        <w:tc>
          <w:tcPr>
            <w:tcW w:w="4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BB526C6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 xml:space="preserve">- </w:t>
            </w:r>
            <w:proofErr w:type="spellStart"/>
            <w:r w:rsidRPr="009D4E7A">
              <w:rPr>
                <w:rFonts w:cs="Arial"/>
                <w:bCs/>
                <w:sz w:val="20"/>
                <w:lang w:eastAsia="pl-PL"/>
              </w:rPr>
              <w:t>j.w</w:t>
            </w:r>
            <w:proofErr w:type="spellEnd"/>
            <w:r w:rsidRPr="009D4E7A">
              <w:rPr>
                <w:rFonts w:cs="Arial"/>
                <w:bCs/>
                <w:sz w:val="20"/>
                <w:lang w:eastAsia="pl-PL"/>
              </w:rPr>
              <w:t>. +</w:t>
            </w:r>
          </w:p>
          <w:p w14:paraId="6F9D6E5E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lastRenderedPageBreak/>
              <w:t>- brak systemu do obsługi elektronicznej korespondencji (dotyczy wszystkich organów tego szczebla)</w:t>
            </w:r>
          </w:p>
          <w:p w14:paraId="059FF07B" w14:textId="77777777" w:rsidR="006C2F7D" w:rsidRPr="009D4E7A" w:rsidRDefault="006C2F7D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dostępu do zasobów ewidencyjnych, gromadzonych na szczeblach powiatowych</w:t>
            </w:r>
          </w:p>
          <w:p w14:paraId="63D95A8D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zaawansowanego narzędzia do analizowania danych w województwie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473B215" w14:textId="1606C104" w:rsidR="00B919D0" w:rsidRPr="009D4E7A" w:rsidRDefault="00B919D0" w:rsidP="00B919D0">
            <w:pPr>
              <w:spacing w:before="120"/>
              <w:jc w:val="center"/>
              <w:rPr>
                <w:rFonts w:cs="Arial"/>
                <w:b/>
                <w:bCs/>
                <w:sz w:val="20"/>
                <w:lang w:eastAsia="pl-PL"/>
              </w:rPr>
            </w:pPr>
            <w:r w:rsidRPr="009D4E7A">
              <w:rPr>
                <w:rFonts w:cs="Arial"/>
                <w:b/>
                <w:bCs/>
                <w:sz w:val="20"/>
                <w:lang w:eastAsia="pl-PL"/>
              </w:rPr>
              <w:lastRenderedPageBreak/>
              <w:t xml:space="preserve">16 </w:t>
            </w:r>
            <w:r w:rsidR="001C6DF9" w:rsidRPr="009D4E7A">
              <w:rPr>
                <w:rFonts w:cs="Arial"/>
                <w:b/>
                <w:bCs/>
                <w:sz w:val="20"/>
                <w:lang w:eastAsia="pl-PL"/>
              </w:rPr>
              <w:t>WINB</w:t>
            </w:r>
          </w:p>
        </w:tc>
      </w:tr>
      <w:tr w:rsidR="00B919D0" w:rsidRPr="009D4E7A" w14:paraId="6FB03FF0" w14:textId="77777777" w:rsidTr="00B919D0">
        <w:trPr>
          <w:trHeight w:val="720"/>
        </w:trPr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6C9F51D" w14:textId="77777777" w:rsidR="00B919D0" w:rsidRPr="009D4E7A" w:rsidRDefault="00B919D0" w:rsidP="00B919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Arial"/>
                <w:bCs/>
                <w:sz w:val="20"/>
              </w:rPr>
            </w:pPr>
            <w:r w:rsidRPr="009D4E7A">
              <w:rPr>
                <w:rFonts w:cs="Arial"/>
                <w:bCs/>
                <w:sz w:val="20"/>
              </w:rPr>
              <w:t>Inwestorzy i obywatele</w:t>
            </w:r>
          </w:p>
          <w:p w14:paraId="2CCD1A80" w14:textId="77777777" w:rsidR="00B919D0" w:rsidRPr="009D4E7A" w:rsidRDefault="00B919D0" w:rsidP="00B919D0">
            <w:pPr>
              <w:spacing w:before="120" w:after="120"/>
              <w:rPr>
                <w:rFonts w:cs="Arial"/>
                <w:bCs/>
                <w:sz w:val="20"/>
                <w:lang w:eastAsia="pl-PL"/>
              </w:rPr>
            </w:pPr>
          </w:p>
        </w:tc>
        <w:tc>
          <w:tcPr>
            <w:tcW w:w="4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37E667B" w14:textId="61245974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możliwości śledzenia przebiegu</w:t>
            </w:r>
            <w:r w:rsidR="005E593A" w:rsidRPr="009D4E7A">
              <w:rPr>
                <w:rFonts w:cs="Arial"/>
                <w:bCs/>
                <w:sz w:val="20"/>
                <w:lang w:eastAsia="pl-PL"/>
              </w:rPr>
              <w:t xml:space="preserve"> </w:t>
            </w:r>
            <w:r w:rsidRPr="009D4E7A">
              <w:rPr>
                <w:rFonts w:cs="Arial"/>
                <w:bCs/>
                <w:sz w:val="20"/>
                <w:lang w:eastAsia="pl-PL"/>
              </w:rPr>
              <w:t>prowadzonej sprawy online (w aplikacji e-</w:t>
            </w:r>
            <w:r w:rsidR="00D943AC" w:rsidRPr="009D4E7A">
              <w:rPr>
                <w:rFonts w:cs="Arial"/>
                <w:bCs/>
                <w:sz w:val="20"/>
                <w:lang w:eastAsia="pl-PL"/>
              </w:rPr>
              <w:t>B</w:t>
            </w:r>
            <w:r w:rsidRPr="009D4E7A">
              <w:rPr>
                <w:rFonts w:cs="Arial"/>
                <w:bCs/>
                <w:sz w:val="20"/>
                <w:lang w:eastAsia="pl-PL"/>
              </w:rPr>
              <w:t>udownictwo)</w:t>
            </w:r>
            <w:r w:rsidR="00871524">
              <w:rPr>
                <w:rFonts w:cs="Arial"/>
                <w:bCs/>
                <w:sz w:val="20"/>
                <w:lang w:eastAsia="pl-PL"/>
              </w:rPr>
              <w:t xml:space="preserve"> dla wszystkich postępowań (obecnie wyłącznie dla 4 rodzajów wniosków)</w:t>
            </w:r>
            <w:r w:rsidRPr="009D4E7A">
              <w:rPr>
                <w:rFonts w:cs="Arial"/>
                <w:bCs/>
                <w:sz w:val="20"/>
                <w:lang w:eastAsia="pl-PL"/>
              </w:rPr>
              <w:t xml:space="preserve"> </w:t>
            </w:r>
          </w:p>
          <w:p w14:paraId="332E6F8D" w14:textId="77777777" w:rsidR="006C2F7D" w:rsidRPr="009D4E7A" w:rsidRDefault="006C2F7D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utrudnienia w komunikacji elektronicznej z urzędem</w:t>
            </w:r>
          </w:p>
          <w:p w14:paraId="177A3929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szybkiego i wygodnego dostępu do informacj</w:t>
            </w:r>
            <w:r w:rsidR="006C2F7D" w:rsidRPr="009D4E7A">
              <w:rPr>
                <w:rFonts w:cs="Arial"/>
                <w:bCs/>
                <w:sz w:val="20"/>
                <w:lang w:eastAsia="pl-PL"/>
              </w:rPr>
              <w:t>i</w:t>
            </w:r>
            <w:r w:rsidRPr="009D4E7A">
              <w:rPr>
                <w:rFonts w:cs="Arial"/>
                <w:bCs/>
                <w:sz w:val="20"/>
                <w:lang w:eastAsia="pl-PL"/>
              </w:rPr>
              <w:t xml:space="preserve"> o planach inwestycyjnych oraz postępowaniach, toczących się na konkretnych działkach ewidencyjnych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46EF9191" w14:textId="65CB195F" w:rsidR="00B919D0" w:rsidRPr="009D4E7A" w:rsidRDefault="001C6DF9" w:rsidP="00B919D0">
            <w:pPr>
              <w:spacing w:before="120"/>
              <w:jc w:val="center"/>
              <w:rPr>
                <w:rFonts w:cs="Arial"/>
                <w:b/>
                <w:bCs/>
                <w:sz w:val="20"/>
                <w:lang w:eastAsia="pl-PL"/>
              </w:rPr>
            </w:pPr>
            <w:r w:rsidRPr="009D4E7A">
              <w:rPr>
                <w:rFonts w:cs="Arial"/>
                <w:b/>
                <w:bCs/>
                <w:sz w:val="20"/>
                <w:lang w:eastAsia="pl-PL"/>
              </w:rPr>
              <w:t xml:space="preserve">ok. 15 mln </w:t>
            </w:r>
          </w:p>
        </w:tc>
      </w:tr>
      <w:tr w:rsidR="00B919D0" w:rsidRPr="009D4E7A" w14:paraId="6F2AA69A" w14:textId="77777777" w:rsidTr="00B919D0">
        <w:trPr>
          <w:trHeight w:val="720"/>
        </w:trPr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5791D957" w14:textId="0E90551C" w:rsidR="00B919D0" w:rsidRPr="009D4E7A" w:rsidRDefault="00B919D0" w:rsidP="00B919D0">
            <w:pPr>
              <w:spacing w:before="120" w:after="120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</w:rPr>
              <w:t xml:space="preserve">GUNB i Minister właściwy ds. budownictwa, </w:t>
            </w:r>
            <w:r w:rsidR="008B3C14" w:rsidRPr="009D4E7A">
              <w:rPr>
                <w:rFonts w:cs="Arial"/>
                <w:bCs/>
                <w:sz w:val="20"/>
              </w:rPr>
              <w:t>planowania i zagospodarowania przestrzennego</w:t>
            </w:r>
          </w:p>
        </w:tc>
        <w:tc>
          <w:tcPr>
            <w:tcW w:w="4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14BC1E3" w14:textId="77777777" w:rsidR="00B919D0" w:rsidRPr="009D4E7A" w:rsidRDefault="00B919D0" w:rsidP="007C6F76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zaawansowanego narzędzia do analizowania danych krajowych w obszarze budownictwa i tworzenia nowych raportów statystycznych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2259EECB" w14:textId="3B993C5C" w:rsidR="00B919D0" w:rsidRPr="009D4E7A" w:rsidRDefault="001C6DF9" w:rsidP="00B919D0">
            <w:pPr>
              <w:spacing w:before="120"/>
              <w:jc w:val="center"/>
              <w:rPr>
                <w:rFonts w:cs="Arial"/>
                <w:b/>
                <w:bCs/>
                <w:sz w:val="20"/>
                <w:lang w:eastAsia="pl-PL"/>
              </w:rPr>
            </w:pPr>
            <w:r w:rsidRPr="009D4E7A">
              <w:rPr>
                <w:rFonts w:cs="Arial"/>
                <w:b/>
                <w:bCs/>
                <w:sz w:val="20"/>
                <w:lang w:eastAsia="pl-PL"/>
              </w:rPr>
              <w:t>2</w:t>
            </w:r>
          </w:p>
        </w:tc>
      </w:tr>
      <w:tr w:rsidR="004B16EF" w:rsidRPr="009D4E7A" w14:paraId="3241C6E5" w14:textId="77777777" w:rsidTr="00B919D0">
        <w:trPr>
          <w:trHeight w:val="720"/>
        </w:trPr>
        <w:tc>
          <w:tcPr>
            <w:tcW w:w="2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7918EBEA" w14:textId="1B1A757B" w:rsidR="004B16EF" w:rsidRPr="009D4E7A" w:rsidRDefault="004B16EF" w:rsidP="00B919D0">
            <w:pPr>
              <w:spacing w:before="120" w:after="120"/>
              <w:rPr>
                <w:rFonts w:cs="Arial"/>
                <w:bCs/>
                <w:sz w:val="20"/>
              </w:rPr>
            </w:pPr>
            <w:r w:rsidRPr="009D4E7A">
              <w:rPr>
                <w:rFonts w:cs="Arial"/>
                <w:bCs/>
                <w:sz w:val="20"/>
              </w:rPr>
              <w:t>Główny Urząd Statystyczny</w:t>
            </w:r>
          </w:p>
        </w:tc>
        <w:tc>
          <w:tcPr>
            <w:tcW w:w="4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1C8F8C56" w14:textId="3A8E9E57" w:rsidR="004B16EF" w:rsidRPr="009D4E7A" w:rsidRDefault="004B16EF" w:rsidP="004B16EF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systemu informatycznego przystosowanego do obsługi sprawozdawczości statystycznej z zakresu budownictwa;</w:t>
            </w:r>
          </w:p>
          <w:p w14:paraId="578FFE49" w14:textId="0E930AAB" w:rsidR="004B16EF" w:rsidRPr="009D4E7A" w:rsidRDefault="004B16EF" w:rsidP="004B16EF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ograniczone możliwości w zakresie pozyskiwania danych statystycznych dot. budownictwa w oparciu o istniejący system formularzy sprawozdawczych i w warunkach rozproszenia informacji w różnych systemach (stworzenie zintegrowanego systemu umożliwi rozszerzenie zakresu danych udostępnianych inwestorom i obywatelom przez statystykę publiczną, monitorowanie usług publicznych);</w:t>
            </w:r>
          </w:p>
          <w:p w14:paraId="4A1B18D3" w14:textId="28CA8585" w:rsidR="004B16EF" w:rsidRPr="009D4E7A" w:rsidRDefault="004B16EF" w:rsidP="004B16EF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wygodnej platformy do szybkiej wymiany informacji pomiędzy organami administracji architektoniczno-budowlanej i nadzoru budowlanego a resortem statystyki (zwiększenie efektywności i zmniejszenie pracochłonności);</w:t>
            </w:r>
          </w:p>
          <w:p w14:paraId="4C1F6F03" w14:textId="38F647A3" w:rsidR="004B16EF" w:rsidRPr="009D4E7A" w:rsidRDefault="004B16EF" w:rsidP="004B16EF">
            <w:pPr>
              <w:spacing w:before="120"/>
              <w:jc w:val="both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cs="Arial"/>
                <w:bCs/>
                <w:sz w:val="20"/>
                <w:lang w:eastAsia="pl-PL"/>
              </w:rPr>
              <w:t>- brak dostępu do dokumentacji, powstającej w ramach postępowań w procesie inwestycyjno-budowlanym (dążenie do podniesienia jakości danych statystycznych z uwzględnieniem metodologii i klasyfikacji stosowanych w polskiej statystyce publicznej i statystyce międzynarodowej).</w:t>
            </w:r>
          </w:p>
        </w:tc>
        <w:tc>
          <w:tcPr>
            <w:tcW w:w="1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CF29B6E" w14:textId="74AE6B05" w:rsidR="004B16EF" w:rsidRPr="009D4E7A" w:rsidRDefault="004B16EF" w:rsidP="00B919D0">
            <w:pPr>
              <w:spacing w:before="120"/>
              <w:jc w:val="center"/>
              <w:rPr>
                <w:rFonts w:cs="Arial"/>
                <w:b/>
                <w:bCs/>
                <w:sz w:val="20"/>
                <w:lang w:eastAsia="pl-PL"/>
              </w:rPr>
            </w:pPr>
            <w:r w:rsidRPr="009D4E7A">
              <w:rPr>
                <w:rFonts w:cs="Arial"/>
                <w:b/>
                <w:bCs/>
                <w:sz w:val="20"/>
                <w:lang w:eastAsia="pl-PL"/>
              </w:rPr>
              <w:t>1</w:t>
            </w:r>
          </w:p>
        </w:tc>
      </w:tr>
    </w:tbl>
    <w:p w14:paraId="1666F94B" w14:textId="77777777" w:rsidR="00E6689A" w:rsidRPr="009D4E7A" w:rsidRDefault="00E6689A"/>
    <w:p w14:paraId="7F0A6DAE" w14:textId="77777777" w:rsidR="00902E3B" w:rsidRPr="009D4E7A" w:rsidRDefault="00086AE6" w:rsidP="00BE3ABC">
      <w:pPr>
        <w:pStyle w:val="Nagwek2"/>
        <w:numPr>
          <w:ilvl w:val="1"/>
          <w:numId w:val="4"/>
        </w:numPr>
        <w:rPr>
          <w:rStyle w:val="docdata"/>
          <w:lang w:val="pl-PL" w:eastAsia="pl-PL"/>
        </w:rPr>
      </w:pPr>
      <w:r w:rsidRPr="009D4E7A">
        <w:rPr>
          <w:lang w:val="pl-PL" w:eastAsia="pl-PL"/>
        </w:rPr>
        <w:t xml:space="preserve"> </w:t>
      </w:r>
      <w:r w:rsidR="00BE3ABC" w:rsidRPr="009D4E7A">
        <w:rPr>
          <w:lang w:val="pl-PL" w:eastAsia="pl-PL"/>
        </w:rPr>
        <w:t xml:space="preserve">Opis stanu </w:t>
      </w:r>
      <w:r w:rsidRPr="009D4E7A">
        <w:rPr>
          <w:rStyle w:val="docdata"/>
          <w:lang w:val="pl-PL"/>
        </w:rPr>
        <w:t>obecnego</w:t>
      </w:r>
    </w:p>
    <w:p w14:paraId="62347498" w14:textId="684A510D" w:rsidR="00547998" w:rsidRPr="009D4E7A" w:rsidRDefault="00547998" w:rsidP="002C7BE2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  <w:r w:rsidRPr="009D4E7A">
        <w:rPr>
          <w:rFonts w:eastAsiaTheme="minorHAnsi" w:cs="Arial"/>
          <w:sz w:val="22"/>
          <w:szCs w:val="22"/>
        </w:rPr>
        <w:lastRenderedPageBreak/>
        <w:t xml:space="preserve">Organy </w:t>
      </w:r>
      <w:proofErr w:type="spellStart"/>
      <w:r w:rsidRPr="009D4E7A">
        <w:rPr>
          <w:rFonts w:eastAsiaTheme="minorHAnsi" w:cs="Arial"/>
          <w:sz w:val="22"/>
          <w:szCs w:val="22"/>
        </w:rPr>
        <w:t>aab</w:t>
      </w:r>
      <w:proofErr w:type="spellEnd"/>
      <w:r w:rsidRPr="009D4E7A">
        <w:rPr>
          <w:rFonts w:eastAsiaTheme="minorHAnsi" w:cs="Arial"/>
          <w:sz w:val="22"/>
          <w:szCs w:val="22"/>
        </w:rPr>
        <w:t xml:space="preserve"> i </w:t>
      </w:r>
      <w:proofErr w:type="spellStart"/>
      <w:r w:rsidRPr="009D4E7A">
        <w:rPr>
          <w:rFonts w:eastAsiaTheme="minorHAnsi" w:cs="Arial"/>
          <w:sz w:val="22"/>
          <w:szCs w:val="22"/>
        </w:rPr>
        <w:t>nb</w:t>
      </w:r>
      <w:proofErr w:type="spellEnd"/>
      <w:r w:rsidRPr="009D4E7A">
        <w:rPr>
          <w:rFonts w:eastAsiaTheme="minorHAnsi" w:cs="Arial"/>
          <w:sz w:val="22"/>
          <w:szCs w:val="22"/>
        </w:rPr>
        <w:t xml:space="preserve"> prowadzą szereg postępowań administracyjnych w procesie inwestycyjno-budowlanym.</w:t>
      </w:r>
    </w:p>
    <w:p w14:paraId="4BD8DC9C" w14:textId="77777777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</w:p>
    <w:p w14:paraId="3E744660" w14:textId="77777777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  <w:r w:rsidRPr="009D4E7A">
        <w:rPr>
          <w:rFonts w:eastAsiaTheme="minorHAnsi" w:cs="Arial"/>
          <w:sz w:val="22"/>
          <w:szCs w:val="22"/>
        </w:rPr>
        <w:t xml:space="preserve">Postępowania prowadzone przez organy </w:t>
      </w:r>
      <w:proofErr w:type="spellStart"/>
      <w:r w:rsidRPr="009D4E7A">
        <w:rPr>
          <w:rFonts w:eastAsiaTheme="minorHAnsi" w:cs="Arial"/>
          <w:sz w:val="22"/>
          <w:szCs w:val="22"/>
        </w:rPr>
        <w:t>aab</w:t>
      </w:r>
      <w:proofErr w:type="spellEnd"/>
      <w:r w:rsidRPr="009D4E7A">
        <w:rPr>
          <w:rFonts w:eastAsiaTheme="minorHAnsi" w:cs="Arial"/>
          <w:sz w:val="22"/>
          <w:szCs w:val="22"/>
        </w:rPr>
        <w:t xml:space="preserve"> dotyczą m.in.:</w:t>
      </w:r>
    </w:p>
    <w:p w14:paraId="33E2FB1B" w14:textId="571EE8DC" w:rsidR="00547998" w:rsidRPr="009D4E7A" w:rsidRDefault="00547998" w:rsidP="002C7BE2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  <w:r w:rsidRPr="009D4E7A">
        <w:rPr>
          <w:rFonts w:eastAsiaTheme="minorHAnsi" w:cs="Arial"/>
          <w:sz w:val="22"/>
          <w:szCs w:val="22"/>
        </w:rPr>
        <w:t>Pozwoleń na budowę i rozbiórkę, zgłoszeń robót budowlanych, zmiany sposobu użytkowania obiektów, postępowań w sprawie zmiany, uchylenia, stwierdzania wygaśnięcia i przeniesienia decyzji o pozwoleniu na budowę, rozstrzygania o niezbędności wejścia na teren sąsiedniej nieruchomości, prowadzenie postępowań egzekucyjnych, wniosków o udzielenie odstępstwa od warunków technicznych.</w:t>
      </w:r>
    </w:p>
    <w:p w14:paraId="01938F47" w14:textId="77777777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</w:p>
    <w:p w14:paraId="68FD9E70" w14:textId="77777777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  <w:r w:rsidRPr="009D4E7A">
        <w:rPr>
          <w:rFonts w:eastAsiaTheme="minorHAnsi" w:cs="Arial"/>
          <w:sz w:val="22"/>
          <w:szCs w:val="22"/>
        </w:rPr>
        <w:t xml:space="preserve">Postępowania prowadzone przez organy </w:t>
      </w:r>
      <w:proofErr w:type="spellStart"/>
      <w:r w:rsidRPr="009D4E7A">
        <w:rPr>
          <w:rFonts w:eastAsiaTheme="minorHAnsi" w:cs="Arial"/>
          <w:sz w:val="22"/>
          <w:szCs w:val="22"/>
        </w:rPr>
        <w:t>nb</w:t>
      </w:r>
      <w:proofErr w:type="spellEnd"/>
      <w:r w:rsidRPr="009D4E7A">
        <w:rPr>
          <w:rFonts w:eastAsiaTheme="minorHAnsi" w:cs="Arial"/>
          <w:sz w:val="22"/>
          <w:szCs w:val="22"/>
        </w:rPr>
        <w:t xml:space="preserve"> dotyczą m.in.:</w:t>
      </w:r>
    </w:p>
    <w:p w14:paraId="270A6F20" w14:textId="77777777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  <w:r w:rsidRPr="009D4E7A">
        <w:rPr>
          <w:rFonts w:eastAsiaTheme="minorHAnsi" w:cs="Arial"/>
          <w:sz w:val="22"/>
          <w:szCs w:val="22"/>
        </w:rPr>
        <w:t>Przyjmowania zawiadomień o terminie rozpoczęcia i zakończenia robót budowlanych, wydawania decyzji na użytkowanie obiektów budowlanych, kontroli utrzymania obiektów budowlanych, legalizacji i likwidacji samowoli budowlanych, wydawania nakazów rozbiórki, opróżnienia budynku grożącego zawaleniem, rejestrowania i badania przyczyn powstawania katastrof budowlanych.</w:t>
      </w:r>
    </w:p>
    <w:p w14:paraId="39C82ECF" w14:textId="77777777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</w:p>
    <w:p w14:paraId="76948E76" w14:textId="568057CD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  <w:r w:rsidRPr="009D4E7A">
        <w:rPr>
          <w:rFonts w:eastAsiaTheme="minorHAnsi" w:cs="Arial"/>
          <w:sz w:val="22"/>
          <w:szCs w:val="22"/>
        </w:rPr>
        <w:t>Obecnie na portalu e-Budownictwo dostępn</w:t>
      </w:r>
      <w:r w:rsidR="00A04015">
        <w:rPr>
          <w:rFonts w:eastAsiaTheme="minorHAnsi" w:cs="Arial"/>
          <w:sz w:val="22"/>
          <w:szCs w:val="22"/>
        </w:rPr>
        <w:t>y</w:t>
      </w:r>
      <w:r w:rsidR="0048436A">
        <w:rPr>
          <w:rFonts w:eastAsiaTheme="minorHAnsi" w:cs="Arial"/>
          <w:sz w:val="22"/>
          <w:szCs w:val="22"/>
        </w:rPr>
        <w:t>ch</w:t>
      </w:r>
      <w:r w:rsidRPr="009D4E7A">
        <w:rPr>
          <w:rFonts w:eastAsiaTheme="minorHAnsi" w:cs="Arial"/>
          <w:sz w:val="22"/>
          <w:szCs w:val="22"/>
        </w:rPr>
        <w:t xml:space="preserve"> </w:t>
      </w:r>
      <w:r w:rsidR="0048436A">
        <w:rPr>
          <w:rFonts w:eastAsiaTheme="minorHAnsi" w:cs="Arial"/>
          <w:sz w:val="22"/>
          <w:szCs w:val="22"/>
        </w:rPr>
        <w:t>jest</w:t>
      </w:r>
      <w:r w:rsidR="0048436A" w:rsidRPr="009D4E7A">
        <w:rPr>
          <w:rFonts w:eastAsiaTheme="minorHAnsi" w:cs="Arial"/>
          <w:sz w:val="22"/>
          <w:szCs w:val="22"/>
        </w:rPr>
        <w:t xml:space="preserve"> </w:t>
      </w:r>
      <w:r w:rsidRPr="009D4E7A">
        <w:rPr>
          <w:rFonts w:eastAsiaTheme="minorHAnsi" w:cs="Arial"/>
          <w:sz w:val="22"/>
          <w:szCs w:val="22"/>
        </w:rPr>
        <w:t>2</w:t>
      </w:r>
      <w:r w:rsidR="0048436A">
        <w:rPr>
          <w:rFonts w:eastAsiaTheme="minorHAnsi" w:cs="Arial"/>
          <w:sz w:val="22"/>
          <w:szCs w:val="22"/>
        </w:rPr>
        <w:t>5</w:t>
      </w:r>
      <w:r w:rsidRPr="009D4E7A">
        <w:rPr>
          <w:rFonts w:eastAsiaTheme="minorHAnsi" w:cs="Arial"/>
          <w:sz w:val="22"/>
          <w:szCs w:val="22"/>
        </w:rPr>
        <w:t xml:space="preserve"> wniosk</w:t>
      </w:r>
      <w:r w:rsidR="0048436A">
        <w:rPr>
          <w:rFonts w:eastAsiaTheme="minorHAnsi" w:cs="Arial"/>
          <w:sz w:val="22"/>
          <w:szCs w:val="22"/>
        </w:rPr>
        <w:t>ów</w:t>
      </w:r>
      <w:r w:rsidRPr="009D4E7A">
        <w:rPr>
          <w:rFonts w:eastAsiaTheme="minorHAnsi" w:cs="Arial"/>
          <w:sz w:val="22"/>
          <w:szCs w:val="22"/>
        </w:rPr>
        <w:t>, które można złożyć do organu w formie cyfrowej.</w:t>
      </w:r>
    </w:p>
    <w:p w14:paraId="3AF3A8F2" w14:textId="77777777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</w:p>
    <w:p w14:paraId="3CCB1434" w14:textId="33D7E719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  <w:r w:rsidRPr="009D4E7A">
        <w:rPr>
          <w:rFonts w:eastAsiaTheme="minorHAnsi" w:cs="Arial"/>
          <w:sz w:val="22"/>
          <w:szCs w:val="22"/>
        </w:rPr>
        <w:t xml:space="preserve">Wg. raportów z 2020 r. 17,6% organów </w:t>
      </w:r>
      <w:proofErr w:type="spellStart"/>
      <w:r w:rsidRPr="009D4E7A">
        <w:rPr>
          <w:rFonts w:eastAsiaTheme="minorHAnsi" w:cs="Arial"/>
          <w:sz w:val="22"/>
          <w:szCs w:val="22"/>
        </w:rPr>
        <w:t>aab</w:t>
      </w:r>
      <w:proofErr w:type="spellEnd"/>
      <w:r w:rsidRPr="009D4E7A">
        <w:rPr>
          <w:rFonts w:eastAsiaTheme="minorHAnsi" w:cs="Arial"/>
          <w:sz w:val="22"/>
          <w:szCs w:val="22"/>
        </w:rPr>
        <w:t xml:space="preserve"> i 8% organów </w:t>
      </w:r>
      <w:proofErr w:type="spellStart"/>
      <w:r w:rsidRPr="009D4E7A">
        <w:rPr>
          <w:rFonts w:eastAsiaTheme="minorHAnsi" w:cs="Arial"/>
          <w:sz w:val="22"/>
          <w:szCs w:val="22"/>
        </w:rPr>
        <w:t>nb</w:t>
      </w:r>
      <w:proofErr w:type="spellEnd"/>
      <w:r w:rsidRPr="009D4E7A">
        <w:rPr>
          <w:rFonts w:eastAsiaTheme="minorHAnsi" w:cs="Arial"/>
          <w:sz w:val="22"/>
          <w:szCs w:val="22"/>
        </w:rPr>
        <w:t xml:space="preserve"> dysponuje tzw. programem dziedzinowym pomocnym przy wydawaniu decyzji i pozwoleń. Duży procent urzędów nie posiada systemu do obsługi elektronicznej korespondencji wpływającej do urzędu. Postępowania administracyjne w obrębie urzędów, konsultacje z organami zewnętrznymi oraz komunikacja ze stronami postepowania prowadzone są w formie papierowej, dekretacji za pomocą pism, rejestrowanej korespondencji listownej.</w:t>
      </w:r>
    </w:p>
    <w:p w14:paraId="18E64C36" w14:textId="77777777" w:rsidR="00547998" w:rsidRPr="009D4E7A" w:rsidRDefault="00547998" w:rsidP="00547998">
      <w:pPr>
        <w:autoSpaceDE w:val="0"/>
        <w:autoSpaceDN w:val="0"/>
        <w:adjustRightInd w:val="0"/>
        <w:jc w:val="both"/>
        <w:rPr>
          <w:rFonts w:eastAsiaTheme="minorHAnsi" w:cs="Arial"/>
          <w:sz w:val="22"/>
          <w:szCs w:val="22"/>
        </w:rPr>
      </w:pPr>
    </w:p>
    <w:p w14:paraId="6F8FE996" w14:textId="7779F53C" w:rsidR="009B426F" w:rsidRPr="009D4E7A" w:rsidRDefault="00A04015" w:rsidP="002C7BE2">
      <w:pPr>
        <w:jc w:val="both"/>
        <w:rPr>
          <w:lang w:eastAsia="pl-PL"/>
        </w:rPr>
      </w:pPr>
      <w:r>
        <w:rPr>
          <w:rFonts w:eastAsiaTheme="minorHAnsi" w:cs="Arial"/>
          <w:sz w:val="22"/>
          <w:szCs w:val="22"/>
        </w:rPr>
        <w:t>SOPAB</w:t>
      </w:r>
      <w:r w:rsidR="0001176E">
        <w:rPr>
          <w:rFonts w:eastAsiaTheme="minorHAnsi" w:cs="Arial"/>
          <w:sz w:val="22"/>
          <w:szCs w:val="22"/>
        </w:rPr>
        <w:t xml:space="preserve"> </w:t>
      </w:r>
      <w:r w:rsidR="00547998" w:rsidRPr="009D4E7A">
        <w:rPr>
          <w:rFonts w:eastAsiaTheme="minorHAnsi" w:cs="Arial"/>
          <w:sz w:val="22"/>
          <w:szCs w:val="22"/>
        </w:rPr>
        <w:t>jako system centralny może, lecz nie musi, zastąpić istniejące systemy lokalne. Założeniem jest integracja i zasilanie danymi SOPAB przez systemy lokalne, w przypadku dalszego ich użytkowania przez urzędy.</w:t>
      </w:r>
      <w:r w:rsidR="00F474C2" w:rsidRPr="00F474C2">
        <w:t xml:space="preserve"> </w:t>
      </w:r>
    </w:p>
    <w:p w14:paraId="65DE2838" w14:textId="77777777" w:rsidR="00BE3ABC" w:rsidRPr="009D4E7A" w:rsidRDefault="00BE3ABC" w:rsidP="00BE3ABC">
      <w:pPr>
        <w:pStyle w:val="Nagwek1"/>
        <w:jc w:val="both"/>
        <w:rPr>
          <w:rFonts w:cs="Arial"/>
          <w:lang w:val="pl-PL" w:eastAsia="pl-PL"/>
        </w:rPr>
      </w:pPr>
      <w:bookmarkStart w:id="1" w:name="_Toc462924055"/>
      <w:r w:rsidRPr="009D4E7A">
        <w:rPr>
          <w:rFonts w:cs="Arial"/>
          <w:lang w:val="pl-PL" w:eastAsia="pl-PL"/>
        </w:rPr>
        <w:t>EFEKTY PROJEKTU</w:t>
      </w:r>
      <w:bookmarkEnd w:id="1"/>
      <w:r w:rsidRPr="009D4E7A">
        <w:rPr>
          <w:rFonts w:cs="Arial"/>
          <w:lang w:val="pl-PL" w:eastAsia="pl-PL"/>
        </w:rPr>
        <w:t xml:space="preserve"> </w:t>
      </w:r>
    </w:p>
    <w:p w14:paraId="16B9DF83" w14:textId="77777777" w:rsidR="00BE3ABC" w:rsidRPr="009D4E7A" w:rsidRDefault="00BE3ABC" w:rsidP="00BE3ABC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2" w:name="_Toc462924056"/>
      <w:r w:rsidRPr="009D4E7A">
        <w:rPr>
          <w:lang w:val="pl-PL" w:eastAsia="pl-PL"/>
        </w:rPr>
        <w:t>Cele i korzyści wynikające z projektu</w:t>
      </w:r>
      <w:bookmarkEnd w:id="2"/>
      <w:r w:rsidRPr="009D4E7A">
        <w:rPr>
          <w:lang w:val="pl-PL" w:eastAsia="pl-PL"/>
        </w:rPr>
        <w:t xml:space="preserve">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BE3ABC" w:rsidRPr="009D4E7A" w14:paraId="5221B721" w14:textId="77777777" w:rsidTr="00E841BA">
        <w:trPr>
          <w:trHeight w:val="883"/>
        </w:trPr>
        <w:tc>
          <w:tcPr>
            <w:tcW w:w="2410" w:type="dxa"/>
            <w:shd w:val="clear" w:color="auto" w:fill="E7E6E6"/>
          </w:tcPr>
          <w:p w14:paraId="73C05F08" w14:textId="77777777" w:rsidR="00BE3ABC" w:rsidRPr="009D4E7A" w:rsidRDefault="00BE3ABC" w:rsidP="00B03E91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9D4E7A">
              <w:rPr>
                <w:rFonts w:eastAsia="MS MinNew Roman" w:cs="Arial"/>
                <w:b/>
                <w:bCs/>
                <w:sz w:val="20"/>
                <w:szCs w:val="24"/>
              </w:rPr>
              <w:t>Cel - 1</w:t>
            </w:r>
          </w:p>
        </w:tc>
        <w:tc>
          <w:tcPr>
            <w:tcW w:w="7655" w:type="dxa"/>
            <w:shd w:val="clear" w:color="auto" w:fill="FFFFFF"/>
          </w:tcPr>
          <w:p w14:paraId="360AA9D2" w14:textId="35FC41B7" w:rsidR="00BE3ABC" w:rsidRPr="009D4E7A" w:rsidRDefault="00E841BA" w:rsidP="007C6F76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Zwiększenie efektywności</w:t>
            </w:r>
            <w:r w:rsidR="008F29B5" w:rsidRPr="009D4E7A">
              <w:rPr>
                <w:sz w:val="20"/>
              </w:rPr>
              <w:t xml:space="preserve"> funkcjonowania działalności </w:t>
            </w:r>
            <w:r w:rsidR="007853E1" w:rsidRPr="009D4E7A">
              <w:rPr>
                <w:sz w:val="20"/>
              </w:rPr>
              <w:t xml:space="preserve">organów </w:t>
            </w:r>
            <w:proofErr w:type="spellStart"/>
            <w:r w:rsidR="007853E1" w:rsidRPr="009D4E7A">
              <w:rPr>
                <w:sz w:val="20"/>
              </w:rPr>
              <w:t>aab</w:t>
            </w:r>
            <w:proofErr w:type="spellEnd"/>
            <w:r w:rsidR="007853E1" w:rsidRPr="009D4E7A">
              <w:rPr>
                <w:sz w:val="20"/>
              </w:rPr>
              <w:t xml:space="preserve"> i </w:t>
            </w:r>
            <w:proofErr w:type="spellStart"/>
            <w:r w:rsidR="007853E1" w:rsidRPr="009D4E7A">
              <w:rPr>
                <w:sz w:val="20"/>
              </w:rPr>
              <w:t>nb</w:t>
            </w:r>
            <w:proofErr w:type="spellEnd"/>
            <w:r w:rsidR="007853E1" w:rsidRPr="009D4E7A">
              <w:rPr>
                <w:sz w:val="20"/>
              </w:rPr>
              <w:t xml:space="preserve"> </w:t>
            </w:r>
            <w:r w:rsidRPr="009D4E7A">
              <w:rPr>
                <w:sz w:val="20"/>
              </w:rPr>
              <w:t xml:space="preserve">oraz wsparcie w sprostaniu wyzwaniom </w:t>
            </w:r>
            <w:proofErr w:type="spellStart"/>
            <w:r w:rsidRPr="009D4E7A">
              <w:rPr>
                <w:sz w:val="20"/>
              </w:rPr>
              <w:t>cyfryzującego</w:t>
            </w:r>
            <w:proofErr w:type="spellEnd"/>
            <w:r w:rsidRPr="009D4E7A">
              <w:rPr>
                <w:sz w:val="20"/>
              </w:rPr>
              <w:t xml:space="preserve"> się świata </w:t>
            </w:r>
            <w:r w:rsidR="007853E1" w:rsidRPr="009D4E7A">
              <w:rPr>
                <w:sz w:val="20"/>
              </w:rPr>
              <w:t xml:space="preserve">poprzez zapewnienie </w:t>
            </w:r>
            <w:r w:rsidRPr="009D4E7A">
              <w:rPr>
                <w:sz w:val="20"/>
              </w:rPr>
              <w:t>nowoczesnych narzędzi pracy (oprogramowanie</w:t>
            </w:r>
            <w:r w:rsidR="00A67604" w:rsidRPr="009D4E7A">
              <w:rPr>
                <w:sz w:val="20"/>
              </w:rPr>
              <w:t xml:space="preserve">, </w:t>
            </w:r>
            <w:r w:rsidRPr="005F53AF">
              <w:rPr>
                <w:sz w:val="20"/>
              </w:rPr>
              <w:t>sprzęt</w:t>
            </w:r>
            <w:r w:rsidR="00A67604" w:rsidRPr="005F53AF">
              <w:rPr>
                <w:sz w:val="20"/>
              </w:rPr>
              <w:t>,</w:t>
            </w:r>
            <w:r w:rsidR="00A67604" w:rsidRPr="009D4E7A">
              <w:rPr>
                <w:sz w:val="20"/>
              </w:rPr>
              <w:t xml:space="preserve"> szkolenia</w:t>
            </w:r>
            <w:r w:rsidRPr="009D4E7A">
              <w:rPr>
                <w:sz w:val="20"/>
              </w:rPr>
              <w:t>).</w:t>
            </w:r>
          </w:p>
        </w:tc>
      </w:tr>
      <w:tr w:rsidR="00E841BA" w:rsidRPr="009D4E7A" w14:paraId="441A9752" w14:textId="77777777" w:rsidTr="00BE3ABC">
        <w:trPr>
          <w:trHeight w:val="383"/>
        </w:trPr>
        <w:tc>
          <w:tcPr>
            <w:tcW w:w="2410" w:type="dxa"/>
            <w:shd w:val="clear" w:color="auto" w:fill="E7E6E6"/>
          </w:tcPr>
          <w:p w14:paraId="727B3EA8" w14:textId="77777777" w:rsidR="00E841BA" w:rsidRPr="009D4E7A" w:rsidRDefault="00E841BA" w:rsidP="00E841BA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9D4E7A">
              <w:rPr>
                <w:rFonts w:eastAsia="MS MinNew Roman" w:cs="Arial"/>
                <w:b/>
                <w:bCs/>
                <w:sz w:val="20"/>
                <w:szCs w:val="24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14:paraId="6C5C9A29" w14:textId="77777777" w:rsidR="00E841BA" w:rsidRPr="009D4E7A" w:rsidRDefault="00E841BA" w:rsidP="00E841BA">
            <w:pPr>
              <w:jc w:val="both"/>
              <w:rPr>
                <w:sz w:val="20"/>
              </w:rPr>
            </w:pPr>
          </w:p>
          <w:p w14:paraId="3792FB73" w14:textId="1899E80F" w:rsidR="00E841BA" w:rsidRPr="009D4E7A" w:rsidRDefault="00E841BA" w:rsidP="00E841BA">
            <w:pPr>
              <w:jc w:val="both"/>
              <w:rPr>
                <w:sz w:val="20"/>
              </w:rPr>
            </w:pPr>
            <w:r w:rsidRPr="009D4E7A">
              <w:rPr>
                <w:b/>
                <w:bCs/>
                <w:sz w:val="20"/>
              </w:rPr>
              <w:t>Strategia innowacyjności i efektywności gospodarki „Dynamiczna Polska 2020”</w:t>
            </w:r>
            <w:r w:rsidRPr="009D4E7A">
              <w:rPr>
                <w:sz w:val="20"/>
              </w:rPr>
              <w:t>: realizacja celu 2 Strategii: „Stymulowanie innowacyjności poprzez wzrost efektywności wiedzy i pracy”, a w szczególności kierunku działań 2.6.3. „Stworzenie warunków sprzyjających rozwojowi gospodarki elektronicznej” – Projekt bezpośrednio przyczynia się do informatyzacji administracji publicznej</w:t>
            </w:r>
            <w:r w:rsidR="00A67604" w:rsidRPr="009D4E7A">
              <w:rPr>
                <w:sz w:val="20"/>
              </w:rPr>
              <w:t xml:space="preserve"> </w:t>
            </w:r>
            <w:r w:rsidRPr="009D4E7A">
              <w:rPr>
                <w:sz w:val="20"/>
              </w:rPr>
              <w:t xml:space="preserve">i </w:t>
            </w:r>
            <w:r w:rsidR="00A67604" w:rsidRPr="009D4E7A">
              <w:rPr>
                <w:sz w:val="20"/>
              </w:rPr>
              <w:t xml:space="preserve">wzrostu </w:t>
            </w:r>
            <w:r w:rsidRPr="009D4E7A">
              <w:rPr>
                <w:sz w:val="20"/>
              </w:rPr>
              <w:t>kompetencji cyfrowych w urzędach.</w:t>
            </w:r>
          </w:p>
          <w:p w14:paraId="1CC53BA1" w14:textId="77777777" w:rsidR="00E841BA" w:rsidRPr="009D4E7A" w:rsidRDefault="00E841BA" w:rsidP="00E841BA">
            <w:pPr>
              <w:jc w:val="both"/>
              <w:rPr>
                <w:sz w:val="20"/>
              </w:rPr>
            </w:pPr>
          </w:p>
          <w:p w14:paraId="64450275" w14:textId="7088CD66" w:rsidR="00C0706D" w:rsidRPr="009D4E7A" w:rsidRDefault="00E841BA" w:rsidP="00E841BA">
            <w:pPr>
              <w:jc w:val="both"/>
              <w:rPr>
                <w:sz w:val="20"/>
              </w:rPr>
            </w:pPr>
            <w:r w:rsidRPr="009D4E7A">
              <w:rPr>
                <w:b/>
                <w:bCs/>
                <w:sz w:val="20"/>
              </w:rPr>
              <w:t>Program Zintegrowanej Informatyzacji Państwa oraz Strategia Informatyzacji Państwa</w:t>
            </w:r>
            <w:r w:rsidRPr="009D4E7A">
              <w:rPr>
                <w:sz w:val="20"/>
              </w:rPr>
              <w:t>:</w:t>
            </w:r>
            <w:r w:rsidR="00F850D2" w:rsidRPr="009D4E7A">
              <w:rPr>
                <w:sz w:val="20"/>
              </w:rPr>
              <w:t xml:space="preserve"> cel Projektu </w:t>
            </w:r>
            <w:r w:rsidR="00C0706D" w:rsidRPr="009D4E7A">
              <w:rPr>
                <w:sz w:val="20"/>
              </w:rPr>
              <w:t>wpisuje się w cele szczegółowe PZIP tj.:</w:t>
            </w:r>
            <w:r w:rsidR="00F850D2" w:rsidRPr="009D4E7A">
              <w:rPr>
                <w:sz w:val="20"/>
              </w:rPr>
              <w:t xml:space="preserve"> </w:t>
            </w:r>
          </w:p>
          <w:p w14:paraId="506B3087" w14:textId="7309A5C3" w:rsidR="00C0706D" w:rsidRPr="009D4E7A" w:rsidRDefault="00C0706D" w:rsidP="00C0706D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• 4.2.1. Zwiększenie jakości oraz zakresu komunikacji między obywatelami i innymi interesariuszami a państwem</w:t>
            </w:r>
          </w:p>
          <w:p w14:paraId="3B318A0D" w14:textId="468D045E" w:rsidR="00C0706D" w:rsidRPr="009D4E7A" w:rsidRDefault="00C0706D" w:rsidP="00C0706D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• 4.2.2. Wzmocnienie dojrzałości organizacyjnej jednostek administracji publicznej oraz usprawnienie zaplecza elektronicznej administracji (</w:t>
            </w:r>
            <w:proofErr w:type="spellStart"/>
            <w:r w:rsidRPr="009D4E7A">
              <w:rPr>
                <w:sz w:val="20"/>
              </w:rPr>
              <w:t>back</w:t>
            </w:r>
            <w:proofErr w:type="spellEnd"/>
            <w:r w:rsidRPr="009D4E7A">
              <w:rPr>
                <w:sz w:val="20"/>
              </w:rPr>
              <w:t xml:space="preserve"> </w:t>
            </w:r>
            <w:proofErr w:type="spellStart"/>
            <w:r w:rsidRPr="009D4E7A">
              <w:rPr>
                <w:sz w:val="20"/>
              </w:rPr>
              <w:t>office</w:t>
            </w:r>
            <w:proofErr w:type="spellEnd"/>
            <w:r w:rsidRPr="009D4E7A">
              <w:rPr>
                <w:sz w:val="20"/>
              </w:rPr>
              <w:t>)</w:t>
            </w:r>
          </w:p>
          <w:p w14:paraId="54D9A651" w14:textId="77777777" w:rsidR="00C0706D" w:rsidRPr="009D4E7A" w:rsidRDefault="00C0706D" w:rsidP="00C0706D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• 4.2.3. Podniesienie poziomu kompetencji cyfrowych obywateli, specjalistów TIK oraz pracowników administracji publicznej.</w:t>
            </w:r>
          </w:p>
          <w:p w14:paraId="558D4297" w14:textId="2952A297" w:rsidR="00E841BA" w:rsidRPr="009D4E7A" w:rsidRDefault="00E841BA" w:rsidP="00C0706D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 xml:space="preserve">Efekty końcowe Projektu w postaci informatyzacji urzędów oraz stworzenia warunków do udostępniania wysokopoziomowych e-usług dla obywateli, wpisują się </w:t>
            </w:r>
            <w:r w:rsidRPr="009D4E7A">
              <w:rPr>
                <w:sz w:val="20"/>
              </w:rPr>
              <w:lastRenderedPageBreak/>
              <w:t>w cel operacyjny PZIP oraz Strategii – zapewnienie interoperacyjności istniejących oraz nowych systemów teleinformatycznych administracji publicznej doprowadzi do stworzenia spójnego, logicznego i sprawnego systemu informacyjnego państwa, dostarczającego na poziomie wewnątrzkrajowym i europejskim usługi kluczowe dla obywateli i przedsiębiorców, w sposób efektywny kosztowo i jakościowo. Wpisuje się także w realizację celu strategicznego jakim jest zwiększenie zarówno podaży oczekiwanych przez społeczeństwo wysokiej jakości publicznych e-usług w Polsce, jak i poziomu ich wykorzystania mierzonego odsetkiem obywateli i przedsiębiorców, korzystających z Internetu w relacjach z administracją publiczną, zgodnie z celami strategii Sprawne Państwo oraz Europejskiej Agendy Cyfrowej.</w:t>
            </w:r>
          </w:p>
          <w:p w14:paraId="2740700D" w14:textId="77777777" w:rsidR="00E841BA" w:rsidRPr="009D4E7A" w:rsidRDefault="00E841BA" w:rsidP="00E841BA">
            <w:pPr>
              <w:jc w:val="both"/>
              <w:rPr>
                <w:sz w:val="20"/>
              </w:rPr>
            </w:pPr>
          </w:p>
          <w:p w14:paraId="6E176A5A" w14:textId="77777777" w:rsidR="00E841BA" w:rsidRPr="009D4E7A" w:rsidRDefault="00E841BA" w:rsidP="00E841BA">
            <w:pPr>
              <w:jc w:val="both"/>
              <w:rPr>
                <w:sz w:val="20"/>
              </w:rPr>
            </w:pPr>
            <w:r w:rsidRPr="009D4E7A">
              <w:rPr>
                <w:b/>
                <w:bCs/>
                <w:sz w:val="20"/>
              </w:rPr>
              <w:t>Strategia Rozwoju Kraju 2020</w:t>
            </w:r>
            <w:r w:rsidRPr="009D4E7A">
              <w:rPr>
                <w:sz w:val="20"/>
              </w:rPr>
              <w:t>: realizacja celu II.5. Zwiększenie wykorzystania technologii cyfrowych, w szczególności w zakresie II.5.3. Zapewnienie odpowiedniej jakości treści i usług cyfrowych; 2030 – realizacja celów w obszarze efektywności i sprawności państwa, związanych z dostępnością i rozwojem e-administracji (wzrost sprawności państwa i e-gospodarki).</w:t>
            </w:r>
          </w:p>
          <w:p w14:paraId="1357F16A" w14:textId="77777777" w:rsidR="00E841BA" w:rsidRPr="009D4E7A" w:rsidRDefault="00E841BA" w:rsidP="00E841BA">
            <w:pPr>
              <w:jc w:val="both"/>
              <w:rPr>
                <w:sz w:val="20"/>
              </w:rPr>
            </w:pPr>
          </w:p>
          <w:p w14:paraId="7D1FB2C8" w14:textId="74A87A1F" w:rsidR="00E841BA" w:rsidRPr="009D4E7A" w:rsidRDefault="00E841BA" w:rsidP="007C6F76">
            <w:pPr>
              <w:spacing w:after="160"/>
              <w:jc w:val="both"/>
              <w:rPr>
                <w:rFonts w:cs="Arial"/>
                <w:sz w:val="20"/>
                <w:lang w:eastAsia="pl-PL"/>
              </w:rPr>
            </w:pPr>
            <w:r w:rsidRPr="009D4E7A">
              <w:rPr>
                <w:b/>
                <w:bCs/>
                <w:sz w:val="20"/>
              </w:rPr>
              <w:t xml:space="preserve">Program Operacyjny Polska Cyfrowa: </w:t>
            </w:r>
            <w:r w:rsidRPr="009D4E7A">
              <w:rPr>
                <w:sz w:val="20"/>
              </w:rPr>
              <w:t xml:space="preserve">Projekt realizuje Cel szczegółowy 3: Cyfryzacja procesów </w:t>
            </w:r>
            <w:proofErr w:type="spellStart"/>
            <w:r w:rsidRPr="009D4E7A">
              <w:rPr>
                <w:sz w:val="20"/>
              </w:rPr>
              <w:t>back-office</w:t>
            </w:r>
            <w:proofErr w:type="spellEnd"/>
            <w:r w:rsidRPr="009D4E7A">
              <w:rPr>
                <w:sz w:val="20"/>
              </w:rPr>
              <w:t xml:space="preserve"> w administracji rządowej, Działanie 2.2 w Osi priorytetowej II – E-administracja i otwarty rząd Programu Operacyjnego Polska Cyfrowa na lata 2014 – 2020, ponieważ wspiera </w:t>
            </w:r>
            <w:r w:rsidR="00A67604" w:rsidRPr="009D4E7A">
              <w:rPr>
                <w:sz w:val="20"/>
              </w:rPr>
              <w:t xml:space="preserve">obszar </w:t>
            </w:r>
            <w:proofErr w:type="spellStart"/>
            <w:r w:rsidR="00A67604" w:rsidRPr="009D4E7A">
              <w:rPr>
                <w:sz w:val="20"/>
              </w:rPr>
              <w:t>back-office</w:t>
            </w:r>
            <w:proofErr w:type="spellEnd"/>
            <w:r w:rsidRPr="009D4E7A">
              <w:rPr>
                <w:sz w:val="20"/>
              </w:rPr>
              <w:t xml:space="preserve"> urzędów przez cyfryzację procesów i procedur obszaru </w:t>
            </w:r>
            <w:r w:rsidR="00A67604" w:rsidRPr="009D4E7A">
              <w:rPr>
                <w:sz w:val="20"/>
              </w:rPr>
              <w:t xml:space="preserve">budowlanego, umożliwienie ich cyfrowej obsługi poprzez zapewnienie jednolitego, centralnego oprogramowania do procedowana postępowań, </w:t>
            </w:r>
            <w:r w:rsidRPr="009D4E7A">
              <w:rPr>
                <w:sz w:val="20"/>
              </w:rPr>
              <w:t>ujednolicenie rozproszonych zbiorów danych i interfejsów zgodnie z modelem cyfryzacji Katalogu Rekomendacji Cyfrowego Urzędu obejmując obszary: interoperacyjności, transparentności i otwartości administracji, kompetencji cyfrowych urzędników. Pozytywnie wpłynie to na przyspieszenie załatwiania spraw w urzędach w obszarze budownictwa, co przełoży się na podniesienie poziomu obsługi obywateli i przedsiębiorców.</w:t>
            </w:r>
          </w:p>
        </w:tc>
      </w:tr>
      <w:tr w:rsidR="00E841BA" w:rsidRPr="009D4E7A" w14:paraId="61A489C2" w14:textId="77777777" w:rsidTr="00BE3ABC">
        <w:trPr>
          <w:trHeight w:val="383"/>
        </w:trPr>
        <w:tc>
          <w:tcPr>
            <w:tcW w:w="2410" w:type="dxa"/>
            <w:shd w:val="clear" w:color="auto" w:fill="E7E6E6"/>
          </w:tcPr>
          <w:p w14:paraId="4B2BF796" w14:textId="77777777" w:rsidR="00E841BA" w:rsidRPr="009D4E7A" w:rsidRDefault="00E841BA" w:rsidP="00E841BA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9D4E7A">
              <w:rPr>
                <w:rFonts w:eastAsia="MS MinNew Roman" w:cs="Arial"/>
                <w:b/>
                <w:bCs/>
                <w:sz w:val="20"/>
                <w:szCs w:val="24"/>
              </w:rPr>
              <w:lastRenderedPageBreak/>
              <w:t>Korzyść:</w:t>
            </w:r>
          </w:p>
        </w:tc>
        <w:tc>
          <w:tcPr>
            <w:tcW w:w="7655" w:type="dxa"/>
            <w:shd w:val="clear" w:color="auto" w:fill="FFFFFF"/>
          </w:tcPr>
          <w:p w14:paraId="0428AFED" w14:textId="34696A1E" w:rsidR="00B03570" w:rsidRPr="009D4E7A" w:rsidRDefault="009749D3" w:rsidP="00885A9A">
            <w:pPr>
              <w:pStyle w:val="Tekstpodstawowy2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B03570" w:rsidRPr="009D4E7A">
              <w:rPr>
                <w:sz w:val="20"/>
              </w:rPr>
              <w:t xml:space="preserve">Ujednolicenie </w:t>
            </w:r>
            <w:r w:rsidR="00A91F88" w:rsidRPr="009D4E7A">
              <w:rPr>
                <w:sz w:val="20"/>
              </w:rPr>
              <w:t xml:space="preserve">i usprawnienie </w:t>
            </w:r>
            <w:r w:rsidR="00B03570" w:rsidRPr="009D4E7A">
              <w:rPr>
                <w:sz w:val="20"/>
              </w:rPr>
              <w:t xml:space="preserve">postępowań organów </w:t>
            </w:r>
            <w:proofErr w:type="spellStart"/>
            <w:r w:rsidR="00B03570" w:rsidRPr="009D4E7A">
              <w:rPr>
                <w:sz w:val="20"/>
              </w:rPr>
              <w:t>aab</w:t>
            </w:r>
            <w:proofErr w:type="spellEnd"/>
            <w:r w:rsidR="00B03570" w:rsidRPr="009D4E7A">
              <w:rPr>
                <w:sz w:val="20"/>
              </w:rPr>
              <w:t xml:space="preserve"> i </w:t>
            </w:r>
            <w:proofErr w:type="spellStart"/>
            <w:r w:rsidR="00B03570" w:rsidRPr="009D4E7A">
              <w:rPr>
                <w:sz w:val="20"/>
              </w:rPr>
              <w:t>nb</w:t>
            </w:r>
            <w:proofErr w:type="spellEnd"/>
            <w:r w:rsidR="00B03570" w:rsidRPr="009D4E7A">
              <w:rPr>
                <w:sz w:val="20"/>
              </w:rPr>
              <w:t xml:space="preserve"> w skali całego kraju – w obszarze inwestycyjno-budowlanym oraz cyklu życia budynku</w:t>
            </w:r>
            <w:r w:rsidR="00A91F88" w:rsidRPr="009D4E7A">
              <w:rPr>
                <w:sz w:val="20"/>
              </w:rPr>
              <w:t>, co przekłada się na łatwą wymianę informacji pomiędzy organami różnego szczebla oraz różnej właściwości rzeczowej</w:t>
            </w:r>
            <w:r w:rsidR="00827670" w:rsidRPr="009D4E7A">
              <w:rPr>
                <w:sz w:val="20"/>
              </w:rPr>
              <w:t xml:space="preserve"> – szczególnie istotne przy inwestycjach liniowych</w:t>
            </w:r>
            <w:r w:rsidR="000A32AA" w:rsidRPr="009D4E7A">
              <w:rPr>
                <w:sz w:val="20"/>
              </w:rPr>
              <w:t>,</w:t>
            </w:r>
            <w:r w:rsidR="00827670" w:rsidRPr="009D4E7A">
              <w:rPr>
                <w:sz w:val="20"/>
              </w:rPr>
              <w:t xml:space="preserve"> jak drogi czy instalacje wodne czy gazowe.</w:t>
            </w:r>
          </w:p>
          <w:p w14:paraId="2076568B" w14:textId="10D4B5A2" w:rsidR="00827670" w:rsidRPr="009D4E7A" w:rsidRDefault="009749D3" w:rsidP="00885A9A">
            <w:pPr>
              <w:pStyle w:val="Tekstpodstawowy2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827670" w:rsidRPr="009D4E7A">
              <w:rPr>
                <w:sz w:val="20"/>
              </w:rPr>
              <w:t xml:space="preserve">Ułatwiony dostęp do </w:t>
            </w:r>
            <w:r w:rsidR="00A8517B" w:rsidRPr="009D4E7A">
              <w:rPr>
                <w:sz w:val="20"/>
              </w:rPr>
              <w:t xml:space="preserve">wspólnego zbioru </w:t>
            </w:r>
            <w:r w:rsidR="00827670" w:rsidRPr="009D4E7A">
              <w:rPr>
                <w:sz w:val="20"/>
              </w:rPr>
              <w:t>danych rejestrowych, co przekłada się na większą ilość pomyślnie, bezbłędne i terminowo procedowanych spraw jak np. wydawanie pozwoleń na budowę nowych budynków czy pozwoleń na użytkowanie budynków użyteczności publicznej</w:t>
            </w:r>
            <w:r w:rsidR="000A32AA" w:rsidRPr="009D4E7A">
              <w:rPr>
                <w:sz w:val="20"/>
              </w:rPr>
              <w:t>,</w:t>
            </w:r>
            <w:r w:rsidR="00827670" w:rsidRPr="009D4E7A">
              <w:rPr>
                <w:sz w:val="20"/>
              </w:rPr>
              <w:t xml:space="preserve"> jak szkoły, szpitale, czy </w:t>
            </w:r>
            <w:r w:rsidR="000A32AA" w:rsidRPr="009D4E7A">
              <w:rPr>
                <w:sz w:val="20"/>
              </w:rPr>
              <w:t xml:space="preserve">też budynków </w:t>
            </w:r>
            <w:r w:rsidR="00827670" w:rsidRPr="009D4E7A">
              <w:rPr>
                <w:sz w:val="20"/>
              </w:rPr>
              <w:t>wielorodzinnych, których budowa została zakończona.</w:t>
            </w:r>
          </w:p>
          <w:p w14:paraId="57C858F1" w14:textId="40305839" w:rsidR="00A26384" w:rsidRPr="009D4E7A" w:rsidRDefault="009749D3" w:rsidP="00885A9A">
            <w:pPr>
              <w:pStyle w:val="Tekstpodstawowy2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A26384" w:rsidRPr="009D4E7A">
              <w:rPr>
                <w:sz w:val="20"/>
              </w:rPr>
              <w:t xml:space="preserve">Skrócenie czasu postępowań i wydawania decyzji, jak </w:t>
            </w:r>
            <w:r w:rsidR="00013093" w:rsidRPr="009D4E7A">
              <w:rPr>
                <w:sz w:val="20"/>
              </w:rPr>
              <w:t>wskazane wyżej</w:t>
            </w:r>
            <w:r w:rsidR="00A26384" w:rsidRPr="009D4E7A">
              <w:rPr>
                <w:sz w:val="20"/>
              </w:rPr>
              <w:t xml:space="preserve"> wydawanie pozwoleń na budowę czy pozwoleń na użytkowanie budynku.</w:t>
            </w:r>
          </w:p>
          <w:p w14:paraId="5D2E64F1" w14:textId="5CCC029E" w:rsidR="00885A9A" w:rsidRPr="009D4E7A" w:rsidRDefault="009749D3" w:rsidP="00885A9A">
            <w:pPr>
              <w:pStyle w:val="Tekstpodstawowy2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360F02" w:rsidRPr="009D4E7A">
              <w:rPr>
                <w:sz w:val="20"/>
              </w:rPr>
              <w:t>„</w:t>
            </w:r>
            <w:r w:rsidR="00A26384" w:rsidRPr="009D4E7A">
              <w:rPr>
                <w:sz w:val="20"/>
              </w:rPr>
              <w:t>Przyciągnięcie</w:t>
            </w:r>
            <w:r w:rsidR="00360F02" w:rsidRPr="009D4E7A">
              <w:rPr>
                <w:sz w:val="20"/>
              </w:rPr>
              <w:t>”</w:t>
            </w:r>
            <w:r w:rsidR="00A26384" w:rsidRPr="009D4E7A">
              <w:rPr>
                <w:sz w:val="20"/>
              </w:rPr>
              <w:t xml:space="preserve"> nowych pracowników do organów </w:t>
            </w:r>
            <w:proofErr w:type="spellStart"/>
            <w:r w:rsidR="00A26384" w:rsidRPr="009D4E7A">
              <w:rPr>
                <w:sz w:val="20"/>
              </w:rPr>
              <w:t>aab</w:t>
            </w:r>
            <w:proofErr w:type="spellEnd"/>
            <w:r w:rsidR="00A26384" w:rsidRPr="009D4E7A">
              <w:rPr>
                <w:sz w:val="20"/>
              </w:rPr>
              <w:t xml:space="preserve"> i </w:t>
            </w:r>
            <w:proofErr w:type="spellStart"/>
            <w:r w:rsidR="00A26384" w:rsidRPr="009D4E7A">
              <w:rPr>
                <w:sz w:val="20"/>
              </w:rPr>
              <w:t>nb</w:t>
            </w:r>
            <w:proofErr w:type="spellEnd"/>
            <w:r w:rsidR="00A26384" w:rsidRPr="009D4E7A">
              <w:rPr>
                <w:sz w:val="20"/>
              </w:rPr>
              <w:t xml:space="preserve"> dzięki p</w:t>
            </w:r>
            <w:r w:rsidR="00885A9A" w:rsidRPr="009D4E7A">
              <w:rPr>
                <w:sz w:val="20"/>
              </w:rPr>
              <w:t>odniesieni</w:t>
            </w:r>
            <w:r w:rsidR="00A26384" w:rsidRPr="009D4E7A">
              <w:rPr>
                <w:sz w:val="20"/>
              </w:rPr>
              <w:t>u</w:t>
            </w:r>
            <w:r w:rsidR="00360F02" w:rsidRPr="009D4E7A">
              <w:rPr>
                <w:sz w:val="20"/>
              </w:rPr>
              <w:t xml:space="preserve"> atrakcyjności,</w:t>
            </w:r>
            <w:r w:rsidR="00885A9A" w:rsidRPr="009D4E7A">
              <w:rPr>
                <w:sz w:val="20"/>
              </w:rPr>
              <w:t xml:space="preserve"> jakości </w:t>
            </w:r>
            <w:r w:rsidR="00A26384" w:rsidRPr="009D4E7A">
              <w:rPr>
                <w:sz w:val="20"/>
              </w:rPr>
              <w:t xml:space="preserve">i unowocześnieniu </w:t>
            </w:r>
            <w:r w:rsidR="00885A9A" w:rsidRPr="009D4E7A">
              <w:rPr>
                <w:sz w:val="20"/>
              </w:rPr>
              <w:t xml:space="preserve">środowiska pracy </w:t>
            </w:r>
            <w:r w:rsidR="00A26384" w:rsidRPr="009D4E7A">
              <w:rPr>
                <w:sz w:val="20"/>
              </w:rPr>
              <w:t xml:space="preserve">(szczególnie organy </w:t>
            </w:r>
            <w:proofErr w:type="spellStart"/>
            <w:r w:rsidR="00013093" w:rsidRPr="009D4E7A">
              <w:rPr>
                <w:sz w:val="20"/>
              </w:rPr>
              <w:t>nb</w:t>
            </w:r>
            <w:proofErr w:type="spellEnd"/>
            <w:r w:rsidR="00013093" w:rsidRPr="009D4E7A">
              <w:rPr>
                <w:sz w:val="20"/>
              </w:rPr>
              <w:t xml:space="preserve"> potrzebują</w:t>
            </w:r>
            <w:r w:rsidR="00A26384" w:rsidRPr="009D4E7A">
              <w:rPr>
                <w:sz w:val="20"/>
              </w:rPr>
              <w:t xml:space="preserve"> personelu)</w:t>
            </w:r>
            <w:r w:rsidR="00D3401D" w:rsidRPr="009D4E7A">
              <w:rPr>
                <w:sz w:val="20"/>
              </w:rPr>
              <w:t>.</w:t>
            </w:r>
          </w:p>
          <w:p w14:paraId="63719C78" w14:textId="0CAB57F5" w:rsidR="00A67604" w:rsidRPr="009D4E7A" w:rsidRDefault="009749D3" w:rsidP="00885A9A">
            <w:pPr>
              <w:pStyle w:val="Tekstpodstawowy2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A67604" w:rsidRPr="009D4E7A">
              <w:rPr>
                <w:sz w:val="20"/>
              </w:rPr>
              <w:t>Większa kontrola nad różnymi aspektami związanymi z inwestycjami budowlanymi poprzez udostępnienie danych w ramach jedne</w:t>
            </w:r>
            <w:r w:rsidR="005B4F25" w:rsidRPr="009D4E7A">
              <w:rPr>
                <w:sz w:val="20"/>
              </w:rPr>
              <w:t xml:space="preserve">go Systemu do Obsługi Postępowań Administracyjnych w Budownictwie </w:t>
            </w:r>
            <w:r w:rsidR="00D3401D" w:rsidRPr="009D4E7A">
              <w:rPr>
                <w:sz w:val="20"/>
              </w:rPr>
              <w:t xml:space="preserve">– np. lepsza kontrola </w:t>
            </w:r>
            <w:r w:rsidR="00A91F88" w:rsidRPr="009D4E7A">
              <w:rPr>
                <w:sz w:val="20"/>
              </w:rPr>
              <w:t>czynników</w:t>
            </w:r>
            <w:r w:rsidR="00D3401D" w:rsidRPr="009D4E7A">
              <w:rPr>
                <w:sz w:val="20"/>
              </w:rPr>
              <w:t xml:space="preserve"> sprzyjających katastrofom budowlanym</w:t>
            </w:r>
            <w:r w:rsidR="00A91F88" w:rsidRPr="009D4E7A">
              <w:rPr>
                <w:sz w:val="20"/>
              </w:rPr>
              <w:t xml:space="preserve"> lub mających wpływ na </w:t>
            </w:r>
            <w:r w:rsidR="00013093" w:rsidRPr="009D4E7A">
              <w:rPr>
                <w:sz w:val="20"/>
              </w:rPr>
              <w:t xml:space="preserve">kształtowanie </w:t>
            </w:r>
            <w:r w:rsidR="00A91F88" w:rsidRPr="009D4E7A">
              <w:rPr>
                <w:sz w:val="20"/>
              </w:rPr>
              <w:t>ład</w:t>
            </w:r>
            <w:r w:rsidR="00013093" w:rsidRPr="009D4E7A">
              <w:rPr>
                <w:sz w:val="20"/>
              </w:rPr>
              <w:t>u</w:t>
            </w:r>
            <w:r w:rsidR="00A91F88" w:rsidRPr="009D4E7A">
              <w:rPr>
                <w:sz w:val="20"/>
              </w:rPr>
              <w:t xml:space="preserve"> przestrzenn</w:t>
            </w:r>
            <w:r w:rsidR="00013093" w:rsidRPr="009D4E7A">
              <w:rPr>
                <w:sz w:val="20"/>
              </w:rPr>
              <w:t>ego</w:t>
            </w:r>
            <w:r w:rsidR="00A91F88" w:rsidRPr="009D4E7A">
              <w:rPr>
                <w:sz w:val="20"/>
              </w:rPr>
              <w:t>.</w:t>
            </w:r>
            <w:r w:rsidR="005E593A" w:rsidRPr="009D4E7A">
              <w:rPr>
                <w:sz w:val="20"/>
              </w:rPr>
              <w:t xml:space="preserve"> </w:t>
            </w:r>
          </w:p>
          <w:p w14:paraId="64CC48C6" w14:textId="2C9C90D7" w:rsidR="00A67604" w:rsidRPr="009D4E7A" w:rsidRDefault="009749D3" w:rsidP="00885A9A">
            <w:pPr>
              <w:pStyle w:val="Tekstpodstawowy2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A67604" w:rsidRPr="009D4E7A">
              <w:rPr>
                <w:sz w:val="20"/>
              </w:rPr>
              <w:t xml:space="preserve">Umożliwienie płynnego działania administracji </w:t>
            </w:r>
            <w:r w:rsidR="004A1E40" w:rsidRPr="009D4E7A">
              <w:rPr>
                <w:sz w:val="20"/>
              </w:rPr>
              <w:t>architektoniczno</w:t>
            </w:r>
            <w:r w:rsidR="00A91F88" w:rsidRPr="009D4E7A">
              <w:rPr>
                <w:sz w:val="20"/>
              </w:rPr>
              <w:t xml:space="preserve">-budowlanej i nadzoru budowlanego </w:t>
            </w:r>
            <w:r w:rsidR="00A67604" w:rsidRPr="009D4E7A">
              <w:rPr>
                <w:sz w:val="20"/>
              </w:rPr>
              <w:t>w przypadku pandemii</w:t>
            </w:r>
            <w:r w:rsidR="004A1E40" w:rsidRPr="009D4E7A">
              <w:rPr>
                <w:sz w:val="20"/>
              </w:rPr>
              <w:t xml:space="preserve"> – brak wstrzymywania biegu spraw, ciągłość w przyjmowaniu wniosków</w:t>
            </w:r>
            <w:r w:rsidR="00827670" w:rsidRPr="009D4E7A">
              <w:rPr>
                <w:sz w:val="20"/>
              </w:rPr>
              <w:t xml:space="preserve"> i wydawaniu decyzji, zezwalających obywatelom np. na prowadzenie robót budowlanych </w:t>
            </w:r>
            <w:r w:rsidR="00360F02" w:rsidRPr="009D4E7A">
              <w:rPr>
                <w:sz w:val="20"/>
              </w:rPr>
              <w:t>w ramach</w:t>
            </w:r>
            <w:r w:rsidR="00827670" w:rsidRPr="009D4E7A">
              <w:rPr>
                <w:sz w:val="20"/>
              </w:rPr>
              <w:t xml:space="preserve"> przebudow</w:t>
            </w:r>
            <w:r w:rsidR="00360F02" w:rsidRPr="009D4E7A">
              <w:rPr>
                <w:sz w:val="20"/>
              </w:rPr>
              <w:t>y</w:t>
            </w:r>
            <w:r w:rsidR="00827670" w:rsidRPr="009D4E7A">
              <w:rPr>
                <w:sz w:val="20"/>
              </w:rPr>
              <w:t xml:space="preserve"> domu jednorodzinnego.</w:t>
            </w:r>
          </w:p>
          <w:p w14:paraId="49B22808" w14:textId="77777777" w:rsidR="009749D3" w:rsidRDefault="009749D3" w:rsidP="00885A9A">
            <w:pPr>
              <w:pStyle w:val="Tekstpodstawowy2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A67604" w:rsidRPr="009D4E7A">
              <w:rPr>
                <w:sz w:val="20"/>
              </w:rPr>
              <w:t>Podniesienie jakości standardu obsługi obywateli w procesie inwestycyjno – budowlanym oraz cyklu życia inwestycji</w:t>
            </w:r>
            <w:r w:rsidR="004A1E40" w:rsidRPr="009D4E7A">
              <w:rPr>
                <w:sz w:val="20"/>
              </w:rPr>
              <w:t>.</w:t>
            </w:r>
            <w:r w:rsidR="00013093" w:rsidRPr="009D4E7A">
              <w:rPr>
                <w:sz w:val="20"/>
              </w:rPr>
              <w:t xml:space="preserve"> </w:t>
            </w:r>
          </w:p>
          <w:p w14:paraId="0C10C407" w14:textId="3FCBC833" w:rsidR="00A67604" w:rsidRPr="009D4E7A" w:rsidRDefault="009749D3" w:rsidP="00885A9A">
            <w:pPr>
              <w:pStyle w:val="Tekstpodstawowy2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- </w:t>
            </w:r>
            <w:r w:rsidR="00013093" w:rsidRPr="009D4E7A">
              <w:rPr>
                <w:sz w:val="20"/>
              </w:rPr>
              <w:t>Możliwość załatwiania spraw i kontaktowania się z urzędem drogą elektroniczną, stały dostęp do statusu swojej sprawy, bez konieczności wizyt lub telefonów do urzędu</w:t>
            </w:r>
            <w:r w:rsidR="00A8517B" w:rsidRPr="009D4E7A">
              <w:rPr>
                <w:sz w:val="20"/>
              </w:rPr>
              <w:t xml:space="preserve"> jedynie w wyznaczonych dniach i godzinach</w:t>
            </w:r>
            <w:r w:rsidR="00360F02" w:rsidRPr="009D4E7A">
              <w:rPr>
                <w:sz w:val="20"/>
              </w:rPr>
              <w:t xml:space="preserve"> (obostrzenia w okresie pandemii)</w:t>
            </w:r>
            <w:r w:rsidR="00013093" w:rsidRPr="009D4E7A">
              <w:rPr>
                <w:sz w:val="20"/>
              </w:rPr>
              <w:t>.</w:t>
            </w:r>
          </w:p>
          <w:p w14:paraId="70C60450" w14:textId="36EC6781" w:rsidR="00E841BA" w:rsidRPr="009D4E7A" w:rsidRDefault="009749D3" w:rsidP="007C6F76">
            <w:pPr>
              <w:spacing w:after="120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sz w:val="20"/>
              </w:rPr>
              <w:t xml:space="preserve">- </w:t>
            </w:r>
            <w:r w:rsidR="00A67604" w:rsidRPr="009D4E7A">
              <w:rPr>
                <w:sz w:val="20"/>
              </w:rPr>
              <w:t xml:space="preserve">Podniesienie możliwości świadczenia przez </w:t>
            </w:r>
            <w:r w:rsidR="004A1E40" w:rsidRPr="009D4E7A">
              <w:rPr>
                <w:sz w:val="20"/>
              </w:rPr>
              <w:t xml:space="preserve">organy </w:t>
            </w:r>
            <w:proofErr w:type="spellStart"/>
            <w:r w:rsidR="004A1E40" w:rsidRPr="009D4E7A">
              <w:rPr>
                <w:sz w:val="20"/>
              </w:rPr>
              <w:t>aab</w:t>
            </w:r>
            <w:proofErr w:type="spellEnd"/>
            <w:r w:rsidR="004A1E40" w:rsidRPr="009D4E7A">
              <w:rPr>
                <w:sz w:val="20"/>
              </w:rPr>
              <w:t xml:space="preserve"> i </w:t>
            </w:r>
            <w:proofErr w:type="spellStart"/>
            <w:r w:rsidR="004A1E40" w:rsidRPr="009D4E7A">
              <w:rPr>
                <w:sz w:val="20"/>
              </w:rPr>
              <w:t>nb</w:t>
            </w:r>
            <w:proofErr w:type="spellEnd"/>
            <w:r w:rsidR="00A67604" w:rsidRPr="009D4E7A">
              <w:rPr>
                <w:sz w:val="20"/>
              </w:rPr>
              <w:t xml:space="preserve"> usług elektronicznych wysokiego poziomu dojrzałości.</w:t>
            </w:r>
          </w:p>
          <w:p w14:paraId="2C4C3BA3" w14:textId="77777777" w:rsidR="009749D3" w:rsidRDefault="009749D3" w:rsidP="00823FA6">
            <w:pPr>
              <w:spacing w:after="120"/>
              <w:ind w:hanging="34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- </w:t>
            </w:r>
            <w:r w:rsidR="00013093" w:rsidRPr="009D4E7A">
              <w:rPr>
                <w:rFonts w:cs="Arial"/>
                <w:sz w:val="20"/>
                <w:lang w:eastAsia="pl-PL"/>
              </w:rPr>
              <w:t>Tworzenie podwalin pod ogólnokrajową centralną bazę danych</w:t>
            </w:r>
            <w:r w:rsidR="008B3C14" w:rsidRPr="009D4E7A">
              <w:rPr>
                <w:rFonts w:cs="Arial"/>
                <w:sz w:val="20"/>
                <w:lang w:eastAsia="pl-PL"/>
              </w:rPr>
              <w:t xml:space="preserve"> budownictwa</w:t>
            </w:r>
            <w:r w:rsidR="00013093" w:rsidRPr="009D4E7A">
              <w:rPr>
                <w:rFonts w:cs="Arial"/>
                <w:sz w:val="20"/>
                <w:lang w:eastAsia="pl-PL"/>
              </w:rPr>
              <w:t xml:space="preserve"> i cyfrowe archiwum danych w obszarze budowlanym.</w:t>
            </w:r>
            <w:r w:rsidR="00823FA6" w:rsidRPr="009D4E7A">
              <w:rPr>
                <w:rFonts w:cs="Arial"/>
                <w:sz w:val="20"/>
                <w:lang w:eastAsia="pl-PL"/>
              </w:rPr>
              <w:t xml:space="preserve"> </w:t>
            </w:r>
          </w:p>
          <w:p w14:paraId="77A0748F" w14:textId="13901424" w:rsidR="00E841BA" w:rsidRPr="009D4E7A" w:rsidRDefault="009749D3" w:rsidP="00823FA6">
            <w:pPr>
              <w:spacing w:after="120"/>
              <w:ind w:hanging="34"/>
              <w:jc w:val="both"/>
              <w:rPr>
                <w:rFonts w:cs="Arial"/>
                <w:sz w:val="2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 xml:space="preserve">- </w:t>
            </w:r>
            <w:r w:rsidR="00823FA6" w:rsidRPr="009D4E7A">
              <w:rPr>
                <w:rFonts w:cs="Arial"/>
                <w:sz w:val="20"/>
                <w:lang w:eastAsia="pl-PL"/>
              </w:rPr>
              <w:t>Zmniejszenie pracochłonności związanej z przygotowywaniem różnego rodzaju sprawozdań, w tym statystycznych, wyeliminowanie procesu ręcznego wypełniania formularzy statystycznych, poprawa jakości i szczegółowości pozyskiwanych danych statystycznych z zakresu budownictwa oraz usprawnienie procesu ich pozyskiwania.</w:t>
            </w:r>
          </w:p>
        </w:tc>
      </w:tr>
      <w:tr w:rsidR="00E841BA" w:rsidRPr="009D4E7A" w14:paraId="179AE18C" w14:textId="77777777" w:rsidTr="00BE3ABC">
        <w:trPr>
          <w:trHeight w:val="274"/>
        </w:trPr>
        <w:tc>
          <w:tcPr>
            <w:tcW w:w="2410" w:type="dxa"/>
            <w:shd w:val="clear" w:color="auto" w:fill="E7E6E6"/>
          </w:tcPr>
          <w:p w14:paraId="0045C267" w14:textId="77777777" w:rsidR="00E841BA" w:rsidRPr="009D4E7A" w:rsidRDefault="00E841BA" w:rsidP="00E841BA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9D4E7A">
              <w:rPr>
                <w:rFonts w:cs="Arial"/>
                <w:b/>
                <w:sz w:val="20"/>
                <w:szCs w:val="24"/>
              </w:rPr>
              <w:lastRenderedPageBreak/>
              <w:t>KPI:</w:t>
            </w:r>
          </w:p>
        </w:tc>
        <w:tc>
          <w:tcPr>
            <w:tcW w:w="7655" w:type="dxa"/>
            <w:shd w:val="clear" w:color="auto" w:fill="FFFFFF"/>
          </w:tcPr>
          <w:p w14:paraId="26EE8CB3" w14:textId="260D8FA2" w:rsidR="00917948" w:rsidRPr="00A41DF8" w:rsidRDefault="00DD229D" w:rsidP="00DD229D">
            <w:pPr>
              <w:pStyle w:val="Tekstkomentarza"/>
              <w:rPr>
                <w:bCs/>
              </w:rPr>
            </w:pPr>
            <w:r w:rsidRPr="00DD229D">
              <w:rPr>
                <w:bCs/>
              </w:rPr>
              <w:t>1.</w:t>
            </w:r>
            <w:r>
              <w:rPr>
                <w:bCs/>
              </w:rPr>
              <w:t xml:space="preserve"> </w:t>
            </w:r>
            <w:r w:rsidR="00917948" w:rsidRPr="00917948">
              <w:rPr>
                <w:bCs/>
              </w:rPr>
              <w:t xml:space="preserve">Liczba urzędów, </w:t>
            </w:r>
            <w:r w:rsidR="00917948" w:rsidRPr="00A41DF8">
              <w:rPr>
                <w:bCs/>
              </w:rPr>
              <w:t>które wdrożyły katalog rekomendacji dotyczących awansu cyfrowego;</w:t>
            </w:r>
          </w:p>
          <w:p w14:paraId="5982CF8A" w14:textId="5F204E30" w:rsidR="00DD229D" w:rsidRPr="00A41DF8" w:rsidRDefault="00DD229D" w:rsidP="00DD229D">
            <w:pPr>
              <w:pStyle w:val="Tekstkomentarza"/>
              <w:rPr>
                <w:bCs/>
              </w:rPr>
            </w:pPr>
            <w:r w:rsidRPr="00A41DF8">
              <w:rPr>
                <w:bCs/>
              </w:rPr>
              <w:t xml:space="preserve">2. </w:t>
            </w:r>
            <w:r w:rsidRPr="00A41DF8">
              <w:rPr>
                <w:iCs/>
              </w:rPr>
              <w:t>Liczba podmiotów, które usprawniły funkcjonowanie w zakresie objętym katalogiem rekomendacji dotyczących awansu cyfrowego</w:t>
            </w:r>
          </w:p>
          <w:p w14:paraId="7A1034A2" w14:textId="714C00CE" w:rsidR="00917948" w:rsidRPr="00917948" w:rsidRDefault="00DD229D" w:rsidP="00917948">
            <w:pPr>
              <w:pStyle w:val="Tekstkomentarza"/>
              <w:rPr>
                <w:bCs/>
              </w:rPr>
            </w:pPr>
            <w:r w:rsidRPr="00A41DF8">
              <w:rPr>
                <w:bCs/>
              </w:rPr>
              <w:t>3</w:t>
            </w:r>
            <w:r w:rsidR="00917948" w:rsidRPr="00A41DF8">
              <w:rPr>
                <w:bCs/>
              </w:rPr>
              <w:t xml:space="preserve">. Liczba uruchomionych systemów teleinformatycznych </w:t>
            </w:r>
            <w:r w:rsidR="00917948" w:rsidRPr="00917948">
              <w:rPr>
                <w:bCs/>
              </w:rPr>
              <w:t>w podmiotach</w:t>
            </w:r>
            <w:r w:rsidR="00917948">
              <w:rPr>
                <w:bCs/>
              </w:rPr>
              <w:t xml:space="preserve"> </w:t>
            </w:r>
            <w:r w:rsidR="00917948" w:rsidRPr="00917948">
              <w:rPr>
                <w:bCs/>
              </w:rPr>
              <w:t>wykonujących zadania publiczne;</w:t>
            </w:r>
          </w:p>
          <w:p w14:paraId="19DBC2DA" w14:textId="0BC7DF91" w:rsidR="00917948" w:rsidRPr="00917948" w:rsidRDefault="00DD229D" w:rsidP="00917948">
            <w:pPr>
              <w:pStyle w:val="Tekstkomentarza"/>
              <w:rPr>
                <w:bCs/>
              </w:rPr>
            </w:pPr>
            <w:r>
              <w:rPr>
                <w:bCs/>
              </w:rPr>
              <w:t>4</w:t>
            </w:r>
            <w:r w:rsidR="00917948" w:rsidRPr="00917948">
              <w:rPr>
                <w:bCs/>
              </w:rPr>
              <w:t>. Liczba kobiet - pracowników IT podmiotów wykonujących zadania</w:t>
            </w:r>
            <w:r w:rsidR="00917948">
              <w:rPr>
                <w:bCs/>
              </w:rPr>
              <w:t xml:space="preserve"> </w:t>
            </w:r>
            <w:r w:rsidR="00917948" w:rsidRPr="00917948">
              <w:rPr>
                <w:bCs/>
              </w:rPr>
              <w:t>publiczne objętych wsparciem szkoleniowym;</w:t>
            </w:r>
          </w:p>
          <w:p w14:paraId="027A57B8" w14:textId="0DD8738D" w:rsidR="00917948" w:rsidRPr="00917948" w:rsidRDefault="00DD229D" w:rsidP="00917948">
            <w:pPr>
              <w:pStyle w:val="Tekstkomentarza"/>
              <w:rPr>
                <w:bCs/>
              </w:rPr>
            </w:pPr>
            <w:r>
              <w:rPr>
                <w:bCs/>
              </w:rPr>
              <w:t>5</w:t>
            </w:r>
            <w:r w:rsidR="00917948" w:rsidRPr="00917948">
              <w:rPr>
                <w:bCs/>
              </w:rPr>
              <w:t>. Liczba mężczyzn - pracowników IT podmiotów wykonujących zadania</w:t>
            </w:r>
            <w:r w:rsidR="00917948">
              <w:rPr>
                <w:bCs/>
              </w:rPr>
              <w:t xml:space="preserve"> </w:t>
            </w:r>
            <w:r w:rsidR="00917948" w:rsidRPr="00917948">
              <w:rPr>
                <w:bCs/>
              </w:rPr>
              <w:t>publiczne objętych wsparciem szkoleniowym;</w:t>
            </w:r>
          </w:p>
          <w:p w14:paraId="1E990D49" w14:textId="43D5B2B4" w:rsidR="00917948" w:rsidRPr="00917948" w:rsidRDefault="00DD229D" w:rsidP="00917948">
            <w:pPr>
              <w:pStyle w:val="Tekstkomentarza"/>
              <w:rPr>
                <w:bCs/>
              </w:rPr>
            </w:pPr>
            <w:r>
              <w:rPr>
                <w:bCs/>
              </w:rPr>
              <w:t>6</w:t>
            </w:r>
            <w:r w:rsidR="00917948" w:rsidRPr="00917948">
              <w:rPr>
                <w:bCs/>
              </w:rPr>
              <w:t>. Łączna liczba pracowników IT podmiotów wykonujących zadania publiczne</w:t>
            </w:r>
            <w:r w:rsidR="00917948">
              <w:rPr>
                <w:bCs/>
              </w:rPr>
              <w:t xml:space="preserve"> </w:t>
            </w:r>
            <w:r w:rsidR="00917948" w:rsidRPr="00917948">
              <w:rPr>
                <w:bCs/>
              </w:rPr>
              <w:t>objętych wsparciem szkoleniowym;</w:t>
            </w:r>
          </w:p>
          <w:p w14:paraId="31D2B9DB" w14:textId="78356BFE" w:rsidR="00917948" w:rsidRPr="00917948" w:rsidRDefault="00DD229D" w:rsidP="00917948">
            <w:pPr>
              <w:pStyle w:val="Tekstkomentarza"/>
              <w:rPr>
                <w:bCs/>
              </w:rPr>
            </w:pPr>
            <w:r>
              <w:rPr>
                <w:bCs/>
              </w:rPr>
              <w:t>7</w:t>
            </w:r>
            <w:r w:rsidR="00917948" w:rsidRPr="00917948">
              <w:rPr>
                <w:bCs/>
              </w:rPr>
              <w:t>. Liczba kobiet - pracowników podmiotów wykonujących zadania publiczne</w:t>
            </w:r>
            <w:r w:rsidR="00917948">
              <w:rPr>
                <w:bCs/>
              </w:rPr>
              <w:t xml:space="preserve"> </w:t>
            </w:r>
            <w:r w:rsidR="00917948" w:rsidRPr="00917948">
              <w:rPr>
                <w:bCs/>
              </w:rPr>
              <w:t>niebędących pracownikami IT, objętych wsparciem szkoleniowym;</w:t>
            </w:r>
          </w:p>
          <w:p w14:paraId="76E19FF8" w14:textId="347CEFDA" w:rsidR="00917948" w:rsidRPr="00917948" w:rsidRDefault="00DD229D" w:rsidP="00917948">
            <w:pPr>
              <w:pStyle w:val="Tekstkomentarza"/>
              <w:rPr>
                <w:bCs/>
              </w:rPr>
            </w:pPr>
            <w:r>
              <w:rPr>
                <w:bCs/>
              </w:rPr>
              <w:t>8</w:t>
            </w:r>
            <w:r w:rsidR="00917948" w:rsidRPr="00917948">
              <w:rPr>
                <w:bCs/>
              </w:rPr>
              <w:t>. Liczba mężczyzn - pracowników podmiotów wykonujących zadania</w:t>
            </w:r>
            <w:r w:rsidR="00917948">
              <w:rPr>
                <w:bCs/>
              </w:rPr>
              <w:t xml:space="preserve"> </w:t>
            </w:r>
            <w:r w:rsidR="00917948" w:rsidRPr="00917948">
              <w:rPr>
                <w:bCs/>
              </w:rPr>
              <w:t>publiczne niebędących pracownikami IT, objętych wsparciem szkoleniowym;</w:t>
            </w:r>
          </w:p>
          <w:p w14:paraId="0F3FA49D" w14:textId="380A4C59" w:rsidR="00E841BA" w:rsidRPr="009D4E7A" w:rsidRDefault="00DD229D" w:rsidP="00917948">
            <w:pPr>
              <w:pStyle w:val="Tekstkomentarza"/>
              <w:rPr>
                <w:bCs/>
              </w:rPr>
            </w:pPr>
            <w:r>
              <w:rPr>
                <w:bCs/>
              </w:rPr>
              <w:t>9</w:t>
            </w:r>
            <w:r w:rsidR="00917948" w:rsidRPr="00917948">
              <w:rPr>
                <w:bCs/>
              </w:rPr>
              <w:t>. Łączna liczba pracowników podmiotów wykonujących zadania publiczne</w:t>
            </w:r>
            <w:r w:rsidR="00917948">
              <w:rPr>
                <w:bCs/>
              </w:rPr>
              <w:t xml:space="preserve"> </w:t>
            </w:r>
            <w:r w:rsidR="00917948" w:rsidRPr="00917948">
              <w:rPr>
                <w:bCs/>
              </w:rPr>
              <w:t>niebędących pracownikami IT, objętych wsparciem szkoleniowym</w:t>
            </w:r>
          </w:p>
        </w:tc>
      </w:tr>
      <w:tr w:rsidR="00E841BA" w:rsidRPr="009D4E7A" w14:paraId="76780036" w14:textId="77777777" w:rsidTr="00BE3ABC">
        <w:trPr>
          <w:trHeight w:val="567"/>
        </w:trPr>
        <w:tc>
          <w:tcPr>
            <w:tcW w:w="2410" w:type="dxa"/>
            <w:shd w:val="clear" w:color="auto" w:fill="E7E6E6"/>
          </w:tcPr>
          <w:p w14:paraId="2BCB76C8" w14:textId="77777777" w:rsidR="00E841BA" w:rsidRPr="009D4E7A" w:rsidRDefault="00E841BA" w:rsidP="00E841BA">
            <w:pPr>
              <w:rPr>
                <w:rFonts w:cs="Arial"/>
                <w:b/>
                <w:sz w:val="20"/>
                <w:szCs w:val="24"/>
              </w:rPr>
            </w:pPr>
            <w:r w:rsidRPr="009D4E7A">
              <w:rPr>
                <w:rFonts w:cs="Arial"/>
                <w:b/>
                <w:sz w:val="20"/>
                <w:szCs w:val="24"/>
              </w:rPr>
              <w:t>Wartość aktualna i docelowa KPI:</w:t>
            </w:r>
          </w:p>
        </w:tc>
        <w:tc>
          <w:tcPr>
            <w:tcW w:w="7655" w:type="dxa"/>
            <w:shd w:val="clear" w:color="auto" w:fill="auto"/>
          </w:tcPr>
          <w:p w14:paraId="4B949E02" w14:textId="77777777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>Wskaźnik 1: Wartość aktualna - 0</w:t>
            </w:r>
          </w:p>
          <w:p w14:paraId="1F7E8EAA" w14:textId="77777777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>Wskaźnik 2: Wartość aktualna - 0</w:t>
            </w:r>
          </w:p>
          <w:p w14:paraId="5533E4BA" w14:textId="77777777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>Wskaźnik 3: Wartość aktualna - 0</w:t>
            </w:r>
          </w:p>
          <w:p w14:paraId="42DA8CA9" w14:textId="77777777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>Wskaźnik 4: Wartość aktualna - 0</w:t>
            </w:r>
          </w:p>
          <w:p w14:paraId="5553081C" w14:textId="77777777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>Wskaźnik 5: Wartość aktualna - 0</w:t>
            </w:r>
          </w:p>
          <w:p w14:paraId="6D6AF668" w14:textId="77777777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>Wskaźnik 6: Wartość aktualna - 0</w:t>
            </w:r>
          </w:p>
          <w:p w14:paraId="3B7BE4A0" w14:textId="77777777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>Wskaźnik 7: Wartość aktualna - 0</w:t>
            </w:r>
          </w:p>
          <w:p w14:paraId="1AFE96E2" w14:textId="7E1FB71D" w:rsid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8: Wartość aktualna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–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 0</w:t>
            </w:r>
          </w:p>
          <w:p w14:paraId="36D4E620" w14:textId="77777777" w:rsidR="00A41DF8" w:rsidRDefault="00DD229D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>
              <w:rPr>
                <w:rFonts w:cs="Arial"/>
                <w:color w:val="000000"/>
                <w:sz w:val="20"/>
                <w:lang w:eastAsia="pl-PL"/>
              </w:rPr>
              <w:t>9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: Wartość aktualna </w:t>
            </w:r>
            <w:r>
              <w:rPr>
                <w:rFonts w:cs="Arial"/>
                <w:color w:val="000000"/>
                <w:sz w:val="20"/>
                <w:lang w:eastAsia="pl-PL"/>
              </w:rPr>
              <w:t>–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 0</w:t>
            </w:r>
          </w:p>
          <w:p w14:paraId="33EF1DE4" w14:textId="29CCF4B7" w:rsid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1: Wartość docelowa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–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 1</w:t>
            </w:r>
          </w:p>
          <w:p w14:paraId="61C5E761" w14:textId="77777777" w:rsidR="00A41DF8" w:rsidRDefault="00DD229D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>
              <w:rPr>
                <w:rFonts w:cs="Arial"/>
                <w:color w:val="000000"/>
                <w:sz w:val="20"/>
                <w:lang w:eastAsia="pl-PL"/>
              </w:rPr>
              <w:t>2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: Wartość </w:t>
            </w:r>
            <w:r>
              <w:rPr>
                <w:rFonts w:cs="Arial"/>
                <w:color w:val="000000"/>
                <w:sz w:val="20"/>
                <w:lang w:eastAsia="pl-PL"/>
              </w:rPr>
              <w:t>docelowa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pl-PL"/>
              </w:rPr>
              <w:t>–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pl-PL"/>
              </w:rPr>
              <w:t>1</w:t>
            </w:r>
          </w:p>
          <w:p w14:paraId="775A79BC" w14:textId="208D24B5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3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Wartość docelowa - 1</w:t>
            </w:r>
          </w:p>
          <w:p w14:paraId="64FD0D31" w14:textId="1AD735CF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4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Wartość docelowa - 1</w:t>
            </w:r>
          </w:p>
          <w:p w14:paraId="5AF00038" w14:textId="4D37FF5E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5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Wartość docelowa - 380</w:t>
            </w:r>
          </w:p>
          <w:p w14:paraId="44454201" w14:textId="784CA9B0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6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Wartość docelowa - 381</w:t>
            </w:r>
          </w:p>
          <w:p w14:paraId="3001FC27" w14:textId="3016BE66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7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Wartość docelowa - 396</w:t>
            </w:r>
          </w:p>
          <w:p w14:paraId="57332B33" w14:textId="73931376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8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Wartość docelowa - 396</w:t>
            </w:r>
          </w:p>
          <w:p w14:paraId="3798A829" w14:textId="6C5E8FD9" w:rsidR="007A4631" w:rsidRPr="009D4E7A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9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Wartość docelowa - 792</w:t>
            </w:r>
          </w:p>
        </w:tc>
      </w:tr>
      <w:tr w:rsidR="00E841BA" w:rsidRPr="009D4E7A" w14:paraId="29CFDB94" w14:textId="77777777" w:rsidTr="00BE3ABC">
        <w:trPr>
          <w:trHeight w:val="499"/>
        </w:trPr>
        <w:tc>
          <w:tcPr>
            <w:tcW w:w="2410" w:type="dxa"/>
            <w:shd w:val="clear" w:color="auto" w:fill="E7E6E6"/>
          </w:tcPr>
          <w:p w14:paraId="74AD1738" w14:textId="77777777" w:rsidR="00E841BA" w:rsidRPr="009D4E7A" w:rsidRDefault="00E841BA" w:rsidP="00E841BA">
            <w:pPr>
              <w:rPr>
                <w:rFonts w:cs="Arial"/>
                <w:b/>
                <w:sz w:val="20"/>
                <w:szCs w:val="24"/>
              </w:rPr>
            </w:pPr>
            <w:r w:rsidRPr="009D4E7A">
              <w:rPr>
                <w:rFonts w:cs="Arial"/>
                <w:b/>
                <w:sz w:val="20"/>
                <w:szCs w:val="24"/>
              </w:rPr>
              <w:t>Metoda pomiaru KPI</w:t>
            </w:r>
          </w:p>
        </w:tc>
        <w:tc>
          <w:tcPr>
            <w:tcW w:w="7655" w:type="dxa"/>
            <w:shd w:val="clear" w:color="auto" w:fill="auto"/>
          </w:tcPr>
          <w:p w14:paraId="57B2F621" w14:textId="4127E572" w:rsid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>Wskaźnik 1: analiza danych na podstawie kwestionariuszy zebranych w dniu</w:t>
            </w:r>
            <w:r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zakończenia projektu</w:t>
            </w:r>
          </w:p>
          <w:p w14:paraId="3E7F7CFB" w14:textId="77777777" w:rsidR="00A41DF8" w:rsidRDefault="00DD229D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>
              <w:rPr>
                <w:rFonts w:cs="Arial"/>
                <w:color w:val="000000"/>
                <w:sz w:val="20"/>
                <w:lang w:eastAsia="pl-PL"/>
              </w:rPr>
              <w:t>2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analiza danych na podstawie kwestionariuszy zebranych w dniu</w:t>
            </w:r>
            <w:r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zakończenia projektu</w:t>
            </w:r>
          </w:p>
          <w:p w14:paraId="6587368E" w14:textId="004A53DA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3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podpisany protokół odbioru SOPAB</w:t>
            </w:r>
          </w:p>
          <w:p w14:paraId="5CCC5A9F" w14:textId="505F18FF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4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określenie na podstawie list uczestników szkoleń uzyskanych od</w:t>
            </w:r>
            <w:r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organów do dnia zakończenia projektu</w:t>
            </w:r>
          </w:p>
          <w:p w14:paraId="49FB0943" w14:textId="6B4EBEA8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5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określenie na podstawie list uczestników szkoleń uzyskanych od</w:t>
            </w:r>
            <w:r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organów do dnia zakończenia projektu</w:t>
            </w:r>
          </w:p>
          <w:p w14:paraId="7E00D897" w14:textId="46F532EF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lastRenderedPageBreak/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6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określenie na podstawie list uczestników szkoleń uzyskanych od</w:t>
            </w:r>
            <w:r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organów do dnia zakończenia projektu</w:t>
            </w:r>
          </w:p>
          <w:p w14:paraId="778F4031" w14:textId="47AFD710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7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określenie na podstawie list uczestników szkoleń uzyskanych od</w:t>
            </w:r>
            <w:r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organów do dnia zakończenia projektu</w:t>
            </w:r>
          </w:p>
          <w:p w14:paraId="543809BE" w14:textId="3FDA4B4B" w:rsidR="00917948" w:rsidRPr="00917948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8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określenie na podstawie list uczestników szkoleń uzyskanych od</w:t>
            </w:r>
            <w:r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organów do dnia zakończenia projektu</w:t>
            </w:r>
          </w:p>
          <w:p w14:paraId="2F60A612" w14:textId="348744DA" w:rsidR="00747F0C" w:rsidRPr="009D4E7A" w:rsidRDefault="00917948" w:rsidP="00917948">
            <w:pPr>
              <w:rPr>
                <w:rFonts w:cs="Arial"/>
                <w:color w:val="000000"/>
                <w:sz w:val="20"/>
                <w:lang w:eastAsia="pl-PL"/>
              </w:rPr>
            </w:pPr>
            <w:r w:rsidRPr="00917948">
              <w:rPr>
                <w:rFonts w:cs="Arial"/>
                <w:color w:val="000000"/>
                <w:sz w:val="20"/>
                <w:lang w:eastAsia="pl-PL"/>
              </w:rPr>
              <w:t xml:space="preserve">Wskaźnik </w:t>
            </w:r>
            <w:r w:rsidR="00DD229D">
              <w:rPr>
                <w:rFonts w:cs="Arial"/>
                <w:color w:val="000000"/>
                <w:sz w:val="20"/>
                <w:lang w:eastAsia="pl-PL"/>
              </w:rPr>
              <w:t>9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: określenie na podstawie list uczestników szkoleń uzyskanych od</w:t>
            </w:r>
            <w:r>
              <w:rPr>
                <w:rFonts w:cs="Arial"/>
                <w:color w:val="000000"/>
                <w:sz w:val="20"/>
                <w:lang w:eastAsia="pl-PL"/>
              </w:rPr>
              <w:t xml:space="preserve"> </w:t>
            </w:r>
            <w:r w:rsidRPr="00917948">
              <w:rPr>
                <w:rFonts w:cs="Arial"/>
                <w:color w:val="000000"/>
                <w:sz w:val="20"/>
                <w:lang w:eastAsia="pl-PL"/>
              </w:rPr>
              <w:t>organów do dnia zakończenia projektu</w:t>
            </w:r>
          </w:p>
        </w:tc>
      </w:tr>
    </w:tbl>
    <w:p w14:paraId="26278AD8" w14:textId="77777777" w:rsidR="00BE3ABC" w:rsidRPr="009D4E7A" w:rsidRDefault="00BE3ABC"/>
    <w:p w14:paraId="56063E49" w14:textId="77777777" w:rsidR="00BE3ABC" w:rsidRPr="009D4E7A" w:rsidRDefault="006C2F7D" w:rsidP="00BE3ABC">
      <w:pPr>
        <w:pStyle w:val="Nagwek2"/>
        <w:tabs>
          <w:tab w:val="num" w:pos="1070"/>
          <w:tab w:val="left" w:pos="4962"/>
        </w:tabs>
        <w:spacing w:after="360"/>
        <w:ind w:left="710" w:firstLine="0"/>
        <w:rPr>
          <w:lang w:val="pl-PL" w:eastAsia="pl-PL"/>
        </w:rPr>
      </w:pPr>
      <w:r w:rsidRPr="009D4E7A">
        <w:rPr>
          <w:lang w:val="pl-PL" w:eastAsia="pl-PL"/>
        </w:rPr>
        <w:t xml:space="preserve"> </w:t>
      </w:r>
      <w:r w:rsidR="00BE3ABC" w:rsidRPr="009D4E7A">
        <w:rPr>
          <w:lang w:val="pl-PL" w:eastAsia="pl-PL"/>
        </w:rPr>
        <w:t xml:space="preserve">Udostępnione e-usługi </w:t>
      </w:r>
    </w:p>
    <w:tbl>
      <w:tblPr>
        <w:tblpPr w:leftFromText="141" w:rightFromText="141" w:vertAnchor="text" w:horzAnchor="page" w:tblpX="1470" w:tblpY="-3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740"/>
        <w:gridCol w:w="992"/>
        <w:gridCol w:w="2977"/>
        <w:gridCol w:w="2835"/>
      </w:tblGrid>
      <w:tr w:rsidR="00BE3ABC" w:rsidRPr="009D4E7A" w14:paraId="4A8C5031" w14:textId="77777777" w:rsidTr="00BE3ABC">
        <w:tc>
          <w:tcPr>
            <w:tcW w:w="0" w:type="auto"/>
            <w:shd w:val="clear" w:color="auto" w:fill="E7E6E6"/>
            <w:vAlign w:val="center"/>
          </w:tcPr>
          <w:p w14:paraId="48904ABD" w14:textId="77777777" w:rsidR="00BE3ABC" w:rsidRPr="009D4E7A" w:rsidRDefault="00BE3ABC" w:rsidP="00B03E91">
            <w:pPr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2740" w:type="dxa"/>
            <w:shd w:val="clear" w:color="auto" w:fill="E7E6E6"/>
            <w:vAlign w:val="center"/>
          </w:tcPr>
          <w:p w14:paraId="629014CB" w14:textId="6EDBBF54" w:rsidR="00BE3ABC" w:rsidRPr="009D4E7A" w:rsidRDefault="00BE3ABC" w:rsidP="00B03E91">
            <w:pPr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 xml:space="preserve">Nazwa </w:t>
            </w:r>
            <w:r w:rsidRPr="009D4E7A">
              <w:rPr>
                <w:rFonts w:cs="Arial"/>
                <w:b/>
                <w:sz w:val="20"/>
              </w:rPr>
              <w:br/>
              <w:t>e-usługi</w:t>
            </w:r>
            <w:r w:rsidR="005E593A" w:rsidRPr="009D4E7A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992" w:type="dxa"/>
            <w:shd w:val="clear" w:color="auto" w:fill="E7E6E6"/>
            <w:vAlign w:val="center"/>
          </w:tcPr>
          <w:p w14:paraId="4C7A8B4F" w14:textId="77777777" w:rsidR="00BE3ABC" w:rsidRPr="009D4E7A" w:rsidRDefault="00BE3ABC" w:rsidP="00B03E91">
            <w:pPr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bCs/>
                <w:color w:val="000000"/>
                <w:sz w:val="20"/>
              </w:rPr>
              <w:t>Typ</w:t>
            </w:r>
          </w:p>
        </w:tc>
        <w:tc>
          <w:tcPr>
            <w:tcW w:w="2977" w:type="dxa"/>
            <w:shd w:val="clear" w:color="auto" w:fill="E7E6E6"/>
            <w:vAlign w:val="center"/>
          </w:tcPr>
          <w:p w14:paraId="143F2E31" w14:textId="77777777" w:rsidR="00BE3ABC" w:rsidRPr="009D4E7A" w:rsidRDefault="00BE3ABC" w:rsidP="00B03E91">
            <w:pPr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Zakres oddziaływania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56DBD522" w14:textId="77777777" w:rsidR="00BE3ABC" w:rsidRPr="009D4E7A" w:rsidRDefault="00BE3ABC" w:rsidP="00B03E91">
            <w:pPr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 xml:space="preserve">Poziom dojrzałości </w:t>
            </w:r>
            <w:r w:rsidRPr="009D4E7A">
              <w:rPr>
                <w:rFonts w:cs="Arial"/>
                <w:b/>
                <w:sz w:val="20"/>
              </w:rPr>
              <w:br/>
              <w:t>e-usługi</w:t>
            </w:r>
            <w:r w:rsidRPr="009D4E7A">
              <w:rPr>
                <w:rFonts w:cs="Arial"/>
                <w:b/>
                <w:sz w:val="20"/>
                <w:vertAlign w:val="superscript"/>
              </w:rPr>
              <w:footnoteReference w:id="1"/>
            </w:r>
          </w:p>
        </w:tc>
      </w:tr>
      <w:tr w:rsidR="00BE3ABC" w:rsidRPr="009D4E7A" w14:paraId="0055F202" w14:textId="77777777" w:rsidTr="00BE3ABC">
        <w:tc>
          <w:tcPr>
            <w:tcW w:w="0" w:type="auto"/>
          </w:tcPr>
          <w:p w14:paraId="03ED55A6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1.</w:t>
            </w:r>
          </w:p>
        </w:tc>
        <w:tc>
          <w:tcPr>
            <w:tcW w:w="2740" w:type="dxa"/>
            <w:shd w:val="clear" w:color="auto" w:fill="auto"/>
          </w:tcPr>
          <w:p w14:paraId="42FB7FB8" w14:textId="248DF40E" w:rsidR="00BE3ABC" w:rsidRPr="009D4E7A" w:rsidRDefault="00E841BA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Nie dotyczy</w:t>
            </w:r>
          </w:p>
        </w:tc>
        <w:tc>
          <w:tcPr>
            <w:tcW w:w="992" w:type="dxa"/>
          </w:tcPr>
          <w:p w14:paraId="455F9B72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  <w:tc>
          <w:tcPr>
            <w:tcW w:w="2977" w:type="dxa"/>
          </w:tcPr>
          <w:p w14:paraId="7FDB49F0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  <w:tc>
          <w:tcPr>
            <w:tcW w:w="2835" w:type="dxa"/>
          </w:tcPr>
          <w:p w14:paraId="1AB0811D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</w:tbl>
    <w:p w14:paraId="7C31DA3D" w14:textId="77777777" w:rsidR="00BE3ABC" w:rsidRPr="009D4E7A" w:rsidRDefault="00BE3ABC" w:rsidP="00BE3ABC">
      <w:pPr>
        <w:tabs>
          <w:tab w:val="left" w:pos="4962"/>
        </w:tabs>
        <w:spacing w:before="120" w:after="360"/>
        <w:ind w:right="170"/>
        <w:outlineLvl w:val="1"/>
      </w:pPr>
    </w:p>
    <w:p w14:paraId="1F8E5A1D" w14:textId="77777777" w:rsidR="00BE3ABC" w:rsidRPr="009D4E7A" w:rsidRDefault="00BE3ABC" w:rsidP="00BE3ABC">
      <w:pPr>
        <w:pStyle w:val="Nagwek2"/>
        <w:numPr>
          <w:ilvl w:val="0"/>
          <w:numId w:val="0"/>
        </w:numPr>
        <w:spacing w:after="360"/>
        <w:ind w:left="792" w:hanging="432"/>
        <w:rPr>
          <w:rStyle w:val="Nagwek3Znak"/>
          <w:rFonts w:eastAsiaTheme="minorHAnsi"/>
          <w:b w:val="0"/>
          <w:iCs/>
          <w:lang w:val="pl-PL"/>
        </w:rPr>
      </w:pPr>
      <w:r w:rsidRPr="009D4E7A">
        <w:rPr>
          <w:rStyle w:val="Nagwek3Znak"/>
          <w:rFonts w:eastAsiaTheme="minorHAnsi"/>
          <w:lang w:val="pl-PL"/>
        </w:rPr>
        <w:t xml:space="preserve">2.3 Udostępnione informacje sektora </w:t>
      </w:r>
      <w:r w:rsidRPr="009D4E7A">
        <w:rPr>
          <w:lang w:val="pl-PL"/>
        </w:rPr>
        <w:t>publicznego</w:t>
      </w:r>
      <w:r w:rsidRPr="009D4E7A">
        <w:rPr>
          <w:rStyle w:val="Nagwek3Znak"/>
          <w:rFonts w:eastAsiaTheme="minorHAnsi"/>
          <w:lang w:val="pl-PL"/>
        </w:rPr>
        <w:t xml:space="preserve"> i zdigitalizowane zasoby </w:t>
      </w:r>
    </w:p>
    <w:p w14:paraId="3323C774" w14:textId="77777777" w:rsidR="00BE3ABC" w:rsidRPr="009D4E7A" w:rsidRDefault="00BE3ABC" w:rsidP="007C6F76">
      <w:pPr>
        <w:jc w:val="both"/>
        <w:rPr>
          <w:rFonts w:eastAsiaTheme="minorHAnsi"/>
          <w:lang w:eastAsia="pl-PL"/>
        </w:rPr>
      </w:pPr>
      <w:r w:rsidRPr="009D4E7A">
        <w:rPr>
          <w:rFonts w:eastAsiaTheme="minorHAnsi"/>
          <w:lang w:eastAsia="pl-PL"/>
        </w:rPr>
        <w:t>Czy wszystkie zdigitalizowane zasoby objęte projektem będą udostępniane bezpłatnie? TAK</w:t>
      </w:r>
      <w:r w:rsidRPr="009D4E7A">
        <w:rPr>
          <w:rFonts w:eastAsiaTheme="minorHAnsi"/>
          <w:strike/>
          <w:lang w:eastAsia="pl-PL"/>
        </w:rPr>
        <w:t>/NIE</w:t>
      </w:r>
      <w:r w:rsidRPr="009D4E7A">
        <w:rPr>
          <w:rFonts w:eastAsiaTheme="minorHAnsi"/>
          <w:lang w:eastAsia="pl-PL"/>
        </w:rPr>
        <w:t xml:space="preserve"> </w:t>
      </w:r>
      <w:r w:rsidRPr="009D4E7A">
        <w:rPr>
          <w:rStyle w:val="Odwoanieprzypisudolnego"/>
          <w:rFonts w:eastAsiaTheme="minorHAnsi"/>
          <w:lang w:eastAsia="pl-PL"/>
        </w:rPr>
        <w:footnoteReference w:id="2"/>
      </w:r>
    </w:p>
    <w:p w14:paraId="7EA77A77" w14:textId="77777777" w:rsidR="0057123A" w:rsidRPr="009D4E7A" w:rsidRDefault="0057123A" w:rsidP="0057123A">
      <w:pPr>
        <w:rPr>
          <w:rStyle w:val="Nagwek3Znak"/>
          <w:rFonts w:eastAsiaTheme="minorHAnsi"/>
          <w:iCs w:val="0"/>
        </w:rPr>
      </w:pPr>
    </w:p>
    <w:tbl>
      <w:tblPr>
        <w:tblStyle w:val="Tabela-Siatka"/>
        <w:tblW w:w="963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118"/>
        <w:gridCol w:w="2410"/>
        <w:gridCol w:w="4111"/>
      </w:tblGrid>
      <w:tr w:rsidR="00BE3ABC" w:rsidRPr="009D4E7A" w14:paraId="0BA5F49D" w14:textId="77777777" w:rsidTr="00B03E91">
        <w:tc>
          <w:tcPr>
            <w:tcW w:w="3118" w:type="dxa"/>
            <w:shd w:val="clear" w:color="auto" w:fill="E7E6E6"/>
            <w:vAlign w:val="center"/>
          </w:tcPr>
          <w:p w14:paraId="7A121273" w14:textId="77777777" w:rsidR="00BE3ABC" w:rsidRPr="009D4E7A" w:rsidRDefault="00BE3ABC" w:rsidP="00B03E91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9D4E7A">
              <w:rPr>
                <w:rFonts w:cs="Arial"/>
                <w:b/>
                <w:sz w:val="20"/>
                <w:lang w:val="pl-PL"/>
              </w:rPr>
              <w:t xml:space="preserve">Rodzaj </w:t>
            </w:r>
          </w:p>
          <w:p w14:paraId="225AC349" w14:textId="77777777" w:rsidR="00BE3ABC" w:rsidRPr="009D4E7A" w:rsidRDefault="00BE3ABC" w:rsidP="00B03E91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9D4E7A">
              <w:rPr>
                <w:rFonts w:cs="Arial"/>
                <w:b/>
                <w:sz w:val="20"/>
                <w:lang w:val="pl-PL"/>
              </w:rPr>
              <w:t>informacji / zasobów</w:t>
            </w:r>
          </w:p>
        </w:tc>
        <w:tc>
          <w:tcPr>
            <w:tcW w:w="2410" w:type="dxa"/>
            <w:shd w:val="clear" w:color="auto" w:fill="E7E6E6"/>
            <w:vAlign w:val="center"/>
          </w:tcPr>
          <w:p w14:paraId="0F028497" w14:textId="77777777" w:rsidR="00BE3ABC" w:rsidRPr="009D4E7A" w:rsidRDefault="00BE3ABC" w:rsidP="00B03E91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9D4E7A">
              <w:rPr>
                <w:rFonts w:cs="Arial"/>
                <w:b/>
                <w:sz w:val="20"/>
                <w:lang w:val="pl-PL"/>
              </w:rPr>
              <w:t>Planowana data udostępnienia</w:t>
            </w:r>
          </w:p>
        </w:tc>
        <w:tc>
          <w:tcPr>
            <w:tcW w:w="4111" w:type="dxa"/>
            <w:shd w:val="clear" w:color="auto" w:fill="E7E6E6"/>
            <w:vAlign w:val="center"/>
          </w:tcPr>
          <w:p w14:paraId="6EA549C1" w14:textId="047819DF" w:rsidR="00BE3ABC" w:rsidRPr="009D4E7A" w:rsidRDefault="00BE3ABC" w:rsidP="00B03E91">
            <w:pPr>
              <w:jc w:val="center"/>
              <w:rPr>
                <w:rFonts w:cs="Arial"/>
                <w:b/>
                <w:sz w:val="20"/>
                <w:lang w:val="pl-PL"/>
              </w:rPr>
            </w:pPr>
            <w:r w:rsidRPr="009D4E7A">
              <w:rPr>
                <w:rFonts w:cs="Arial"/>
                <w:b/>
                <w:sz w:val="20"/>
                <w:lang w:val="pl-PL"/>
              </w:rPr>
              <w:t>Szacowana liczba obiektów</w:t>
            </w:r>
            <w:r w:rsidR="005E593A" w:rsidRPr="009D4E7A">
              <w:rPr>
                <w:rFonts w:cs="Arial"/>
                <w:b/>
                <w:sz w:val="20"/>
                <w:lang w:val="pl-PL"/>
              </w:rPr>
              <w:t xml:space="preserve"> </w:t>
            </w:r>
            <w:r w:rsidRPr="009D4E7A">
              <w:rPr>
                <w:rFonts w:cs="Arial"/>
                <w:b/>
                <w:sz w:val="20"/>
                <w:lang w:val="pl-PL"/>
              </w:rPr>
              <w:t>objętych digitalizacją (udostępnianiem informacji)</w:t>
            </w:r>
          </w:p>
          <w:p w14:paraId="560B5418" w14:textId="77777777" w:rsidR="00BE3ABC" w:rsidRPr="009D4E7A" w:rsidRDefault="00BE3ABC" w:rsidP="00B03E91">
            <w:pPr>
              <w:jc w:val="center"/>
              <w:rPr>
                <w:rFonts w:cs="Arial"/>
                <w:b/>
                <w:sz w:val="20"/>
                <w:lang w:val="pl-PL"/>
              </w:rPr>
            </w:pPr>
          </w:p>
        </w:tc>
      </w:tr>
      <w:tr w:rsidR="00BE3ABC" w:rsidRPr="009D4E7A" w14:paraId="7F27D9B6" w14:textId="77777777" w:rsidTr="00B03E91">
        <w:trPr>
          <w:trHeight w:val="274"/>
        </w:trPr>
        <w:tc>
          <w:tcPr>
            <w:tcW w:w="3118" w:type="dxa"/>
          </w:tcPr>
          <w:p w14:paraId="78A5E0FB" w14:textId="77777777" w:rsidR="00BE3ABC" w:rsidRPr="009D4E7A" w:rsidRDefault="00BE3ABC" w:rsidP="00B03E91">
            <w:pPr>
              <w:jc w:val="center"/>
              <w:rPr>
                <w:rFonts w:cs="Arial"/>
                <w:sz w:val="20"/>
                <w:lang w:val="pl-PL"/>
              </w:rPr>
            </w:pPr>
            <w:r w:rsidRPr="009D4E7A">
              <w:rPr>
                <w:rFonts w:cs="Arial"/>
                <w:sz w:val="20"/>
                <w:lang w:val="pl-PL"/>
              </w:rPr>
              <w:t>Nie dotyczy</w:t>
            </w:r>
          </w:p>
        </w:tc>
        <w:tc>
          <w:tcPr>
            <w:tcW w:w="2410" w:type="dxa"/>
          </w:tcPr>
          <w:p w14:paraId="0EB4F4FF" w14:textId="77777777" w:rsidR="00BE3ABC" w:rsidRPr="009D4E7A" w:rsidRDefault="00BE3ABC" w:rsidP="00B03E91">
            <w:pPr>
              <w:jc w:val="center"/>
              <w:rPr>
                <w:rFonts w:cs="Arial"/>
                <w:sz w:val="20"/>
                <w:lang w:val="pl-PL"/>
              </w:rPr>
            </w:pPr>
            <w:r w:rsidRPr="009D4E7A">
              <w:rPr>
                <w:rFonts w:cs="Arial"/>
                <w:sz w:val="20"/>
                <w:lang w:val="pl-PL"/>
              </w:rPr>
              <w:t>Nie dotyczy</w:t>
            </w:r>
          </w:p>
        </w:tc>
        <w:tc>
          <w:tcPr>
            <w:tcW w:w="4111" w:type="dxa"/>
          </w:tcPr>
          <w:p w14:paraId="4F279F32" w14:textId="77777777" w:rsidR="00BE3ABC" w:rsidRPr="009D4E7A" w:rsidRDefault="00BE3ABC" w:rsidP="00B03E91">
            <w:pPr>
              <w:jc w:val="center"/>
              <w:rPr>
                <w:rFonts w:cs="Arial"/>
                <w:sz w:val="20"/>
                <w:lang w:val="pl-PL"/>
              </w:rPr>
            </w:pPr>
            <w:r w:rsidRPr="009D4E7A">
              <w:rPr>
                <w:rFonts w:cs="Arial"/>
                <w:sz w:val="20"/>
                <w:lang w:val="pl-PL" w:eastAsia="pl-PL"/>
              </w:rPr>
              <w:t>Nie dotyczy</w:t>
            </w:r>
          </w:p>
          <w:p w14:paraId="3E1322B9" w14:textId="77777777" w:rsidR="00BE3ABC" w:rsidRPr="009D4E7A" w:rsidRDefault="00BE3ABC" w:rsidP="00B03E91">
            <w:pPr>
              <w:jc w:val="center"/>
              <w:rPr>
                <w:rFonts w:cs="Arial"/>
                <w:sz w:val="20"/>
                <w:lang w:val="pl-PL"/>
              </w:rPr>
            </w:pPr>
          </w:p>
        </w:tc>
      </w:tr>
    </w:tbl>
    <w:p w14:paraId="36D81866" w14:textId="77777777" w:rsidR="00BE3ABC" w:rsidRPr="009D4E7A" w:rsidRDefault="00BE3ABC" w:rsidP="00BE3ABC">
      <w:pPr>
        <w:tabs>
          <w:tab w:val="left" w:pos="4962"/>
        </w:tabs>
        <w:spacing w:before="120" w:after="360"/>
        <w:ind w:right="170"/>
        <w:outlineLvl w:val="1"/>
      </w:pPr>
    </w:p>
    <w:p w14:paraId="1B2CCF82" w14:textId="77777777" w:rsidR="00BE3ABC" w:rsidRPr="009D4E7A" w:rsidRDefault="00BE3ABC" w:rsidP="00BE3ABC">
      <w:pPr>
        <w:pStyle w:val="Nagwek2"/>
        <w:keepLines/>
        <w:numPr>
          <w:ilvl w:val="1"/>
          <w:numId w:val="5"/>
        </w:numPr>
        <w:spacing w:before="40" w:line="256" w:lineRule="auto"/>
        <w:rPr>
          <w:lang w:val="pl-PL"/>
        </w:rPr>
      </w:pPr>
      <w:r w:rsidRPr="009D4E7A">
        <w:rPr>
          <w:lang w:val="pl-PL"/>
        </w:rPr>
        <w:t xml:space="preserve">Produkty końcowe projektu </w:t>
      </w:r>
    </w:p>
    <w:tbl>
      <w:tblPr>
        <w:tblStyle w:val="Tabela-Siatka"/>
        <w:tblW w:w="9632" w:type="dxa"/>
        <w:tblInd w:w="421" w:type="dxa"/>
        <w:tblLook w:val="04A0" w:firstRow="1" w:lastRow="0" w:firstColumn="1" w:lastColumn="0" w:noHBand="0" w:noVBand="1"/>
      </w:tblPr>
      <w:tblGrid>
        <w:gridCol w:w="8221"/>
        <w:gridCol w:w="1411"/>
      </w:tblGrid>
      <w:tr w:rsidR="00BE3ABC" w:rsidRPr="009D4E7A" w14:paraId="1A7FCB41" w14:textId="77777777" w:rsidTr="00B03E91"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1216886" w14:textId="77777777" w:rsidR="00BE3ABC" w:rsidRPr="009D4E7A" w:rsidRDefault="00BE3ABC" w:rsidP="00B03E91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9D4E7A">
              <w:rPr>
                <w:rFonts w:cs="Arial"/>
                <w:b/>
                <w:sz w:val="20"/>
                <w:lang w:val="pl-PL"/>
              </w:rPr>
              <w:t>Nazwa produktu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9B39C4C" w14:textId="77777777" w:rsidR="00BE3ABC" w:rsidRPr="009D4E7A" w:rsidRDefault="00BE3ABC" w:rsidP="00B03E91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9D4E7A">
              <w:rPr>
                <w:rFonts w:cs="Arial"/>
                <w:b/>
                <w:sz w:val="20"/>
                <w:lang w:val="pl-PL"/>
              </w:rPr>
              <w:t>Planowana data wdrożenia</w:t>
            </w:r>
          </w:p>
        </w:tc>
      </w:tr>
      <w:tr w:rsidR="00BE3ABC" w:rsidRPr="009D4E7A" w14:paraId="65B56121" w14:textId="77777777" w:rsidTr="00BE3ABC">
        <w:trPr>
          <w:trHeight w:val="660"/>
        </w:trPr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0570" w14:textId="777B5BD9" w:rsidR="00D574D7" w:rsidRPr="009D4E7A" w:rsidRDefault="00D574D7" w:rsidP="00B03E91">
            <w:pPr>
              <w:rPr>
                <w:rFonts w:cs="Arial"/>
                <w:sz w:val="20"/>
                <w:szCs w:val="18"/>
                <w:lang w:val="pl-PL"/>
              </w:rPr>
            </w:pPr>
            <w:r w:rsidRPr="009D4E7A">
              <w:rPr>
                <w:rFonts w:cs="Arial"/>
                <w:sz w:val="20"/>
                <w:szCs w:val="18"/>
                <w:lang w:val="pl-PL"/>
              </w:rPr>
              <w:t xml:space="preserve">1. </w:t>
            </w:r>
            <w:r w:rsidR="005D5A6D" w:rsidRPr="009D4E7A">
              <w:rPr>
                <w:rFonts w:cs="Arial"/>
                <w:sz w:val="20"/>
                <w:szCs w:val="18"/>
                <w:lang w:val="pl-PL"/>
              </w:rPr>
              <w:t xml:space="preserve">System teleinformatyczny </w:t>
            </w:r>
            <w:r w:rsidR="006F1DA2" w:rsidRPr="009D4E7A">
              <w:rPr>
                <w:rFonts w:cs="Arial"/>
                <w:sz w:val="20"/>
                <w:szCs w:val="18"/>
                <w:lang w:val="pl-PL"/>
              </w:rPr>
              <w:t>System do Obsługi Postępowań Administracyjnych w Budownictwie</w:t>
            </w:r>
            <w:r w:rsidR="003467AF">
              <w:rPr>
                <w:rFonts w:cs="Arial"/>
                <w:sz w:val="20"/>
                <w:szCs w:val="18"/>
                <w:lang w:val="pl-PL"/>
              </w:rPr>
              <w:t xml:space="preserve"> w wersji MVP</w:t>
            </w:r>
            <w:r w:rsidR="006F1DA2" w:rsidRPr="009D4E7A">
              <w:rPr>
                <w:rFonts w:cs="Arial"/>
                <w:sz w:val="20"/>
                <w:szCs w:val="18"/>
                <w:lang w:val="pl-PL"/>
              </w:rPr>
              <w:t xml:space="preserve">, zawierający komponent </w:t>
            </w:r>
            <w:r w:rsidR="005B4F25" w:rsidRPr="009D4E7A">
              <w:rPr>
                <w:rFonts w:cs="Arial"/>
                <w:sz w:val="20"/>
                <w:szCs w:val="18"/>
                <w:lang w:val="pl-PL"/>
              </w:rPr>
              <w:t>Centralnego Magazynu Danych</w:t>
            </w:r>
            <w:r w:rsidR="00F90327" w:rsidRPr="009D4E7A">
              <w:rPr>
                <w:rFonts w:cs="Arial"/>
                <w:sz w:val="20"/>
                <w:szCs w:val="18"/>
                <w:lang w:val="pl-PL"/>
              </w:rPr>
              <w:t>,</w:t>
            </w:r>
            <w:r w:rsidR="006F1DA2" w:rsidRPr="009D4E7A">
              <w:rPr>
                <w:rFonts w:cs="Arial"/>
                <w:sz w:val="20"/>
                <w:szCs w:val="18"/>
                <w:lang w:val="pl-PL"/>
              </w:rPr>
              <w:t xml:space="preserve"> moduł mapowy PIP</w:t>
            </w:r>
            <w:r w:rsidR="00F90327" w:rsidRPr="009D4E7A">
              <w:rPr>
                <w:rFonts w:cs="Arial"/>
                <w:sz w:val="20"/>
                <w:szCs w:val="18"/>
                <w:lang w:val="pl-PL"/>
              </w:rPr>
              <w:t xml:space="preserve"> oraz interfejs użytkownika</w:t>
            </w:r>
            <w:r w:rsidR="006F1DA2" w:rsidRPr="009D4E7A">
              <w:rPr>
                <w:rFonts w:cs="Arial"/>
                <w:sz w:val="20"/>
                <w:szCs w:val="18"/>
                <w:lang w:val="pl-PL"/>
              </w:rPr>
              <w:t>. System komunikuje się poprzez API z systemami wskazanymi na diagramie kooperacji aplikacji.</w:t>
            </w:r>
          </w:p>
          <w:p w14:paraId="7D2A1746" w14:textId="58DFAFF7" w:rsidR="00D574D7" w:rsidRPr="009D4E7A" w:rsidRDefault="00C25AC6" w:rsidP="00B03E91">
            <w:pPr>
              <w:rPr>
                <w:rFonts w:cs="Arial"/>
                <w:sz w:val="20"/>
                <w:szCs w:val="18"/>
                <w:lang w:val="pl-PL"/>
              </w:rPr>
            </w:pPr>
            <w:r w:rsidRPr="009D4E7A">
              <w:rPr>
                <w:rFonts w:cs="Arial"/>
                <w:sz w:val="20"/>
                <w:szCs w:val="18"/>
                <w:lang w:val="pl-PL"/>
              </w:rPr>
              <w:t>2</w:t>
            </w:r>
            <w:r w:rsidR="00AD14BB" w:rsidRPr="009D4E7A">
              <w:rPr>
                <w:rFonts w:cs="Arial"/>
                <w:sz w:val="20"/>
                <w:szCs w:val="18"/>
                <w:lang w:val="pl-PL"/>
              </w:rPr>
              <w:t xml:space="preserve">. </w:t>
            </w:r>
            <w:r w:rsidR="00D574D7" w:rsidRPr="009D4E7A">
              <w:rPr>
                <w:rFonts w:cs="Arial"/>
                <w:sz w:val="20"/>
                <w:szCs w:val="18"/>
                <w:lang w:val="pl-PL"/>
              </w:rPr>
              <w:t>API</w:t>
            </w:r>
          </w:p>
          <w:p w14:paraId="6EB9FF18" w14:textId="5FF581CE" w:rsidR="00D574D7" w:rsidRPr="009D4E7A" w:rsidRDefault="00C25AC6" w:rsidP="00D574D7">
            <w:pPr>
              <w:rPr>
                <w:rFonts w:cs="Arial"/>
                <w:sz w:val="20"/>
                <w:szCs w:val="18"/>
                <w:lang w:val="pl-PL"/>
              </w:rPr>
            </w:pPr>
            <w:r w:rsidRPr="009D4E7A">
              <w:rPr>
                <w:rFonts w:cs="Arial"/>
                <w:sz w:val="20"/>
                <w:szCs w:val="18"/>
                <w:lang w:val="pl-PL"/>
              </w:rPr>
              <w:t>3</w:t>
            </w:r>
            <w:r w:rsidR="00D574D7" w:rsidRPr="009D4E7A">
              <w:rPr>
                <w:rFonts w:cs="Arial"/>
                <w:sz w:val="20"/>
                <w:szCs w:val="18"/>
                <w:lang w:val="pl-PL"/>
              </w:rPr>
              <w:t xml:space="preserve">. Materiały szkoleniowe </w:t>
            </w:r>
          </w:p>
          <w:p w14:paraId="109F386B" w14:textId="77777777" w:rsidR="00D574D7" w:rsidRDefault="00C25AC6" w:rsidP="00D574D7">
            <w:pPr>
              <w:rPr>
                <w:rFonts w:cs="Arial"/>
                <w:sz w:val="20"/>
                <w:szCs w:val="18"/>
                <w:lang w:val="pl-PL"/>
              </w:rPr>
            </w:pPr>
            <w:r w:rsidRPr="009D4E7A">
              <w:rPr>
                <w:rFonts w:cs="Arial"/>
                <w:sz w:val="20"/>
                <w:szCs w:val="18"/>
                <w:lang w:val="pl-PL"/>
              </w:rPr>
              <w:t>4</w:t>
            </w:r>
            <w:r w:rsidR="00D574D7" w:rsidRPr="009D4E7A">
              <w:rPr>
                <w:rFonts w:cs="Arial"/>
                <w:sz w:val="20"/>
                <w:szCs w:val="18"/>
                <w:lang w:val="pl-PL"/>
              </w:rPr>
              <w:t>. Materiały informacyjno-promocyjne</w:t>
            </w:r>
          </w:p>
          <w:p w14:paraId="33A54692" w14:textId="4BE19509" w:rsidR="00E1521C" w:rsidRPr="009D4E7A" w:rsidRDefault="00E1521C" w:rsidP="00E1521C">
            <w:pPr>
              <w:rPr>
                <w:rFonts w:cs="Arial"/>
                <w:sz w:val="20"/>
                <w:szCs w:val="18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CCACF" w14:textId="281F69B1" w:rsidR="00BE3ABC" w:rsidRPr="009D4E7A" w:rsidRDefault="003467AF" w:rsidP="00B03E91">
            <w:pPr>
              <w:rPr>
                <w:rFonts w:cs="Arial"/>
                <w:sz w:val="20"/>
                <w:szCs w:val="18"/>
                <w:lang w:val="pl-PL"/>
              </w:rPr>
            </w:pPr>
            <w:r>
              <w:rPr>
                <w:rFonts w:cs="Arial"/>
                <w:sz w:val="20"/>
                <w:szCs w:val="18"/>
                <w:lang w:val="pl-PL"/>
              </w:rPr>
              <w:t>06</w:t>
            </w:r>
            <w:r w:rsidR="008B3C14" w:rsidRPr="009D4E7A">
              <w:rPr>
                <w:rFonts w:cs="Arial"/>
                <w:sz w:val="20"/>
                <w:szCs w:val="18"/>
                <w:lang w:val="pl-PL"/>
              </w:rPr>
              <w:t>-2023</w:t>
            </w:r>
          </w:p>
          <w:p w14:paraId="0450988A" w14:textId="77777777" w:rsidR="00D574D7" w:rsidRPr="009D4E7A" w:rsidRDefault="00D574D7" w:rsidP="00B03E91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  <w:p w14:paraId="34833A5B" w14:textId="77777777" w:rsidR="00D574D7" w:rsidRPr="009D4E7A" w:rsidRDefault="00D574D7" w:rsidP="00B03E91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  <w:p w14:paraId="43CC0DD7" w14:textId="77777777" w:rsidR="00D574D7" w:rsidRPr="009D4E7A" w:rsidRDefault="00D574D7" w:rsidP="00B03E91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  <w:p w14:paraId="651DC2FF" w14:textId="77777777" w:rsidR="00E951EB" w:rsidRDefault="00E951EB" w:rsidP="00B03E91">
            <w:pPr>
              <w:rPr>
                <w:rFonts w:cs="Arial"/>
                <w:sz w:val="20"/>
                <w:szCs w:val="18"/>
                <w:lang w:val="pl-PL"/>
              </w:rPr>
            </w:pPr>
          </w:p>
          <w:p w14:paraId="2527AEDD" w14:textId="2B75E6A3" w:rsidR="00D574D7" w:rsidRPr="009D4E7A" w:rsidRDefault="003467AF" w:rsidP="00B03E91">
            <w:pPr>
              <w:rPr>
                <w:rFonts w:cs="Arial"/>
                <w:sz w:val="20"/>
                <w:szCs w:val="18"/>
                <w:lang w:val="pl-PL"/>
              </w:rPr>
            </w:pPr>
            <w:r>
              <w:rPr>
                <w:rFonts w:cs="Arial"/>
                <w:sz w:val="20"/>
                <w:szCs w:val="18"/>
                <w:lang w:val="pl-PL"/>
              </w:rPr>
              <w:t>06</w:t>
            </w:r>
            <w:r w:rsidR="00D574D7" w:rsidRPr="009D4E7A">
              <w:rPr>
                <w:rFonts w:cs="Arial"/>
                <w:sz w:val="20"/>
                <w:szCs w:val="18"/>
                <w:lang w:val="pl-PL"/>
              </w:rPr>
              <w:t>-2023</w:t>
            </w:r>
          </w:p>
          <w:p w14:paraId="60007450" w14:textId="53A1635E" w:rsidR="00D574D7" w:rsidRPr="009D4E7A" w:rsidRDefault="00D574D7" w:rsidP="00B03E91">
            <w:pPr>
              <w:rPr>
                <w:rFonts w:cs="Arial"/>
                <w:sz w:val="20"/>
                <w:szCs w:val="18"/>
                <w:lang w:val="pl-PL"/>
              </w:rPr>
            </w:pPr>
            <w:r w:rsidRPr="009D4E7A">
              <w:rPr>
                <w:rFonts w:cs="Arial"/>
                <w:sz w:val="20"/>
                <w:szCs w:val="18"/>
                <w:lang w:val="pl-PL"/>
              </w:rPr>
              <w:t>0</w:t>
            </w:r>
            <w:r w:rsidR="003467AF">
              <w:rPr>
                <w:rFonts w:cs="Arial"/>
                <w:sz w:val="20"/>
                <w:szCs w:val="18"/>
                <w:lang w:val="pl-PL"/>
              </w:rPr>
              <w:t>5</w:t>
            </w:r>
            <w:r w:rsidRPr="009D4E7A">
              <w:rPr>
                <w:rFonts w:cs="Arial"/>
                <w:sz w:val="20"/>
                <w:szCs w:val="18"/>
                <w:lang w:val="pl-PL"/>
              </w:rPr>
              <w:t>-2023</w:t>
            </w:r>
          </w:p>
          <w:p w14:paraId="343B5281" w14:textId="716DFA8B" w:rsidR="00D574D7" w:rsidRDefault="00D574D7" w:rsidP="00B03E91">
            <w:pPr>
              <w:rPr>
                <w:rFonts w:cs="Arial"/>
                <w:sz w:val="20"/>
                <w:szCs w:val="18"/>
                <w:lang w:val="pl-PL"/>
              </w:rPr>
            </w:pPr>
            <w:r w:rsidRPr="009D4E7A">
              <w:rPr>
                <w:rFonts w:cs="Arial"/>
                <w:sz w:val="20"/>
                <w:szCs w:val="18"/>
                <w:lang w:val="pl-PL"/>
              </w:rPr>
              <w:t>0</w:t>
            </w:r>
            <w:r w:rsidR="003467AF">
              <w:rPr>
                <w:rFonts w:cs="Arial"/>
                <w:sz w:val="20"/>
                <w:szCs w:val="18"/>
                <w:lang w:val="pl-PL"/>
              </w:rPr>
              <w:t>4</w:t>
            </w:r>
            <w:r w:rsidRPr="009D4E7A">
              <w:rPr>
                <w:rFonts w:cs="Arial"/>
                <w:sz w:val="20"/>
                <w:szCs w:val="18"/>
                <w:lang w:val="pl-PL"/>
              </w:rPr>
              <w:t>-2023</w:t>
            </w:r>
          </w:p>
          <w:p w14:paraId="66910D3A" w14:textId="26412003" w:rsidR="007732E4" w:rsidRPr="009D4E7A" w:rsidRDefault="007732E4" w:rsidP="00B03E91">
            <w:pPr>
              <w:rPr>
                <w:rFonts w:cs="Arial"/>
                <w:color w:val="0070C0"/>
                <w:sz w:val="20"/>
                <w:szCs w:val="18"/>
                <w:lang w:val="pl-PL"/>
              </w:rPr>
            </w:pPr>
          </w:p>
        </w:tc>
      </w:tr>
    </w:tbl>
    <w:p w14:paraId="1E59FDB7" w14:textId="28C2382D" w:rsidR="00BA7468" w:rsidRPr="009D4E7A" w:rsidRDefault="00BA7468" w:rsidP="003265D4">
      <w:pPr>
        <w:pStyle w:val="Nagwek1"/>
        <w:numPr>
          <w:ilvl w:val="0"/>
          <w:numId w:val="0"/>
        </w:numPr>
        <w:ind w:left="360" w:hanging="360"/>
        <w:jc w:val="both"/>
        <w:rPr>
          <w:sz w:val="20"/>
          <w:lang w:val="pl-PL" w:eastAsia="pl-PL"/>
        </w:rPr>
      </w:pPr>
    </w:p>
    <w:p w14:paraId="5B12C64E" w14:textId="77777777" w:rsidR="00BE3ABC" w:rsidRPr="009D4E7A" w:rsidRDefault="00BE3ABC" w:rsidP="00BE3ABC">
      <w:pPr>
        <w:pStyle w:val="Nagwek1"/>
        <w:rPr>
          <w:rFonts w:cs="Arial"/>
          <w:color w:val="7F7F7F" w:themeColor="text1" w:themeTint="80"/>
          <w:lang w:val="pl-PL" w:eastAsia="pl-PL"/>
        </w:rPr>
      </w:pPr>
      <w:r w:rsidRPr="009D4E7A">
        <w:rPr>
          <w:rFonts w:cs="Arial"/>
          <w:lang w:val="pl-PL" w:eastAsia="pl-PL"/>
        </w:rPr>
        <w:t xml:space="preserve">KAMIENIE MILOWE </w:t>
      </w:r>
    </w:p>
    <w:tbl>
      <w:tblPr>
        <w:tblStyle w:val="Tabela-Siatka"/>
        <w:tblW w:w="9639" w:type="dxa"/>
        <w:tblInd w:w="421" w:type="dxa"/>
        <w:tblLook w:val="04A0" w:firstRow="1" w:lastRow="0" w:firstColumn="1" w:lastColumn="0" w:noHBand="0" w:noVBand="1"/>
      </w:tblPr>
      <w:tblGrid>
        <w:gridCol w:w="7371"/>
        <w:gridCol w:w="2268"/>
      </w:tblGrid>
      <w:tr w:rsidR="00BE3ABC" w:rsidRPr="009D4E7A" w14:paraId="5AAA0684" w14:textId="77777777" w:rsidTr="00B03E91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A4E78B2" w14:textId="77777777" w:rsidR="00BE3ABC" w:rsidRPr="009D4E7A" w:rsidRDefault="00BE3ABC" w:rsidP="00B03E91">
            <w:pPr>
              <w:spacing w:before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9D4E7A">
              <w:rPr>
                <w:rFonts w:cs="Arial"/>
                <w:b/>
                <w:sz w:val="20"/>
                <w:lang w:val="pl-PL"/>
              </w:rPr>
              <w:t>Kamienie milowe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F79471E" w14:textId="77777777" w:rsidR="00BE3ABC" w:rsidRPr="009D4E7A" w:rsidRDefault="00BE3ABC" w:rsidP="00B03E91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9D4E7A">
              <w:rPr>
                <w:rFonts w:cs="Arial"/>
                <w:b/>
                <w:sz w:val="20"/>
                <w:lang w:val="pl-PL"/>
              </w:rPr>
              <w:t>Planowany termin osiągnięcia</w:t>
            </w:r>
          </w:p>
        </w:tc>
      </w:tr>
      <w:tr w:rsidR="00BE3ABC" w:rsidRPr="009D4E7A" w14:paraId="51F06736" w14:textId="77777777" w:rsidTr="00B03E91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CDC5" w14:textId="13CC3F4C" w:rsidR="00BE3ABC" w:rsidRPr="00CB5C9B" w:rsidRDefault="00CB5C9B" w:rsidP="00F76B2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="Arial"/>
                <w:lang w:val="pl-PL"/>
              </w:rPr>
            </w:pPr>
            <w:r w:rsidRPr="00CB5C9B">
              <w:rPr>
                <w:rFonts w:cs="Arial"/>
                <w:lang w:val="pl-PL"/>
              </w:rPr>
              <w:t>Opracowan</w:t>
            </w:r>
            <w:r w:rsidR="00DF5152">
              <w:rPr>
                <w:rFonts w:cs="Arial"/>
                <w:lang w:val="pl-PL"/>
              </w:rPr>
              <w:t>a</w:t>
            </w:r>
            <w:r w:rsidRPr="00CB5C9B">
              <w:rPr>
                <w:rFonts w:cs="Arial"/>
                <w:lang w:val="pl-PL"/>
              </w:rPr>
              <w:t xml:space="preserve"> specyfikacj</w:t>
            </w:r>
            <w:r w:rsidR="00DF5152">
              <w:rPr>
                <w:rFonts w:cs="Arial"/>
                <w:lang w:val="pl-PL"/>
              </w:rPr>
              <w:t>a</w:t>
            </w:r>
            <w:r w:rsidRPr="00CB5C9B">
              <w:rPr>
                <w:rFonts w:cs="Arial"/>
                <w:lang w:val="pl-PL"/>
              </w:rPr>
              <w:t xml:space="preserve"> wymagań dla produktu System do Obsługi</w:t>
            </w:r>
            <w:r>
              <w:rPr>
                <w:rFonts w:cs="Arial"/>
                <w:lang w:val="pl-PL"/>
              </w:rPr>
              <w:t xml:space="preserve"> </w:t>
            </w:r>
            <w:r w:rsidRPr="00CB5C9B">
              <w:rPr>
                <w:rFonts w:cs="Arial"/>
                <w:lang w:val="pl-PL"/>
              </w:rPr>
              <w:t>Postępowań Administracyjnych w Budownictwie</w:t>
            </w:r>
            <w:r w:rsidR="003467AF">
              <w:rPr>
                <w:rFonts w:cs="Arial"/>
                <w:lang w:val="pl-PL"/>
              </w:rPr>
              <w:t xml:space="preserve"> w wersji MVP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D3E8" w14:textId="2BB47B38" w:rsidR="00BE3ABC" w:rsidRPr="009D4E7A" w:rsidRDefault="00CB5C9B" w:rsidP="00BE3ABC">
            <w:pPr>
              <w:spacing w:line="276" w:lineRule="auto"/>
              <w:rPr>
                <w:rFonts w:cs="Arial"/>
                <w:sz w:val="18"/>
                <w:szCs w:val="18"/>
                <w:lang w:val="pl-PL"/>
              </w:rPr>
            </w:pPr>
            <w:r>
              <w:rPr>
                <w:rFonts w:cs="Arial"/>
                <w:sz w:val="18"/>
                <w:szCs w:val="18"/>
                <w:lang w:val="pl-PL"/>
              </w:rPr>
              <w:t>2</w:t>
            </w:r>
            <w:r w:rsidR="003467AF">
              <w:rPr>
                <w:rFonts w:cs="Arial"/>
                <w:sz w:val="18"/>
                <w:szCs w:val="18"/>
                <w:lang w:val="pl-PL"/>
              </w:rPr>
              <w:t>4</w:t>
            </w:r>
            <w:r w:rsidR="00E52AA6" w:rsidRPr="009D4E7A">
              <w:rPr>
                <w:rFonts w:cs="Arial"/>
                <w:sz w:val="18"/>
                <w:szCs w:val="18"/>
                <w:lang w:val="pl-PL"/>
              </w:rPr>
              <w:t>-</w:t>
            </w:r>
            <w:r w:rsidR="00547998" w:rsidRPr="009D4E7A">
              <w:rPr>
                <w:rFonts w:cs="Arial"/>
                <w:sz w:val="18"/>
                <w:szCs w:val="18"/>
                <w:lang w:val="pl-PL"/>
              </w:rPr>
              <w:t>0</w:t>
            </w:r>
            <w:r w:rsidR="003467AF">
              <w:rPr>
                <w:rFonts w:cs="Arial"/>
                <w:sz w:val="18"/>
                <w:szCs w:val="18"/>
                <w:lang w:val="pl-PL"/>
              </w:rPr>
              <w:t>6</w:t>
            </w:r>
            <w:r w:rsidR="00E52AA6" w:rsidRPr="009D4E7A">
              <w:rPr>
                <w:rFonts w:cs="Arial"/>
                <w:sz w:val="18"/>
                <w:szCs w:val="18"/>
                <w:lang w:val="pl-PL"/>
              </w:rPr>
              <w:t>-202</w:t>
            </w:r>
            <w:r w:rsidR="00547998" w:rsidRPr="009D4E7A">
              <w:rPr>
                <w:rFonts w:cs="Arial"/>
                <w:sz w:val="18"/>
                <w:szCs w:val="18"/>
                <w:lang w:val="pl-PL"/>
              </w:rPr>
              <w:t>2</w:t>
            </w:r>
          </w:p>
        </w:tc>
      </w:tr>
      <w:tr w:rsidR="003265D4" w:rsidRPr="009D4E7A" w14:paraId="2E89563C" w14:textId="77777777" w:rsidTr="00B03E91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1B8F" w14:textId="5FB2F1CA" w:rsidR="003265D4" w:rsidRPr="00CB5C9B" w:rsidRDefault="00CB5C9B" w:rsidP="00F76B2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="Arial"/>
                <w:lang w:val="pl-PL"/>
              </w:rPr>
            </w:pPr>
            <w:r w:rsidRPr="00CB5C9B">
              <w:rPr>
                <w:rFonts w:cs="Arial"/>
                <w:lang w:val="pl-PL"/>
              </w:rPr>
              <w:t>Wyłoni</w:t>
            </w:r>
            <w:r w:rsidR="00DF5152">
              <w:rPr>
                <w:rFonts w:cs="Arial"/>
                <w:lang w:val="pl-PL"/>
              </w:rPr>
              <w:t>ony</w:t>
            </w:r>
            <w:r w:rsidRPr="00CB5C9B">
              <w:rPr>
                <w:rFonts w:cs="Arial"/>
                <w:lang w:val="pl-PL"/>
              </w:rPr>
              <w:t xml:space="preserve"> Wykonawc</w:t>
            </w:r>
            <w:r w:rsidR="00DF5152">
              <w:rPr>
                <w:rFonts w:cs="Arial"/>
                <w:lang w:val="pl-PL"/>
              </w:rPr>
              <w:t>a</w:t>
            </w:r>
            <w:r w:rsidRPr="00CB5C9B">
              <w:rPr>
                <w:rFonts w:cs="Arial"/>
                <w:lang w:val="pl-PL"/>
              </w:rPr>
              <w:t xml:space="preserve"> Systemu do Obsługi Postępowań</w:t>
            </w:r>
            <w:r>
              <w:rPr>
                <w:rFonts w:cs="Arial"/>
                <w:lang w:val="pl-PL"/>
              </w:rPr>
              <w:t xml:space="preserve"> </w:t>
            </w:r>
            <w:r w:rsidRPr="00CB5C9B">
              <w:rPr>
                <w:rFonts w:cs="Arial"/>
                <w:lang w:val="pl-PL"/>
              </w:rPr>
              <w:t>Administracyjnych w Budownictwie</w:t>
            </w:r>
            <w:r w:rsidR="001D6A99">
              <w:rPr>
                <w:rFonts w:cs="Arial"/>
                <w:lang w:val="pl-PL"/>
              </w:rPr>
              <w:t xml:space="preserve"> w wersji MVP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F106" w14:textId="69BD2133" w:rsidR="003265D4" w:rsidRPr="009D4E7A" w:rsidRDefault="006F1DA2" w:rsidP="00BE3ABC">
            <w:pPr>
              <w:spacing w:line="276" w:lineRule="auto"/>
              <w:rPr>
                <w:rFonts w:cs="Arial"/>
                <w:sz w:val="18"/>
                <w:szCs w:val="18"/>
                <w:lang w:val="pl-PL"/>
              </w:rPr>
            </w:pPr>
            <w:r w:rsidRPr="009D4E7A">
              <w:rPr>
                <w:rFonts w:cs="Arial"/>
                <w:sz w:val="18"/>
                <w:szCs w:val="18"/>
                <w:lang w:val="pl-PL"/>
              </w:rPr>
              <w:t>0</w:t>
            </w:r>
            <w:r w:rsidR="00F90327" w:rsidRPr="009D4E7A">
              <w:rPr>
                <w:rFonts w:cs="Arial"/>
                <w:sz w:val="18"/>
                <w:szCs w:val="18"/>
                <w:lang w:val="pl-PL"/>
              </w:rPr>
              <w:t>1</w:t>
            </w:r>
            <w:r w:rsidRPr="009D4E7A">
              <w:rPr>
                <w:rFonts w:cs="Arial"/>
                <w:sz w:val="18"/>
                <w:szCs w:val="18"/>
                <w:lang w:val="pl-PL"/>
              </w:rPr>
              <w:t>-</w:t>
            </w:r>
            <w:r w:rsidR="003467AF">
              <w:rPr>
                <w:rFonts w:cs="Arial"/>
                <w:sz w:val="18"/>
                <w:szCs w:val="18"/>
                <w:lang w:val="pl-PL"/>
              </w:rPr>
              <w:t>12</w:t>
            </w:r>
            <w:r w:rsidR="00F90327" w:rsidRPr="009D4E7A">
              <w:rPr>
                <w:rFonts w:cs="Arial"/>
                <w:sz w:val="18"/>
                <w:szCs w:val="18"/>
                <w:lang w:val="pl-PL"/>
              </w:rPr>
              <w:t>-</w:t>
            </w:r>
            <w:r w:rsidRPr="009D4E7A">
              <w:rPr>
                <w:rFonts w:cs="Arial"/>
                <w:sz w:val="18"/>
                <w:szCs w:val="18"/>
                <w:lang w:val="pl-PL"/>
              </w:rPr>
              <w:t>2022</w:t>
            </w:r>
          </w:p>
        </w:tc>
      </w:tr>
      <w:tr w:rsidR="00236EE7" w:rsidRPr="009D4E7A" w14:paraId="17016C1F" w14:textId="77777777" w:rsidTr="00B03E91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1142A" w14:textId="0D85AAFA" w:rsidR="00236EE7" w:rsidRPr="009D4E7A" w:rsidRDefault="009C62B5" w:rsidP="00F76B27">
            <w:pPr>
              <w:pStyle w:val="Akapitzlist"/>
              <w:numPr>
                <w:ilvl w:val="0"/>
                <w:numId w:val="15"/>
              </w:numPr>
              <w:spacing w:line="276" w:lineRule="auto"/>
              <w:jc w:val="left"/>
              <w:rPr>
                <w:rFonts w:cs="Arial"/>
                <w:lang w:val="pl-PL"/>
              </w:rPr>
            </w:pPr>
            <w:r w:rsidRPr="009D4E7A">
              <w:rPr>
                <w:rFonts w:cs="Arial"/>
                <w:lang w:val="pl-PL"/>
              </w:rPr>
              <w:t>Od</w:t>
            </w:r>
            <w:r w:rsidR="00DF5152">
              <w:rPr>
                <w:rFonts w:cs="Arial"/>
                <w:lang w:val="pl-PL"/>
              </w:rPr>
              <w:t>ebrana</w:t>
            </w:r>
            <w:r w:rsidRPr="009D4E7A">
              <w:rPr>
                <w:rFonts w:cs="Arial"/>
                <w:lang w:val="pl-PL"/>
              </w:rPr>
              <w:t xml:space="preserve"> a</w:t>
            </w:r>
            <w:r w:rsidR="00695774" w:rsidRPr="009D4E7A">
              <w:rPr>
                <w:rFonts w:cs="Arial"/>
                <w:lang w:val="pl-PL"/>
              </w:rPr>
              <w:t>naliz</w:t>
            </w:r>
            <w:r w:rsidR="00DF5152">
              <w:rPr>
                <w:rFonts w:cs="Arial"/>
                <w:lang w:val="pl-PL"/>
              </w:rPr>
              <w:t>a</w:t>
            </w:r>
            <w:r w:rsidR="00695774" w:rsidRPr="009D4E7A">
              <w:rPr>
                <w:rFonts w:cs="Arial"/>
                <w:lang w:val="pl-PL"/>
              </w:rPr>
              <w:t xml:space="preserve"> przedwdrożeniow</w:t>
            </w:r>
            <w:r w:rsidR="00DF5152">
              <w:rPr>
                <w:rFonts w:cs="Arial"/>
                <w:lang w:val="pl-PL"/>
              </w:rPr>
              <w:t>a</w:t>
            </w:r>
            <w:r w:rsidR="00885E11" w:rsidRPr="009D4E7A">
              <w:rPr>
                <w:rFonts w:cs="Arial"/>
                <w:lang w:val="pl-PL"/>
              </w:rPr>
              <w:t xml:space="preserve"> Systemu do Obsługi Postępowań Administracyjnych w Budownictwie</w:t>
            </w:r>
            <w:r w:rsidR="001D6A99">
              <w:rPr>
                <w:rFonts w:cs="Arial"/>
                <w:lang w:val="pl-PL"/>
              </w:rPr>
              <w:t xml:space="preserve"> w wersji MVP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6563" w14:textId="75602F15" w:rsidR="00236EE7" w:rsidRPr="009D4E7A" w:rsidRDefault="00E52AA6" w:rsidP="00BE3ABC">
            <w:pPr>
              <w:spacing w:line="276" w:lineRule="auto"/>
              <w:rPr>
                <w:rFonts w:cs="Arial"/>
                <w:sz w:val="18"/>
                <w:szCs w:val="18"/>
                <w:lang w:val="pl-PL"/>
              </w:rPr>
            </w:pPr>
            <w:r w:rsidRPr="009D4E7A">
              <w:rPr>
                <w:rFonts w:cs="Arial"/>
                <w:sz w:val="18"/>
                <w:szCs w:val="18"/>
                <w:lang w:val="pl-PL"/>
              </w:rPr>
              <w:t>3</w:t>
            </w:r>
            <w:r w:rsidR="00CB5C9B">
              <w:rPr>
                <w:rFonts w:cs="Arial"/>
                <w:sz w:val="18"/>
                <w:szCs w:val="18"/>
                <w:lang w:val="pl-PL"/>
              </w:rPr>
              <w:t>1</w:t>
            </w:r>
            <w:r w:rsidRPr="009D4E7A">
              <w:rPr>
                <w:rFonts w:cs="Arial"/>
                <w:sz w:val="18"/>
                <w:szCs w:val="18"/>
                <w:lang w:val="pl-PL"/>
              </w:rPr>
              <w:t>-</w:t>
            </w:r>
            <w:r w:rsidR="003467AF">
              <w:rPr>
                <w:rFonts w:cs="Arial"/>
                <w:sz w:val="18"/>
                <w:szCs w:val="18"/>
                <w:lang w:val="pl-PL"/>
              </w:rPr>
              <w:t>12</w:t>
            </w:r>
            <w:r w:rsidRPr="009D4E7A">
              <w:rPr>
                <w:rFonts w:cs="Arial"/>
                <w:sz w:val="18"/>
                <w:szCs w:val="18"/>
                <w:lang w:val="pl-PL"/>
              </w:rPr>
              <w:t>-2022</w:t>
            </w:r>
          </w:p>
        </w:tc>
      </w:tr>
      <w:tr w:rsidR="00527E65" w:rsidRPr="009D4E7A" w14:paraId="32633F39" w14:textId="77777777" w:rsidTr="00B03E91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1C46" w14:textId="0F9201D7" w:rsidR="00527E65" w:rsidRPr="009D4E7A" w:rsidRDefault="00527E65" w:rsidP="00527E65">
            <w:pPr>
              <w:pStyle w:val="Akapitzlist"/>
              <w:numPr>
                <w:ilvl w:val="0"/>
                <w:numId w:val="15"/>
              </w:numPr>
              <w:spacing w:line="276" w:lineRule="auto"/>
              <w:jc w:val="left"/>
              <w:rPr>
                <w:rFonts w:cs="Arial"/>
                <w:lang w:val="pl-PL"/>
              </w:rPr>
            </w:pPr>
            <w:r w:rsidRPr="009D4E7A">
              <w:rPr>
                <w:rFonts w:cs="Arial"/>
                <w:lang w:val="pl-PL"/>
              </w:rPr>
              <w:t>Od</w:t>
            </w:r>
            <w:r w:rsidR="00DF5152">
              <w:rPr>
                <w:rFonts w:cs="Arial"/>
                <w:lang w:val="pl-PL"/>
              </w:rPr>
              <w:t>ebrany</w:t>
            </w:r>
            <w:r w:rsidRPr="009D4E7A">
              <w:rPr>
                <w:rFonts w:cs="Arial"/>
                <w:lang w:val="pl-PL"/>
              </w:rPr>
              <w:t xml:space="preserve"> produkt System do Obsługi Postępowań Administracyjnych w Budownictwie</w:t>
            </w:r>
            <w:r>
              <w:rPr>
                <w:rFonts w:cs="Arial"/>
                <w:lang w:val="pl-PL"/>
              </w:rPr>
              <w:t xml:space="preserve"> w wersji MVP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8392" w14:textId="4CC0B58D" w:rsidR="00527E65" w:rsidRPr="009D4E7A" w:rsidRDefault="00527E65" w:rsidP="00527E65">
            <w:pPr>
              <w:spacing w:line="276" w:lineRule="auto"/>
              <w:rPr>
                <w:rFonts w:cs="Arial"/>
                <w:sz w:val="18"/>
                <w:szCs w:val="18"/>
                <w:lang w:val="pl-PL"/>
              </w:rPr>
            </w:pPr>
            <w:r w:rsidRPr="009D4E7A">
              <w:rPr>
                <w:rFonts w:cs="Arial"/>
                <w:sz w:val="18"/>
                <w:szCs w:val="18"/>
                <w:lang w:val="pl-PL"/>
              </w:rPr>
              <w:t>3</w:t>
            </w:r>
            <w:r>
              <w:rPr>
                <w:rFonts w:cs="Arial"/>
                <w:sz w:val="18"/>
                <w:szCs w:val="18"/>
                <w:lang w:val="pl-PL"/>
              </w:rPr>
              <w:t>0</w:t>
            </w:r>
            <w:r w:rsidRPr="009D4E7A">
              <w:rPr>
                <w:rFonts w:cs="Arial"/>
                <w:sz w:val="18"/>
                <w:szCs w:val="18"/>
                <w:lang w:val="pl-PL"/>
              </w:rPr>
              <w:t>-</w:t>
            </w:r>
            <w:r>
              <w:rPr>
                <w:rFonts w:cs="Arial"/>
                <w:sz w:val="18"/>
                <w:szCs w:val="18"/>
                <w:lang w:val="pl-PL"/>
              </w:rPr>
              <w:t>06</w:t>
            </w:r>
            <w:r w:rsidRPr="009D4E7A">
              <w:rPr>
                <w:rFonts w:cs="Arial"/>
                <w:sz w:val="18"/>
                <w:szCs w:val="18"/>
                <w:lang w:val="pl-PL"/>
              </w:rPr>
              <w:t>-2023</w:t>
            </w:r>
          </w:p>
        </w:tc>
      </w:tr>
      <w:tr w:rsidR="00527E65" w:rsidRPr="009D4E7A" w14:paraId="260EF821" w14:textId="77777777" w:rsidTr="00B03E91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1A3F" w14:textId="648D50C1" w:rsidR="00527E65" w:rsidRPr="009D4E7A" w:rsidRDefault="00527E65" w:rsidP="00527E65">
            <w:pPr>
              <w:pStyle w:val="Akapitzlist"/>
              <w:numPr>
                <w:ilvl w:val="0"/>
                <w:numId w:val="15"/>
              </w:numPr>
              <w:spacing w:line="276" w:lineRule="auto"/>
              <w:jc w:val="left"/>
              <w:rPr>
                <w:rFonts w:cs="Arial"/>
                <w:lang w:val="pl-PL"/>
              </w:rPr>
            </w:pPr>
            <w:r w:rsidRPr="009D4E7A">
              <w:rPr>
                <w:rFonts w:cs="Arial"/>
                <w:lang w:val="pl-PL"/>
              </w:rPr>
              <w:t xml:space="preserve">Przeprowadzone szkolenia dla użytkowników końcowych Systemu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D23B" w14:textId="5578769B" w:rsidR="00527E65" w:rsidRPr="009D4E7A" w:rsidRDefault="00527E65" w:rsidP="00527E65">
            <w:pPr>
              <w:spacing w:line="276" w:lineRule="auto"/>
              <w:rPr>
                <w:rFonts w:cs="Arial"/>
                <w:sz w:val="18"/>
                <w:szCs w:val="18"/>
                <w:lang w:val="pl-PL"/>
              </w:rPr>
            </w:pPr>
            <w:r w:rsidRPr="009D4E7A">
              <w:rPr>
                <w:rFonts w:cs="Arial"/>
                <w:sz w:val="18"/>
                <w:szCs w:val="18"/>
                <w:lang w:val="pl-PL"/>
              </w:rPr>
              <w:t>30-0</w:t>
            </w:r>
            <w:r>
              <w:rPr>
                <w:rFonts w:cs="Arial"/>
                <w:sz w:val="18"/>
                <w:szCs w:val="18"/>
                <w:lang w:val="pl-PL"/>
              </w:rPr>
              <w:t>9</w:t>
            </w:r>
            <w:r w:rsidRPr="009D4E7A">
              <w:rPr>
                <w:rFonts w:cs="Arial"/>
                <w:sz w:val="18"/>
                <w:szCs w:val="18"/>
                <w:lang w:val="pl-PL"/>
              </w:rPr>
              <w:t>-2023</w:t>
            </w:r>
          </w:p>
        </w:tc>
      </w:tr>
      <w:tr w:rsidR="00527E65" w:rsidRPr="009D4E7A" w14:paraId="22357411" w14:textId="77777777" w:rsidTr="00B03E91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142E" w14:textId="7BF81D83" w:rsidR="00527E65" w:rsidRPr="009D4E7A" w:rsidRDefault="00527E65" w:rsidP="00527E65">
            <w:pPr>
              <w:pStyle w:val="Akapitzlist"/>
              <w:numPr>
                <w:ilvl w:val="0"/>
                <w:numId w:val="15"/>
              </w:numPr>
              <w:spacing w:line="276" w:lineRule="auto"/>
              <w:jc w:val="left"/>
              <w:rPr>
                <w:rFonts w:cs="Arial"/>
              </w:rPr>
            </w:pPr>
            <w:r w:rsidRPr="009D4E7A">
              <w:rPr>
                <w:rFonts w:cs="Arial"/>
                <w:lang w:val="pl-PL"/>
              </w:rPr>
              <w:t>Zakończ</w:t>
            </w:r>
            <w:r w:rsidR="00DF5152">
              <w:rPr>
                <w:rFonts w:cs="Arial"/>
                <w:lang w:val="pl-PL"/>
              </w:rPr>
              <w:t>one</w:t>
            </w:r>
            <w:r w:rsidRPr="009D4E7A">
              <w:rPr>
                <w:rFonts w:cs="Arial"/>
                <w:lang w:val="pl-PL"/>
              </w:rPr>
              <w:t xml:space="preserve"> działa</w:t>
            </w:r>
            <w:r w:rsidR="00DF5152">
              <w:rPr>
                <w:rFonts w:cs="Arial"/>
                <w:lang w:val="pl-PL"/>
              </w:rPr>
              <w:t>nia</w:t>
            </w:r>
            <w:r w:rsidRPr="009D4E7A">
              <w:rPr>
                <w:rFonts w:cs="Arial"/>
                <w:lang w:val="pl-PL"/>
              </w:rPr>
              <w:t xml:space="preserve"> promocyjn</w:t>
            </w:r>
            <w:r w:rsidR="00DF5152">
              <w:rPr>
                <w:rFonts w:cs="Arial"/>
                <w:lang w:val="pl-PL"/>
              </w:rPr>
              <w:t>e</w:t>
            </w:r>
            <w:r w:rsidRPr="009D4E7A">
              <w:rPr>
                <w:rFonts w:cs="Arial"/>
                <w:lang w:val="pl-PL"/>
              </w:rPr>
              <w:t xml:space="preserve">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2384" w14:textId="421AECD7" w:rsidR="00527E65" w:rsidRPr="009D4E7A" w:rsidRDefault="00527E65" w:rsidP="00527E65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9D4E7A">
              <w:rPr>
                <w:rFonts w:cs="Arial"/>
                <w:sz w:val="18"/>
                <w:szCs w:val="18"/>
                <w:lang w:val="pl-PL"/>
              </w:rPr>
              <w:t>3</w:t>
            </w:r>
            <w:r>
              <w:rPr>
                <w:rFonts w:cs="Arial"/>
                <w:sz w:val="18"/>
                <w:szCs w:val="18"/>
                <w:lang w:val="pl-PL"/>
              </w:rPr>
              <w:t>0</w:t>
            </w:r>
            <w:r w:rsidRPr="009D4E7A">
              <w:rPr>
                <w:rFonts w:cs="Arial"/>
                <w:sz w:val="18"/>
                <w:szCs w:val="18"/>
                <w:lang w:val="pl-PL"/>
              </w:rPr>
              <w:t>-</w:t>
            </w:r>
            <w:r>
              <w:rPr>
                <w:rFonts w:cs="Arial"/>
                <w:sz w:val="18"/>
                <w:szCs w:val="18"/>
                <w:lang w:val="pl-PL"/>
              </w:rPr>
              <w:t>09</w:t>
            </w:r>
            <w:r w:rsidRPr="009D4E7A">
              <w:rPr>
                <w:rFonts w:cs="Arial"/>
                <w:sz w:val="18"/>
                <w:szCs w:val="18"/>
                <w:lang w:val="pl-PL"/>
              </w:rPr>
              <w:t>-2023</w:t>
            </w:r>
          </w:p>
        </w:tc>
      </w:tr>
    </w:tbl>
    <w:p w14:paraId="04A5C9E0" w14:textId="77777777" w:rsidR="000D609E" w:rsidRPr="009D4E7A" w:rsidRDefault="000D609E" w:rsidP="000D609E">
      <w:pPr>
        <w:tabs>
          <w:tab w:val="left" w:pos="4962"/>
        </w:tabs>
        <w:spacing w:before="120" w:after="360"/>
        <w:ind w:right="170"/>
        <w:outlineLvl w:val="1"/>
        <w:rPr>
          <w:sz w:val="20"/>
        </w:rPr>
      </w:pPr>
    </w:p>
    <w:p w14:paraId="3ACFA935" w14:textId="77777777" w:rsidR="00BE3ABC" w:rsidRPr="009D4E7A" w:rsidRDefault="00BE3ABC" w:rsidP="00BE3ABC">
      <w:pPr>
        <w:pStyle w:val="Nagwek1"/>
        <w:rPr>
          <w:rFonts w:cs="Arial"/>
          <w:lang w:val="pl-PL" w:eastAsia="pl-PL"/>
        </w:rPr>
      </w:pPr>
      <w:bookmarkStart w:id="3" w:name="_Toc462924067"/>
      <w:r w:rsidRPr="009D4E7A">
        <w:rPr>
          <w:rFonts w:cs="Arial"/>
          <w:lang w:val="pl-PL" w:eastAsia="pl-PL"/>
        </w:rPr>
        <w:t>KOSZTY</w:t>
      </w:r>
      <w:bookmarkEnd w:id="3"/>
      <w:r w:rsidRPr="009D4E7A">
        <w:rPr>
          <w:rFonts w:cs="Arial"/>
          <w:lang w:val="pl-PL" w:eastAsia="pl-PL"/>
        </w:rPr>
        <w:t xml:space="preserve"> </w:t>
      </w:r>
    </w:p>
    <w:p w14:paraId="1B239F4F" w14:textId="15D48C41" w:rsidR="00BE3ABC" w:rsidRPr="009D4E7A" w:rsidRDefault="00BE3ABC" w:rsidP="00BE3ABC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4" w:name="_Toc462924068"/>
      <w:r w:rsidRPr="009D4E7A">
        <w:rPr>
          <w:lang w:val="pl-PL" w:eastAsia="pl-PL"/>
        </w:rPr>
        <w:t>Koszty ogólne projektu wraz ze sposobem finansowania</w:t>
      </w:r>
      <w:bookmarkEnd w:id="4"/>
      <w:r w:rsidR="008F1104" w:rsidRPr="009D4E7A">
        <w:rPr>
          <w:lang w:val="pl-PL" w:eastAsia="pl-PL"/>
        </w:rPr>
        <w:br/>
      </w:r>
      <w:r w:rsidR="000D609E" w:rsidRPr="009D4E7A">
        <w:rPr>
          <w:lang w:val="pl-PL" w:eastAsia="pl-PL"/>
        </w:rPr>
        <w:br/>
      </w: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2268"/>
        <w:gridCol w:w="4962"/>
      </w:tblGrid>
      <w:tr w:rsidR="00BE3ABC" w:rsidRPr="009D4E7A" w14:paraId="1D804246" w14:textId="77777777" w:rsidTr="00B03E91">
        <w:trPr>
          <w:trHeight w:val="392"/>
        </w:trPr>
        <w:tc>
          <w:tcPr>
            <w:tcW w:w="2409" w:type="dxa"/>
            <w:shd w:val="clear" w:color="auto" w:fill="E7E6E6"/>
          </w:tcPr>
          <w:p w14:paraId="40A34FDF" w14:textId="77777777" w:rsidR="00BE3ABC" w:rsidRPr="009D4E7A" w:rsidRDefault="00BE3ABC" w:rsidP="00B03E91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9D4E7A">
              <w:rPr>
                <w:rFonts w:eastAsia="MS MinNew Roman" w:cs="Arial"/>
                <w:b/>
                <w:bCs/>
                <w:sz w:val="20"/>
                <w:szCs w:val="24"/>
              </w:rPr>
              <w:t>Całkowity koszt projektu (netto oraz brutto), w tym:</w:t>
            </w:r>
          </w:p>
        </w:tc>
        <w:tc>
          <w:tcPr>
            <w:tcW w:w="7230" w:type="dxa"/>
            <w:gridSpan w:val="2"/>
            <w:shd w:val="clear" w:color="auto" w:fill="auto"/>
            <w:vAlign w:val="center"/>
          </w:tcPr>
          <w:p w14:paraId="20BD96E6" w14:textId="1801BFF6" w:rsidR="00BE3ABC" w:rsidRPr="0082292C" w:rsidRDefault="007A5447" w:rsidP="00B03E91">
            <w:pPr>
              <w:rPr>
                <w:rFonts w:cs="Arial"/>
                <w:sz w:val="20"/>
                <w:lang w:eastAsia="pl-PL"/>
              </w:rPr>
            </w:pPr>
            <w:r w:rsidRPr="0082292C">
              <w:rPr>
                <w:rFonts w:cs="Arial"/>
                <w:sz w:val="20"/>
                <w:lang w:eastAsia="pl-PL"/>
              </w:rPr>
              <w:t xml:space="preserve">Brutto: </w:t>
            </w:r>
            <w:r w:rsidR="00D7665B">
              <w:rPr>
                <w:rFonts w:cs="Arial"/>
                <w:sz w:val="20"/>
                <w:lang w:eastAsia="pl-PL"/>
              </w:rPr>
              <w:t>13</w:t>
            </w:r>
            <w:r w:rsidR="00931D93">
              <w:rPr>
                <w:rFonts w:cs="Arial"/>
                <w:sz w:val="20"/>
                <w:lang w:eastAsia="pl-PL"/>
              </w:rPr>
              <w:t xml:space="preserve"> </w:t>
            </w:r>
            <w:r w:rsidR="00D7665B">
              <w:rPr>
                <w:rFonts w:cs="Arial"/>
                <w:sz w:val="20"/>
                <w:lang w:eastAsia="pl-PL"/>
              </w:rPr>
              <w:t>218</w:t>
            </w:r>
            <w:r w:rsidR="00931D93">
              <w:rPr>
                <w:rFonts w:cs="Arial"/>
                <w:sz w:val="20"/>
                <w:lang w:eastAsia="pl-PL"/>
              </w:rPr>
              <w:t xml:space="preserve"> </w:t>
            </w:r>
            <w:r w:rsidR="00D7665B">
              <w:rPr>
                <w:rFonts w:cs="Arial"/>
                <w:sz w:val="20"/>
                <w:lang w:eastAsia="pl-PL"/>
              </w:rPr>
              <w:t>139,46</w:t>
            </w:r>
            <w:r w:rsidR="0082292C">
              <w:rPr>
                <w:rFonts w:cs="Arial"/>
                <w:sz w:val="20"/>
                <w:lang w:eastAsia="pl-PL"/>
              </w:rPr>
              <w:t xml:space="preserve"> </w:t>
            </w:r>
            <w:r w:rsidR="000029F7" w:rsidRPr="0082292C">
              <w:rPr>
                <w:rFonts w:cs="Arial"/>
                <w:sz w:val="20"/>
                <w:lang w:eastAsia="pl-PL"/>
              </w:rPr>
              <w:t>zł</w:t>
            </w:r>
          </w:p>
          <w:p w14:paraId="543C045D" w14:textId="709FC80B" w:rsidR="007A5447" w:rsidRPr="0082292C" w:rsidRDefault="007A5447" w:rsidP="00B03E91">
            <w:pPr>
              <w:rPr>
                <w:rFonts w:cs="Arial"/>
                <w:color w:val="0070C0"/>
                <w:sz w:val="20"/>
                <w:lang w:eastAsia="pl-PL"/>
              </w:rPr>
            </w:pPr>
            <w:r w:rsidRPr="0082292C">
              <w:rPr>
                <w:rFonts w:cs="Arial"/>
                <w:sz w:val="20"/>
                <w:lang w:eastAsia="pl-PL"/>
              </w:rPr>
              <w:t xml:space="preserve">Netto: </w:t>
            </w:r>
            <w:r w:rsidR="00AF0F3B" w:rsidRPr="00AF0F3B">
              <w:rPr>
                <w:rFonts w:cs="Arial"/>
                <w:sz w:val="20"/>
                <w:lang w:eastAsia="pl-PL"/>
              </w:rPr>
              <w:t>11</w:t>
            </w:r>
            <w:r w:rsidR="00AF0F3B">
              <w:rPr>
                <w:rFonts w:cs="Arial"/>
                <w:sz w:val="20"/>
                <w:lang w:eastAsia="pl-PL"/>
              </w:rPr>
              <w:t> </w:t>
            </w:r>
            <w:r w:rsidR="00AF0F3B" w:rsidRPr="00AF0F3B">
              <w:rPr>
                <w:rFonts w:cs="Arial"/>
                <w:sz w:val="20"/>
                <w:lang w:eastAsia="pl-PL"/>
              </w:rPr>
              <w:t>326</w:t>
            </w:r>
            <w:r w:rsidR="00AF0F3B">
              <w:rPr>
                <w:rFonts w:cs="Arial"/>
                <w:sz w:val="20"/>
                <w:lang w:eastAsia="pl-PL"/>
              </w:rPr>
              <w:t xml:space="preserve"> </w:t>
            </w:r>
            <w:r w:rsidR="00AF0F3B" w:rsidRPr="00AF0F3B">
              <w:rPr>
                <w:rFonts w:cs="Arial"/>
                <w:sz w:val="20"/>
                <w:lang w:eastAsia="pl-PL"/>
              </w:rPr>
              <w:t>360,87</w:t>
            </w:r>
            <w:r w:rsidRPr="0082292C">
              <w:rPr>
                <w:rFonts w:cs="Arial"/>
                <w:sz w:val="20"/>
                <w:lang w:eastAsia="pl-PL"/>
              </w:rPr>
              <w:t>zł</w:t>
            </w:r>
          </w:p>
        </w:tc>
      </w:tr>
      <w:tr w:rsidR="00BE3ABC" w:rsidRPr="009D4E7A" w14:paraId="312EDC4C" w14:textId="77777777" w:rsidTr="00B03E91">
        <w:trPr>
          <w:trHeight w:val="82"/>
        </w:trPr>
        <w:tc>
          <w:tcPr>
            <w:tcW w:w="2409" w:type="dxa"/>
            <w:shd w:val="clear" w:color="auto" w:fill="E7E6E6"/>
          </w:tcPr>
          <w:p w14:paraId="5C7B2CC7" w14:textId="77777777" w:rsidR="00BE3ABC" w:rsidRPr="009D4E7A" w:rsidRDefault="00BE3ABC" w:rsidP="00B03E91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9D4E7A">
              <w:rPr>
                <w:rFonts w:cs="Arial"/>
                <w:b/>
                <w:sz w:val="20"/>
              </w:rPr>
              <w:t>Procent</w:t>
            </w:r>
            <w:r w:rsidRPr="009D4E7A">
              <w:rPr>
                <w:rFonts w:cs="Arial"/>
                <w:b/>
                <w:sz w:val="20"/>
                <w:szCs w:val="24"/>
                <w:lang w:eastAsia="pl-PL"/>
              </w:rPr>
              <w:t xml:space="preserve"> dofinansowania</w:t>
            </w:r>
            <w:r w:rsidRPr="009D4E7A">
              <w:rPr>
                <w:rFonts w:cs="Arial"/>
                <w:b/>
                <w:sz w:val="20"/>
              </w:rPr>
              <w:t xml:space="preserve"> ze środków UE</w:t>
            </w:r>
            <w:r w:rsidRPr="009D4E7A">
              <w:rPr>
                <w:rFonts w:cs="Arial"/>
                <w:b/>
                <w:sz w:val="20"/>
                <w:szCs w:val="24"/>
                <w:lang w:eastAsia="pl-PL"/>
              </w:rPr>
              <w:t xml:space="preserve"> (</w:t>
            </w:r>
            <w:r w:rsidRPr="009D4E7A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brutto</w:t>
            </w:r>
            <w:r w:rsidRPr="009D4E7A">
              <w:rPr>
                <w:rFonts w:cs="Arial"/>
                <w:b/>
                <w:sz w:val="20"/>
                <w:szCs w:val="24"/>
                <w:lang w:eastAsia="pl-PL"/>
              </w:rPr>
              <w:t>)</w:t>
            </w:r>
            <w:r w:rsidRPr="009D4E7A">
              <w:rPr>
                <w:rStyle w:val="Odwoanieprzypisudolnego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14:paraId="7C71B4B7" w14:textId="657217EC" w:rsidR="00BE3ABC" w:rsidRPr="009D4E7A" w:rsidRDefault="00523CF0" w:rsidP="00B03E91">
            <w:pPr>
              <w:rPr>
                <w:rFonts w:cs="Arial"/>
                <w:sz w:val="20"/>
                <w:lang w:eastAsia="pl-PL"/>
              </w:rPr>
            </w:pPr>
            <w:r w:rsidRPr="009D4E7A">
              <w:rPr>
                <w:rFonts w:eastAsia="Arial Unicode MS" w:cs="Arial Unicode MS"/>
                <w:sz w:val="20"/>
              </w:rPr>
              <w:t>84,63%</w:t>
            </w:r>
          </w:p>
        </w:tc>
      </w:tr>
      <w:tr w:rsidR="00BE3ABC" w:rsidRPr="009D4E7A" w14:paraId="6F1E6A60" w14:textId="77777777" w:rsidTr="00B03E91">
        <w:trPr>
          <w:trHeight w:val="82"/>
        </w:trPr>
        <w:tc>
          <w:tcPr>
            <w:tcW w:w="2409" w:type="dxa"/>
            <w:shd w:val="clear" w:color="auto" w:fill="E7E6E6"/>
          </w:tcPr>
          <w:p w14:paraId="6DC62759" w14:textId="77777777" w:rsidR="00BE3ABC" w:rsidRPr="009D4E7A" w:rsidRDefault="00BE3ABC" w:rsidP="00B03E91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9D4E7A">
              <w:rPr>
                <w:rFonts w:cs="Arial"/>
                <w:b/>
                <w:sz w:val="20"/>
              </w:rPr>
              <w:t xml:space="preserve">Procent </w:t>
            </w:r>
            <w:r w:rsidRPr="009D4E7A">
              <w:rPr>
                <w:rFonts w:cs="Arial"/>
                <w:b/>
                <w:sz w:val="20"/>
                <w:szCs w:val="24"/>
                <w:lang w:eastAsia="pl-PL"/>
              </w:rPr>
              <w:t xml:space="preserve">środków z budżetu państwa </w:t>
            </w:r>
            <w:r w:rsidRPr="009D4E7A">
              <w:rPr>
                <w:rFonts w:eastAsia="MS MinNew Roman" w:cs="Arial"/>
                <w:b/>
                <w:bCs/>
                <w:sz w:val="20"/>
                <w:szCs w:val="24"/>
                <w:lang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14:paraId="65E07611" w14:textId="650C939F" w:rsidR="00BE3ABC" w:rsidRPr="009D4E7A" w:rsidRDefault="008721DB" w:rsidP="00B03E91">
            <w:pPr>
              <w:spacing w:before="100" w:beforeAutospacing="1" w:after="100" w:afterAutospacing="1"/>
              <w:textAlignment w:val="baseline"/>
              <w:rPr>
                <w:rFonts w:cs="Arial"/>
                <w:bCs/>
                <w:sz w:val="20"/>
                <w:lang w:eastAsia="pl-PL"/>
              </w:rPr>
            </w:pPr>
            <w:r w:rsidRPr="009D4E7A">
              <w:rPr>
                <w:rFonts w:eastAsia="Arial Unicode MS" w:cs="Arial Unicode MS"/>
                <w:sz w:val="20"/>
              </w:rPr>
              <w:t>15,37%</w:t>
            </w:r>
          </w:p>
        </w:tc>
      </w:tr>
      <w:tr w:rsidR="00C80300" w:rsidRPr="009D4E7A" w14:paraId="0625E28C" w14:textId="77777777" w:rsidTr="002051E8">
        <w:trPr>
          <w:trHeight w:val="700"/>
        </w:trPr>
        <w:tc>
          <w:tcPr>
            <w:tcW w:w="2409" w:type="dxa"/>
            <w:vMerge w:val="restart"/>
            <w:shd w:val="clear" w:color="auto" w:fill="E7E6E6"/>
          </w:tcPr>
          <w:p w14:paraId="7CE3DCE8" w14:textId="77777777" w:rsidR="00C80300" w:rsidRPr="009D4E7A" w:rsidRDefault="00C80300" w:rsidP="00B03E91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  <w:r w:rsidRPr="009D4E7A">
              <w:rPr>
                <w:rFonts w:eastAsia="MS MinNew Roman" w:cs="Arial"/>
                <w:b/>
                <w:bCs/>
                <w:sz w:val="20"/>
                <w:szCs w:val="24"/>
              </w:rPr>
              <w:t>Podział całkowitego kosztu projektu na poszczególna lata (netto oraz brutto)</w:t>
            </w:r>
          </w:p>
        </w:tc>
        <w:tc>
          <w:tcPr>
            <w:tcW w:w="2268" w:type="dxa"/>
            <w:shd w:val="clear" w:color="auto" w:fill="FFFFFF"/>
          </w:tcPr>
          <w:p w14:paraId="4C9EB02F" w14:textId="20BC6B86" w:rsidR="00C80300" w:rsidRPr="009D4E7A" w:rsidRDefault="00C80300" w:rsidP="00B03E91">
            <w:pPr>
              <w:pStyle w:val="Legenda"/>
              <w:rPr>
                <w:rFonts w:ascii="Arial" w:hAnsi="Arial" w:cs="Arial"/>
                <w:sz w:val="20"/>
              </w:rPr>
            </w:pPr>
            <w:r w:rsidRPr="009D4E7A">
              <w:rPr>
                <w:rFonts w:ascii="Arial" w:hAnsi="Arial" w:cs="Arial"/>
                <w:sz w:val="20"/>
              </w:rPr>
              <w:t>2022 rok</w:t>
            </w:r>
          </w:p>
        </w:tc>
        <w:tc>
          <w:tcPr>
            <w:tcW w:w="4962" w:type="dxa"/>
            <w:shd w:val="clear" w:color="auto" w:fill="FFFFFF"/>
          </w:tcPr>
          <w:p w14:paraId="318023F9" w14:textId="324CAACC" w:rsidR="00C80300" w:rsidRPr="0082292C" w:rsidRDefault="00C80300" w:rsidP="00BE3ABC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82292C">
              <w:rPr>
                <w:rFonts w:ascii="Arial" w:hAnsi="Arial" w:cs="Arial"/>
                <w:b w:val="0"/>
                <w:sz w:val="20"/>
                <w:szCs w:val="20"/>
              </w:rPr>
              <w:t xml:space="preserve">Brutto: </w:t>
            </w:r>
            <w:r w:rsidR="00931D93">
              <w:rPr>
                <w:rFonts w:ascii="Arial" w:hAnsi="Arial" w:cs="Arial"/>
                <w:b w:val="0"/>
                <w:sz w:val="20"/>
                <w:szCs w:val="20"/>
              </w:rPr>
              <w:t>2 302 258,08</w:t>
            </w:r>
            <w:r w:rsidR="0082292C">
              <w:rPr>
                <w:rFonts w:ascii="Calibri" w:hAnsi="Calibri" w:cs="Calibri"/>
                <w:color w:val="000000"/>
              </w:rPr>
              <w:t xml:space="preserve"> </w:t>
            </w:r>
            <w:r w:rsidRPr="0082292C">
              <w:rPr>
                <w:rFonts w:ascii="Arial" w:hAnsi="Arial" w:cs="Arial"/>
                <w:b w:val="0"/>
                <w:sz w:val="20"/>
                <w:szCs w:val="20"/>
              </w:rPr>
              <w:t>zł</w:t>
            </w:r>
          </w:p>
          <w:p w14:paraId="7ED9D74F" w14:textId="424117D8" w:rsidR="00C80300" w:rsidRPr="0082292C" w:rsidRDefault="00C80300" w:rsidP="007C6F76">
            <w:pPr>
              <w:rPr>
                <w:rFonts w:cs="Arial"/>
                <w:sz w:val="20"/>
              </w:rPr>
            </w:pPr>
            <w:r w:rsidRPr="0082292C">
              <w:rPr>
                <w:sz w:val="20"/>
              </w:rPr>
              <w:t xml:space="preserve">Netto: </w:t>
            </w:r>
            <w:r w:rsidR="00931D93">
              <w:rPr>
                <w:sz w:val="20"/>
              </w:rPr>
              <w:t>2 032 670,97</w:t>
            </w:r>
            <w:r w:rsidRPr="0082292C">
              <w:rPr>
                <w:sz w:val="20"/>
              </w:rPr>
              <w:t>zł</w:t>
            </w:r>
          </w:p>
        </w:tc>
      </w:tr>
      <w:tr w:rsidR="00441780" w:rsidRPr="009D4E7A" w14:paraId="7522F390" w14:textId="77777777" w:rsidTr="00BE3ABC">
        <w:trPr>
          <w:trHeight w:val="480"/>
        </w:trPr>
        <w:tc>
          <w:tcPr>
            <w:tcW w:w="2409" w:type="dxa"/>
            <w:vMerge/>
            <w:shd w:val="clear" w:color="auto" w:fill="E7E6E6"/>
          </w:tcPr>
          <w:p w14:paraId="6E0F7A8E" w14:textId="77777777" w:rsidR="00441780" w:rsidRPr="009D4E7A" w:rsidRDefault="00441780" w:rsidP="00B03E91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62DD9E6F" w14:textId="77777777" w:rsidR="00441780" w:rsidRPr="009D4E7A" w:rsidRDefault="00441780" w:rsidP="00B03E91">
            <w:pPr>
              <w:pStyle w:val="Legenda"/>
              <w:rPr>
                <w:rFonts w:ascii="Arial" w:hAnsi="Arial" w:cs="Arial"/>
                <w:i/>
                <w:sz w:val="20"/>
              </w:rPr>
            </w:pPr>
            <w:r w:rsidRPr="009D4E7A">
              <w:rPr>
                <w:rFonts w:ascii="Arial" w:hAnsi="Arial" w:cs="Arial"/>
                <w:i/>
                <w:sz w:val="20"/>
              </w:rPr>
              <w:t>20</w:t>
            </w:r>
            <w:bookmarkStart w:id="5" w:name="_GoBack"/>
            <w:bookmarkEnd w:id="5"/>
            <w:r w:rsidRPr="009D4E7A">
              <w:rPr>
                <w:rFonts w:ascii="Arial" w:hAnsi="Arial" w:cs="Arial"/>
                <w:i/>
                <w:sz w:val="20"/>
              </w:rPr>
              <w:t>23 rok</w:t>
            </w:r>
          </w:p>
        </w:tc>
        <w:tc>
          <w:tcPr>
            <w:tcW w:w="4962" w:type="dxa"/>
            <w:shd w:val="clear" w:color="auto" w:fill="FFFFFF"/>
          </w:tcPr>
          <w:p w14:paraId="648A5B73" w14:textId="38044DD4" w:rsidR="00441780" w:rsidRPr="0082292C" w:rsidRDefault="007A5447" w:rsidP="00B03E91">
            <w:pPr>
              <w:pStyle w:val="NormalnyWeb"/>
              <w:rPr>
                <w:rFonts w:cs="Arial"/>
                <w:sz w:val="20"/>
              </w:rPr>
            </w:pPr>
            <w:r w:rsidRPr="0082292C">
              <w:rPr>
                <w:rFonts w:cs="Arial"/>
                <w:sz w:val="20"/>
              </w:rPr>
              <w:t>Brutto:</w:t>
            </w:r>
            <w:r w:rsidR="00E951EB">
              <w:rPr>
                <w:rFonts w:cs="Arial"/>
                <w:sz w:val="20"/>
              </w:rPr>
              <w:t xml:space="preserve"> </w:t>
            </w:r>
            <w:r w:rsidR="00AF0F3B" w:rsidRPr="00AF0F3B">
              <w:rPr>
                <w:rFonts w:cs="Arial"/>
                <w:sz w:val="20"/>
              </w:rPr>
              <w:t>10</w:t>
            </w:r>
            <w:r w:rsidR="00AF0F3B">
              <w:rPr>
                <w:rFonts w:cs="Arial"/>
                <w:sz w:val="20"/>
              </w:rPr>
              <w:t> </w:t>
            </w:r>
            <w:r w:rsidR="00AF0F3B" w:rsidRPr="00AF0F3B">
              <w:rPr>
                <w:rFonts w:cs="Arial"/>
                <w:sz w:val="20"/>
              </w:rPr>
              <w:t>880</w:t>
            </w:r>
            <w:r w:rsidR="00AF0F3B">
              <w:rPr>
                <w:rFonts w:cs="Arial"/>
                <w:sz w:val="20"/>
              </w:rPr>
              <w:t xml:space="preserve"> </w:t>
            </w:r>
            <w:r w:rsidR="00AF0F3B" w:rsidRPr="00AF0F3B">
              <w:rPr>
                <w:rFonts w:cs="Arial"/>
                <w:sz w:val="20"/>
              </w:rPr>
              <w:t>740,28</w:t>
            </w:r>
            <w:r w:rsidR="00D26B4F" w:rsidRPr="0082292C">
              <w:rPr>
                <w:rFonts w:cs="Arial"/>
                <w:sz w:val="20"/>
              </w:rPr>
              <w:t>zł</w:t>
            </w:r>
          </w:p>
          <w:p w14:paraId="6B13E41C" w14:textId="31F4420E" w:rsidR="007A5447" w:rsidRPr="0082292C" w:rsidRDefault="007A5447" w:rsidP="00B03E91">
            <w:pPr>
              <w:pStyle w:val="NormalnyWeb"/>
              <w:rPr>
                <w:rFonts w:cs="Arial"/>
                <w:sz w:val="20"/>
              </w:rPr>
            </w:pPr>
            <w:r w:rsidRPr="0082292C">
              <w:rPr>
                <w:rFonts w:cs="Arial"/>
                <w:sz w:val="20"/>
              </w:rPr>
              <w:t xml:space="preserve">Netto: </w:t>
            </w:r>
            <w:r w:rsidR="00AF0F3B" w:rsidRPr="00AF0F3B">
              <w:rPr>
                <w:rFonts w:cs="Arial"/>
                <w:sz w:val="20"/>
              </w:rPr>
              <w:t>9</w:t>
            </w:r>
            <w:r w:rsidR="00AF0F3B">
              <w:rPr>
                <w:rFonts w:cs="Arial"/>
                <w:sz w:val="20"/>
              </w:rPr>
              <w:t> </w:t>
            </w:r>
            <w:r w:rsidR="00AF0F3B" w:rsidRPr="00AF0F3B">
              <w:rPr>
                <w:rFonts w:cs="Arial"/>
                <w:sz w:val="20"/>
              </w:rPr>
              <w:t>293</w:t>
            </w:r>
            <w:r w:rsidR="00AF0F3B">
              <w:rPr>
                <w:rFonts w:cs="Arial"/>
                <w:sz w:val="20"/>
              </w:rPr>
              <w:t xml:space="preserve"> </w:t>
            </w:r>
            <w:r w:rsidR="00AF0F3B" w:rsidRPr="00AF0F3B">
              <w:rPr>
                <w:rFonts w:cs="Arial"/>
                <w:sz w:val="20"/>
              </w:rPr>
              <w:t>689,9</w:t>
            </w:r>
            <w:r w:rsidR="00AF0F3B">
              <w:rPr>
                <w:rFonts w:cs="Arial"/>
                <w:sz w:val="20"/>
              </w:rPr>
              <w:t>0</w:t>
            </w:r>
            <w:r w:rsidRPr="0082292C">
              <w:rPr>
                <w:rFonts w:cs="Arial"/>
                <w:sz w:val="20"/>
              </w:rPr>
              <w:t>zł</w:t>
            </w:r>
          </w:p>
        </w:tc>
      </w:tr>
      <w:tr w:rsidR="00441780" w:rsidRPr="009D4E7A" w14:paraId="2C974172" w14:textId="77777777" w:rsidTr="00BE3ABC">
        <w:trPr>
          <w:trHeight w:val="480"/>
        </w:trPr>
        <w:tc>
          <w:tcPr>
            <w:tcW w:w="2409" w:type="dxa"/>
            <w:vMerge/>
            <w:shd w:val="clear" w:color="auto" w:fill="E7E6E6"/>
          </w:tcPr>
          <w:p w14:paraId="17DE386C" w14:textId="77777777" w:rsidR="00441780" w:rsidRPr="009D4E7A" w:rsidRDefault="00441780" w:rsidP="00B03E91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43273AEF" w14:textId="47E4A1C7" w:rsidR="00441780" w:rsidRPr="009D4E7A" w:rsidRDefault="00441780" w:rsidP="00B03E91">
            <w:pPr>
              <w:pStyle w:val="Legenda"/>
              <w:rPr>
                <w:rFonts w:ascii="Arial" w:hAnsi="Arial" w:cs="Arial"/>
                <w:i/>
                <w:sz w:val="20"/>
              </w:rPr>
            </w:pPr>
            <w:r w:rsidRPr="009D4E7A">
              <w:rPr>
                <w:rFonts w:ascii="Arial" w:hAnsi="Arial" w:cs="Arial"/>
                <w:i/>
                <w:sz w:val="20"/>
              </w:rPr>
              <w:t>2024 rok</w:t>
            </w:r>
          </w:p>
        </w:tc>
        <w:tc>
          <w:tcPr>
            <w:tcW w:w="4962" w:type="dxa"/>
            <w:shd w:val="clear" w:color="auto" w:fill="FFFFFF"/>
          </w:tcPr>
          <w:p w14:paraId="530CC966" w14:textId="0B20759A" w:rsidR="00441780" w:rsidRPr="009D4E7A" w:rsidRDefault="00D26B4F" w:rsidP="00B03E91">
            <w:pPr>
              <w:pStyle w:val="NormalnyWeb"/>
              <w:rPr>
                <w:rFonts w:cs="Arial"/>
                <w:sz w:val="20"/>
              </w:rPr>
            </w:pPr>
            <w:r w:rsidRPr="009D4E7A">
              <w:rPr>
                <w:rFonts w:cs="Arial"/>
                <w:sz w:val="20"/>
              </w:rPr>
              <w:t xml:space="preserve">Nie dotyczy </w:t>
            </w:r>
          </w:p>
        </w:tc>
      </w:tr>
      <w:tr w:rsidR="00441780" w:rsidRPr="009D4E7A" w14:paraId="430774F8" w14:textId="77777777" w:rsidTr="00BE3ABC">
        <w:trPr>
          <w:trHeight w:val="480"/>
        </w:trPr>
        <w:tc>
          <w:tcPr>
            <w:tcW w:w="2409" w:type="dxa"/>
            <w:vMerge/>
            <w:shd w:val="clear" w:color="auto" w:fill="E7E6E6"/>
          </w:tcPr>
          <w:p w14:paraId="1427E47C" w14:textId="77777777" w:rsidR="00441780" w:rsidRPr="009D4E7A" w:rsidRDefault="00441780" w:rsidP="00B03E91">
            <w:pPr>
              <w:rPr>
                <w:rFonts w:eastAsia="MS MinNew Roman" w:cs="Arial"/>
                <w:b/>
                <w:bCs/>
                <w:sz w:val="20"/>
                <w:szCs w:val="24"/>
              </w:rPr>
            </w:pPr>
          </w:p>
        </w:tc>
        <w:tc>
          <w:tcPr>
            <w:tcW w:w="2268" w:type="dxa"/>
            <w:shd w:val="clear" w:color="auto" w:fill="FFFFFF"/>
          </w:tcPr>
          <w:p w14:paraId="59752F1B" w14:textId="2BFE0913" w:rsidR="00441780" w:rsidRPr="009D4E7A" w:rsidRDefault="00441780" w:rsidP="00B03E91">
            <w:pPr>
              <w:pStyle w:val="Legenda"/>
              <w:rPr>
                <w:rFonts w:ascii="Arial" w:hAnsi="Arial" w:cs="Arial"/>
                <w:i/>
                <w:sz w:val="20"/>
              </w:rPr>
            </w:pPr>
            <w:r w:rsidRPr="009D4E7A">
              <w:rPr>
                <w:rFonts w:ascii="Arial" w:hAnsi="Arial" w:cs="Arial"/>
                <w:i/>
                <w:sz w:val="20"/>
              </w:rPr>
              <w:t>2025 rok</w:t>
            </w:r>
          </w:p>
        </w:tc>
        <w:tc>
          <w:tcPr>
            <w:tcW w:w="4962" w:type="dxa"/>
            <w:shd w:val="clear" w:color="auto" w:fill="FFFFFF"/>
          </w:tcPr>
          <w:p w14:paraId="7F9CF246" w14:textId="6D6CC2CB" w:rsidR="00441780" w:rsidRPr="009D4E7A" w:rsidRDefault="00D26B4F" w:rsidP="00B03E91">
            <w:pPr>
              <w:pStyle w:val="NormalnyWeb"/>
              <w:rPr>
                <w:rFonts w:cs="Arial"/>
                <w:sz w:val="20"/>
              </w:rPr>
            </w:pPr>
            <w:r w:rsidRPr="009D4E7A">
              <w:rPr>
                <w:rFonts w:cs="Arial"/>
                <w:sz w:val="20"/>
              </w:rPr>
              <w:t>Nie dotyczy</w:t>
            </w:r>
          </w:p>
        </w:tc>
      </w:tr>
    </w:tbl>
    <w:p w14:paraId="58E6E302" w14:textId="77777777" w:rsidR="00BE3ABC" w:rsidRPr="009D4E7A" w:rsidRDefault="00BE3ABC" w:rsidP="00BE3ABC">
      <w:pPr>
        <w:tabs>
          <w:tab w:val="left" w:pos="4962"/>
        </w:tabs>
        <w:spacing w:before="120" w:after="360"/>
        <w:ind w:right="170"/>
        <w:outlineLvl w:val="1"/>
      </w:pPr>
    </w:p>
    <w:p w14:paraId="2C9F9BC5" w14:textId="77777777" w:rsidR="00BE3ABC" w:rsidRPr="009D4E7A" w:rsidRDefault="00BE3ABC" w:rsidP="00F76B27">
      <w:pPr>
        <w:pStyle w:val="Nagwek2"/>
        <w:numPr>
          <w:ilvl w:val="1"/>
          <w:numId w:val="6"/>
        </w:numPr>
        <w:tabs>
          <w:tab w:val="num" w:pos="1134"/>
        </w:tabs>
        <w:rPr>
          <w:lang w:val="pl-PL" w:eastAsia="pl-PL"/>
        </w:rPr>
      </w:pPr>
      <w:bookmarkStart w:id="6" w:name="_Toc462924069"/>
      <w:r w:rsidRPr="009D4E7A">
        <w:rPr>
          <w:lang w:val="pl-PL" w:eastAsia="pl-PL"/>
        </w:rPr>
        <w:t xml:space="preserve"> </w:t>
      </w:r>
      <w:bookmarkStart w:id="7" w:name="_Hlk75189414"/>
      <w:r w:rsidRPr="009D4E7A">
        <w:rPr>
          <w:lang w:val="pl-PL" w:eastAsia="pl-PL"/>
        </w:rPr>
        <w:t>Wykaz poszczególnych pozycji kosztowych</w:t>
      </w:r>
      <w:bookmarkEnd w:id="6"/>
      <w:r w:rsidRPr="009D4E7A">
        <w:rPr>
          <w:lang w:val="pl-PL" w:eastAsia="pl-PL"/>
        </w:rPr>
        <w:t xml:space="preserve"> </w:t>
      </w:r>
      <w:bookmarkEnd w:id="7"/>
    </w:p>
    <w:tbl>
      <w:tblPr>
        <w:tblW w:w="992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2"/>
        <w:gridCol w:w="2552"/>
        <w:gridCol w:w="1701"/>
        <w:gridCol w:w="3827"/>
      </w:tblGrid>
      <w:tr w:rsidR="00DF5152" w:rsidRPr="009D4E7A" w14:paraId="3133D165" w14:textId="77777777" w:rsidTr="00A41DF8">
        <w:trPr>
          <w:trHeight w:val="724"/>
        </w:trPr>
        <w:tc>
          <w:tcPr>
            <w:tcW w:w="4394" w:type="dxa"/>
            <w:gridSpan w:val="2"/>
            <w:shd w:val="clear" w:color="auto" w:fill="D9D9D9" w:themeFill="background1" w:themeFillShade="D9"/>
            <w:vAlign w:val="center"/>
          </w:tcPr>
          <w:p w14:paraId="51F1186A" w14:textId="77777777" w:rsidR="00DF5152" w:rsidRPr="009D4E7A" w:rsidRDefault="00DF5152" w:rsidP="00B03E91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r w:rsidRPr="009D4E7A">
              <w:rPr>
                <w:rFonts w:eastAsia="MS MinNew Roman" w:cs="Arial"/>
                <w:b/>
                <w:bCs/>
                <w:sz w:val="20"/>
              </w:rPr>
              <w:t>Nazwa pozycji kosztowej:</w:t>
            </w:r>
          </w:p>
          <w:p w14:paraId="0913D99A" w14:textId="77777777" w:rsidR="00DF5152" w:rsidRPr="009D4E7A" w:rsidRDefault="00DF5152" w:rsidP="00B03E9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3C01291" w14:textId="01071DEE" w:rsidR="00DF5152" w:rsidRPr="009D4E7A" w:rsidRDefault="00DF5152" w:rsidP="00B03E9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E7A">
              <w:rPr>
                <w:rFonts w:ascii="Arial" w:hAnsi="Arial" w:cs="Arial"/>
                <w:sz w:val="20"/>
                <w:szCs w:val="20"/>
              </w:rPr>
              <w:t>Przewidywany koszt brutto:</w:t>
            </w:r>
          </w:p>
          <w:p w14:paraId="3A952F39" w14:textId="77777777" w:rsidR="00DF5152" w:rsidRPr="009D4E7A" w:rsidRDefault="00DF5152" w:rsidP="00B03E9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084182CA" w14:textId="77777777" w:rsidR="00DF5152" w:rsidRPr="009D4E7A" w:rsidRDefault="00DF5152" w:rsidP="00B03E91">
            <w:pPr>
              <w:pStyle w:val="Legenda"/>
              <w:tabs>
                <w:tab w:val="left" w:pos="58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E7A">
              <w:rPr>
                <w:rFonts w:ascii="Arial" w:hAnsi="Arial" w:cs="Arial"/>
                <w:sz w:val="20"/>
                <w:szCs w:val="20"/>
              </w:rPr>
              <w:t>Uzasadnienie pozycji kosztowej (przeznaczenie):</w:t>
            </w:r>
          </w:p>
          <w:p w14:paraId="54433422" w14:textId="77777777" w:rsidR="00DF5152" w:rsidRPr="009D4E7A" w:rsidRDefault="00DF5152" w:rsidP="00B03E9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</w:rPr>
            </w:pPr>
          </w:p>
        </w:tc>
      </w:tr>
      <w:tr w:rsidR="00DF5152" w:rsidRPr="009D4E7A" w14:paraId="6862825B" w14:textId="77777777" w:rsidTr="00A41DF8">
        <w:trPr>
          <w:trHeight w:val="383"/>
        </w:trPr>
        <w:tc>
          <w:tcPr>
            <w:tcW w:w="1842" w:type="dxa"/>
            <w:shd w:val="clear" w:color="auto" w:fill="auto"/>
            <w:vAlign w:val="center"/>
          </w:tcPr>
          <w:p w14:paraId="2BF4EFC0" w14:textId="77777777" w:rsidR="00DF5152" w:rsidRPr="009D4E7A" w:rsidRDefault="00DF5152" w:rsidP="00B03E91">
            <w:pPr>
              <w:rPr>
                <w:rFonts w:eastAsia="MS MinNew Roman" w:cs="Arial"/>
                <w:bCs/>
                <w:sz w:val="20"/>
              </w:rPr>
            </w:pPr>
            <w:r w:rsidRPr="009D4E7A">
              <w:rPr>
                <w:rFonts w:eastAsia="MS MinNew Roman" w:cs="Arial"/>
                <w:bCs/>
                <w:sz w:val="20"/>
              </w:rPr>
              <w:t>Oprogramowanie</w:t>
            </w:r>
          </w:p>
        </w:tc>
        <w:tc>
          <w:tcPr>
            <w:tcW w:w="2552" w:type="dxa"/>
          </w:tcPr>
          <w:p w14:paraId="780E7A46" w14:textId="4A71D3F5" w:rsidR="00DF5152" w:rsidRDefault="00DF5152" w:rsidP="00DF5152">
            <w:pPr>
              <w:rPr>
                <w:rFonts w:eastAsia="Arial Unicode MS" w:cs="Arial"/>
                <w:bCs/>
                <w:kern w:val="1"/>
                <w:sz w:val="20"/>
              </w:rPr>
            </w:pPr>
            <w:r>
              <w:rPr>
                <w:rFonts w:eastAsia="Arial Unicode MS" w:cs="Arial"/>
                <w:bCs/>
                <w:kern w:val="1"/>
                <w:sz w:val="20"/>
              </w:rPr>
              <w:t>Koszt budowy i wdrożenia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E9E6D57" w14:textId="598FADE1" w:rsidR="00DF5152" w:rsidRPr="00E951EB" w:rsidRDefault="00DF5152" w:rsidP="00E951EB">
            <w:pPr>
              <w:rPr>
                <w:rFonts w:eastAsia="Arial Unicode MS" w:cs="Arial"/>
                <w:bCs/>
                <w:kern w:val="1"/>
                <w:sz w:val="20"/>
              </w:rPr>
            </w:pPr>
            <w:r>
              <w:rPr>
                <w:rFonts w:eastAsia="Arial Unicode MS" w:cs="Arial"/>
                <w:bCs/>
                <w:kern w:val="1"/>
                <w:sz w:val="20"/>
              </w:rPr>
              <w:t xml:space="preserve">5 680 092,20 </w:t>
            </w:r>
            <w:r w:rsidRPr="009D4E7A">
              <w:rPr>
                <w:rFonts w:cs="Arial"/>
                <w:sz w:val="20"/>
              </w:rPr>
              <w:t>zł</w:t>
            </w:r>
          </w:p>
        </w:tc>
        <w:tc>
          <w:tcPr>
            <w:tcW w:w="3827" w:type="dxa"/>
            <w:shd w:val="clear" w:color="auto" w:fill="FFFFFF"/>
          </w:tcPr>
          <w:p w14:paraId="753E0C15" w14:textId="1ACF54BC" w:rsidR="00DF5152" w:rsidRPr="009D4E7A" w:rsidRDefault="00DF5152" w:rsidP="007C6F76">
            <w:pPr>
              <w:jc w:val="both"/>
              <w:rPr>
                <w:lang w:eastAsia="pl-PL"/>
              </w:rPr>
            </w:pPr>
            <w:r w:rsidRPr="009D4E7A">
              <w:rPr>
                <w:rFonts w:eastAsia="MS MinNew Roman" w:cs="Arial"/>
                <w:bCs/>
                <w:sz w:val="20"/>
              </w:rPr>
              <w:t xml:space="preserve">Koszt budowy i wdrożenia Systemu do Obsługi Postępowań Administracyjnych </w:t>
            </w:r>
            <w:r w:rsidRPr="009D4E7A">
              <w:rPr>
                <w:rFonts w:eastAsia="MS MinNew Roman" w:cs="Arial"/>
                <w:bCs/>
                <w:sz w:val="20"/>
              </w:rPr>
              <w:lastRenderedPageBreak/>
              <w:t xml:space="preserve">w Budownictwie oraz integracji z istniejącymi systemami, w tym koszt gwarancji i asysty technicznej </w:t>
            </w:r>
            <w:r w:rsidRPr="009D4E7A">
              <w:rPr>
                <w:rFonts w:cs="Arial"/>
                <w:sz w:val="20"/>
                <w:lang w:eastAsia="pl-PL"/>
              </w:rPr>
              <w:t>oraz konfiguracja systemu w infrastrukturze chmurowej.</w:t>
            </w:r>
            <w:r w:rsidRPr="009D4E7A">
              <w:rPr>
                <w:sz w:val="20"/>
                <w:lang w:eastAsia="pl-PL"/>
              </w:rPr>
              <w:t xml:space="preserve"> </w:t>
            </w:r>
          </w:p>
        </w:tc>
      </w:tr>
      <w:tr w:rsidR="00DF5152" w:rsidRPr="009D4E7A" w:rsidDel="00CC0813" w14:paraId="4D1B8495" w14:textId="77777777" w:rsidTr="00A41DF8">
        <w:trPr>
          <w:trHeight w:val="432"/>
        </w:trPr>
        <w:tc>
          <w:tcPr>
            <w:tcW w:w="1842" w:type="dxa"/>
            <w:shd w:val="clear" w:color="auto" w:fill="auto"/>
            <w:vAlign w:val="center"/>
          </w:tcPr>
          <w:p w14:paraId="262FB94C" w14:textId="074F6E13" w:rsidR="00DF5152" w:rsidRPr="009D4E7A" w:rsidDel="00CC0813" w:rsidRDefault="00DF5152" w:rsidP="00B03E91">
            <w:pPr>
              <w:rPr>
                <w:rFonts w:cs="Arial"/>
                <w:sz w:val="20"/>
                <w:lang w:eastAsia="pl-PL"/>
              </w:rPr>
            </w:pPr>
            <w:r w:rsidRPr="009D4E7A">
              <w:rPr>
                <w:rFonts w:cs="Arial"/>
                <w:sz w:val="20"/>
                <w:lang w:eastAsia="pl-PL"/>
              </w:rPr>
              <w:lastRenderedPageBreak/>
              <w:t xml:space="preserve">Infrastruktura </w:t>
            </w:r>
          </w:p>
        </w:tc>
        <w:tc>
          <w:tcPr>
            <w:tcW w:w="2552" w:type="dxa"/>
          </w:tcPr>
          <w:p w14:paraId="64E29741" w14:textId="38B098AC" w:rsidR="00DF5152" w:rsidRDefault="00DF5152" w:rsidP="00A41DF8">
            <w:pPr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>
              <w:rPr>
                <w:sz w:val="20"/>
              </w:rPr>
              <w:t>K</w:t>
            </w:r>
            <w:r w:rsidRPr="009D4E7A">
              <w:rPr>
                <w:sz w:val="20"/>
              </w:rPr>
              <w:t xml:space="preserve">oszty konfiguracji i usługi PaaS zasobów IT w chmurze </w:t>
            </w:r>
            <w:r>
              <w:rPr>
                <w:sz w:val="20"/>
              </w:rPr>
              <w:t>o</w:t>
            </w:r>
            <w:r w:rsidRPr="009D4E7A">
              <w:rPr>
                <w:sz w:val="20"/>
              </w:rPr>
              <w:t>bliczeniowej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FE46317" w14:textId="5E75B661" w:rsidR="00DF5152" w:rsidRPr="00E951EB" w:rsidDel="00CC0813" w:rsidRDefault="00DF5152" w:rsidP="00E951EB">
            <w:pPr>
              <w:jc w:val="center"/>
              <w:rPr>
                <w:rFonts w:eastAsia="Arial Unicode MS" w:cs="Arial"/>
                <w:bCs/>
                <w:kern w:val="1"/>
                <w:sz w:val="20"/>
                <w:lang w:eastAsia="pl-PL"/>
              </w:rPr>
            </w:pPr>
            <w:r>
              <w:rPr>
                <w:rFonts w:eastAsia="Arial Unicode MS" w:cs="Arial"/>
                <w:bCs/>
                <w:kern w:val="1"/>
                <w:sz w:val="20"/>
                <w:lang w:eastAsia="pl-PL"/>
              </w:rPr>
              <w:t xml:space="preserve">821 117,00 </w:t>
            </w:r>
            <w:r w:rsidRPr="009D4E7A">
              <w:rPr>
                <w:rFonts w:cs="Arial"/>
                <w:sz w:val="20"/>
                <w:lang w:eastAsia="pl-PL"/>
              </w:rPr>
              <w:t>zł</w:t>
            </w:r>
          </w:p>
        </w:tc>
        <w:tc>
          <w:tcPr>
            <w:tcW w:w="3827" w:type="dxa"/>
            <w:shd w:val="clear" w:color="auto" w:fill="FFFFFF"/>
          </w:tcPr>
          <w:p w14:paraId="47BA31F6" w14:textId="0296E31D" w:rsidR="00DF5152" w:rsidRPr="009D4E7A" w:rsidDel="00CC0813" w:rsidRDefault="00DF5152" w:rsidP="000F4615">
            <w:pPr>
              <w:rPr>
                <w:sz w:val="20"/>
              </w:rPr>
            </w:pPr>
            <w:r w:rsidRPr="009D4E7A">
              <w:rPr>
                <w:sz w:val="20"/>
              </w:rPr>
              <w:t xml:space="preserve">Pozycja obejmuje koszty konfiguracji i usługi PaaS zasobów IT w chmurze </w:t>
            </w:r>
            <w:r>
              <w:rPr>
                <w:sz w:val="20"/>
              </w:rPr>
              <w:t>o</w:t>
            </w:r>
            <w:r w:rsidRPr="009D4E7A">
              <w:rPr>
                <w:sz w:val="20"/>
              </w:rPr>
              <w:t xml:space="preserve">bliczeniowej, które wynikają z wyboru takiego wariantu rozwiązania sprzętowego dla SOPAB. Docelowo system zostanie </w:t>
            </w:r>
            <w:proofErr w:type="spellStart"/>
            <w:r w:rsidRPr="009D4E7A">
              <w:rPr>
                <w:sz w:val="20"/>
              </w:rPr>
              <w:t>zmigrowany</w:t>
            </w:r>
            <w:proofErr w:type="spellEnd"/>
            <w:r w:rsidRPr="009D4E7A">
              <w:rPr>
                <w:sz w:val="20"/>
              </w:rPr>
              <w:t xml:space="preserve"> do chmury rządowej utrzymywanej w ramach Wspólnej Infrastruktury Informatycznej Państwa (WIIP).</w:t>
            </w:r>
          </w:p>
        </w:tc>
      </w:tr>
      <w:tr w:rsidR="00DF5152" w:rsidRPr="009D4E7A" w:rsidDel="00CC0813" w14:paraId="6040C5D0" w14:textId="77777777" w:rsidTr="00A41DF8">
        <w:trPr>
          <w:trHeight w:val="395"/>
        </w:trPr>
        <w:tc>
          <w:tcPr>
            <w:tcW w:w="1842" w:type="dxa"/>
            <w:shd w:val="clear" w:color="auto" w:fill="auto"/>
            <w:vAlign w:val="center"/>
          </w:tcPr>
          <w:p w14:paraId="33BA1648" w14:textId="77777777" w:rsidR="00DF5152" w:rsidRPr="009D4E7A" w:rsidDel="00CC0813" w:rsidRDefault="00DF5152" w:rsidP="00B03E9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Koszty UX i grafiki</w:t>
            </w:r>
          </w:p>
        </w:tc>
        <w:tc>
          <w:tcPr>
            <w:tcW w:w="2552" w:type="dxa"/>
          </w:tcPr>
          <w:p w14:paraId="784E1936" w14:textId="2407631B" w:rsidR="00DF5152" w:rsidRDefault="00AA0F00" w:rsidP="00DF515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Koszty szaty graficznej tworzonych rozwiązań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4F58CF2" w14:textId="63D187A8" w:rsidR="00DF5152" w:rsidRPr="009D4E7A" w:rsidDel="00CC0813" w:rsidRDefault="00DF5152" w:rsidP="00B03E9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717 605,30</w:t>
            </w:r>
            <w:r w:rsidRPr="009D4E7A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3827" w:type="dxa"/>
            <w:shd w:val="clear" w:color="auto" w:fill="FFFFFF"/>
          </w:tcPr>
          <w:p w14:paraId="597582D7" w14:textId="6543F98F" w:rsidR="00DF5152" w:rsidRPr="009D4E7A" w:rsidRDefault="00DF5152" w:rsidP="007C6F76">
            <w:pPr>
              <w:pStyle w:val="Legenda"/>
              <w:jc w:val="both"/>
              <w:rPr>
                <w:rFonts w:ascii="Arial" w:eastAsia="Arial" w:hAnsi="Arial" w:cs="Arial"/>
                <w:b w:val="0"/>
                <w:bCs w:val="0"/>
                <w:sz w:val="20"/>
                <w:szCs w:val="20"/>
              </w:rPr>
            </w:pPr>
            <w:r w:rsidRPr="009D4E7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Koszty związane z przygotowaniem i dostosowaniem szaty graficznej tworzonych rozwiązań do potrzeb osób ze specjalnymi potrzebami, WCAG 2.1. etc. </w:t>
            </w:r>
          </w:p>
          <w:p w14:paraId="5B2CC9A6" w14:textId="782C05C1" w:rsidR="00DF5152" w:rsidRPr="009D4E7A" w:rsidDel="00CC0813" w:rsidRDefault="00DF5152" w:rsidP="007C6F76">
            <w:pPr>
              <w:jc w:val="both"/>
              <w:rPr>
                <w:lang w:eastAsia="pl-PL"/>
              </w:rPr>
            </w:pPr>
            <w:r w:rsidRPr="009D4E7A">
              <w:rPr>
                <w:sz w:val="20"/>
              </w:rPr>
              <w:t>Zakłada się przeprowadzenie ankiet wśród użytkowników w kontekście oceny użyteczności dostarczonych funkcji, sposobu obsługi i elementów wizualizacyjnych systemu (</w:t>
            </w:r>
            <w:proofErr w:type="spellStart"/>
            <w:r w:rsidRPr="009D4E7A">
              <w:rPr>
                <w:sz w:val="20"/>
              </w:rPr>
              <w:t>bezkosztowo</w:t>
            </w:r>
            <w:proofErr w:type="spellEnd"/>
            <w:r w:rsidRPr="009D4E7A">
              <w:rPr>
                <w:sz w:val="20"/>
              </w:rPr>
              <w:t>); testowanie prototypów i pilotaż rozwiązania testowego w celu zebrania doświadczeń do wytworzenia i wdrożenia wersji produkcyjnej.</w:t>
            </w:r>
          </w:p>
        </w:tc>
      </w:tr>
      <w:tr w:rsidR="00DF5152" w:rsidRPr="009D4E7A" w14:paraId="7F231EBE" w14:textId="77777777" w:rsidTr="00A41DF8">
        <w:trPr>
          <w:trHeight w:val="395"/>
        </w:trPr>
        <w:tc>
          <w:tcPr>
            <w:tcW w:w="1842" w:type="dxa"/>
            <w:shd w:val="clear" w:color="auto" w:fill="auto"/>
            <w:vAlign w:val="center"/>
          </w:tcPr>
          <w:p w14:paraId="2FF1949B" w14:textId="77777777" w:rsidR="00DF5152" w:rsidRPr="009D4E7A" w:rsidRDefault="00DF5152" w:rsidP="00B03E9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Bezpieczeństwo</w:t>
            </w:r>
          </w:p>
        </w:tc>
        <w:tc>
          <w:tcPr>
            <w:tcW w:w="2552" w:type="dxa"/>
          </w:tcPr>
          <w:p w14:paraId="55A7C13F" w14:textId="3EF9BDAB" w:rsidR="00DF5152" w:rsidRDefault="00AA0F00" w:rsidP="00DF515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Koszt weryfikacji poziomu bezpieczeństwa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1DEC231" w14:textId="672A1D02" w:rsidR="00DF5152" w:rsidRPr="009D4E7A" w:rsidRDefault="00DF5152" w:rsidP="00B03E9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817 212,01 </w:t>
            </w: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zł</w:t>
            </w:r>
          </w:p>
        </w:tc>
        <w:tc>
          <w:tcPr>
            <w:tcW w:w="3827" w:type="dxa"/>
            <w:shd w:val="clear" w:color="auto" w:fill="FFFFFF"/>
          </w:tcPr>
          <w:p w14:paraId="39CCC15F" w14:textId="2FE53F16" w:rsidR="00DF5152" w:rsidRPr="009D4E7A" w:rsidRDefault="00DF5152" w:rsidP="007C6F76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 xml:space="preserve">Nakład niezbędny do weryfikacji poziomu bezpieczeństwa systemu oraz ochrony przetwarzanych danych osobowych (niezależnie od wymagań w zakresie bezpieczeństwa sformułowanych wobec dostawcy usługi chmurowej). Zadanie zostanie zlecone profesjonalnej firmie świadczącej usługi audytowe w </w:t>
            </w:r>
            <w:r w:rsidRPr="009D4E7A">
              <w:rPr>
                <w:bCs/>
                <w:sz w:val="20"/>
              </w:rPr>
              <w:t>zakresie IT.</w:t>
            </w:r>
          </w:p>
        </w:tc>
      </w:tr>
      <w:tr w:rsidR="00DF5152" w:rsidRPr="009D4E7A" w14:paraId="5097D101" w14:textId="77777777" w:rsidTr="00A41DF8">
        <w:trPr>
          <w:trHeight w:val="395"/>
        </w:trPr>
        <w:tc>
          <w:tcPr>
            <w:tcW w:w="1842" w:type="dxa"/>
            <w:shd w:val="clear" w:color="auto" w:fill="auto"/>
            <w:vAlign w:val="center"/>
          </w:tcPr>
          <w:p w14:paraId="75353A70" w14:textId="46610030" w:rsidR="00DF5152" w:rsidRPr="009D4E7A" w:rsidRDefault="00DF5152" w:rsidP="00B03E9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D4E7A">
              <w:rPr>
                <w:rFonts w:ascii="Arial" w:hAnsi="Arial"/>
                <w:b w:val="0"/>
                <w:bCs w:val="0"/>
                <w:sz w:val="20"/>
                <w:szCs w:val="20"/>
              </w:rPr>
              <w:t>Wydajność rozwiąza</w:t>
            </w:r>
            <w:r>
              <w:rPr>
                <w:rFonts w:ascii="Arial" w:hAnsi="Arial"/>
                <w:b w:val="0"/>
                <w:bCs w:val="0"/>
                <w:sz w:val="20"/>
                <w:szCs w:val="20"/>
              </w:rPr>
              <w:t>ń</w:t>
            </w:r>
          </w:p>
        </w:tc>
        <w:tc>
          <w:tcPr>
            <w:tcW w:w="2552" w:type="dxa"/>
          </w:tcPr>
          <w:p w14:paraId="5E3410EB" w14:textId="023A12F8" w:rsidR="00DF5152" w:rsidRPr="0082292C" w:rsidRDefault="00AA0F00" w:rsidP="00DF515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Koszt weryfikacji poziomu wydajności rozwiązań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0FCDB5" w14:textId="1FAD80D4" w:rsidR="00DF5152" w:rsidRPr="009D4E7A" w:rsidRDefault="00DF5152" w:rsidP="00B03E9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82292C">
              <w:rPr>
                <w:rFonts w:ascii="Arial" w:hAnsi="Arial" w:cs="Arial"/>
                <w:b w:val="0"/>
                <w:sz w:val="20"/>
                <w:szCs w:val="20"/>
              </w:rPr>
              <w:t>331 075,00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zł</w:t>
            </w:r>
          </w:p>
        </w:tc>
        <w:tc>
          <w:tcPr>
            <w:tcW w:w="3827" w:type="dxa"/>
            <w:shd w:val="clear" w:color="auto" w:fill="FFFFFF"/>
          </w:tcPr>
          <w:p w14:paraId="4A677509" w14:textId="109634D4" w:rsidR="00DF5152" w:rsidRPr="009D4E7A" w:rsidRDefault="00DF5152" w:rsidP="007C6F76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Osiągnięcie celów projektu wymaga wdrożenia efektywnego środowiska teleinformatycznego i wydajnie</w:t>
            </w:r>
          </w:p>
          <w:p w14:paraId="77534555" w14:textId="27AA8D5C" w:rsidR="00DF5152" w:rsidRPr="009D4E7A" w:rsidRDefault="00DF5152" w:rsidP="007C6F76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 xml:space="preserve">działającego systemu umożliwiających świadczenie usług o odpowiedniej jakości. Przeprowadzenie kompleksowych testów wydajnościowych wersji testowej - w tym </w:t>
            </w:r>
            <w:r w:rsidRPr="009D4E7A">
              <w:rPr>
                <w:bCs/>
                <w:sz w:val="20"/>
              </w:rPr>
              <w:t xml:space="preserve">testów WCAG 2.1 - </w:t>
            </w:r>
            <w:r w:rsidRPr="009D4E7A">
              <w:rPr>
                <w:sz w:val="20"/>
              </w:rPr>
              <w:t>pozwoli na ocenę działania systemu, w tym wykrycie błędów i problemów oraz sformułowanie wniosków o zmianę.</w:t>
            </w:r>
          </w:p>
        </w:tc>
      </w:tr>
      <w:tr w:rsidR="00DF5152" w:rsidRPr="009D4E7A" w:rsidDel="00CC0813" w14:paraId="6AFED478" w14:textId="77777777" w:rsidTr="00A41DF8">
        <w:trPr>
          <w:trHeight w:val="413"/>
        </w:trPr>
        <w:tc>
          <w:tcPr>
            <w:tcW w:w="1842" w:type="dxa"/>
            <w:shd w:val="clear" w:color="auto" w:fill="auto"/>
            <w:vAlign w:val="center"/>
          </w:tcPr>
          <w:p w14:paraId="015F58F0" w14:textId="77777777" w:rsidR="00DF5152" w:rsidRPr="009D4E7A" w:rsidRDefault="00DF5152" w:rsidP="00B03E91">
            <w:pPr>
              <w:rPr>
                <w:rFonts w:cs="Arial"/>
                <w:sz w:val="20"/>
                <w:lang w:eastAsia="pl-PL"/>
              </w:rPr>
            </w:pPr>
            <w:r w:rsidRPr="009D4E7A">
              <w:rPr>
                <w:rFonts w:cs="Arial"/>
                <w:sz w:val="20"/>
                <w:lang w:eastAsia="pl-PL"/>
              </w:rPr>
              <w:t>Szkolenia</w:t>
            </w:r>
          </w:p>
        </w:tc>
        <w:tc>
          <w:tcPr>
            <w:tcW w:w="2552" w:type="dxa"/>
          </w:tcPr>
          <w:p w14:paraId="74C48628" w14:textId="771F2E24" w:rsidR="00DF5152" w:rsidRDefault="00AA0F00" w:rsidP="00DF5152">
            <w:pPr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Koszt szkoleń i materiałów szkoleniowych dotyczących SOPAB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1E390AE" w14:textId="0E79E14A" w:rsidR="00DF5152" w:rsidRPr="009D4E7A" w:rsidRDefault="00DF5152" w:rsidP="00B03E91">
            <w:pPr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 xml:space="preserve">1 197 264,00 </w:t>
            </w:r>
            <w:r w:rsidRPr="009D4E7A">
              <w:rPr>
                <w:rFonts w:cs="Arial"/>
                <w:bCs/>
                <w:sz w:val="20"/>
              </w:rPr>
              <w:t>zł</w:t>
            </w:r>
          </w:p>
          <w:p w14:paraId="52324478" w14:textId="77777777" w:rsidR="00DF5152" w:rsidRPr="009D4E7A" w:rsidDel="00CC0813" w:rsidRDefault="00DF5152" w:rsidP="00B03E9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shd w:val="clear" w:color="auto" w:fill="FFFFFF"/>
          </w:tcPr>
          <w:p w14:paraId="6D798C0E" w14:textId="568C6E06" w:rsidR="00DF5152" w:rsidRPr="009D4E7A" w:rsidDel="00CC0813" w:rsidRDefault="00DF5152" w:rsidP="00A50CC7">
            <w:pPr>
              <w:jc w:val="both"/>
              <w:rPr>
                <w:sz w:val="20"/>
                <w:lang w:eastAsia="pl-PL"/>
              </w:rPr>
            </w:pPr>
            <w:r w:rsidRPr="00A50CC7">
              <w:rPr>
                <w:sz w:val="20"/>
                <w:lang w:eastAsia="pl-PL"/>
              </w:rPr>
              <w:t>Pakiet szkoleń elearningowych,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jak również materiałów w formie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filmów, prezentacji i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przewodników, dostępnych w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sieci Internet, dotyczących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obsługi wdrażanego systemu dla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pracowników korzystających z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produktów projektu oraz osób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zaangażowanych we wdrażanie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projektu. W celu zapewnienia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efektywnej współpracy przy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wytwarzaniu oprogramowania z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 xml:space="preserve">wykonawcą </w:t>
            </w:r>
            <w:r w:rsidRPr="00A50CC7">
              <w:rPr>
                <w:sz w:val="20"/>
                <w:lang w:eastAsia="pl-PL"/>
              </w:rPr>
              <w:lastRenderedPageBreak/>
              <w:t>przewidywane są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także szkolenia specjalistyczne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członków zespołu projektowego.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 xml:space="preserve">Planowany jest również </w:t>
            </w:r>
            <w:proofErr w:type="spellStart"/>
            <w:r w:rsidRPr="00A50CC7">
              <w:rPr>
                <w:sz w:val="20"/>
                <w:lang w:eastAsia="pl-PL"/>
              </w:rPr>
              <w:t>help</w:t>
            </w:r>
            <w:proofErr w:type="spellEnd"/>
            <w:r>
              <w:rPr>
                <w:sz w:val="20"/>
                <w:lang w:eastAsia="pl-PL"/>
              </w:rPr>
              <w:t xml:space="preserve"> </w:t>
            </w:r>
            <w:proofErr w:type="spellStart"/>
            <w:r w:rsidRPr="00A50CC7">
              <w:rPr>
                <w:sz w:val="20"/>
                <w:lang w:eastAsia="pl-PL"/>
              </w:rPr>
              <w:t>desk</w:t>
            </w:r>
            <w:proofErr w:type="spellEnd"/>
            <w:r w:rsidRPr="00A50CC7">
              <w:rPr>
                <w:sz w:val="20"/>
                <w:lang w:eastAsia="pl-PL"/>
              </w:rPr>
              <w:t>/infolinia dla organów oraz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moduł zautomatyzowanej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pomocy dla użytkowników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wykupiony u dostawcy</w:t>
            </w:r>
            <w:r>
              <w:rPr>
                <w:sz w:val="20"/>
                <w:lang w:eastAsia="pl-PL"/>
              </w:rPr>
              <w:t xml:space="preserve"> </w:t>
            </w:r>
            <w:r w:rsidRPr="00A50CC7">
              <w:rPr>
                <w:sz w:val="20"/>
                <w:lang w:eastAsia="pl-PL"/>
              </w:rPr>
              <w:t>zewnętrznego.</w:t>
            </w:r>
          </w:p>
        </w:tc>
      </w:tr>
      <w:tr w:rsidR="00DF5152" w:rsidRPr="009D4E7A" w:rsidDel="00CC0813" w14:paraId="67CD9495" w14:textId="77777777" w:rsidTr="00A41DF8">
        <w:trPr>
          <w:trHeight w:val="419"/>
        </w:trPr>
        <w:tc>
          <w:tcPr>
            <w:tcW w:w="1842" w:type="dxa"/>
            <w:shd w:val="clear" w:color="auto" w:fill="auto"/>
            <w:vAlign w:val="center"/>
          </w:tcPr>
          <w:p w14:paraId="4D29E246" w14:textId="77777777" w:rsidR="00DF5152" w:rsidRPr="009D4E7A" w:rsidRDefault="00DF5152" w:rsidP="00B03E91">
            <w:pPr>
              <w:rPr>
                <w:rFonts w:cs="Arial"/>
                <w:sz w:val="20"/>
                <w:lang w:eastAsia="pl-PL"/>
              </w:rPr>
            </w:pPr>
            <w:r w:rsidRPr="009D4E7A">
              <w:rPr>
                <w:rFonts w:cs="Arial"/>
                <w:sz w:val="20"/>
                <w:lang w:eastAsia="pl-PL"/>
              </w:rPr>
              <w:lastRenderedPageBreak/>
              <w:t>Działania informacyjno-promocyjne</w:t>
            </w:r>
          </w:p>
        </w:tc>
        <w:tc>
          <w:tcPr>
            <w:tcW w:w="2552" w:type="dxa"/>
          </w:tcPr>
          <w:p w14:paraId="014F2203" w14:textId="08F65930" w:rsidR="00DF5152" w:rsidRPr="0082292C" w:rsidRDefault="00AA0F00" w:rsidP="00DF5152">
            <w:pPr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Koszt materiałów i działań informacyjno-promocyjnych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DA79CF" w14:textId="719382B5" w:rsidR="00DF5152" w:rsidRPr="009D4E7A" w:rsidDel="00CC0813" w:rsidRDefault="006E277E" w:rsidP="00B03E91">
            <w:pPr>
              <w:rPr>
                <w:rFonts w:cs="Arial"/>
                <w:bCs/>
                <w:sz w:val="20"/>
              </w:rPr>
            </w:pPr>
            <w:r w:rsidRPr="00B56422">
              <w:rPr>
                <w:rFonts w:cs="Arial"/>
                <w:sz w:val="20"/>
              </w:rPr>
              <w:t>364 608</w:t>
            </w:r>
            <w:r w:rsidR="00DF5152" w:rsidRPr="0082292C">
              <w:rPr>
                <w:rFonts w:cs="Arial"/>
                <w:bCs/>
                <w:sz w:val="20"/>
              </w:rPr>
              <w:t>,00</w:t>
            </w:r>
            <w:r w:rsidR="00DF5152">
              <w:rPr>
                <w:rFonts w:cs="Arial"/>
                <w:bCs/>
                <w:sz w:val="20"/>
              </w:rPr>
              <w:t xml:space="preserve"> </w:t>
            </w:r>
            <w:r w:rsidR="00DF5152" w:rsidRPr="009D4E7A">
              <w:rPr>
                <w:rFonts w:cs="Arial"/>
                <w:bCs/>
                <w:sz w:val="20"/>
              </w:rPr>
              <w:t>zł</w:t>
            </w:r>
          </w:p>
        </w:tc>
        <w:tc>
          <w:tcPr>
            <w:tcW w:w="3827" w:type="dxa"/>
            <w:shd w:val="clear" w:color="auto" w:fill="FFFFFF"/>
          </w:tcPr>
          <w:p w14:paraId="0A7FE700" w14:textId="35864C72" w:rsidR="00DF5152" w:rsidRPr="009D4E7A" w:rsidDel="00CC0813" w:rsidRDefault="00DF5152" w:rsidP="00DE52F0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 xml:space="preserve">Promocja Projektu oraz jego produktów i rezultatów wśród interesariuszy projektu. Realizacja promocji zgodnie z wytycznymi. </w:t>
            </w:r>
          </w:p>
        </w:tc>
      </w:tr>
      <w:tr w:rsidR="00DF5152" w:rsidRPr="009D4E7A" w:rsidDel="00CC0813" w14:paraId="534AC44D" w14:textId="77777777" w:rsidTr="00A41DF8">
        <w:trPr>
          <w:trHeight w:val="724"/>
        </w:trPr>
        <w:tc>
          <w:tcPr>
            <w:tcW w:w="1842" w:type="dxa"/>
            <w:shd w:val="clear" w:color="auto" w:fill="auto"/>
            <w:vAlign w:val="center"/>
          </w:tcPr>
          <w:p w14:paraId="54CA1110" w14:textId="77777777" w:rsidR="00DF5152" w:rsidRPr="009D4E7A" w:rsidRDefault="00DF5152" w:rsidP="00E52AA6">
            <w:pPr>
              <w:rPr>
                <w:rFonts w:cs="Arial"/>
                <w:sz w:val="20"/>
                <w:lang w:eastAsia="pl-PL"/>
              </w:rPr>
            </w:pPr>
            <w:r w:rsidRPr="009D4E7A">
              <w:rPr>
                <w:rFonts w:cs="Arial"/>
                <w:sz w:val="20"/>
                <w:lang w:eastAsia="pl-PL"/>
              </w:rPr>
              <w:t>Koszty zarządzania i wsparcia (w tym wynagrodzenia personelu wspomagającego)</w:t>
            </w:r>
            <w:r w:rsidRPr="009D4E7A">
              <w:rPr>
                <w:rFonts w:cs="Arial"/>
                <w:strike/>
                <w:sz w:val="20"/>
                <w:lang w:eastAsia="pl-PL"/>
              </w:rPr>
              <w:t xml:space="preserve"> </w:t>
            </w:r>
          </w:p>
        </w:tc>
        <w:tc>
          <w:tcPr>
            <w:tcW w:w="2552" w:type="dxa"/>
          </w:tcPr>
          <w:p w14:paraId="333C32B0" w14:textId="437346F5" w:rsidR="00DF5152" w:rsidRDefault="00AA0F00" w:rsidP="00DF51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Koszty wynagrodzeń zespołu projektowego, eksperckiego i usług wsparcia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6FD7318" w14:textId="53D87CE5" w:rsidR="00DF5152" w:rsidRPr="009D4E7A" w:rsidDel="00CC0813" w:rsidRDefault="00DF5152" w:rsidP="00E52AA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3 254 023,95 </w:t>
            </w:r>
            <w:r w:rsidRPr="009D4E7A">
              <w:rPr>
                <w:rFonts w:cs="Arial"/>
                <w:sz w:val="20"/>
              </w:rPr>
              <w:t>zł</w:t>
            </w:r>
          </w:p>
        </w:tc>
        <w:tc>
          <w:tcPr>
            <w:tcW w:w="3827" w:type="dxa"/>
            <w:shd w:val="clear" w:color="auto" w:fill="FFFFFF"/>
          </w:tcPr>
          <w:p w14:paraId="33FA4153" w14:textId="53241D86" w:rsidR="00DF5152" w:rsidRPr="009D4E7A" w:rsidRDefault="00DF5152" w:rsidP="007C6F76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Nakłady niezbędne do prowadzenia tak złożonego projektu informatycznego, obejmującego pełny cykl wytwarzania oprogramowania, przy założeniu ścisłej współpracy beneficjenta z wykonawcą systemu. Koszty</w:t>
            </w:r>
          </w:p>
          <w:p w14:paraId="36E45E52" w14:textId="43C7B264" w:rsidR="00DF5152" w:rsidRPr="009D4E7A" w:rsidRDefault="00DF5152" w:rsidP="007C6F76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wynagrodzeń: Kierownika Projektu, zespołu</w:t>
            </w:r>
          </w:p>
          <w:p w14:paraId="5F59FB56" w14:textId="591CBEEB" w:rsidR="00DF5152" w:rsidRPr="009D4E7A" w:rsidRDefault="00DF5152" w:rsidP="007C6F76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projektowego, wykonującego merytoryczne zadania w</w:t>
            </w:r>
          </w:p>
          <w:p w14:paraId="3E3A1B72" w14:textId="180BB2EB" w:rsidR="00DF5152" w:rsidRPr="009D4E7A" w:rsidRDefault="00DF5152" w:rsidP="007C6F76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Projekcie; koszty usługi wsparcia realizacji projektu, koszty przygotowania studium wykonalności. Jednocześnie z udziałem w procesie wytwarzania zespół projektowy musi sprawować nadzór nad projektem, kontrolę postępów prac, prowadzić odbiory i rozliczenia co wymaga znaczącego zaangażowania osobowego.</w:t>
            </w:r>
          </w:p>
          <w:p w14:paraId="563BC299" w14:textId="6AEFAEBC" w:rsidR="00DF5152" w:rsidRPr="009D4E7A" w:rsidRDefault="00DF5152" w:rsidP="007C6F76">
            <w:pPr>
              <w:jc w:val="both"/>
              <w:rPr>
                <w:sz w:val="20"/>
              </w:rPr>
            </w:pPr>
            <w:r w:rsidRPr="009D4E7A">
              <w:rPr>
                <w:sz w:val="20"/>
              </w:rPr>
              <w:t>Przewidywane jest też niezbędne wsparcie</w:t>
            </w:r>
          </w:p>
          <w:p w14:paraId="2B46B998" w14:textId="4DA54DC9" w:rsidR="00DF5152" w:rsidRPr="009D4E7A" w:rsidDel="00CC0813" w:rsidRDefault="00DF5152" w:rsidP="007C6F76">
            <w:pPr>
              <w:pStyle w:val="Legenda"/>
              <w:jc w:val="both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D4E7A">
              <w:rPr>
                <w:rFonts w:ascii="Arial" w:hAnsi="Arial"/>
                <w:b w:val="0"/>
                <w:bCs w:val="0"/>
                <w:sz w:val="20"/>
                <w:szCs w:val="20"/>
              </w:rPr>
              <w:t xml:space="preserve">eksperckie ze strony podmiotu zewnętrznego w obszarach wymagających wiedzy wykraczającej poza kompetencje zespołu projektowego. </w:t>
            </w:r>
          </w:p>
        </w:tc>
      </w:tr>
    </w:tbl>
    <w:p w14:paraId="3D0A815F" w14:textId="7D6C5BAA" w:rsidR="0081354E" w:rsidRPr="009D4E7A" w:rsidRDefault="00441780" w:rsidP="00F76B27">
      <w:pPr>
        <w:pStyle w:val="Nagwek2"/>
        <w:numPr>
          <w:ilvl w:val="1"/>
          <w:numId w:val="17"/>
        </w:numPr>
        <w:tabs>
          <w:tab w:val="num" w:pos="1134"/>
        </w:tabs>
        <w:jc w:val="both"/>
        <w:rPr>
          <w:lang w:val="pl-PL" w:eastAsia="pl-PL"/>
        </w:rPr>
      </w:pPr>
      <w:r w:rsidRPr="009D4E7A">
        <w:rPr>
          <w:lang w:val="pl-PL" w:eastAsia="pl-PL"/>
        </w:rPr>
        <w:t xml:space="preserve">Koszty ogólne utrzymania wraz ze sposobem finansowania (okres 5 </w:t>
      </w:r>
      <w:r w:rsidR="00776AE5" w:rsidRPr="009D4E7A">
        <w:rPr>
          <w:rStyle w:val="docdata"/>
          <w:lang w:val="pl-PL"/>
        </w:rPr>
        <w:t>lat</w:t>
      </w:r>
      <w:r w:rsidRPr="009D4E7A">
        <w:rPr>
          <w:lang w:val="pl-PL" w:eastAsia="pl-PL"/>
        </w:rPr>
        <w:t>)</w:t>
      </w:r>
    </w:p>
    <w:tbl>
      <w:tblPr>
        <w:tblStyle w:val="TableNormal1"/>
        <w:tblW w:w="9639" w:type="dxa"/>
        <w:tblInd w:w="6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268"/>
        <w:gridCol w:w="850"/>
        <w:gridCol w:w="4111"/>
        <w:gridCol w:w="2410"/>
      </w:tblGrid>
      <w:tr w:rsidR="0081354E" w:rsidRPr="009D4E7A" w14:paraId="0BAE5B08" w14:textId="77777777" w:rsidTr="002A7D49">
        <w:trPr>
          <w:trHeight w:val="673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8763B" w14:textId="77777777" w:rsidR="0081354E" w:rsidRPr="009D4E7A" w:rsidRDefault="0081354E" w:rsidP="0081354E">
            <w:pPr>
              <w:rPr>
                <w:rFonts w:eastAsia="Arial" w:cs="Arial"/>
                <w:color w:val="000000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b/>
                <w:bCs/>
                <w:color w:val="000000"/>
                <w:sz w:val="20"/>
                <w:u w:color="000000"/>
              </w:rPr>
              <w:t>Całkowity koszt utrzymania trwałości projektu (brutto)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C7EB6" w14:textId="77777777" w:rsidR="0081354E" w:rsidRPr="009D4E7A" w:rsidRDefault="0081354E" w:rsidP="0081354E">
            <w:pPr>
              <w:rPr>
                <w:rFonts w:eastAsia="Arial" w:cs="Arial"/>
                <w:color w:val="0070C0"/>
                <w:sz w:val="20"/>
                <w:u w:color="0070C0"/>
              </w:rPr>
            </w:pPr>
          </w:p>
          <w:p w14:paraId="1DE5FEAF" w14:textId="77777777" w:rsidR="0081354E" w:rsidRPr="009D4E7A" w:rsidRDefault="0081354E" w:rsidP="0081354E">
            <w:pPr>
              <w:rPr>
                <w:rFonts w:eastAsia="Arial" w:cs="Arial"/>
                <w:color w:val="000000"/>
                <w:sz w:val="20"/>
                <w:u w:color="000000"/>
              </w:rPr>
            </w:pPr>
            <w:r w:rsidRPr="009D4E7A">
              <w:rPr>
                <w:rFonts w:eastAsia="Arial Unicode MS" w:cs="Arial"/>
                <w:sz w:val="20"/>
                <w:u w:color="000000"/>
              </w:rPr>
              <w:t>15 251 931,00 zł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84F13" w14:textId="6223E865" w:rsidR="0081354E" w:rsidRPr="009D4E7A" w:rsidRDefault="00315B0D" w:rsidP="0081354E">
            <w:pPr>
              <w:jc w:val="center"/>
              <w:rPr>
                <w:rFonts w:eastAsia="Arial" w:cs="Arial"/>
                <w:color w:val="000000"/>
                <w:szCs w:val="24"/>
                <w:u w:color="000000"/>
              </w:rPr>
            </w:pPr>
            <w:r w:rsidRPr="009D4E7A">
              <w:rPr>
                <w:rFonts w:eastAsia="Arial" w:cs="Arial"/>
                <w:color w:val="000000"/>
                <w:sz w:val="20"/>
                <w:u w:color="000000"/>
              </w:rPr>
              <w:t>Ź</w:t>
            </w:r>
            <w:r w:rsidR="0081354E" w:rsidRPr="009D4E7A">
              <w:rPr>
                <w:rFonts w:eastAsia="Arial" w:cs="Arial"/>
                <w:color w:val="000000"/>
                <w:sz w:val="20"/>
                <w:u w:color="000000"/>
              </w:rPr>
              <w:t>ródło finansowania</w:t>
            </w:r>
          </w:p>
        </w:tc>
      </w:tr>
      <w:tr w:rsidR="00EF0D82" w:rsidRPr="009D4E7A" w14:paraId="40F5F782" w14:textId="77777777" w:rsidTr="00154072">
        <w:trPr>
          <w:trHeight w:val="502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1452C" w14:textId="4BE7DC00" w:rsidR="00EF0D82" w:rsidRPr="009D4E7A" w:rsidRDefault="00EF0D82" w:rsidP="0081354E">
            <w:pPr>
              <w:rPr>
                <w:rFonts w:eastAsia="Arial Unicode MS" w:cs="Arial Unicode MS"/>
                <w:b/>
                <w:bCs/>
                <w:color w:val="000000"/>
                <w:sz w:val="20"/>
                <w:u w:color="000000"/>
              </w:rPr>
            </w:pPr>
            <w:r w:rsidRPr="009D4E7A">
              <w:rPr>
                <w:rFonts w:eastAsia="Arial Unicode MS" w:cs="Arial Unicode MS"/>
                <w:b/>
                <w:bCs/>
                <w:color w:val="000000"/>
                <w:sz w:val="20"/>
                <w:u w:color="000000"/>
              </w:rPr>
              <w:t>Podział całkowitego kosztu utrzymania trwałości projektu na poszczególna lata (netto oraz brutto)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6766" w14:textId="220E1467" w:rsidR="00EF0D82" w:rsidRPr="009D4E7A" w:rsidRDefault="00EF0D82" w:rsidP="0081354E">
            <w:pPr>
              <w:widowControl w:val="0"/>
              <w:suppressAutoHyphens/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</w:pPr>
            <w:r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>2023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1D0B0" w14:textId="77777777" w:rsidR="00EF0D82" w:rsidRDefault="00EF0D82" w:rsidP="0081354E">
            <w:pPr>
              <w:rPr>
                <w:rFonts w:eastAsia="Arial Unicode MS" w:cs="Arial Unicode MS"/>
                <w:color w:val="000000"/>
                <w:sz w:val="20"/>
                <w:u w:color="000000"/>
              </w:rPr>
            </w:pPr>
            <w:r w:rsidRPr="00EF0D82">
              <w:rPr>
                <w:rFonts w:eastAsia="Arial Unicode MS" w:cs="Arial Unicode MS"/>
                <w:color w:val="000000"/>
                <w:sz w:val="20"/>
                <w:u w:color="000000"/>
              </w:rPr>
              <w:t>508 397,7</w:t>
            </w:r>
            <w:r w:rsidR="00783E9A">
              <w:rPr>
                <w:rFonts w:eastAsia="Arial Unicode MS" w:cs="Arial Unicode MS"/>
                <w:color w:val="000000"/>
                <w:sz w:val="20"/>
                <w:u w:color="000000"/>
              </w:rPr>
              <w:t>0 zł (brutto)</w:t>
            </w:r>
          </w:p>
          <w:p w14:paraId="35B699A9" w14:textId="04E05044" w:rsidR="00783E9A" w:rsidRPr="009D4E7A" w:rsidRDefault="00783E9A" w:rsidP="0081354E">
            <w:pPr>
              <w:rPr>
                <w:rFonts w:eastAsia="Arial Unicode MS" w:cs="Arial Unicode MS"/>
                <w:color w:val="000000"/>
                <w:sz w:val="20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0"/>
                <w:u w:color="000000"/>
              </w:rPr>
              <w:t>(</w:t>
            </w:r>
            <w:r w:rsidR="007C7EB6">
              <w:rPr>
                <w:rFonts w:eastAsia="Arial Unicode MS" w:cs="Arial Unicode MS"/>
                <w:color w:val="000000"/>
                <w:sz w:val="20"/>
                <w:u w:color="000000"/>
              </w:rPr>
              <w:t>411</w:t>
            </w:r>
            <w:r w:rsidR="00672915">
              <w:rPr>
                <w:rFonts w:eastAsia="Arial Unicode MS" w:cs="Arial Unicode MS"/>
                <w:color w:val="000000"/>
                <w:sz w:val="20"/>
                <w:u w:color="000000"/>
              </w:rPr>
              <w:t> 802,00</w:t>
            </w:r>
            <w:r>
              <w:rPr>
                <w:rFonts w:eastAsia="Arial Unicode MS" w:cs="Arial Unicode MS"/>
                <w:color w:val="000000"/>
                <w:sz w:val="20"/>
                <w:u w:color="000000"/>
              </w:rPr>
              <w:t xml:space="preserve"> zł netto)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1A78F" w14:textId="3B704282" w:rsidR="00EF0D82" w:rsidRPr="009D4E7A" w:rsidRDefault="00EF0D82" w:rsidP="0081354E">
            <w:pPr>
              <w:rPr>
                <w:rFonts w:eastAsia="Arial Unicode MS" w:cs="Arial Unicode MS"/>
                <w:color w:val="000000"/>
                <w:sz w:val="20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sz w:val="20"/>
                <w:u w:color="000000"/>
              </w:rPr>
              <w:t>krajowe środki publiczne z budżetu państwa</w:t>
            </w:r>
          </w:p>
        </w:tc>
      </w:tr>
      <w:tr w:rsidR="00EF0D82" w:rsidRPr="009D4E7A" w14:paraId="05A401B7" w14:textId="77777777" w:rsidTr="00154072">
        <w:trPr>
          <w:trHeight w:val="502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6E6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6EE31" w14:textId="3E2927C7" w:rsidR="00EF0D82" w:rsidRPr="009D4E7A" w:rsidRDefault="00EF0D82" w:rsidP="0081354E">
            <w:pPr>
              <w:rPr>
                <w:rFonts w:eastAsia="Arial" w:cs="Arial"/>
                <w:color w:val="000000"/>
                <w:szCs w:val="24"/>
                <w:u w:color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C8EB0" w14:textId="77777777" w:rsidR="00EF0D82" w:rsidRPr="009D4E7A" w:rsidRDefault="00EF0D82" w:rsidP="0081354E">
            <w:pPr>
              <w:widowControl w:val="0"/>
              <w:suppressAutoHyphens/>
              <w:rPr>
                <w:rFonts w:ascii="Times New Roman" w:eastAsia="Arial Unicode MS" w:hAnsi="Times New Roman" w:cs="Arial Unicode MS"/>
                <w:b/>
                <w:bCs/>
                <w:color w:val="000000"/>
                <w:kern w:val="1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 xml:space="preserve">2024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ADB51" w14:textId="77777777" w:rsidR="00EF0D82" w:rsidRPr="009D4E7A" w:rsidRDefault="00EF0D82" w:rsidP="0081354E">
            <w:pPr>
              <w:rPr>
                <w:rFonts w:eastAsia="Arial Unicode MS" w:cs="Arial Unicode MS"/>
                <w:color w:val="000000"/>
                <w:sz w:val="20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sz w:val="20"/>
                <w:u w:color="000000"/>
              </w:rPr>
              <w:t>3 050 386,20 zł (brutto)</w:t>
            </w:r>
          </w:p>
          <w:p w14:paraId="078C830D" w14:textId="77777777" w:rsidR="00EF0D82" w:rsidRPr="009D4E7A" w:rsidRDefault="00EF0D82" w:rsidP="0081354E">
            <w:pPr>
              <w:rPr>
                <w:rFonts w:eastAsia="Arial" w:cs="Arial"/>
                <w:color w:val="000000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sz w:val="20"/>
                <w:u w:color="000000"/>
              </w:rPr>
              <w:t>(2 480 000,00 zł netto)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C4E48" w14:textId="7F8310BE" w:rsidR="00EF0D82" w:rsidRPr="009D4E7A" w:rsidRDefault="00EF0D82" w:rsidP="0081354E">
            <w:pPr>
              <w:rPr>
                <w:rFonts w:eastAsia="Arial" w:cs="Arial"/>
                <w:color w:val="000000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0"/>
                <w:u w:color="000000"/>
              </w:rPr>
              <w:t>jw.</w:t>
            </w:r>
          </w:p>
        </w:tc>
      </w:tr>
      <w:tr w:rsidR="00EF0D82" w:rsidRPr="009D4E7A" w14:paraId="0EC9F20F" w14:textId="77777777" w:rsidTr="00154072">
        <w:trPr>
          <w:trHeight w:val="502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6E6"/>
          </w:tcPr>
          <w:p w14:paraId="7FE28FFC" w14:textId="77777777" w:rsidR="00EF0D82" w:rsidRPr="009D4E7A" w:rsidRDefault="00EF0D82" w:rsidP="0081354E">
            <w:pPr>
              <w:rPr>
                <w:rFonts w:eastAsia="Arial" w:cs="Arial"/>
                <w:color w:val="000000"/>
                <w:szCs w:val="24"/>
                <w:u w:color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AB3D4" w14:textId="77777777" w:rsidR="00EF0D82" w:rsidRPr="009D4E7A" w:rsidRDefault="00EF0D82" w:rsidP="0081354E">
            <w:pPr>
              <w:widowControl w:val="0"/>
              <w:suppressAutoHyphens/>
              <w:rPr>
                <w:rFonts w:ascii="Times New Roman" w:eastAsia="Arial Unicode MS" w:hAnsi="Times New Roman" w:cs="Arial Unicode MS"/>
                <w:b/>
                <w:bCs/>
                <w:color w:val="000000"/>
                <w:kern w:val="1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 xml:space="preserve">2025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9A77" w14:textId="77777777" w:rsidR="00EF0D82" w:rsidRPr="009D4E7A" w:rsidRDefault="00EF0D82" w:rsidP="0081354E">
            <w:pPr>
              <w:rPr>
                <w:rFonts w:eastAsia="Arial Unicode MS" w:cs="Arial Unicode MS"/>
                <w:color w:val="000000"/>
                <w:sz w:val="20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sz w:val="20"/>
                <w:u w:color="000000"/>
              </w:rPr>
              <w:t>3 050 386,20 zł (brutto)</w:t>
            </w:r>
          </w:p>
          <w:p w14:paraId="06DFA7E4" w14:textId="26882F96" w:rsidR="00EF0D82" w:rsidRPr="009D4E7A" w:rsidRDefault="00EF0D82" w:rsidP="0081354E">
            <w:pPr>
              <w:rPr>
                <w:rFonts w:eastAsia="Arial" w:cs="Arial"/>
                <w:color w:val="000000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sz w:val="20"/>
                <w:u w:color="000000"/>
              </w:rPr>
              <w:t xml:space="preserve">(2 480 000,00 zł netto)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89571" w14:textId="77777777" w:rsidR="00EF0D82" w:rsidRPr="009D4E7A" w:rsidRDefault="00EF0D82" w:rsidP="0081354E">
            <w:pPr>
              <w:widowControl w:val="0"/>
              <w:suppressAutoHyphens/>
              <w:rPr>
                <w:rFonts w:ascii="Times New Roman" w:eastAsia="Arial Unicode MS" w:hAnsi="Times New Roman" w:cs="Arial Unicode MS"/>
                <w:b/>
                <w:bCs/>
                <w:color w:val="000000"/>
                <w:kern w:val="1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>jw.</w:t>
            </w:r>
          </w:p>
        </w:tc>
      </w:tr>
      <w:tr w:rsidR="00EF0D82" w:rsidRPr="009D4E7A" w14:paraId="3BBCFAA5" w14:textId="77777777" w:rsidTr="00154072">
        <w:trPr>
          <w:trHeight w:val="454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6E6"/>
          </w:tcPr>
          <w:p w14:paraId="7457F367" w14:textId="77777777" w:rsidR="00EF0D82" w:rsidRPr="009D4E7A" w:rsidRDefault="00EF0D82" w:rsidP="0081354E">
            <w:pPr>
              <w:rPr>
                <w:rFonts w:eastAsia="Arial" w:cs="Arial"/>
                <w:color w:val="000000"/>
                <w:szCs w:val="24"/>
                <w:u w:color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19AF8" w14:textId="77777777" w:rsidR="00EF0D82" w:rsidRPr="009D4E7A" w:rsidRDefault="00EF0D82" w:rsidP="0081354E">
            <w:pPr>
              <w:widowControl w:val="0"/>
              <w:suppressAutoHyphens/>
              <w:rPr>
                <w:rFonts w:ascii="Times New Roman" w:eastAsia="Arial Unicode MS" w:hAnsi="Times New Roman" w:cs="Arial Unicode MS"/>
                <w:b/>
                <w:bCs/>
                <w:color w:val="000000"/>
                <w:kern w:val="1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>2026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134E" w14:textId="77777777" w:rsidR="00EF0D82" w:rsidRPr="009D4E7A" w:rsidRDefault="00EF0D82" w:rsidP="0081354E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u w:color="000000"/>
              </w:rPr>
            </w:pPr>
            <w:r w:rsidRPr="009D4E7A">
              <w:rPr>
                <w:rFonts w:eastAsia="Arial Unicode MS" w:cs="Arial"/>
                <w:sz w:val="20"/>
                <w:u w:color="000000"/>
              </w:rPr>
              <w:t>3 050 386,20 zł (brutto)</w:t>
            </w:r>
          </w:p>
          <w:p w14:paraId="514870E0" w14:textId="77777777" w:rsidR="00EF0D82" w:rsidRPr="009D4E7A" w:rsidRDefault="00EF0D82" w:rsidP="0081354E">
            <w:pPr>
              <w:rPr>
                <w:rFonts w:eastAsia="Arial" w:cs="Arial"/>
                <w:color w:val="000000"/>
                <w:sz w:val="20"/>
                <w:u w:color="000000"/>
              </w:rPr>
            </w:pPr>
            <w:r w:rsidRPr="009D4E7A">
              <w:rPr>
                <w:rFonts w:eastAsia="Arial Unicode MS" w:cs="Arial"/>
                <w:sz w:val="20"/>
                <w:u w:color="000000"/>
              </w:rPr>
              <w:t>(2 480 000,00 zł netto)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1D89" w14:textId="77777777" w:rsidR="00EF0D82" w:rsidRPr="009D4E7A" w:rsidRDefault="00EF0D82" w:rsidP="0081354E">
            <w:pPr>
              <w:widowControl w:val="0"/>
              <w:suppressAutoHyphens/>
              <w:rPr>
                <w:rFonts w:ascii="Times New Roman" w:eastAsia="Arial Unicode MS" w:hAnsi="Times New Roman" w:cs="Arial Unicode MS"/>
                <w:b/>
                <w:bCs/>
                <w:color w:val="000000"/>
                <w:kern w:val="1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>jw.</w:t>
            </w:r>
          </w:p>
        </w:tc>
      </w:tr>
      <w:tr w:rsidR="00EF0D82" w:rsidRPr="009D4E7A" w14:paraId="72D62650" w14:textId="77777777" w:rsidTr="00154072">
        <w:trPr>
          <w:trHeight w:val="454"/>
        </w:trPr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7E6E6"/>
          </w:tcPr>
          <w:p w14:paraId="5BE858AB" w14:textId="77777777" w:rsidR="00EF0D82" w:rsidRPr="009D4E7A" w:rsidRDefault="00EF0D82" w:rsidP="0081354E">
            <w:pPr>
              <w:rPr>
                <w:rFonts w:eastAsia="Arial" w:cs="Arial"/>
                <w:color w:val="000000"/>
                <w:szCs w:val="24"/>
                <w:u w:color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71F5" w14:textId="77777777" w:rsidR="00EF0D82" w:rsidRPr="009D4E7A" w:rsidRDefault="00EF0D82" w:rsidP="0081354E">
            <w:pPr>
              <w:widowControl w:val="0"/>
              <w:suppressAutoHyphens/>
              <w:rPr>
                <w:rFonts w:ascii="Times New Roman" w:eastAsia="Arial Unicode MS" w:hAnsi="Times New Roman" w:cs="Arial Unicode MS"/>
                <w:b/>
                <w:bCs/>
                <w:color w:val="000000"/>
                <w:kern w:val="1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 xml:space="preserve">2027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6BC0B" w14:textId="77777777" w:rsidR="00EF0D82" w:rsidRPr="009D4E7A" w:rsidRDefault="00EF0D82" w:rsidP="0081354E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u w:color="000000"/>
              </w:rPr>
            </w:pPr>
            <w:r w:rsidRPr="009D4E7A">
              <w:rPr>
                <w:rFonts w:eastAsia="Arial Unicode MS" w:cs="Arial"/>
                <w:sz w:val="20"/>
                <w:u w:color="000000"/>
              </w:rPr>
              <w:t>3 050 386,20 zł (brutto)</w:t>
            </w:r>
          </w:p>
          <w:p w14:paraId="33E8A52C" w14:textId="77777777" w:rsidR="00EF0D82" w:rsidRPr="009D4E7A" w:rsidRDefault="00EF0D82" w:rsidP="0081354E">
            <w:pPr>
              <w:rPr>
                <w:rFonts w:eastAsia="Arial" w:cs="Arial"/>
                <w:color w:val="000000"/>
                <w:sz w:val="20"/>
                <w:u w:color="000000"/>
              </w:rPr>
            </w:pPr>
            <w:r w:rsidRPr="009D4E7A">
              <w:rPr>
                <w:rFonts w:eastAsia="Arial Unicode MS" w:cs="Arial"/>
                <w:sz w:val="20"/>
                <w:u w:color="000000"/>
              </w:rPr>
              <w:t>(2 480 000,00 zł netto)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56525" w14:textId="77777777" w:rsidR="00EF0D82" w:rsidRPr="009D4E7A" w:rsidRDefault="00EF0D82" w:rsidP="0081354E">
            <w:pPr>
              <w:widowControl w:val="0"/>
              <w:suppressAutoHyphens/>
              <w:rPr>
                <w:rFonts w:ascii="Times New Roman" w:eastAsia="Arial Unicode MS" w:hAnsi="Times New Roman" w:cs="Arial Unicode MS"/>
                <w:b/>
                <w:bCs/>
                <w:color w:val="000000"/>
                <w:kern w:val="1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>jw.</w:t>
            </w:r>
          </w:p>
        </w:tc>
      </w:tr>
      <w:tr w:rsidR="00EF0D82" w:rsidRPr="009D4E7A" w14:paraId="7A9D709A" w14:textId="77777777" w:rsidTr="00154072">
        <w:trPr>
          <w:trHeight w:val="454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C88BE3B" w14:textId="77777777" w:rsidR="00EF0D82" w:rsidRPr="009D4E7A" w:rsidRDefault="00EF0D82" w:rsidP="0081354E">
            <w:pPr>
              <w:rPr>
                <w:rFonts w:eastAsia="Arial" w:cs="Arial"/>
                <w:color w:val="000000"/>
                <w:szCs w:val="24"/>
                <w:u w:color="00000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97F4" w14:textId="77777777" w:rsidR="00EF0D82" w:rsidRPr="009D4E7A" w:rsidRDefault="00EF0D82" w:rsidP="0081354E">
            <w:pPr>
              <w:widowControl w:val="0"/>
              <w:suppressAutoHyphens/>
              <w:rPr>
                <w:rFonts w:ascii="Times New Roman" w:eastAsia="Arial Unicode MS" w:hAnsi="Times New Roman" w:cs="Arial Unicode MS"/>
                <w:b/>
                <w:bCs/>
                <w:color w:val="000000"/>
                <w:kern w:val="1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 xml:space="preserve">2028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04029" w14:textId="62263A03" w:rsidR="00EF0D82" w:rsidRPr="009D4E7A" w:rsidRDefault="00783E9A" w:rsidP="0081354E">
            <w:pPr>
              <w:autoSpaceDE w:val="0"/>
              <w:autoSpaceDN w:val="0"/>
              <w:adjustRightInd w:val="0"/>
              <w:rPr>
                <w:rFonts w:eastAsia="Arial Unicode MS" w:cs="Arial"/>
                <w:sz w:val="20"/>
                <w:u w:color="000000"/>
              </w:rPr>
            </w:pPr>
            <w:r w:rsidRPr="00783E9A">
              <w:rPr>
                <w:rFonts w:eastAsia="Arial Unicode MS" w:cs="Arial"/>
                <w:sz w:val="20"/>
                <w:u w:color="000000"/>
              </w:rPr>
              <w:t>2 541 988,5</w:t>
            </w:r>
            <w:r>
              <w:rPr>
                <w:rFonts w:eastAsia="Arial Unicode MS" w:cs="Arial"/>
                <w:sz w:val="20"/>
                <w:u w:color="000000"/>
              </w:rPr>
              <w:t xml:space="preserve">0 </w:t>
            </w:r>
            <w:r w:rsidR="00EF0D82" w:rsidRPr="009D4E7A">
              <w:rPr>
                <w:rFonts w:eastAsia="Arial Unicode MS" w:cs="Arial"/>
                <w:sz w:val="20"/>
                <w:u w:color="000000"/>
              </w:rPr>
              <w:t xml:space="preserve"> zł (brutto)</w:t>
            </w:r>
          </w:p>
          <w:p w14:paraId="2D1A3A8A" w14:textId="6F8C81FE" w:rsidR="00EF0D82" w:rsidRPr="009D4E7A" w:rsidRDefault="00EF0D82" w:rsidP="0081354E">
            <w:pPr>
              <w:rPr>
                <w:rFonts w:eastAsia="Arial" w:cs="Arial"/>
                <w:color w:val="000000"/>
                <w:sz w:val="20"/>
                <w:u w:color="000000"/>
              </w:rPr>
            </w:pPr>
            <w:r w:rsidRPr="009D4E7A">
              <w:rPr>
                <w:rFonts w:eastAsia="Arial Unicode MS" w:cs="Arial"/>
                <w:sz w:val="20"/>
                <w:u w:color="000000"/>
              </w:rPr>
              <w:t>(2</w:t>
            </w:r>
            <w:r w:rsidR="00672915">
              <w:rPr>
                <w:rFonts w:eastAsia="Arial Unicode MS" w:cs="Arial"/>
                <w:sz w:val="20"/>
                <w:u w:color="000000"/>
              </w:rPr>
              <w:t xml:space="preserve"> 059 010,69 </w:t>
            </w:r>
            <w:r w:rsidRPr="009D4E7A">
              <w:rPr>
                <w:rFonts w:eastAsia="Arial Unicode MS" w:cs="Arial"/>
                <w:sz w:val="20"/>
                <w:u w:color="000000"/>
              </w:rPr>
              <w:t xml:space="preserve"> zł netto)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48B36" w14:textId="77777777" w:rsidR="00EF0D82" w:rsidRPr="009D4E7A" w:rsidRDefault="00EF0D82" w:rsidP="0081354E">
            <w:pPr>
              <w:widowControl w:val="0"/>
              <w:suppressAutoHyphens/>
              <w:rPr>
                <w:rFonts w:ascii="Times New Roman" w:eastAsia="Arial Unicode MS" w:hAnsi="Times New Roman" w:cs="Arial Unicode MS"/>
                <w:b/>
                <w:bCs/>
                <w:color w:val="000000"/>
                <w:kern w:val="1"/>
                <w:szCs w:val="24"/>
                <w:u w:color="000000"/>
              </w:rPr>
            </w:pPr>
            <w:r w:rsidRPr="009D4E7A">
              <w:rPr>
                <w:rFonts w:eastAsia="Arial Unicode MS" w:cs="Arial Unicode MS"/>
                <w:color w:val="000000"/>
                <w:kern w:val="1"/>
                <w:sz w:val="20"/>
                <w:u w:color="000000"/>
              </w:rPr>
              <w:t>jw.</w:t>
            </w:r>
          </w:p>
        </w:tc>
      </w:tr>
    </w:tbl>
    <w:p w14:paraId="676F4CD4" w14:textId="77777777" w:rsidR="0081354E" w:rsidRPr="009D4E7A" w:rsidRDefault="0081354E" w:rsidP="007C6F76">
      <w:pPr>
        <w:pStyle w:val="Tekstpodstawowy2"/>
        <w:rPr>
          <w:lang w:eastAsia="pl-PL"/>
        </w:rPr>
      </w:pPr>
    </w:p>
    <w:p w14:paraId="64A0A990" w14:textId="40AA3895" w:rsidR="00BE3ABC" w:rsidRPr="009D4E7A" w:rsidRDefault="00441780" w:rsidP="00BE3ABC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szCs w:val="20"/>
          <w:lang w:val="pl-PL"/>
        </w:rPr>
      </w:pPr>
      <w:r w:rsidRPr="009D4E7A">
        <w:rPr>
          <w:rFonts w:eastAsia="Cambria" w:cs="Arial"/>
          <w:caps w:val="0"/>
          <w:szCs w:val="20"/>
          <w:lang w:val="pl-PL"/>
        </w:rPr>
        <w:t>4.4</w:t>
      </w:r>
      <w:r w:rsidR="00BE3ABC" w:rsidRPr="009D4E7A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BE3ABC" w:rsidRPr="009D4E7A">
        <w:rPr>
          <w:rFonts w:eastAsia="Cambria" w:cs="Arial"/>
          <w:caps w:val="0"/>
          <w:szCs w:val="20"/>
          <w:lang w:val="pl-PL"/>
        </w:rPr>
        <w:t>Planowane koszty ogólne realizacji</w:t>
      </w:r>
      <w:r w:rsidR="00BE3ABC" w:rsidRPr="009D4E7A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BE3ABC" w:rsidRPr="009D4E7A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projektu:</w:t>
      </w:r>
    </w:p>
    <w:p w14:paraId="0295E1D7" w14:textId="77777777" w:rsidR="00BE3ABC" w:rsidRPr="009D4E7A" w:rsidRDefault="00BE3ABC" w:rsidP="00F76B27">
      <w:pPr>
        <w:pStyle w:val="Nagwek1"/>
        <w:numPr>
          <w:ilvl w:val="0"/>
          <w:numId w:val="7"/>
        </w:numPr>
        <w:spacing w:before="0"/>
        <w:jc w:val="both"/>
        <w:rPr>
          <w:rFonts w:eastAsia="Cambria" w:cs="Arial"/>
          <w:b w:val="0"/>
          <w:caps w:val="0"/>
          <w:strike/>
          <w:szCs w:val="20"/>
          <w:lang w:val="pl-PL"/>
        </w:rPr>
      </w:pPr>
      <w:r w:rsidRPr="009D4E7A">
        <w:rPr>
          <w:rFonts w:eastAsia="Cambria" w:cs="Arial"/>
          <w:b w:val="0"/>
          <w:caps w:val="0"/>
          <w:szCs w:val="20"/>
          <w:lang w:val="pl-PL"/>
        </w:rPr>
        <w:t>zostaną pokryte w ramach budżetów odpowiednich dysponentów części budżetowych bez konieczności występowania o dodatkowe środki z budżetu państwa</w:t>
      </w:r>
      <w:r w:rsidRPr="009D4E7A">
        <w:rPr>
          <w:rFonts w:eastAsia="Cambria" w:cs="Arial"/>
          <w:b w:val="0"/>
          <w:caps w:val="0"/>
          <w:strike/>
          <w:szCs w:val="20"/>
          <w:lang w:val="pl-PL"/>
        </w:rPr>
        <w:t xml:space="preserve">, </w:t>
      </w:r>
    </w:p>
    <w:p w14:paraId="4B05B77E" w14:textId="77777777" w:rsidR="00BE3ABC" w:rsidRPr="009D4E7A" w:rsidRDefault="00BE3ABC" w:rsidP="00F76B27">
      <w:pPr>
        <w:pStyle w:val="Nagwek1"/>
        <w:numPr>
          <w:ilvl w:val="0"/>
          <w:numId w:val="7"/>
        </w:numPr>
        <w:spacing w:before="0" w:after="0"/>
        <w:rPr>
          <w:rFonts w:eastAsia="Cambria" w:cs="Arial"/>
          <w:b w:val="0"/>
          <w:caps w:val="0"/>
          <w:szCs w:val="20"/>
          <w:lang w:val="pl-PL"/>
        </w:rPr>
      </w:pPr>
      <w:r w:rsidRPr="009D4E7A">
        <w:rPr>
          <w:rFonts w:eastAsia="Cambria" w:cs="Arial"/>
          <w:b w:val="0"/>
          <w:caps w:val="0"/>
          <w:strike/>
          <w:szCs w:val="20"/>
          <w:lang w:val="pl-PL"/>
        </w:rPr>
        <w:t>będą powodować konieczność przyznania dodatkowych kwot</w:t>
      </w:r>
      <w:r w:rsidRPr="009D4E7A">
        <w:rPr>
          <w:rFonts w:eastAsia="Cambria" w:cs="Arial"/>
          <w:b w:val="0"/>
          <w:caps w:val="0"/>
          <w:szCs w:val="20"/>
          <w:lang w:val="pl-PL"/>
        </w:rPr>
        <w:t>.</w:t>
      </w:r>
      <w:r w:rsidRPr="009D4E7A">
        <w:rPr>
          <w:rStyle w:val="Odwoanieprzypisudolnego"/>
          <w:rFonts w:eastAsia="Cambria"/>
          <w:b w:val="0"/>
          <w:caps w:val="0"/>
          <w:szCs w:val="20"/>
          <w:lang w:val="pl-PL"/>
        </w:rPr>
        <w:footnoteReference w:id="3"/>
      </w:r>
    </w:p>
    <w:p w14:paraId="355D3411" w14:textId="77777777" w:rsidR="00BE3ABC" w:rsidRPr="009D4E7A" w:rsidRDefault="00BE3ABC" w:rsidP="00BE3ABC">
      <w:pPr>
        <w:pStyle w:val="Tekstpodstawowy"/>
        <w:tabs>
          <w:tab w:val="left" w:pos="2130"/>
        </w:tabs>
        <w:rPr>
          <w:rFonts w:cs="Arial"/>
          <w:sz w:val="20"/>
        </w:rPr>
      </w:pPr>
    </w:p>
    <w:p w14:paraId="53A3521B" w14:textId="77777777" w:rsidR="00BE3ABC" w:rsidRPr="009D4E7A" w:rsidRDefault="00BE3ABC" w:rsidP="00BE3ABC">
      <w:pPr>
        <w:pStyle w:val="Nagwek1"/>
        <w:rPr>
          <w:rFonts w:cs="Arial"/>
          <w:lang w:val="pl-PL" w:eastAsia="pl-PL"/>
        </w:rPr>
      </w:pPr>
      <w:r w:rsidRPr="009D4E7A">
        <w:rPr>
          <w:rFonts w:cs="Arial"/>
          <w:lang w:val="pl-PL" w:eastAsia="pl-PL"/>
        </w:rPr>
        <w:t>GŁÓWNE RYZYKA</w:t>
      </w:r>
      <w:r w:rsidRPr="009D4E7A">
        <w:rPr>
          <w:rFonts w:cs="Arial"/>
          <w:caps w:val="0"/>
          <w:lang w:val="pl-PL" w:eastAsia="pl-PL"/>
        </w:rPr>
        <w:t xml:space="preserve"> </w:t>
      </w:r>
    </w:p>
    <w:p w14:paraId="34FECB61" w14:textId="4BB1791D" w:rsidR="00776AE5" w:rsidRPr="009D4E7A" w:rsidRDefault="00BE3ABC" w:rsidP="00776AE5">
      <w:pPr>
        <w:pStyle w:val="Nagwek2"/>
        <w:tabs>
          <w:tab w:val="num" w:pos="1134"/>
        </w:tabs>
        <w:rPr>
          <w:lang w:val="pl-PL" w:eastAsia="pl-PL"/>
        </w:rPr>
      </w:pPr>
      <w:bookmarkStart w:id="8" w:name="_Toc462924072"/>
      <w:r w:rsidRPr="009D4E7A">
        <w:rPr>
          <w:lang w:val="pl-PL" w:eastAsia="pl-PL"/>
        </w:rPr>
        <w:t>Ryzyka wpływające na realizację projektu</w:t>
      </w:r>
      <w:bookmarkEnd w:id="8"/>
      <w:r w:rsidRPr="009D4E7A">
        <w:rPr>
          <w:lang w:val="pl-PL" w:eastAsia="pl-PL"/>
        </w:rPr>
        <w:t xml:space="preserve"> </w:t>
      </w:r>
    </w:p>
    <w:p w14:paraId="2BFDD846" w14:textId="7BA6C00B" w:rsidR="00BE3ABC" w:rsidRPr="009D4E7A" w:rsidRDefault="00BE3ABC" w:rsidP="0067064D">
      <w:pPr>
        <w:pStyle w:val="Nagwek2"/>
        <w:numPr>
          <w:ilvl w:val="0"/>
          <w:numId w:val="0"/>
        </w:numPr>
        <w:tabs>
          <w:tab w:val="num" w:pos="1276"/>
        </w:tabs>
        <w:spacing w:after="0"/>
        <w:rPr>
          <w:lang w:val="pl-PL" w:eastAsia="pl-PL"/>
        </w:rPr>
      </w:pPr>
    </w:p>
    <w:tbl>
      <w:tblPr>
        <w:tblW w:w="924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86"/>
        <w:gridCol w:w="1823"/>
        <w:gridCol w:w="1562"/>
        <w:gridCol w:w="2474"/>
      </w:tblGrid>
      <w:tr w:rsidR="0067064D" w:rsidRPr="009D4E7A" w14:paraId="7B2AAF85" w14:textId="77777777" w:rsidTr="009B5882">
        <w:trPr>
          <w:trHeight w:val="715"/>
        </w:trPr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F5E4B" w14:textId="77777777" w:rsidR="0067064D" w:rsidRPr="009D4E7A" w:rsidRDefault="0067064D" w:rsidP="0067064D">
            <w:pPr>
              <w:jc w:val="center"/>
              <w:rPr>
                <w:rFonts w:eastAsia="MS MinNew Roman" w:cs="Arial"/>
                <w:b/>
                <w:bCs/>
                <w:sz w:val="20"/>
              </w:rPr>
            </w:pPr>
            <w:bookmarkStart w:id="9" w:name="_Hlk72857717"/>
            <w:r w:rsidRPr="009D4E7A">
              <w:rPr>
                <w:rFonts w:eastAsia="MS MinNew Roman" w:cs="Arial"/>
                <w:b/>
                <w:bCs/>
                <w:sz w:val="20"/>
              </w:rPr>
              <w:t>Nazwa ryzyka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F14E64" w14:textId="77777777" w:rsidR="0067064D" w:rsidRPr="009D4E7A" w:rsidRDefault="0067064D" w:rsidP="0067064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E7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948F1" w14:textId="77777777" w:rsidR="0067064D" w:rsidRPr="009D4E7A" w:rsidRDefault="0067064D" w:rsidP="0067064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E7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500DB5" w14:textId="77777777" w:rsidR="0067064D" w:rsidRPr="009D4E7A" w:rsidRDefault="0067064D" w:rsidP="0067064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E7A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67064D" w:rsidRPr="009D4E7A" w14:paraId="7DA14875" w14:textId="77777777" w:rsidTr="009B5882">
        <w:trPr>
          <w:trHeight w:val="715"/>
        </w:trPr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C6832" w14:textId="390CFCEA" w:rsidR="0067064D" w:rsidRPr="009D4E7A" w:rsidRDefault="004A2449" w:rsidP="0067064D">
            <w:pPr>
              <w:rPr>
                <w:rFonts w:eastAsia="MS MinNew Roman" w:cs="Arial"/>
                <w:bCs/>
                <w:sz w:val="20"/>
              </w:rPr>
            </w:pPr>
            <w:r w:rsidRPr="009D4E7A">
              <w:rPr>
                <w:rFonts w:eastAsia="MS MinNew Roman" w:cs="Arial"/>
                <w:bCs/>
                <w:sz w:val="20"/>
              </w:rPr>
              <w:t>P</w:t>
            </w:r>
            <w:r w:rsidR="0067064D" w:rsidRPr="009D4E7A">
              <w:rPr>
                <w:rFonts w:eastAsia="MS MinNew Roman" w:cs="Arial"/>
                <w:bCs/>
                <w:sz w:val="20"/>
              </w:rPr>
              <w:t>rzekroczeni</w:t>
            </w:r>
            <w:r w:rsidRPr="009D4E7A">
              <w:rPr>
                <w:rFonts w:eastAsia="MS MinNew Roman" w:cs="Arial"/>
                <w:bCs/>
                <w:sz w:val="20"/>
              </w:rPr>
              <w:t>e</w:t>
            </w:r>
            <w:r w:rsidR="0067064D" w:rsidRPr="009D4E7A">
              <w:rPr>
                <w:rFonts w:eastAsia="MS MinNew Roman" w:cs="Arial"/>
                <w:bCs/>
                <w:sz w:val="20"/>
              </w:rPr>
              <w:t xml:space="preserve"> zakładanych kosztów projektu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608C7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B8020" w14:textId="15C53DE5" w:rsidR="0067064D" w:rsidRPr="009D4E7A" w:rsidRDefault="00CF02BB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Wysokie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308E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254684C4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Właściwe określenie potrzeb i dokonanie wyceny w ramach opracowywanej dokumentacji aplikacyjnej POPC.</w:t>
            </w:r>
          </w:p>
          <w:p w14:paraId="1D600A21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Śledzenie trendów rynkowych w zakresie kosztów wytwarzania oprogramowania oraz usług dzierżawienia infrastruktury sieciowej.</w:t>
            </w:r>
          </w:p>
          <w:p w14:paraId="08714CF0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 xml:space="preserve">Stały monitoring finansowy postępów realizacji Projektu. </w:t>
            </w:r>
          </w:p>
        </w:tc>
      </w:tr>
      <w:tr w:rsidR="0067064D" w:rsidRPr="009D4E7A" w14:paraId="1CD6CBBA" w14:textId="77777777" w:rsidTr="009B5882">
        <w:trPr>
          <w:trHeight w:val="715"/>
        </w:trPr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5B654" w14:textId="7C52693B" w:rsidR="0067064D" w:rsidRPr="009D4E7A" w:rsidRDefault="004A2449" w:rsidP="0067064D">
            <w:pPr>
              <w:rPr>
                <w:rFonts w:eastAsia="MS MinNew Roman" w:cs="Arial"/>
                <w:bCs/>
                <w:sz w:val="20"/>
              </w:rPr>
            </w:pPr>
            <w:r w:rsidRPr="009D4E7A">
              <w:rPr>
                <w:rFonts w:eastAsia="MS MinNew Roman" w:cs="Arial"/>
                <w:bCs/>
                <w:sz w:val="20"/>
              </w:rPr>
              <w:t>O</w:t>
            </w:r>
            <w:r w:rsidR="0067064D" w:rsidRPr="009D4E7A">
              <w:rPr>
                <w:rFonts w:eastAsia="MS MinNew Roman" w:cs="Arial"/>
                <w:bCs/>
                <w:sz w:val="20"/>
              </w:rPr>
              <w:t>późnie</w:t>
            </w:r>
            <w:r w:rsidRPr="009D4E7A">
              <w:rPr>
                <w:rFonts w:eastAsia="MS MinNew Roman" w:cs="Arial"/>
                <w:bCs/>
                <w:sz w:val="20"/>
              </w:rPr>
              <w:t>nia</w:t>
            </w:r>
            <w:r w:rsidR="0067064D" w:rsidRPr="009D4E7A">
              <w:rPr>
                <w:rFonts w:eastAsia="MS MinNew Roman" w:cs="Arial"/>
                <w:bCs/>
                <w:sz w:val="20"/>
              </w:rPr>
              <w:t xml:space="preserve"> w projekcie spowodowan</w:t>
            </w:r>
            <w:r w:rsidRPr="009D4E7A">
              <w:rPr>
                <w:rFonts w:eastAsia="MS MinNew Roman" w:cs="Arial"/>
                <w:bCs/>
                <w:sz w:val="20"/>
              </w:rPr>
              <w:t>e</w:t>
            </w:r>
            <w:r w:rsidR="0067064D" w:rsidRPr="009D4E7A">
              <w:rPr>
                <w:rFonts w:eastAsia="MS MinNew Roman" w:cs="Arial"/>
                <w:bCs/>
                <w:sz w:val="20"/>
              </w:rPr>
              <w:t xml:space="preserve">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077E0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B187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Wysokie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6A47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1D4FDE4B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Staranne przygotowanie dokumentacji przetargowej; jednoznaczne i niebudzące wątpliwości Opisy Przedmiotu Zamówienia.</w:t>
            </w: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br/>
              <w:t>Skuteczna realizacja kolejnych etapów procesu wyłaniania wykonawców (odpowiedzi na pytania, sprawdzanie oferentów, ocena ofert).</w:t>
            </w:r>
          </w:p>
          <w:p w14:paraId="1C0F9513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Wsparcie procesu przetargowego przez ekspertów zewnętrznych.</w:t>
            </w:r>
          </w:p>
        </w:tc>
      </w:tr>
      <w:tr w:rsidR="0067064D" w:rsidRPr="009D4E7A" w14:paraId="077A65C2" w14:textId="77777777" w:rsidTr="009B5882">
        <w:trPr>
          <w:trHeight w:val="715"/>
        </w:trPr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25F88" w14:textId="7926E2C1" w:rsidR="0067064D" w:rsidRPr="009D4E7A" w:rsidRDefault="004A2449" w:rsidP="0067064D">
            <w:pPr>
              <w:rPr>
                <w:rFonts w:eastAsia="MS MinNew Roman" w:cs="Arial"/>
                <w:bCs/>
                <w:sz w:val="20"/>
              </w:rPr>
            </w:pPr>
            <w:r w:rsidRPr="009D4E7A">
              <w:rPr>
                <w:rFonts w:eastAsia="MS MinNew Roman" w:cs="Arial"/>
                <w:bCs/>
                <w:sz w:val="20"/>
              </w:rPr>
              <w:lastRenderedPageBreak/>
              <w:t>N</w:t>
            </w:r>
            <w:r w:rsidR="0067064D" w:rsidRPr="009D4E7A">
              <w:rPr>
                <w:rFonts w:eastAsia="MS MinNew Roman" w:cs="Arial"/>
                <w:bCs/>
                <w:sz w:val="20"/>
              </w:rPr>
              <w:t>iedostarczeni</w:t>
            </w:r>
            <w:r w:rsidRPr="009D4E7A">
              <w:rPr>
                <w:rFonts w:eastAsia="MS MinNew Roman" w:cs="Arial"/>
                <w:bCs/>
                <w:sz w:val="20"/>
              </w:rPr>
              <w:t>e</w:t>
            </w:r>
            <w:r w:rsidR="0067064D" w:rsidRPr="009D4E7A">
              <w:rPr>
                <w:rFonts w:eastAsia="MS MinNew Roman" w:cs="Arial"/>
                <w:bCs/>
                <w:sz w:val="20"/>
              </w:rPr>
              <w:t xml:space="preserve"> produktów Projektu w terminie i o odpowiedniej jakości w wyniku wyłonienia w procedurze przetargowej niekompetentnego wykonawcy oprogramowania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7D0C1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048C4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Średnie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5A12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16B060B3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wykonawców.</w:t>
            </w:r>
          </w:p>
        </w:tc>
      </w:tr>
      <w:tr w:rsidR="0067064D" w:rsidRPr="009D4E7A" w14:paraId="4192F36C" w14:textId="77777777" w:rsidTr="009B5882">
        <w:trPr>
          <w:trHeight w:val="715"/>
        </w:trPr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E75D3" w14:textId="77777777" w:rsidR="0067064D" w:rsidRPr="009D4E7A" w:rsidRDefault="0067064D" w:rsidP="0067064D">
            <w:pPr>
              <w:rPr>
                <w:rFonts w:eastAsia="MS MinNew Roman" w:cs="Arial"/>
                <w:bCs/>
                <w:sz w:val="20"/>
              </w:rPr>
            </w:pPr>
            <w:r w:rsidRPr="009D4E7A">
              <w:rPr>
                <w:rFonts w:eastAsia="MS MinNew Roman" w:cs="Arial"/>
                <w:bCs/>
                <w:sz w:val="20"/>
              </w:rPr>
              <w:t>Ryzyko organizacyjne wynikające z fluktuacji składu zespołu projektowego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B2241" w14:textId="3DC40CDC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Mał</w:t>
            </w:r>
            <w:r w:rsidR="0026767C">
              <w:rPr>
                <w:rFonts w:ascii="Arial" w:hAnsi="Arial" w:cs="Arial"/>
                <w:b w:val="0"/>
                <w:sz w:val="20"/>
                <w:szCs w:val="20"/>
              </w:rPr>
              <w:t>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DE22C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Wysokie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5B31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33E96343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Prowadzenie projektu zgodnie z jedną z uznanych metodyk zarządzania; odpowiednie motywowanie członków zespołu projektowego; zapewnienie usług wsparcia przy realizacji projektu.</w:t>
            </w:r>
          </w:p>
          <w:p w14:paraId="1B91C082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Zabezpieczenie w budżecie projektu odpowiednich wydatków na wynagrodzenia osób zaangażowanych w projekt.</w:t>
            </w:r>
          </w:p>
        </w:tc>
      </w:tr>
      <w:tr w:rsidR="0067064D" w:rsidRPr="009D4E7A" w14:paraId="5A91BAC8" w14:textId="77777777" w:rsidTr="009B5882">
        <w:trPr>
          <w:trHeight w:val="715"/>
        </w:trPr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158EA" w14:textId="245E52E8" w:rsidR="0067064D" w:rsidRPr="009D4E7A" w:rsidRDefault="004A2449" w:rsidP="0067064D">
            <w:pPr>
              <w:rPr>
                <w:rFonts w:eastAsia="MS MinNew Roman" w:cs="Arial"/>
                <w:bCs/>
                <w:sz w:val="20"/>
              </w:rPr>
            </w:pPr>
            <w:r w:rsidRPr="009D4E7A">
              <w:rPr>
                <w:rFonts w:eastAsia="MS MinNew Roman" w:cs="Arial"/>
                <w:bCs/>
                <w:sz w:val="20"/>
              </w:rPr>
              <w:t>N</w:t>
            </w:r>
            <w:r w:rsidR="0067064D" w:rsidRPr="009D4E7A">
              <w:rPr>
                <w:rFonts w:eastAsia="MS MinNew Roman" w:cs="Arial"/>
                <w:bCs/>
                <w:sz w:val="20"/>
              </w:rPr>
              <w:t>iespełnieni</w:t>
            </w:r>
            <w:r w:rsidRPr="009D4E7A">
              <w:rPr>
                <w:rFonts w:eastAsia="MS MinNew Roman" w:cs="Arial"/>
                <w:bCs/>
                <w:sz w:val="20"/>
              </w:rPr>
              <w:t>e</w:t>
            </w:r>
            <w:r w:rsidR="0067064D" w:rsidRPr="009D4E7A">
              <w:rPr>
                <w:rFonts w:eastAsia="MS MinNew Roman" w:cs="Arial"/>
                <w:bCs/>
                <w:sz w:val="20"/>
              </w:rPr>
              <w:t xml:space="preserve"> wymagań projektowych wynikające ze zmian w systemie/systemach zintegrowanych z projektowanym oraz parametrami zewnętrznej usługi sieciowej (dzierżawa infrastruktury u dostawcy zewnętrznego)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EB51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Średnia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C41E3" w14:textId="4A8C0791" w:rsidR="0067064D" w:rsidRPr="009D4E7A" w:rsidRDefault="0026767C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Niskie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89BE5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3D3198C0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Konieczność stałego uwzględniania zmian w interfejsach systemów zewnętrznych.</w:t>
            </w:r>
          </w:p>
          <w:p w14:paraId="32BDE1A1" w14:textId="7777777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Uwzględnienie w umowach z Wykonawcami zobowiązania o wprowadzeniu zmian (zgodnie z procedurą zarządzania zmianą) wynikającej z nowych wymogów prawnych.</w:t>
            </w:r>
          </w:p>
          <w:p w14:paraId="3985BC33" w14:textId="19F4D237" w:rsidR="0067064D" w:rsidRPr="009D4E7A" w:rsidRDefault="0067064D" w:rsidP="0067064D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Monitorowanie zmian na etapie ich</w:t>
            </w:r>
            <w:r w:rsidR="005E593A" w:rsidRPr="009D4E7A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9D4E7A">
              <w:rPr>
                <w:rFonts w:ascii="Arial" w:hAnsi="Arial" w:cs="Arial"/>
                <w:b w:val="0"/>
                <w:sz w:val="20"/>
                <w:szCs w:val="20"/>
              </w:rPr>
              <w:t>planowania, uzgodnienia z podmiotami planującymi lub dokonującymi modyfikacji.</w:t>
            </w:r>
          </w:p>
        </w:tc>
      </w:tr>
      <w:bookmarkEnd w:id="9"/>
    </w:tbl>
    <w:p w14:paraId="3B9AA878" w14:textId="77777777" w:rsidR="0067064D" w:rsidRPr="009D4E7A" w:rsidRDefault="0067064D" w:rsidP="0067064D">
      <w:pPr>
        <w:pStyle w:val="Nagwek2"/>
        <w:numPr>
          <w:ilvl w:val="0"/>
          <w:numId w:val="0"/>
        </w:numPr>
        <w:tabs>
          <w:tab w:val="left" w:pos="4962"/>
        </w:tabs>
        <w:spacing w:after="360"/>
        <w:rPr>
          <w:lang w:val="pl-PL"/>
        </w:rPr>
      </w:pPr>
    </w:p>
    <w:p w14:paraId="59306B9D" w14:textId="599359A4" w:rsidR="0067064D" w:rsidRPr="009D4E7A" w:rsidRDefault="0067064D" w:rsidP="00F76B27">
      <w:pPr>
        <w:pStyle w:val="Nagwek2"/>
        <w:numPr>
          <w:ilvl w:val="1"/>
          <w:numId w:val="8"/>
        </w:numPr>
        <w:tabs>
          <w:tab w:val="left" w:pos="4962"/>
        </w:tabs>
        <w:spacing w:after="360"/>
        <w:rPr>
          <w:lang w:val="pl-PL"/>
        </w:rPr>
      </w:pPr>
      <w:r w:rsidRPr="009D4E7A">
        <w:rPr>
          <w:lang w:val="pl-PL" w:eastAsia="pl-PL"/>
        </w:rPr>
        <w:t xml:space="preserve"> Ryzyka wpływające na utrzymanie efektów</w:t>
      </w:r>
    </w:p>
    <w:tbl>
      <w:tblPr>
        <w:tblStyle w:val="TableNormal"/>
        <w:tblpPr w:leftFromText="141" w:rightFromText="141" w:vertAnchor="text" w:horzAnchor="margin" w:tblpY="143"/>
        <w:tblW w:w="989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685"/>
        <w:gridCol w:w="1985"/>
        <w:gridCol w:w="1701"/>
        <w:gridCol w:w="2522"/>
      </w:tblGrid>
      <w:tr w:rsidR="00865C96" w:rsidRPr="009D4E7A" w14:paraId="574C6EF3" w14:textId="77777777" w:rsidTr="00865C96">
        <w:trPr>
          <w:trHeight w:val="89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71CF3" w14:textId="77777777" w:rsidR="00865C96" w:rsidRPr="009D4E7A" w:rsidRDefault="00865C96" w:rsidP="00865C96">
            <w:pPr>
              <w:jc w:val="center"/>
            </w:pPr>
            <w:r w:rsidRPr="009D4E7A">
              <w:rPr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E41E2" w14:textId="77777777" w:rsidR="00865C96" w:rsidRPr="009D4E7A" w:rsidRDefault="00865C96" w:rsidP="00865C96">
            <w:pPr>
              <w:pStyle w:val="Legenda"/>
              <w:jc w:val="center"/>
            </w:pPr>
            <w:r w:rsidRPr="009D4E7A">
              <w:rPr>
                <w:rFonts w:ascii="Arial" w:hAnsi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705E" w14:textId="77777777" w:rsidR="00865C96" w:rsidRPr="009D4E7A" w:rsidRDefault="00865C96" w:rsidP="00865C96">
            <w:pPr>
              <w:pStyle w:val="Legenda"/>
              <w:jc w:val="center"/>
            </w:pPr>
            <w:r w:rsidRPr="009D4E7A">
              <w:rPr>
                <w:rFonts w:ascii="Arial" w:hAnsi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D83F7" w14:textId="77777777" w:rsidR="00865C96" w:rsidRPr="009D4E7A" w:rsidRDefault="00865C96" w:rsidP="00865C96">
            <w:pPr>
              <w:pStyle w:val="Legenda"/>
              <w:jc w:val="center"/>
            </w:pPr>
            <w:r w:rsidRPr="009D4E7A">
              <w:rPr>
                <w:rFonts w:ascii="Arial" w:hAnsi="Arial"/>
                <w:sz w:val="20"/>
                <w:szCs w:val="20"/>
              </w:rPr>
              <w:t>Sposób zarzadzania ryzykiem</w:t>
            </w:r>
          </w:p>
        </w:tc>
      </w:tr>
      <w:tr w:rsidR="00865C96" w:rsidRPr="009D4E7A" w14:paraId="29C6BEEC" w14:textId="77777777" w:rsidTr="00865C96">
        <w:trPr>
          <w:trHeight w:val="155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94069" w14:textId="77777777" w:rsidR="00865C96" w:rsidRPr="009D4E7A" w:rsidRDefault="00865C96" w:rsidP="00865C96">
            <w:r w:rsidRPr="009D4E7A">
              <w:rPr>
                <w:rFonts w:eastAsia="Arial Unicode MS" w:cs="Arial Unicode MS"/>
                <w:sz w:val="20"/>
              </w:rPr>
              <w:t>Brak zabezpieczenia środków finansowych na utrzymanie systemów po ich wdrożeniu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8D7B5" w14:textId="77777777" w:rsidR="00865C96" w:rsidRPr="009D4E7A" w:rsidRDefault="00865C96" w:rsidP="00865C96">
            <w:pPr>
              <w:pStyle w:val="Legenda"/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133F" w14:textId="77777777" w:rsidR="00865C96" w:rsidRPr="009D4E7A" w:rsidRDefault="00865C96" w:rsidP="00865C96">
            <w:pPr>
              <w:pStyle w:val="Legenda"/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71F38" w14:textId="77777777" w:rsidR="00865C96" w:rsidRPr="009D4E7A" w:rsidRDefault="00865C96" w:rsidP="00865C96">
            <w:pPr>
              <w:pStyle w:val="Legenda"/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Redukowanie ryzyka.</w:t>
            </w:r>
          </w:p>
          <w:p w14:paraId="6C057E2F" w14:textId="77777777" w:rsidR="00865C96" w:rsidRPr="009D4E7A" w:rsidRDefault="00865C96" w:rsidP="00865C96">
            <w:pPr>
              <w:pStyle w:val="Legenda"/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Analiza kosztów utrzymania systemów i zabezpieczenie odpowiednich środków w budżecie GUNB.</w:t>
            </w:r>
          </w:p>
        </w:tc>
      </w:tr>
      <w:tr w:rsidR="00865C96" w:rsidRPr="009D4E7A" w14:paraId="46350F97" w14:textId="77777777" w:rsidTr="00865C96">
        <w:trPr>
          <w:trHeight w:val="265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224D" w14:textId="77777777" w:rsidR="00865C96" w:rsidRPr="009D4E7A" w:rsidRDefault="00865C96" w:rsidP="00865C96">
            <w:r w:rsidRPr="009D4E7A">
              <w:rPr>
                <w:rFonts w:eastAsia="Arial Unicode MS" w:cs="Arial Unicode MS"/>
                <w:sz w:val="20"/>
              </w:rPr>
              <w:t>Nieosiągnięcie zakładanych wskaźników rezultatu – zbyt małe zainteresowanie użytkowników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B126" w14:textId="77777777" w:rsidR="00865C96" w:rsidRPr="009D4E7A" w:rsidRDefault="00865C96" w:rsidP="00865C96">
            <w:pPr>
              <w:pStyle w:val="Legenda"/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7DC18" w14:textId="77777777" w:rsidR="00865C96" w:rsidRPr="009D4E7A" w:rsidRDefault="00865C96" w:rsidP="00865C96">
            <w:pPr>
              <w:pStyle w:val="Legenda"/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3DAA" w14:textId="77777777" w:rsidR="00865C96" w:rsidRPr="009D4E7A" w:rsidRDefault="00865C96" w:rsidP="00865C96">
            <w:pPr>
              <w:pStyle w:val="Legenda"/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Redukowanie ryzyka.</w:t>
            </w:r>
          </w:p>
          <w:p w14:paraId="14C17E66" w14:textId="77777777" w:rsidR="00865C96" w:rsidRPr="009D4E7A" w:rsidRDefault="00865C96" w:rsidP="00865C96">
            <w:pPr>
              <w:pStyle w:val="Legenda"/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Prowadzenie wieloma kanałami informacyjnymi akcji promocyjnej Projektu skierowanej do wszystkich interesariuszy i odbiorców Projektu.</w:t>
            </w:r>
          </w:p>
          <w:p w14:paraId="5E1AD39D" w14:textId="77777777" w:rsidR="00865C96" w:rsidRPr="009D4E7A" w:rsidRDefault="00865C96" w:rsidP="00865C96">
            <w:pPr>
              <w:pStyle w:val="Legenda"/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 xml:space="preserve">Bieżące monitorowanie i kontrolowanie realizacji wskaźników projektu, na wszystkich etapach Projektu. </w:t>
            </w:r>
          </w:p>
        </w:tc>
      </w:tr>
      <w:tr w:rsidR="00865C96" w:rsidRPr="009D4E7A" w14:paraId="3A25DCC6" w14:textId="77777777" w:rsidTr="00865C96">
        <w:trPr>
          <w:trHeight w:val="374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00B9" w14:textId="77777777" w:rsidR="00865C96" w:rsidRPr="009D4E7A" w:rsidRDefault="00865C96" w:rsidP="00865C96">
            <w:r w:rsidRPr="009D4E7A">
              <w:rPr>
                <w:rFonts w:eastAsia="Arial Unicode MS" w:cs="Arial Unicode MS"/>
                <w:sz w:val="20"/>
              </w:rPr>
              <w:t>Nieodpowiednie zabezpieczenia przetwarzanych danych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CB67D" w14:textId="77777777" w:rsidR="00865C96" w:rsidRPr="009D4E7A" w:rsidRDefault="00865C96" w:rsidP="00865C96">
            <w:pPr>
              <w:pStyle w:val="Legenda"/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1A7DB" w14:textId="62FF69EB" w:rsidR="00865C96" w:rsidRPr="009D4E7A" w:rsidRDefault="0026767C" w:rsidP="00865C96">
            <w:pPr>
              <w:pStyle w:val="Legenda"/>
            </w:pPr>
            <w:r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18394" w14:textId="77777777" w:rsidR="00865C96" w:rsidRPr="009D4E7A" w:rsidRDefault="00865C96" w:rsidP="00865C96">
            <w:pPr>
              <w:pStyle w:val="Legenda"/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Redukowanie ryzyka.</w:t>
            </w:r>
          </w:p>
          <w:p w14:paraId="29A1AAE5" w14:textId="77777777" w:rsidR="00865C96" w:rsidRPr="009D4E7A" w:rsidRDefault="00865C96" w:rsidP="00865C96">
            <w:pPr>
              <w:pStyle w:val="Legenda"/>
            </w:pPr>
            <w:r w:rsidRPr="009D4E7A">
              <w:rPr>
                <w:rFonts w:ascii="Arial" w:hAnsi="Arial"/>
                <w:b w:val="0"/>
                <w:bCs w:val="0"/>
                <w:kern w:val="0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</w:tc>
      </w:tr>
    </w:tbl>
    <w:p w14:paraId="3502710D" w14:textId="4027FD62" w:rsidR="00BE3ABC" w:rsidRPr="009D4E7A" w:rsidRDefault="00BE3ABC" w:rsidP="0067064D">
      <w:pPr>
        <w:pStyle w:val="Nagwek2"/>
        <w:numPr>
          <w:ilvl w:val="0"/>
          <w:numId w:val="0"/>
        </w:numPr>
        <w:tabs>
          <w:tab w:val="left" w:pos="4962"/>
        </w:tabs>
        <w:spacing w:after="360"/>
        <w:ind w:left="792" w:hanging="432"/>
        <w:rPr>
          <w:lang w:val="pl-PL"/>
        </w:rPr>
      </w:pPr>
    </w:p>
    <w:p w14:paraId="39B7C5DB" w14:textId="77777777" w:rsidR="00BE3ABC" w:rsidRPr="009D4E7A" w:rsidRDefault="00BE3ABC" w:rsidP="00BE3ABC">
      <w:pPr>
        <w:pStyle w:val="Nagwek1"/>
        <w:spacing w:after="240"/>
        <w:rPr>
          <w:rFonts w:cs="Arial"/>
          <w:color w:val="0070C0"/>
          <w:sz w:val="22"/>
          <w:lang w:val="pl-PL" w:eastAsia="pl-PL"/>
        </w:rPr>
      </w:pPr>
      <w:r w:rsidRPr="009D4E7A">
        <w:rPr>
          <w:rFonts w:cs="Arial"/>
          <w:bCs/>
          <w:smallCaps/>
          <w:color w:val="000000"/>
          <w:lang w:val="pl-PL"/>
        </w:rPr>
        <w:t xml:space="preserve">OTOCZENIE PRAWNE </w:t>
      </w:r>
    </w:p>
    <w:tbl>
      <w:tblPr>
        <w:tblStyle w:val="TableNormal"/>
        <w:tblW w:w="959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95"/>
        <w:gridCol w:w="3485"/>
        <w:gridCol w:w="1328"/>
        <w:gridCol w:w="2707"/>
        <w:gridCol w:w="1584"/>
      </w:tblGrid>
      <w:tr w:rsidR="0067064D" w:rsidRPr="009D4E7A" w14:paraId="438DDC1E" w14:textId="77777777" w:rsidTr="009B5882">
        <w:trPr>
          <w:trHeight w:val="67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319C" w14:textId="77777777" w:rsidR="0067064D" w:rsidRPr="009D4E7A" w:rsidRDefault="0067064D" w:rsidP="00C030D1">
            <w:pPr>
              <w:jc w:val="center"/>
            </w:pPr>
            <w:r w:rsidRPr="009D4E7A">
              <w:rPr>
                <w:b/>
                <w:bCs/>
                <w:sz w:val="20"/>
              </w:rPr>
              <w:t>Lp.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0018" w14:textId="77777777" w:rsidR="0067064D" w:rsidRPr="009D4E7A" w:rsidRDefault="0067064D" w:rsidP="00C030D1">
            <w:pPr>
              <w:pStyle w:val="Legenda"/>
              <w:jc w:val="center"/>
            </w:pPr>
            <w:r w:rsidRPr="009D4E7A">
              <w:rPr>
                <w:rFonts w:ascii="Arial" w:hAnsi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6B12" w14:textId="77777777" w:rsidR="0067064D" w:rsidRPr="009D4E7A" w:rsidRDefault="0067064D" w:rsidP="00C030D1">
            <w:pPr>
              <w:pStyle w:val="Legenda"/>
              <w:jc w:val="center"/>
            </w:pPr>
            <w:r w:rsidRPr="009D4E7A">
              <w:rPr>
                <w:rFonts w:ascii="Arial" w:hAnsi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1368F" w14:textId="77777777" w:rsidR="0067064D" w:rsidRPr="009D4E7A" w:rsidRDefault="0067064D" w:rsidP="00C030D1">
            <w:pPr>
              <w:pStyle w:val="Legenda"/>
              <w:jc w:val="center"/>
            </w:pPr>
            <w:r w:rsidRPr="009D4E7A">
              <w:rPr>
                <w:rFonts w:ascii="Arial" w:hAnsi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B515" w14:textId="77777777" w:rsidR="0067064D" w:rsidRPr="009D4E7A" w:rsidRDefault="0067064D" w:rsidP="00C030D1">
            <w:pPr>
              <w:pStyle w:val="Legenda"/>
              <w:jc w:val="center"/>
            </w:pPr>
            <w:r w:rsidRPr="009D4E7A">
              <w:rPr>
                <w:rFonts w:ascii="Arial" w:hAnsi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67064D" w:rsidRPr="009D4E7A" w14:paraId="6693B6D9" w14:textId="77777777" w:rsidTr="009B5882">
        <w:trPr>
          <w:trHeight w:val="331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23D8C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lastRenderedPageBreak/>
              <w:t>1.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E4BF" w14:textId="3A257724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 xml:space="preserve">Ustawa z dnia 7 lipca 1994 r. Prawo budowlane </w:t>
            </w:r>
            <w:r w:rsidR="00F614F9" w:rsidRPr="009D4E7A">
              <w:rPr>
                <w:sz w:val="20"/>
              </w:rPr>
              <w:t>(</w:t>
            </w:r>
            <w:r w:rsidR="00F614F9" w:rsidRPr="007A0BE5">
              <w:rPr>
                <w:sz w:val="20"/>
              </w:rPr>
              <w:t>Dz. U. z 2021 r. poz. 2351</w:t>
            </w:r>
            <w:r w:rsidR="00F614F9" w:rsidRPr="009D4E7A">
              <w:rPr>
                <w:sz w:val="20"/>
              </w:rPr>
              <w:t>)</w:t>
            </w:r>
            <w:r w:rsidR="00F614F9" w:rsidRPr="009D4E7A" w:rsidDel="00F614F9">
              <w:rPr>
                <w:sz w:val="20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758C3" w14:textId="04C38A3D" w:rsidR="0067064D" w:rsidRPr="009D4E7A" w:rsidRDefault="00547998" w:rsidP="00C030D1">
            <w:pPr>
              <w:jc w:val="both"/>
            </w:pPr>
            <w:r w:rsidRPr="009D4E7A">
              <w:rPr>
                <w:strike/>
              </w:rPr>
              <w:t>TAK/</w:t>
            </w:r>
            <w:r w:rsidRPr="009D4E7A">
              <w:t>NIE</w:t>
            </w:r>
            <w:r w:rsidRPr="009D4E7A" w:rsidDel="00547998"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27E6" w14:textId="65AE58FF" w:rsidR="0067064D" w:rsidRPr="009D4E7A" w:rsidRDefault="00547998" w:rsidP="0067064D">
            <w:r w:rsidRPr="009D4E7A">
              <w:rPr>
                <w:i/>
                <w:iCs/>
                <w:sz w:val="20"/>
              </w:rPr>
              <w:t>Nie dotyczy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89473" w14:textId="6C992EEA" w:rsidR="0067064D" w:rsidRPr="009D4E7A" w:rsidRDefault="00547998" w:rsidP="00C030D1">
            <w:pPr>
              <w:jc w:val="both"/>
            </w:pPr>
            <w:r w:rsidRPr="009D4E7A">
              <w:rPr>
                <w:i/>
                <w:iCs/>
                <w:sz w:val="20"/>
              </w:rPr>
              <w:t>Nie dotyczy</w:t>
            </w:r>
          </w:p>
        </w:tc>
      </w:tr>
      <w:tr w:rsidR="0067064D" w:rsidRPr="009D4E7A" w14:paraId="328D6102" w14:textId="77777777" w:rsidTr="009B588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A9014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>2.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622AA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>Ustawa z dnia 5 lipca 2018 r. o krajowym systemie cyberbezpieczeństwa (Dz. U. z 2018 r., poz. 1560)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C8D9B" w14:textId="77777777" w:rsidR="0067064D" w:rsidRPr="009D4E7A" w:rsidRDefault="0067064D" w:rsidP="00C030D1">
            <w:pPr>
              <w:jc w:val="both"/>
            </w:pPr>
            <w:r w:rsidRPr="009D4E7A">
              <w:rPr>
                <w:strike/>
              </w:rPr>
              <w:t>TAK/</w:t>
            </w:r>
            <w:r w:rsidRPr="009D4E7A">
              <w:t>NIE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12F7A" w14:textId="77777777" w:rsidR="0067064D" w:rsidRPr="009D4E7A" w:rsidRDefault="0067064D" w:rsidP="00C030D1">
            <w:pPr>
              <w:jc w:val="both"/>
            </w:pPr>
            <w:r w:rsidRPr="009D4E7A">
              <w:rPr>
                <w:i/>
                <w:iCs/>
                <w:sz w:val="20"/>
              </w:rPr>
              <w:t>Nie dotyczy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2FB1" w14:textId="77777777" w:rsidR="0067064D" w:rsidRPr="009D4E7A" w:rsidRDefault="0067064D" w:rsidP="00C030D1">
            <w:pPr>
              <w:jc w:val="both"/>
            </w:pPr>
            <w:r w:rsidRPr="009D4E7A">
              <w:rPr>
                <w:i/>
                <w:iCs/>
                <w:sz w:val="20"/>
              </w:rPr>
              <w:t>Nie dotyczy</w:t>
            </w:r>
          </w:p>
        </w:tc>
      </w:tr>
      <w:tr w:rsidR="0067064D" w:rsidRPr="009D4E7A" w14:paraId="34933196" w14:textId="77777777" w:rsidTr="009B5882">
        <w:trPr>
          <w:trHeight w:val="8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F5D0B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>3.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16E99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>Ustawa z dnia 18 lipca 2002 r. o świadczeniu usług drogą elektroniczną (Dz. U. z 2019 r., poz. 123 z późn. zm.)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CCA4F" w14:textId="77777777" w:rsidR="0067064D" w:rsidRPr="009D4E7A" w:rsidRDefault="0067064D" w:rsidP="00C030D1">
            <w:pPr>
              <w:jc w:val="both"/>
            </w:pPr>
            <w:r w:rsidRPr="009D4E7A">
              <w:rPr>
                <w:strike/>
              </w:rPr>
              <w:t>TAK/</w:t>
            </w:r>
            <w:r w:rsidRPr="009D4E7A">
              <w:t>NIE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13A9" w14:textId="77777777" w:rsidR="0067064D" w:rsidRPr="009D4E7A" w:rsidRDefault="0067064D" w:rsidP="00C030D1">
            <w:pPr>
              <w:jc w:val="both"/>
            </w:pPr>
            <w:r w:rsidRPr="009D4E7A">
              <w:rPr>
                <w:i/>
                <w:iCs/>
                <w:sz w:val="20"/>
              </w:rPr>
              <w:t>Nie dotyczy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27DD" w14:textId="77777777" w:rsidR="0067064D" w:rsidRPr="009D4E7A" w:rsidRDefault="0067064D" w:rsidP="00C030D1">
            <w:pPr>
              <w:jc w:val="both"/>
            </w:pPr>
            <w:r w:rsidRPr="009D4E7A">
              <w:rPr>
                <w:i/>
                <w:iCs/>
                <w:sz w:val="20"/>
              </w:rPr>
              <w:t>Nie dotyczy</w:t>
            </w:r>
          </w:p>
        </w:tc>
      </w:tr>
      <w:tr w:rsidR="0067064D" w:rsidRPr="009D4E7A" w14:paraId="6500542E" w14:textId="77777777" w:rsidTr="009B5882">
        <w:trPr>
          <w:trHeight w:val="199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21B57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>4.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F95E6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>Rozporządzenie Rady Ministrów z dnia 12 kwietnia 2012 r. w sprawie Krajowych Ram Interoperacyjności, minimalnych wymagań dla rejestrów publicznych i wymiany informacji w postaci elektronicznej oraz minimalnych wymagań dla systemów teleinformatycznych (Dz.U. 2017 poz. 2247 -</w:t>
            </w:r>
            <w:proofErr w:type="spellStart"/>
            <w:r w:rsidRPr="009D4E7A">
              <w:rPr>
                <w:sz w:val="20"/>
              </w:rPr>
              <w:t>t.j</w:t>
            </w:r>
            <w:proofErr w:type="spellEnd"/>
            <w:r w:rsidRPr="009D4E7A">
              <w:rPr>
                <w:sz w:val="20"/>
              </w:rPr>
              <w:t>.)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6625C" w14:textId="77777777" w:rsidR="0067064D" w:rsidRPr="009D4E7A" w:rsidRDefault="0067064D" w:rsidP="00C030D1">
            <w:pPr>
              <w:jc w:val="both"/>
            </w:pPr>
            <w:r w:rsidRPr="009D4E7A">
              <w:rPr>
                <w:strike/>
              </w:rPr>
              <w:t>TAK/</w:t>
            </w:r>
            <w:r w:rsidRPr="009D4E7A">
              <w:t>NIE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3A0A" w14:textId="77777777" w:rsidR="0067064D" w:rsidRPr="009D4E7A" w:rsidRDefault="0067064D" w:rsidP="00C030D1">
            <w:pPr>
              <w:jc w:val="both"/>
            </w:pPr>
            <w:r w:rsidRPr="009D4E7A">
              <w:rPr>
                <w:i/>
                <w:iCs/>
                <w:sz w:val="20"/>
              </w:rPr>
              <w:t>Nie dotyczy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6A93" w14:textId="77777777" w:rsidR="0067064D" w:rsidRPr="009D4E7A" w:rsidRDefault="0067064D" w:rsidP="00C030D1">
            <w:pPr>
              <w:jc w:val="both"/>
            </w:pPr>
            <w:r w:rsidRPr="009D4E7A">
              <w:rPr>
                <w:i/>
                <w:iCs/>
                <w:sz w:val="20"/>
              </w:rPr>
              <w:t>Nie dotyczy</w:t>
            </w:r>
          </w:p>
        </w:tc>
      </w:tr>
      <w:tr w:rsidR="0067064D" w:rsidRPr="009D4E7A" w14:paraId="2D6A3A41" w14:textId="77777777" w:rsidTr="009B5882">
        <w:trPr>
          <w:trHeight w:val="67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A4D30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>5.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01A88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>Ustawa z dnia 10 maja 2018 r. o ochronie danych osobowych (Dz. U. z 2018 r., poz. 1000)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A30E" w14:textId="77777777" w:rsidR="0067064D" w:rsidRPr="009D4E7A" w:rsidRDefault="0067064D" w:rsidP="00C030D1">
            <w:pPr>
              <w:jc w:val="both"/>
            </w:pPr>
            <w:r w:rsidRPr="009D4E7A">
              <w:rPr>
                <w:strike/>
              </w:rPr>
              <w:t>TAK/</w:t>
            </w:r>
            <w:r w:rsidRPr="009D4E7A">
              <w:t>NIE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A2D25" w14:textId="77777777" w:rsidR="0067064D" w:rsidRPr="009D4E7A" w:rsidRDefault="0067064D" w:rsidP="00C030D1">
            <w:pPr>
              <w:jc w:val="both"/>
            </w:pPr>
            <w:r w:rsidRPr="009D4E7A">
              <w:rPr>
                <w:i/>
                <w:iCs/>
                <w:sz w:val="20"/>
              </w:rPr>
              <w:t>Nie dotyczy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2D536" w14:textId="77777777" w:rsidR="0067064D" w:rsidRPr="009D4E7A" w:rsidRDefault="0067064D" w:rsidP="00C030D1">
            <w:pPr>
              <w:jc w:val="both"/>
            </w:pPr>
            <w:r w:rsidRPr="009D4E7A">
              <w:rPr>
                <w:i/>
                <w:iCs/>
                <w:sz w:val="20"/>
              </w:rPr>
              <w:t>Nie dotyczy</w:t>
            </w:r>
          </w:p>
        </w:tc>
      </w:tr>
      <w:tr w:rsidR="0067064D" w:rsidRPr="009D4E7A" w14:paraId="7D99AED1" w14:textId="77777777" w:rsidTr="009B5882">
        <w:trPr>
          <w:trHeight w:val="2203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ADF3" w14:textId="77777777" w:rsidR="0067064D" w:rsidRPr="009D4E7A" w:rsidRDefault="0067064D" w:rsidP="00C030D1">
            <w:pPr>
              <w:jc w:val="both"/>
            </w:pPr>
            <w:r w:rsidRPr="009D4E7A">
              <w:rPr>
                <w:sz w:val="20"/>
              </w:rPr>
              <w:t>6.</w:t>
            </w:r>
          </w:p>
        </w:tc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31C8E" w14:textId="56A4237E" w:rsidR="0067064D" w:rsidRPr="009D4E7A" w:rsidRDefault="0067064D" w:rsidP="00C030D1">
            <w:pPr>
              <w:jc w:val="both"/>
            </w:pPr>
            <w:r w:rsidRPr="009D4E7A">
              <w:rPr>
                <w:color w:val="333333"/>
                <w:sz w:val="20"/>
                <w:u w:color="333333"/>
              </w:rPr>
      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danych).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4A81" w14:textId="77777777" w:rsidR="0067064D" w:rsidRPr="009D4E7A" w:rsidRDefault="0067064D" w:rsidP="00C030D1">
            <w:r w:rsidRPr="009D4E7A">
              <w:rPr>
                <w:rFonts w:eastAsia="Arial Unicode MS" w:cs="Arial Unicode MS"/>
                <w:strike/>
              </w:rPr>
              <w:t>TAK/</w:t>
            </w:r>
            <w:r w:rsidRPr="009D4E7A">
              <w:rPr>
                <w:rFonts w:eastAsia="Arial Unicode MS" w:cs="Arial Unicode MS"/>
              </w:rPr>
              <w:t>NIE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60550" w14:textId="77777777" w:rsidR="0067064D" w:rsidRPr="009D4E7A" w:rsidRDefault="0067064D" w:rsidP="00C030D1">
            <w:r w:rsidRPr="009D4E7A">
              <w:rPr>
                <w:rFonts w:eastAsia="Arial Unicode MS" w:cs="Arial Unicode MS"/>
                <w:i/>
                <w:iCs/>
                <w:sz w:val="20"/>
              </w:rPr>
              <w:t>Nie dotyczy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6AEB8" w14:textId="77777777" w:rsidR="0067064D" w:rsidRPr="009D4E7A" w:rsidRDefault="0067064D" w:rsidP="00C030D1">
            <w:r w:rsidRPr="009D4E7A">
              <w:rPr>
                <w:rFonts w:eastAsia="Arial Unicode MS" w:cs="Arial Unicode MS"/>
                <w:i/>
                <w:iCs/>
                <w:sz w:val="20"/>
              </w:rPr>
              <w:t>Nie dotyczy</w:t>
            </w:r>
          </w:p>
        </w:tc>
      </w:tr>
    </w:tbl>
    <w:p w14:paraId="0B48B07F" w14:textId="77777777" w:rsidR="00BE3ABC" w:rsidRPr="009D4E7A" w:rsidRDefault="00BE3ABC" w:rsidP="00BE3ABC">
      <w:pPr>
        <w:tabs>
          <w:tab w:val="left" w:pos="4962"/>
        </w:tabs>
        <w:spacing w:before="120" w:after="360"/>
        <w:ind w:right="170"/>
        <w:outlineLvl w:val="1"/>
      </w:pPr>
    </w:p>
    <w:p w14:paraId="7EA7B8A5" w14:textId="7AF93C4C" w:rsidR="00BE3ABC" w:rsidRPr="009D4E7A" w:rsidRDefault="00BE3ABC" w:rsidP="00F76B27">
      <w:pPr>
        <w:pStyle w:val="Nagwek1"/>
        <w:numPr>
          <w:ilvl w:val="0"/>
          <w:numId w:val="9"/>
        </w:numPr>
        <w:rPr>
          <w:rFonts w:cs="Arial"/>
          <w:lang w:val="pl-PL" w:eastAsia="pl-PL"/>
        </w:rPr>
      </w:pPr>
      <w:r w:rsidRPr="009D4E7A">
        <w:rPr>
          <w:rFonts w:cs="Arial"/>
          <w:lang w:val="pl-PL" w:eastAsia="pl-PL"/>
        </w:rPr>
        <w:lastRenderedPageBreak/>
        <w:t>ARCHITEKTURA</w:t>
      </w:r>
    </w:p>
    <w:p w14:paraId="2CD77282" w14:textId="77777777" w:rsidR="00AE6E1C" w:rsidRPr="009D4E7A" w:rsidRDefault="00AE6E1C" w:rsidP="00AE6E1C">
      <w:pPr>
        <w:pStyle w:val="Nagwek2"/>
        <w:keepNext/>
        <w:rPr>
          <w:lang w:val="pl-PL" w:eastAsia="pl-PL"/>
        </w:rPr>
      </w:pPr>
      <w:r w:rsidRPr="009D4E7A">
        <w:rPr>
          <w:lang w:val="pl-PL" w:eastAsia="pl-PL"/>
        </w:rPr>
        <w:t>Widok kooperacji aplikacji</w:t>
      </w:r>
    </w:p>
    <w:p w14:paraId="3EDF8E81" w14:textId="38BE35E2" w:rsidR="00264876" w:rsidRPr="009D4E7A" w:rsidRDefault="00A62EBF" w:rsidP="000F313E">
      <w:pPr>
        <w:pStyle w:val="Tekstpodstawowy"/>
        <w:jc w:val="center"/>
        <w:rPr>
          <w:lang w:eastAsia="pl-PL"/>
        </w:rPr>
      </w:pPr>
      <w:r>
        <w:rPr>
          <w:noProof/>
          <w:lang w:eastAsia="pl-PL"/>
        </w:rPr>
        <w:drawing>
          <wp:inline distT="0" distB="0" distL="0" distR="0" wp14:anchorId="0902012A" wp14:editId="23D4E0BB">
            <wp:extent cx="5753100" cy="513397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95" w:type="dxa"/>
        <w:jc w:val="center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7434"/>
      </w:tblGrid>
      <w:tr w:rsidR="00BE3ABC" w:rsidRPr="009D4E7A" w14:paraId="78B5F713" w14:textId="77777777" w:rsidTr="000F313E">
        <w:trPr>
          <w:cantSplit/>
          <w:tblHeader/>
          <w:jc w:val="center"/>
        </w:trPr>
        <w:tc>
          <w:tcPr>
            <w:tcW w:w="2061" w:type="dxa"/>
            <w:shd w:val="pct5" w:color="auto" w:fill="auto"/>
          </w:tcPr>
          <w:p w14:paraId="202C2D1F" w14:textId="77777777" w:rsidR="00BE3ABC" w:rsidRPr="009D4E7A" w:rsidRDefault="00BE3ABC" w:rsidP="00B03E91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9D4E7A">
              <w:rPr>
                <w:rFonts w:ascii="Arial" w:hAnsi="Arial" w:cs="Arial"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14:paraId="59CBC0F2" w14:textId="77777777" w:rsidR="00BE3ABC" w:rsidRPr="009D4E7A" w:rsidRDefault="00BE3ABC" w:rsidP="00B03E91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9D4E7A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BE3ABC" w:rsidRPr="009D4E7A" w14:paraId="73CE3CFA" w14:textId="77777777" w:rsidTr="000F313E">
        <w:trPr>
          <w:cantSplit/>
          <w:jc w:val="center"/>
        </w:trPr>
        <w:tc>
          <w:tcPr>
            <w:tcW w:w="2061" w:type="dxa"/>
          </w:tcPr>
          <w:p w14:paraId="77D49B12" w14:textId="77777777" w:rsidR="00BE3ABC" w:rsidRPr="009D4E7A" w:rsidRDefault="00BE3ABC" w:rsidP="00B03E91">
            <w:pPr>
              <w:pStyle w:val="Poletabeli"/>
              <w:rPr>
                <w:rFonts w:ascii="Arial" w:hAnsi="Arial" w:cs="Arial"/>
                <w:color w:val="70AD47" w:themeColor="accent6"/>
                <w:sz w:val="22"/>
                <w:szCs w:val="22"/>
                <w:lang w:val="pl-PL" w:eastAsia="pl-PL"/>
              </w:rPr>
            </w:pPr>
            <w:r w:rsidRPr="009D4E7A">
              <w:rPr>
                <w:rFonts w:ascii="Arial" w:hAnsi="Arial" w:cs="Arial"/>
                <w:color w:val="70AD47" w:themeColor="accent6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7434" w:type="dxa"/>
          </w:tcPr>
          <w:p w14:paraId="324DF574" w14:textId="77777777" w:rsidR="00BE3ABC" w:rsidRPr="009D4E7A" w:rsidRDefault="00BE3ABC" w:rsidP="00B03E91">
            <w:pPr>
              <w:pStyle w:val="Poletabeli"/>
              <w:rPr>
                <w:rFonts w:ascii="Arial" w:hAnsi="Arial" w:cs="Arial"/>
                <w:color w:val="70AD47" w:themeColor="accent6"/>
                <w:sz w:val="22"/>
                <w:szCs w:val="22"/>
                <w:lang w:val="pl-PL" w:eastAsia="pl-PL"/>
              </w:rPr>
            </w:pPr>
            <w:r w:rsidRPr="009D4E7A">
              <w:rPr>
                <w:rFonts w:ascii="Arial" w:hAnsi="Arial" w:cs="Arial"/>
                <w:color w:val="70AD47" w:themeColor="accent6"/>
                <w:sz w:val="22"/>
                <w:szCs w:val="22"/>
                <w:lang w:val="pl-PL" w:eastAsia="pl-PL"/>
              </w:rPr>
              <w:t>System projektowany, w trakcie budowy, w trakcie wdrożenia.</w:t>
            </w:r>
          </w:p>
        </w:tc>
      </w:tr>
      <w:tr w:rsidR="00BE3ABC" w:rsidRPr="009D4E7A" w14:paraId="3FBF443F" w14:textId="77777777" w:rsidTr="000F313E">
        <w:trPr>
          <w:cantSplit/>
          <w:jc w:val="center"/>
        </w:trPr>
        <w:tc>
          <w:tcPr>
            <w:tcW w:w="2061" w:type="dxa"/>
          </w:tcPr>
          <w:p w14:paraId="4A063ADB" w14:textId="77777777" w:rsidR="00BE3ABC" w:rsidRPr="005A1782" w:rsidRDefault="00BE3ABC" w:rsidP="00B03E91">
            <w:pPr>
              <w:pStyle w:val="Poletabeli"/>
              <w:rPr>
                <w:rFonts w:ascii="Arial" w:hAnsi="Arial" w:cs="Arial"/>
                <w:color w:val="00B0F0"/>
                <w:sz w:val="22"/>
                <w:szCs w:val="22"/>
                <w:lang w:val="pl-PL" w:eastAsia="pl-PL"/>
              </w:rPr>
            </w:pPr>
            <w:r w:rsidRPr="005A1782">
              <w:rPr>
                <w:rFonts w:ascii="Arial" w:hAnsi="Arial" w:cs="Arial"/>
                <w:color w:val="00B0F0"/>
                <w:sz w:val="22"/>
                <w:szCs w:val="22"/>
                <w:lang w:val="pl-PL" w:eastAsia="pl-PL"/>
              </w:rPr>
              <w:t>Modyfikowany</w:t>
            </w:r>
          </w:p>
        </w:tc>
        <w:tc>
          <w:tcPr>
            <w:tcW w:w="7434" w:type="dxa"/>
          </w:tcPr>
          <w:p w14:paraId="6C0CBD18" w14:textId="77777777" w:rsidR="00BE3ABC" w:rsidRPr="005A1782" w:rsidRDefault="00BE3ABC" w:rsidP="00B03E91">
            <w:pPr>
              <w:pStyle w:val="Poletabeli"/>
              <w:rPr>
                <w:rFonts w:ascii="Arial" w:hAnsi="Arial" w:cs="Arial"/>
                <w:color w:val="00B0F0"/>
                <w:sz w:val="22"/>
                <w:szCs w:val="22"/>
                <w:lang w:val="pl-PL" w:eastAsia="pl-PL"/>
              </w:rPr>
            </w:pPr>
            <w:r w:rsidRPr="005A1782">
              <w:rPr>
                <w:rFonts w:ascii="Arial" w:hAnsi="Arial" w:cs="Arial"/>
                <w:color w:val="00B0F0"/>
                <w:sz w:val="22"/>
                <w:szCs w:val="22"/>
                <w:lang w:val="pl-PL" w:eastAsia="pl-PL"/>
              </w:rPr>
              <w:t>System modyfikowany, rozszerzany na potrzeby projektu.</w:t>
            </w:r>
          </w:p>
        </w:tc>
      </w:tr>
      <w:tr w:rsidR="00BE3ABC" w:rsidRPr="009D4E7A" w14:paraId="28B86F47" w14:textId="77777777" w:rsidTr="000F313E">
        <w:trPr>
          <w:cantSplit/>
          <w:jc w:val="center"/>
        </w:trPr>
        <w:tc>
          <w:tcPr>
            <w:tcW w:w="2061" w:type="dxa"/>
          </w:tcPr>
          <w:p w14:paraId="27A9E88C" w14:textId="77777777" w:rsidR="00BE3ABC" w:rsidRPr="009D4E7A" w:rsidRDefault="00BE3ABC" w:rsidP="00B03E91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9D4E7A">
              <w:rPr>
                <w:rFonts w:ascii="Arial" w:hAnsi="Arial" w:cs="Arial"/>
                <w:color w:val="4472C4" w:themeColor="accent1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7434" w:type="dxa"/>
          </w:tcPr>
          <w:p w14:paraId="3C4B1D86" w14:textId="77777777" w:rsidR="00BE3ABC" w:rsidRPr="009D4E7A" w:rsidRDefault="00BE3ABC" w:rsidP="00B03E91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9D4E7A">
              <w:rPr>
                <w:rFonts w:ascii="Arial" w:hAnsi="Arial" w:cs="Arial"/>
                <w:color w:val="4472C4" w:themeColor="accent1"/>
                <w:sz w:val="22"/>
                <w:szCs w:val="22"/>
                <w:lang w:val="pl-PL" w:eastAsia="pl-PL"/>
              </w:rPr>
              <w:t>System działający produkcyjnie, gotowy do wykorzystania</w:t>
            </w:r>
          </w:p>
        </w:tc>
      </w:tr>
    </w:tbl>
    <w:p w14:paraId="61E11553" w14:textId="6BA2C9EC" w:rsidR="00BE3ABC" w:rsidRPr="009D4E7A" w:rsidRDefault="00264876" w:rsidP="00264876">
      <w:pPr>
        <w:pStyle w:val="Tekstpodstawowy2"/>
        <w:jc w:val="both"/>
        <w:rPr>
          <w:b/>
          <w:color w:val="FF0000"/>
          <w:sz w:val="20"/>
        </w:rPr>
      </w:pPr>
      <w:r w:rsidRPr="009D4E7A">
        <w:br/>
      </w:r>
      <w:r w:rsidR="00BE3ABC" w:rsidRPr="009D4E7A">
        <w:rPr>
          <w:b/>
        </w:rPr>
        <w:t xml:space="preserve">Lista systemów wykorzystywanych w projekcie </w:t>
      </w:r>
    </w:p>
    <w:p w14:paraId="12FC02E6" w14:textId="77777777" w:rsidR="00BE3ABC" w:rsidRPr="009D4E7A" w:rsidRDefault="00BE3ABC" w:rsidP="00BE3ABC">
      <w:pPr>
        <w:jc w:val="both"/>
        <w:rPr>
          <w:rFonts w:cs="Arial"/>
          <w:color w:val="0070C0"/>
          <w:sz w:val="20"/>
          <w:lang w:eastAsia="pl-PL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1276"/>
        <w:gridCol w:w="3969"/>
        <w:gridCol w:w="1559"/>
        <w:gridCol w:w="1530"/>
      </w:tblGrid>
      <w:tr w:rsidR="00BE3ABC" w:rsidRPr="009D4E7A" w14:paraId="5EF960A7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907DAB0" w14:textId="77777777" w:rsidR="00BE3ABC" w:rsidRPr="009D4E7A" w:rsidRDefault="00BE3ABC" w:rsidP="00B03E91">
            <w:pPr>
              <w:jc w:val="both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D5D876C" w14:textId="77777777" w:rsidR="00BE3ABC" w:rsidRPr="009D4E7A" w:rsidRDefault="00BE3ABC" w:rsidP="00B03E91">
            <w:pPr>
              <w:jc w:val="both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Nazwa systemu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821333F" w14:textId="77777777" w:rsidR="00BE3ABC" w:rsidRPr="009D4E7A" w:rsidRDefault="00BE3ABC" w:rsidP="00B03E91">
            <w:pPr>
              <w:jc w:val="both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Gestor systemu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6CB7B8D9" w14:textId="77777777" w:rsidR="00BE3ABC" w:rsidRPr="009D4E7A" w:rsidRDefault="00BE3ABC" w:rsidP="00B03E91">
            <w:pPr>
              <w:jc w:val="both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Opis 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F3B492D" w14:textId="77777777" w:rsidR="00BE3ABC" w:rsidRPr="009D4E7A" w:rsidRDefault="00BE3ABC" w:rsidP="00B03E91">
            <w:pPr>
              <w:jc w:val="both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Status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073365E" w14:textId="77777777" w:rsidR="00BE3ABC" w:rsidRPr="009D4E7A" w:rsidRDefault="00BE3ABC" w:rsidP="00B03E91">
            <w:pPr>
              <w:jc w:val="both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Krótki opis ewentualnej zmiany</w:t>
            </w:r>
          </w:p>
        </w:tc>
      </w:tr>
      <w:tr w:rsidR="00BE3ABC" w:rsidRPr="009D4E7A" w14:paraId="0BCC385F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E2D4" w14:textId="77777777" w:rsidR="00BE3ABC" w:rsidRPr="009D4E7A" w:rsidRDefault="00BE3ABC" w:rsidP="00B03E91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9D21" w14:textId="543B6EE3" w:rsidR="00BE3ABC" w:rsidRPr="009D4E7A" w:rsidRDefault="00885E11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System do Obsługi Postępowań Administracyjnych w 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Budownictwie</w:t>
            </w:r>
            <w:r w:rsidR="00FB1E53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(SOPAB)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EB15" w14:textId="1817DA23" w:rsidR="00BE3ABC" w:rsidRPr="009D4E7A" w:rsidRDefault="00264876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GUNB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5447" w14:textId="5101EAB9" w:rsidR="00BE3ABC" w:rsidRPr="009D4E7A" w:rsidRDefault="00D81B46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kompleksowej, cyfrowej obsługi postepowań administracyjnych w obszarze inwestycyjno-budowlanym</w:t>
            </w:r>
            <w:r w:rsidR="000C3777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, z komponentem PIP, udostępniającym dane z prowadzonych postepowań w </w:t>
            </w:r>
            <w:r w:rsidR="000C3777" w:rsidRPr="009D4E7A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postaci portalu mapowego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. System gromadzi dane w Centraln</w:t>
            </w:r>
            <w:r w:rsidR="00885E11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ym Magazynie 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Danych, któr</w:t>
            </w:r>
            <w:r w:rsidR="00885E11" w:rsidRPr="009D4E7A">
              <w:rPr>
                <w:rFonts w:cs="Arial"/>
                <w:color w:val="000000" w:themeColor="text1"/>
                <w:sz w:val="20"/>
                <w:lang w:eastAsia="pl-PL"/>
              </w:rPr>
              <w:t>y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obsługuje rejestry, zasilane przez prowadzone postepowania.</w:t>
            </w:r>
            <w:r w:rsidR="00597E88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Za pomocą mechanizmu centralnego PUDR dane </w:t>
            </w:r>
            <w:r w:rsidR="0099340B" w:rsidRPr="009D4E7A">
              <w:rPr>
                <w:rFonts w:cs="Arial"/>
                <w:color w:val="000000" w:themeColor="text1"/>
                <w:sz w:val="20"/>
                <w:lang w:eastAsia="pl-PL"/>
              </w:rPr>
              <w:t>referencyjne mog</w:t>
            </w:r>
            <w:r w:rsidR="000C3777" w:rsidRPr="009D4E7A">
              <w:rPr>
                <w:rFonts w:cs="Arial"/>
                <w:color w:val="000000" w:themeColor="text1"/>
                <w:sz w:val="20"/>
                <w:lang w:eastAsia="pl-PL"/>
              </w:rPr>
              <w:t>ą być udostępniane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="000C3777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systemom innych podmiotów.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04DB" w14:textId="4A37752C" w:rsidR="00BE3ABC" w:rsidRPr="009D4E7A" w:rsidRDefault="007C6F76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333333"/>
                <w:sz w:val="20"/>
                <w:lang w:eastAsia="pl-PL"/>
              </w:rPr>
              <w:lastRenderedPageBreak/>
              <w:t>Planowany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0FF7" w14:textId="77777777" w:rsidR="00BE3ABC" w:rsidRPr="009D4E7A" w:rsidRDefault="00BE3ABC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264876" w:rsidRPr="009D4E7A" w14:paraId="634728B1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21B1" w14:textId="5F2957B2" w:rsidR="00264876" w:rsidRPr="009D4E7A" w:rsidRDefault="00264876" w:rsidP="00B03E91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4B3B" w14:textId="1A173111" w:rsidR="00264876" w:rsidRPr="009D4E7A" w:rsidRDefault="00264876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e-</w:t>
            </w:r>
            <w:r w:rsidR="00885E11" w:rsidRPr="009D4E7A">
              <w:rPr>
                <w:rFonts w:cs="Arial"/>
                <w:color w:val="000000" w:themeColor="text1"/>
                <w:sz w:val="20"/>
                <w:lang w:eastAsia="pl-PL"/>
              </w:rPr>
              <w:t>B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udownictwo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C879" w14:textId="77777777" w:rsidR="00264876" w:rsidRPr="009D4E7A" w:rsidRDefault="00264876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GUNB</w:t>
            </w:r>
          </w:p>
          <w:p w14:paraId="1451FEA9" w14:textId="2454D067" w:rsidR="00264876" w:rsidRPr="009D4E7A" w:rsidRDefault="00264876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6646" w14:textId="37BFB9DB" w:rsidR="00264876" w:rsidRPr="009D4E7A" w:rsidRDefault="000C3777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System do generowania i (docelowo bezpośredniego) składania wniosków w procesie budowlanym, z kontem </w:t>
            </w:r>
            <w:r w:rsidR="005A1782" w:rsidRPr="009D4E7A">
              <w:rPr>
                <w:rFonts w:cs="Arial"/>
                <w:color w:val="000000" w:themeColor="text1"/>
                <w:sz w:val="20"/>
                <w:lang w:eastAsia="pl-PL"/>
              </w:rPr>
              <w:t>użytkownika,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na którym wnioski można gromadzić oraz sprawdzać status swojej sprawy.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4CD8" w14:textId="0719EE15" w:rsidR="00264876" w:rsidRPr="009D4E7A" w:rsidRDefault="006D0B8D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Modyfikowany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C3E7" w14:textId="63C6974C" w:rsidR="00264876" w:rsidRPr="009D4E7A" w:rsidRDefault="000C3777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Poprzez integrację z </w:t>
            </w:r>
            <w:r w:rsidR="007E7140">
              <w:rPr>
                <w:rFonts w:cs="Arial"/>
                <w:color w:val="000000" w:themeColor="text1"/>
                <w:sz w:val="20"/>
                <w:lang w:eastAsia="pl-PL"/>
              </w:rPr>
              <w:t>ePUAP/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</w:t>
            </w:r>
            <w:r w:rsidR="0081354E" w:rsidRPr="009D4E7A">
              <w:rPr>
                <w:rFonts w:cs="Arial"/>
                <w:color w:val="000000" w:themeColor="text1"/>
                <w:sz w:val="20"/>
                <w:lang w:eastAsia="pl-PL"/>
              </w:rPr>
              <w:t>-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Doręcze</w:t>
            </w:r>
            <w:r w:rsidR="007E7140">
              <w:rPr>
                <w:rFonts w:cs="Arial"/>
                <w:color w:val="000000" w:themeColor="text1"/>
                <w:sz w:val="20"/>
                <w:lang w:eastAsia="pl-PL"/>
              </w:rPr>
              <w:t>nia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, użytkownicy będą mogli przesłać wniosek do wybranego organu </w:t>
            </w:r>
            <w:r w:rsidR="007E7140">
              <w:rPr>
                <w:rFonts w:cs="Arial"/>
                <w:color w:val="000000" w:themeColor="text1"/>
                <w:sz w:val="20"/>
                <w:lang w:eastAsia="pl-PL"/>
              </w:rPr>
              <w:t>bezpośrednio z systemu.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="007E7140">
              <w:rPr>
                <w:rFonts w:cs="Arial"/>
                <w:color w:val="000000" w:themeColor="text1"/>
                <w:sz w:val="20"/>
                <w:lang w:eastAsia="pl-PL"/>
              </w:rPr>
              <w:t>Dzięki integracji z SOPAB możliwość wyświetlenia statusu sprawy.</w:t>
            </w:r>
          </w:p>
        </w:tc>
      </w:tr>
      <w:tr w:rsidR="00C57F41" w:rsidRPr="009D4E7A" w14:paraId="51253357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ECB5" w14:textId="1B2F64E7" w:rsidR="00C57F41" w:rsidRPr="009D4E7A" w:rsidRDefault="00C57F41" w:rsidP="00B03E91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9CDD" w14:textId="711622A7" w:rsidR="00C57F41" w:rsidRPr="009D4E7A" w:rsidRDefault="00C57F41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Rejestr Wniosków, Decyzji i Zgłoszeń (RWDZ)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C492" w14:textId="5AB627D1" w:rsidR="00C57F41" w:rsidRPr="009D4E7A" w:rsidRDefault="00C57F41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GUNB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D94C" w14:textId="04B7C18F" w:rsidR="00C57F41" w:rsidRPr="009D4E7A" w:rsidRDefault="00C57F41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57F41">
              <w:rPr>
                <w:rFonts w:cs="Arial"/>
                <w:color w:val="000000" w:themeColor="text1"/>
                <w:sz w:val="20"/>
                <w:lang w:eastAsia="pl-PL"/>
              </w:rPr>
              <w:t>Na mocy art. 82b ust. 1 pkt 1 w zw. z ust. 2 ustawy z dnia 7 lipca 1994 r. – Prawo budowlane, organy administracji architektoniczno-budowlanej prowadzą rejestr wniosków o pozwolenie na budowę i decyzji o pozwoleniu na budowę oraz rejestr zgłoszeń budowy, o której mowa w art. 29 ust. 1 pkt 1–3, a także przekazują do organu wyższego stopnia oraz Głównego Inspektora Nadzoru Budowlanego wprowadzone do nich dane. Rejestr, o którym mowa prowadzony jest w formie elektronicznej – Rejestr Wniosków, Decyzji i Zgłoszeń (RWDZ). Dane wprowadza się do rejestru i przesyła drogą elektroniczną do organu wyższego stopnia na bieżąco. Rejestr jest administrowany przez GINB i znajduje się na serwerach GUNB.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 Dzięki integracji SOPAB z RWDZ (API) organy będą mogły przesyłać dane bezpośrednio z systemu SOPAB, bez konieczności logowania się do systemu RWDZ i ręcznego wprowadzania danych z prowadzonych spraw.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24A8" w14:textId="33C453FA" w:rsidR="00C57F41" w:rsidRPr="009D4E7A" w:rsidRDefault="00E20B96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182C" w14:textId="77777777" w:rsidR="00C57F41" w:rsidRPr="009D4E7A" w:rsidRDefault="00C57F41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547AEB" w:rsidRPr="009D4E7A" w14:paraId="6D3C9094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7B3B" w14:textId="3CDD19FA" w:rsidR="00547AEB" w:rsidRPr="009D4E7A" w:rsidRDefault="00E951EB" w:rsidP="00547AEB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8D4E" w14:textId="3557BF39" w:rsidR="00547AEB" w:rsidRPr="009D4E7A" w:rsidRDefault="00C27FD4" w:rsidP="00C27FD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27FD4">
              <w:rPr>
                <w:rFonts w:cs="Arial"/>
                <w:color w:val="000000" w:themeColor="text1"/>
                <w:sz w:val="20"/>
                <w:lang w:eastAsia="pl-PL"/>
              </w:rPr>
              <w:t>EZD RP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A3D4" w14:textId="299D5530" w:rsidR="00C27FD4" w:rsidRPr="00C27FD4" w:rsidRDefault="00C27FD4" w:rsidP="00C27FD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27FD4">
              <w:rPr>
                <w:rFonts w:cs="Arial"/>
                <w:color w:val="000000" w:themeColor="text1"/>
                <w:sz w:val="20"/>
                <w:lang w:eastAsia="pl-PL"/>
              </w:rPr>
              <w:t>Minister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 w</w:t>
            </w:r>
            <w:r w:rsidRPr="00C27FD4">
              <w:rPr>
                <w:rFonts w:cs="Arial"/>
                <w:color w:val="000000" w:themeColor="text1"/>
                <w:sz w:val="20"/>
                <w:lang w:eastAsia="pl-PL"/>
              </w:rPr>
              <w:t>łaściwy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Pr="00C27FD4">
              <w:rPr>
                <w:rFonts w:cs="Arial"/>
                <w:color w:val="000000" w:themeColor="text1"/>
                <w:sz w:val="20"/>
                <w:lang w:eastAsia="pl-PL"/>
              </w:rPr>
              <w:t>ds.</w:t>
            </w:r>
          </w:p>
          <w:p w14:paraId="20D6C161" w14:textId="22CBCC8A" w:rsidR="00547AEB" w:rsidRPr="009D4E7A" w:rsidRDefault="00C27FD4" w:rsidP="00C27FD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27FD4">
              <w:rPr>
                <w:rFonts w:cs="Arial"/>
                <w:color w:val="000000" w:themeColor="text1"/>
                <w:sz w:val="20"/>
                <w:lang w:eastAsia="pl-PL"/>
              </w:rPr>
              <w:t>informatyzacji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560D" w14:textId="5DEF4265" w:rsidR="00C27FD4" w:rsidRPr="00C27FD4" w:rsidRDefault="00C27FD4" w:rsidP="00C27FD4">
            <w:pPr>
              <w:rPr>
                <w:sz w:val="20"/>
              </w:rPr>
            </w:pPr>
            <w:r w:rsidRPr="00C27FD4">
              <w:rPr>
                <w:sz w:val="20"/>
              </w:rPr>
              <w:t>EZD RP to system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teleinformatyczny do</w:t>
            </w:r>
          </w:p>
          <w:p w14:paraId="69C56A1F" w14:textId="7C0CCE7E" w:rsidR="00547AEB" w:rsidRPr="00C27FD4" w:rsidRDefault="00C27FD4" w:rsidP="00C27FD4">
            <w:pPr>
              <w:rPr>
                <w:sz w:val="20"/>
              </w:rPr>
            </w:pPr>
            <w:r>
              <w:rPr>
                <w:sz w:val="20"/>
              </w:rPr>
              <w:t>e</w:t>
            </w:r>
            <w:r w:rsidRPr="00C27FD4">
              <w:rPr>
                <w:sz w:val="20"/>
              </w:rPr>
              <w:t>lektronicznego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zarządzania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dokumentacją i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informacją, oparty na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obowiązujących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przepisach prawa, w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szczególności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kancelaryjnych i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archiwalnych. Powstający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w ramach projektu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unijnego system EZD RP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będzie własnością Skarbu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 xml:space="preserve">Państwa i pozostanie </w:t>
            </w:r>
            <w:r w:rsidRPr="00C27FD4">
              <w:rPr>
                <w:sz w:val="20"/>
              </w:rPr>
              <w:lastRenderedPageBreak/>
              <w:t>pod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jego kontrolą. Budowany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jest przede wszystkim z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myślą o administracji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publicznej i jej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pracownikach.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Udostępniony będzie od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2023 r. jako freeware,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zakładane jest masowe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wdrożenie systemu w</w:t>
            </w:r>
            <w:r>
              <w:rPr>
                <w:sz w:val="20"/>
              </w:rPr>
              <w:t xml:space="preserve"> </w:t>
            </w:r>
            <w:r w:rsidRPr="00C27FD4">
              <w:rPr>
                <w:sz w:val="20"/>
              </w:rPr>
              <w:t>skali całego kraju.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16D4" w14:textId="19A77397" w:rsidR="00547AEB" w:rsidRPr="009D4E7A" w:rsidRDefault="00C27FD4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Planowany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AE9C" w14:textId="77777777" w:rsidR="00547AEB" w:rsidRPr="009D4E7A" w:rsidRDefault="00547AEB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547AEB" w:rsidRPr="009D4E7A" w14:paraId="0C5A73A7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CA44" w14:textId="21748965" w:rsidR="00547AEB" w:rsidRPr="009D4E7A" w:rsidRDefault="00E951EB" w:rsidP="00547AEB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6A86" w14:textId="1C7B4BB9" w:rsidR="00547AEB" w:rsidRPr="009D4E7A" w:rsidRDefault="00547AEB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Centralne Cyfrowe Archiwum Budownictwa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45AA" w14:textId="347CA6D3" w:rsidR="00547AEB" w:rsidRPr="009D4E7A" w:rsidRDefault="00547AEB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GUNB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39F8" w14:textId="3B7A3498" w:rsidR="00547AEB" w:rsidRPr="009D4E7A" w:rsidRDefault="00583435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Dane archiwalne, tzw. „zimne”, </w:t>
            </w:r>
            <w:r w:rsidR="00EF22E6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przeniesione 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z </w:t>
            </w:r>
            <w:r w:rsidR="00F50C17"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(np.: po zakończeniu budowy wniosek o pozwoleniu na budowę wraz z załącznikami podlega archiwizacji</w:t>
            </w:r>
            <w:r w:rsidR="00EF22E6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aż do momentu wyburzenia budynku).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93D8" w14:textId="201A1829" w:rsidR="00547AEB" w:rsidRPr="009D4E7A" w:rsidRDefault="007C6F76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333333"/>
                <w:sz w:val="20"/>
                <w:lang w:eastAsia="pl-PL"/>
              </w:rPr>
              <w:t>Planowany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9A84" w14:textId="77777777" w:rsidR="00547AEB" w:rsidRPr="009D4E7A" w:rsidRDefault="00547AEB" w:rsidP="008B7994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0378A9" w:rsidRPr="009D4E7A" w14:paraId="49198C5A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0A90" w14:textId="1FDED4E3" w:rsidR="000378A9" w:rsidRPr="009D4E7A" w:rsidRDefault="00E951EB" w:rsidP="000378A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2848" w14:textId="0BDF0AF3" w:rsidR="000378A9" w:rsidRPr="009D4E7A" w:rsidRDefault="00785721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Geodezyjna Ewidencja Sieci Uzbrojenia Tereniu </w:t>
            </w:r>
            <w:r w:rsidR="007A396E" w:rsidRPr="009D4E7A">
              <w:rPr>
                <w:rFonts w:cs="Arial"/>
                <w:color w:val="000000" w:themeColor="text1"/>
                <w:sz w:val="20"/>
                <w:lang w:eastAsia="pl-PL"/>
              </w:rPr>
              <w:t>(</w:t>
            </w:r>
            <w:r w:rsidR="000378A9" w:rsidRPr="009D4E7A">
              <w:rPr>
                <w:rFonts w:cs="Arial"/>
                <w:color w:val="000000" w:themeColor="text1"/>
                <w:sz w:val="20"/>
                <w:lang w:eastAsia="pl-PL"/>
              </w:rPr>
              <w:t>GESUT</w:t>
            </w:r>
            <w:r w:rsidR="007A396E" w:rsidRPr="009D4E7A"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1046" w14:textId="201BBE80" w:rsidR="000378A9" w:rsidRPr="009D4E7A" w:rsidRDefault="000378A9" w:rsidP="000378A9">
            <w:pPr>
              <w:rPr>
                <w:sz w:val="20"/>
              </w:rPr>
            </w:pPr>
            <w:r w:rsidRPr="009D4E7A">
              <w:rPr>
                <w:sz w:val="20"/>
              </w:rPr>
              <w:t>Główny Urząd Geodezji i Kartografii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1728" w14:textId="78D9C9AF" w:rsidR="000378A9" w:rsidRPr="009D4E7A" w:rsidRDefault="00785721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do tworzenia, prowadzenia i aktualizacji bazy danych o sieciach uzbrojenia terenu.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4F8C" w14:textId="3F42554D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648E" w14:textId="77777777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0378A9" w:rsidRPr="009D4E7A" w14:paraId="3C7F550F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CFF7" w14:textId="23DC43E6" w:rsidR="000378A9" w:rsidRPr="009D4E7A" w:rsidRDefault="00E951EB" w:rsidP="000378A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277F" w14:textId="7536411A" w:rsidR="000378A9" w:rsidRPr="009D4E7A" w:rsidRDefault="007A396E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Krajowy System Zarządzania Bazą Danych Obiektów Topograficznych (</w:t>
            </w:r>
            <w:r w:rsidR="000378A9" w:rsidRPr="009D4E7A">
              <w:rPr>
                <w:rFonts w:cs="Arial"/>
                <w:color w:val="000000" w:themeColor="text1"/>
                <w:sz w:val="20"/>
                <w:lang w:eastAsia="pl-PL"/>
              </w:rPr>
              <w:t>KSZBDOT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1B36" w14:textId="6367E55A" w:rsidR="000378A9" w:rsidRPr="009D4E7A" w:rsidRDefault="000378A9" w:rsidP="000378A9">
            <w:pPr>
              <w:rPr>
                <w:sz w:val="20"/>
              </w:rPr>
            </w:pPr>
            <w:r w:rsidRPr="009D4E7A">
              <w:rPr>
                <w:sz w:val="20"/>
              </w:rPr>
              <w:t>Główny Urząd Geodezji i Kartografii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CBEB" w14:textId="6B1A63F7" w:rsidR="000378A9" w:rsidRPr="009D4E7A" w:rsidRDefault="007A396E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zarządza bazą danych obiektów topograficznych o szczegółowości zapewniającej tworzenie standardowych opracowań kartograficznych.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E663" w14:textId="6ECF2F61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5302" w14:textId="77777777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0378A9" w:rsidRPr="009D4E7A" w14:paraId="356C8879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ACFA" w14:textId="41167AC1" w:rsidR="000378A9" w:rsidRPr="009D4E7A" w:rsidRDefault="00E951EB" w:rsidP="000378A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EB61" w14:textId="3B0E9C05" w:rsidR="000378A9" w:rsidRPr="009D4E7A" w:rsidRDefault="007A396E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Państwowy Rejestr Podstawowych Osnów Geodezyjnych Grawimetrycznych i Magnetycznych (</w:t>
            </w:r>
            <w:r w:rsidR="000378A9" w:rsidRPr="009D4E7A">
              <w:rPr>
                <w:rFonts w:cs="Arial"/>
                <w:color w:val="000000" w:themeColor="text1"/>
                <w:sz w:val="20"/>
                <w:lang w:eastAsia="pl-PL"/>
              </w:rPr>
              <w:t>PRPOG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CC1F" w14:textId="23D69805" w:rsidR="000378A9" w:rsidRPr="009D4E7A" w:rsidRDefault="000378A9" w:rsidP="000378A9">
            <w:pPr>
              <w:rPr>
                <w:sz w:val="20"/>
              </w:rPr>
            </w:pPr>
            <w:r w:rsidRPr="009D4E7A">
              <w:rPr>
                <w:sz w:val="20"/>
              </w:rPr>
              <w:t>Główny Urząd Geodezji i Kartografii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799C" w14:textId="31A37CF6" w:rsidR="000378A9" w:rsidRPr="009D4E7A" w:rsidRDefault="008E1A2E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gromadzi dane państwowego rejestru podstawowych osnów geodezyjnych, grawimetrycznych i magnetycznych, stanowi część składową państwowego zasobu geodezyjnego i kartograficznego.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1FED" w14:textId="1D599639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A129" w14:textId="77777777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0378A9" w:rsidRPr="009D4E7A" w14:paraId="2822A322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2CC2" w14:textId="66A9CDEC" w:rsidR="000378A9" w:rsidRPr="009D4E7A" w:rsidRDefault="00E951EB" w:rsidP="000378A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CF4B" w14:textId="59363210" w:rsidR="000378A9" w:rsidRPr="009D4E7A" w:rsidRDefault="008E1A2E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Ewidencja </w:t>
            </w:r>
            <w:r w:rsidR="009E4A1C" w:rsidRPr="009D4E7A">
              <w:rPr>
                <w:rFonts w:cs="Arial"/>
                <w:color w:val="000000" w:themeColor="text1"/>
                <w:sz w:val="20"/>
                <w:lang w:eastAsia="pl-PL"/>
              </w:rPr>
              <w:t>G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runtów i </w:t>
            </w:r>
            <w:r w:rsidR="009E4A1C" w:rsidRPr="009D4E7A">
              <w:rPr>
                <w:rFonts w:cs="Arial"/>
                <w:color w:val="000000" w:themeColor="text1"/>
                <w:sz w:val="20"/>
                <w:lang w:eastAsia="pl-PL"/>
              </w:rPr>
              <w:t>B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udynków (</w:t>
            </w:r>
            <w:r w:rsidR="000378A9" w:rsidRPr="009D4E7A">
              <w:rPr>
                <w:rFonts w:cs="Arial"/>
                <w:color w:val="000000" w:themeColor="text1"/>
                <w:sz w:val="20"/>
                <w:lang w:eastAsia="pl-PL"/>
              </w:rPr>
              <w:t>EGiB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284A" w14:textId="05D72C73" w:rsidR="000378A9" w:rsidRPr="009D4E7A" w:rsidRDefault="00533A53" w:rsidP="000378A9">
            <w:pPr>
              <w:rPr>
                <w:sz w:val="20"/>
              </w:rPr>
            </w:pPr>
            <w:r w:rsidRPr="009D4E7A">
              <w:rPr>
                <w:sz w:val="20"/>
              </w:rPr>
              <w:t>Starosta lub prezydent miasta na prawach powiatu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99FE" w14:textId="01B2C49D" w:rsidR="000378A9" w:rsidRPr="009D4E7A" w:rsidRDefault="009E4A1C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System </w:t>
            </w:r>
            <w:r w:rsidR="008E1A2E" w:rsidRPr="009D4E7A">
              <w:rPr>
                <w:rFonts w:cs="Arial"/>
                <w:color w:val="000000" w:themeColor="text1"/>
                <w:sz w:val="20"/>
                <w:lang w:eastAsia="pl-PL"/>
              </w:rPr>
              <w:t>zawierający informacje o nieruchomościach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, w</w:t>
            </w:r>
            <w:r w:rsidR="008E1A2E" w:rsidRPr="009D4E7A">
              <w:rPr>
                <w:rFonts w:cs="Arial"/>
                <w:color w:val="000000" w:themeColor="text1"/>
                <w:sz w:val="20"/>
                <w:lang w:eastAsia="pl-PL"/>
              </w:rPr>
              <w:t>ykorzystywan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y </w:t>
            </w:r>
            <w:r w:rsidR="008E1A2E" w:rsidRPr="009D4E7A">
              <w:rPr>
                <w:rFonts w:cs="Arial"/>
                <w:color w:val="000000" w:themeColor="text1"/>
                <w:sz w:val="20"/>
                <w:lang w:eastAsia="pl-PL"/>
              </w:rPr>
              <w:t>jest podczas realizacji zadań w zakresie planowania gospodarczego, planowania przestrzennego, wymiaru podatków i świadczeń, oznaczania nieruchomości w księgach wieczystych, statystyki publicznej i gospodarki nieruchomościami.</w:t>
            </w:r>
            <w:r w:rsidR="00533A53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W oparciu o dane EGiB starostowie publikują usługi sieciowe, które GUGiK integruje wystawiając usługi KIEG i ULDK.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6989" w14:textId="10E4D776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7273" w14:textId="77777777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0378A9" w:rsidRPr="009D4E7A" w14:paraId="0B02B928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5512" w14:textId="0FA99B80" w:rsidR="000378A9" w:rsidRPr="009D4E7A" w:rsidRDefault="00F474C2" w:rsidP="000378A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</w:t>
            </w:r>
            <w:r w:rsidR="00E951EB">
              <w:rPr>
                <w:rFonts w:cs="Arial"/>
                <w:color w:val="000000" w:themeColor="text1"/>
                <w:sz w:val="20"/>
                <w:lang w:eastAsia="pl-PL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7FE3" w14:textId="7A52DF4C" w:rsidR="000378A9" w:rsidRPr="009D4E7A" w:rsidRDefault="0093653B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Baza danych Obiektów Topograficznych (BDOT500)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FF6F" w14:textId="6C0F1C62" w:rsidR="000378A9" w:rsidRPr="009D4E7A" w:rsidRDefault="000378A9" w:rsidP="000378A9">
            <w:pPr>
              <w:rPr>
                <w:sz w:val="20"/>
              </w:rPr>
            </w:pPr>
            <w:r w:rsidRPr="009D4E7A">
              <w:rPr>
                <w:sz w:val="20"/>
              </w:rPr>
              <w:t>Główny Urząd Geodezji i Kartografii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023F" w14:textId="45B7FD61" w:rsidR="000378A9" w:rsidRPr="009D4E7A" w:rsidRDefault="0093653B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służy do prowadzenia i aktualizacji bazy danych obiektów topograficznych o szczegółowości zapewniającej tworzenie opracowań kartograficznych w skalach 1:500 – 1:5000.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D1D9" w14:textId="362A79AC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5D0E" w14:textId="77777777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0378A9" w:rsidRPr="009D4E7A" w14:paraId="7525A3F3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B86F" w14:textId="581A6BC3" w:rsidR="000378A9" w:rsidRPr="009D4E7A" w:rsidRDefault="00F474C2" w:rsidP="000378A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</w:t>
            </w:r>
            <w:r w:rsidR="00E951EB">
              <w:rPr>
                <w:rFonts w:cs="Arial"/>
                <w:color w:val="000000" w:themeColor="text1"/>
                <w:sz w:val="20"/>
                <w:lang w:eastAsia="pl-PL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481A" w14:textId="3837A4A1" w:rsidR="000378A9" w:rsidRPr="009D4E7A" w:rsidRDefault="005C1015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Zarządzania Numerycznym Modelem Terenu (</w:t>
            </w:r>
            <w:r w:rsidR="000378A9" w:rsidRPr="009D4E7A">
              <w:rPr>
                <w:rFonts w:cs="Arial"/>
                <w:color w:val="000000" w:themeColor="text1"/>
                <w:sz w:val="20"/>
                <w:lang w:eastAsia="pl-PL"/>
              </w:rPr>
              <w:t>SZNMT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D5C1" w14:textId="1AC0D5F6" w:rsidR="000378A9" w:rsidRPr="009D4E7A" w:rsidRDefault="000378A9" w:rsidP="000378A9">
            <w:pPr>
              <w:rPr>
                <w:sz w:val="20"/>
              </w:rPr>
            </w:pPr>
            <w:r w:rsidRPr="009D4E7A">
              <w:rPr>
                <w:sz w:val="20"/>
              </w:rPr>
              <w:t>Główny Urząd Geodezji i Kartografii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0B75" w14:textId="7708F863" w:rsidR="000378A9" w:rsidRPr="009D4E7A" w:rsidRDefault="00A85A4D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umożliwia zarządzanie danymi fotogrametrycznymi, w szczególności zbiorami danych przestrzennych: zobrazowań lotniczych i satelitarnych,</w:t>
            </w:r>
            <w:r w:rsidR="0087534F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ortofotomapy</w:t>
            </w:r>
            <w:proofErr w:type="spellEnd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,</w:t>
            </w:r>
            <w:r w:rsidR="0087534F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numerycznych danych wysokościowych.    SZNMT obejmuje 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przede wszystkim dane, które są częścią państwowego zasobu geodezyjnego i kartograficznego (</w:t>
            </w: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pzgik</w:t>
            </w:r>
            <w:proofErr w:type="spellEnd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).   System zapewnia kompleksową obsługę procesów biznesowych dla ww. danych </w:t>
            </w: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pzgik</w:t>
            </w:r>
            <w:proofErr w:type="spellEnd"/>
            <w:r w:rsidR="0087534F" w:rsidRPr="009D4E7A">
              <w:rPr>
                <w:rFonts w:cs="Arial"/>
                <w:color w:val="000000" w:themeColor="text1"/>
                <w:sz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3FC7" w14:textId="168A90FB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7893" w14:textId="77777777" w:rsidR="000378A9" w:rsidRPr="009D4E7A" w:rsidRDefault="000378A9" w:rsidP="000378A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2510CA" w:rsidRPr="009D4E7A" w14:paraId="103EDED0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CAAC" w14:textId="3AD2B224" w:rsidR="002510CA" w:rsidRPr="009D4E7A" w:rsidRDefault="00F474C2" w:rsidP="002510CA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</w:t>
            </w:r>
            <w:r w:rsidR="00E951EB">
              <w:rPr>
                <w:rFonts w:cs="Arial"/>
                <w:color w:val="000000" w:themeColor="text1"/>
                <w:sz w:val="20"/>
                <w:lang w:eastAsia="pl-PL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F402" w14:textId="0748B458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Zarządzania Państwowym Rejestrem Nazw Geograficznych (SZPRNG)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F486" w14:textId="5FDD1C76" w:rsidR="002510CA" w:rsidRPr="009D4E7A" w:rsidRDefault="002510CA" w:rsidP="002510CA">
            <w:pPr>
              <w:rPr>
                <w:sz w:val="20"/>
              </w:rPr>
            </w:pPr>
            <w:r w:rsidRPr="009D4E7A">
              <w:rPr>
                <w:sz w:val="20"/>
              </w:rPr>
              <w:t>Główny Urząd Geodezji i Kartografii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A600" w14:textId="6927FF31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Celem systemu jest prowadzenie państwowego rejestru nazw geograficznych (PRNG) - jako głównej, pełnej, poprawnej i aktualnej referencyjnej bazy danych zawierającej właściwe, zalecane do oficjalnego stosowania nazwy geograficzne wraz z atrybutami oraz nazwy, które wyszły z użycia. PRNG jest urzędową, referencyjną bazą danych stanowiącą podstawę dla innych systemów informacji przestrzennej zawierających nazwy geograficzne.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2871" w14:textId="2285D195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33BE" w14:textId="77777777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E146F5" w:rsidRPr="009D4E7A" w14:paraId="4E4AA519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576E" w14:textId="32074398" w:rsidR="00E146F5" w:rsidRPr="009D4E7A" w:rsidRDefault="000F313E" w:rsidP="002510CA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</w:t>
            </w:r>
            <w:r w:rsidR="00E951EB">
              <w:rPr>
                <w:rFonts w:cs="Arial"/>
                <w:color w:val="000000" w:themeColor="text1"/>
                <w:sz w:val="20"/>
                <w:lang w:eastAsia="pl-PL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DEF8" w14:textId="5C852817" w:rsidR="00E146F5" w:rsidRPr="009D4E7A" w:rsidRDefault="00E146F5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Studium Uwarunkowań i Kierunków Zagospodarowania Przestrzennego (</w:t>
            </w: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SUiKZP</w:t>
            </w:r>
            <w:proofErr w:type="spellEnd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98EC" w14:textId="388D2467" w:rsidR="00E146F5" w:rsidRPr="009D4E7A" w:rsidRDefault="00E146F5" w:rsidP="002510CA">
            <w:pPr>
              <w:rPr>
                <w:sz w:val="20"/>
              </w:rPr>
            </w:pPr>
            <w:r w:rsidRPr="009D4E7A">
              <w:rPr>
                <w:sz w:val="20"/>
              </w:rPr>
              <w:t>Gmina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84DB" w14:textId="038C123B" w:rsidR="00E146F5" w:rsidRPr="009D4E7A" w:rsidRDefault="00E146F5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Polityka zagospodarowania przestrzennego gminy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876B" w14:textId="6673E612" w:rsidR="00E146F5" w:rsidRPr="009D4E7A" w:rsidRDefault="00E146F5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071C" w14:textId="77777777" w:rsidR="00E146F5" w:rsidRPr="009D4E7A" w:rsidRDefault="00E146F5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E146F5" w:rsidRPr="009D4E7A" w14:paraId="13385E47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8E97" w14:textId="6102F547" w:rsidR="00E146F5" w:rsidRPr="009D4E7A" w:rsidRDefault="000F313E" w:rsidP="002510CA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</w:t>
            </w:r>
            <w:r w:rsidR="00E951EB">
              <w:rPr>
                <w:rFonts w:cs="Arial"/>
                <w:color w:val="000000" w:themeColor="text1"/>
                <w:sz w:val="20"/>
                <w:lang w:eastAsia="pl-PL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E2D7" w14:textId="64D671B3" w:rsidR="00E146F5" w:rsidRPr="009D4E7A" w:rsidRDefault="00E146F5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Szczegółowe osnowy geodezyjne (SOG)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1D7D" w14:textId="7CA080B3" w:rsidR="00E146F5" w:rsidRPr="009D4E7A" w:rsidRDefault="00E146F5" w:rsidP="002510CA">
            <w:pPr>
              <w:rPr>
                <w:sz w:val="20"/>
              </w:rPr>
            </w:pPr>
            <w:r w:rsidRPr="009D4E7A">
              <w:rPr>
                <w:sz w:val="20"/>
              </w:rPr>
              <w:t>Główny Urząd Geodezji i Kartografii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ED8D" w14:textId="2096D0B3" w:rsidR="00E146F5" w:rsidRPr="009D4E7A" w:rsidRDefault="00E146F5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 służący do prowadzenia bazy danych szczegółowych osnów geodezyjnych.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E2FC" w14:textId="451DEA1C" w:rsidR="00E146F5" w:rsidRPr="009D4E7A" w:rsidRDefault="00E146F5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BE90" w14:textId="77777777" w:rsidR="00E146F5" w:rsidRPr="009D4E7A" w:rsidRDefault="00E146F5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2510CA" w:rsidRPr="009D4E7A" w14:paraId="08F3838B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698FF" w14:textId="7075C741" w:rsidR="002510CA" w:rsidRPr="009D4E7A" w:rsidRDefault="00E951EB" w:rsidP="002510CA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3A64" w14:textId="1BACCCB1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Geoportal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DA4F" w14:textId="30B9143F" w:rsidR="002510CA" w:rsidRPr="009D4E7A" w:rsidRDefault="002510CA" w:rsidP="002510CA">
            <w:pPr>
              <w:rPr>
                <w:sz w:val="20"/>
              </w:rPr>
            </w:pPr>
            <w:r w:rsidRPr="009D4E7A">
              <w:rPr>
                <w:sz w:val="20"/>
              </w:rPr>
              <w:t>Główny Urząd Geodezji i Kartografii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C337" w14:textId="3BD720C0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System </w:t>
            </w: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Geoportal</w:t>
            </w:r>
            <w:proofErr w:type="spellEnd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, prowadzony i utrzymywany przez Głównego Geodetę Kraju, stanowi środowisko publikacyjne dla zbiorów danych przestrzennych, metadanych i dokumentów Państwowego Zasobu Geodezyjnego i Kartograficznego oraz centralny punkt dostępowy dla danych i usług danych przestrzennych, publikowanych w ramach infrastruktury informacji przestrzennej zgodnie z art. 13 ust. 1 ustawy z dnia 4 marca 2010 r. o infrastrukturze informacji przestrzennej.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0FDD" w14:textId="5CE8AA53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66EE" w14:textId="77777777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2510CA" w:rsidRPr="009D4E7A" w14:paraId="1F38BB6E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1C04" w14:textId="5367A8F0" w:rsidR="002510CA" w:rsidRPr="009D4E7A" w:rsidRDefault="00E951EB" w:rsidP="002510CA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ABBC" w14:textId="5928DAE8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Miejscowe plany zagospodarowania przestrzennego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FC85" w14:textId="0F62CE53" w:rsidR="002510CA" w:rsidRPr="009D4E7A" w:rsidRDefault="002510CA" w:rsidP="002510CA">
            <w:pPr>
              <w:rPr>
                <w:sz w:val="20"/>
              </w:rPr>
            </w:pPr>
            <w:r w:rsidRPr="009D4E7A">
              <w:rPr>
                <w:sz w:val="20"/>
              </w:rPr>
              <w:t>Główny Urząd Geodezji i Kartografii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877B" w14:textId="3A78E438" w:rsidR="002510CA" w:rsidRPr="009D4E7A" w:rsidRDefault="0093653B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Gminy publikują miejscowe plany zagospodarowania przestrzennego oraz studia uwarunkowań i kierunków zagospodarowania przestrzennego w postaci usługi sieciowej, które GUGiK integruje wystawiając usługi KIMPZP (Krajowa Integracja Miejscowych Planów Zagospodarowania Przestrzennego i KISKZP (Krajowa Integracja Studium Kierunków Zagospodarowania Przestrzennego).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5B9D" w14:textId="04D756AF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7F62" w14:textId="77777777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  <w:tr w:rsidR="002510CA" w:rsidRPr="009D4E7A" w14:paraId="66ACBEB4" w14:textId="77777777" w:rsidTr="000241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C510" w14:textId="2F50E79E" w:rsidR="002510CA" w:rsidRPr="009D4E7A" w:rsidRDefault="00E951EB" w:rsidP="002510CA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D7B2" w14:textId="1B2C895B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Lokalny system dziedzinowy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9C2E" w14:textId="0636DD41" w:rsidR="002510CA" w:rsidRPr="009D4E7A" w:rsidRDefault="002510CA" w:rsidP="002510CA">
            <w:pPr>
              <w:rPr>
                <w:sz w:val="20"/>
              </w:rPr>
            </w:pPr>
            <w:r w:rsidRPr="009D4E7A">
              <w:rPr>
                <w:sz w:val="20"/>
              </w:rPr>
              <w:t xml:space="preserve">Organ </w:t>
            </w:r>
            <w:proofErr w:type="spellStart"/>
            <w:r w:rsidRPr="009D4E7A">
              <w:rPr>
                <w:sz w:val="20"/>
              </w:rPr>
              <w:t>aab</w:t>
            </w:r>
            <w:proofErr w:type="spellEnd"/>
            <w:r w:rsidRPr="009D4E7A">
              <w:rPr>
                <w:sz w:val="20"/>
              </w:rPr>
              <w:t>/</w:t>
            </w:r>
            <w:proofErr w:type="spellStart"/>
            <w:r w:rsidRPr="009D4E7A">
              <w:rPr>
                <w:sz w:val="20"/>
              </w:rPr>
              <w:t>nb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8CB8" w14:textId="19986510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Istniejące lokalnie systemy dziedzinowe do prowadzenia postępowań administracyjnych w obszarze budownictwa</w:t>
            </w:r>
            <w:r w:rsidR="00F44C72">
              <w:rPr>
                <w:rFonts w:cs="Arial"/>
                <w:color w:val="000000" w:themeColor="text1"/>
                <w:sz w:val="20"/>
                <w:lang w:eastAsia="pl-PL"/>
              </w:rPr>
              <w:t xml:space="preserve">. SOPAB będzie umożliwiał integrację z komercyjnymi systemami dziedzinowymi tym organom, które będą </w:t>
            </w:r>
            <w:r w:rsidR="00F44C72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chciały korzystać z obecnie wdrożonych u siebie rozwiązań</w:t>
            </w:r>
            <w:r w:rsidR="00CC6E29">
              <w:rPr>
                <w:rFonts w:cs="Arial"/>
                <w:color w:val="000000" w:themeColor="text1"/>
                <w:sz w:val="20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3A00" w14:textId="64DB1462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Istniejący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CC98" w14:textId="77777777" w:rsidR="002510CA" w:rsidRPr="009D4E7A" w:rsidRDefault="002510CA" w:rsidP="002510CA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</w:p>
        </w:tc>
      </w:tr>
    </w:tbl>
    <w:p w14:paraId="349B4C7C" w14:textId="77777777" w:rsidR="00BE3ABC" w:rsidRPr="009D4E7A" w:rsidRDefault="00BE3ABC" w:rsidP="00BE3ABC">
      <w:pPr>
        <w:tabs>
          <w:tab w:val="left" w:pos="4962"/>
        </w:tabs>
        <w:spacing w:before="120" w:after="360"/>
        <w:ind w:right="170"/>
        <w:outlineLvl w:val="1"/>
      </w:pPr>
    </w:p>
    <w:p w14:paraId="44D1FED3" w14:textId="77777777" w:rsidR="00BE3ABC" w:rsidRPr="009D4E7A" w:rsidRDefault="00BE3ABC" w:rsidP="00BE3ABC">
      <w:pPr>
        <w:spacing w:before="120" w:after="120"/>
        <w:ind w:left="851" w:firstLine="68"/>
        <w:jc w:val="both"/>
        <w:rPr>
          <w:b/>
          <w:color w:val="FF0000"/>
          <w:sz w:val="20"/>
        </w:rPr>
      </w:pPr>
      <w:r w:rsidRPr="009D4E7A">
        <w:rPr>
          <w:b/>
        </w:rPr>
        <w:t xml:space="preserve">Lista przepływów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1276"/>
        <w:gridCol w:w="2835"/>
        <w:gridCol w:w="1276"/>
        <w:gridCol w:w="1417"/>
        <w:gridCol w:w="1134"/>
      </w:tblGrid>
      <w:tr w:rsidR="00BE3ABC" w:rsidRPr="009D4E7A" w14:paraId="62D19FBC" w14:textId="77777777" w:rsidTr="00555923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729ACF5" w14:textId="19090E4C" w:rsidR="00BE3ABC" w:rsidRPr="009D4E7A" w:rsidRDefault="00BE3ABC" w:rsidP="00B03E91">
            <w:pPr>
              <w:spacing w:line="256" w:lineRule="auto"/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4DD17B6" w14:textId="77777777" w:rsidR="00BE3ABC" w:rsidRPr="009D4E7A" w:rsidRDefault="00BE3ABC" w:rsidP="00B03E91">
            <w:pPr>
              <w:spacing w:line="256" w:lineRule="auto"/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System źródłowy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0E35963" w14:textId="77777777" w:rsidR="00BE3ABC" w:rsidRPr="009D4E7A" w:rsidRDefault="00BE3ABC" w:rsidP="00B03E91">
            <w:pPr>
              <w:spacing w:line="256" w:lineRule="auto"/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System docelowy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CE9149D" w14:textId="36380F55" w:rsidR="00BE3ABC" w:rsidRPr="009D4E7A" w:rsidRDefault="0030702E" w:rsidP="00B03E91">
            <w:pPr>
              <w:spacing w:line="256" w:lineRule="auto"/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Zakres wymienianych</w:t>
            </w:r>
            <w:r w:rsidR="00BE3ABC" w:rsidRPr="009D4E7A">
              <w:rPr>
                <w:rFonts w:cs="Arial"/>
                <w:b/>
                <w:sz w:val="20"/>
              </w:rPr>
              <w:t xml:space="preserve"> danych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4C8A938" w14:textId="77777777" w:rsidR="00BE3ABC" w:rsidRPr="009D4E7A" w:rsidRDefault="00BE3ABC" w:rsidP="00B03E91">
            <w:pPr>
              <w:spacing w:line="256" w:lineRule="auto"/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Sposób wymiany 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110AF8C" w14:textId="77777777" w:rsidR="00BE3ABC" w:rsidRPr="009D4E7A" w:rsidRDefault="00BE3ABC" w:rsidP="00B03E91">
            <w:pPr>
              <w:spacing w:line="256" w:lineRule="auto"/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Typ modyfikacji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82B5E68" w14:textId="77777777" w:rsidR="00BE3ABC" w:rsidRPr="009D4E7A" w:rsidRDefault="00BE3ABC" w:rsidP="00B03E91">
            <w:pPr>
              <w:spacing w:line="256" w:lineRule="auto"/>
              <w:jc w:val="center"/>
              <w:rPr>
                <w:rFonts w:cs="Arial"/>
                <w:b/>
                <w:sz w:val="20"/>
              </w:rPr>
            </w:pPr>
            <w:r w:rsidRPr="009D4E7A">
              <w:rPr>
                <w:rFonts w:cs="Arial"/>
                <w:b/>
                <w:sz w:val="20"/>
              </w:rPr>
              <w:t>Typ Interfejsu</w:t>
            </w:r>
          </w:p>
        </w:tc>
      </w:tr>
      <w:tr w:rsidR="00625BB8" w:rsidRPr="009D4E7A" w14:paraId="085C4B22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D4FA" w14:textId="77777777" w:rsidR="00625BB8" w:rsidRPr="009D4E7A" w:rsidRDefault="00625BB8" w:rsidP="00625BB8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40F5" w14:textId="23A7ADC0" w:rsidR="00625BB8" w:rsidRPr="009D4E7A" w:rsidRDefault="00625BB8" w:rsidP="00625BB8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e-</w:t>
            </w:r>
            <w:r w:rsidR="004B7490" w:rsidRPr="009D4E7A">
              <w:rPr>
                <w:rFonts w:cs="Arial"/>
                <w:color w:val="000000" w:themeColor="text1"/>
                <w:sz w:val="20"/>
                <w:lang w:eastAsia="pl-PL"/>
              </w:rPr>
              <w:t>Budownictwo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AB15" w14:textId="466B9EC5" w:rsidR="00625BB8" w:rsidRPr="009D4E7A" w:rsidRDefault="00D943AC" w:rsidP="00625BB8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0153" w14:textId="50FB6E33" w:rsidR="00625BB8" w:rsidRPr="009D4E7A" w:rsidRDefault="00625BB8" w:rsidP="00625BB8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sz w:val="20"/>
              </w:rPr>
              <w:t xml:space="preserve">Dane </w:t>
            </w:r>
            <w:r w:rsidR="007B2003" w:rsidRPr="009D4E7A">
              <w:rPr>
                <w:sz w:val="20"/>
              </w:rPr>
              <w:t>z</w:t>
            </w:r>
            <w:r w:rsidRPr="009D4E7A">
              <w:rPr>
                <w:sz w:val="20"/>
              </w:rPr>
              <w:t xml:space="preserve"> wniosk</w:t>
            </w:r>
            <w:r w:rsidR="007B2003" w:rsidRPr="009D4E7A">
              <w:rPr>
                <w:sz w:val="20"/>
              </w:rPr>
              <w:t>ów</w:t>
            </w:r>
            <w:r w:rsidRPr="009D4E7A">
              <w:rPr>
                <w:sz w:val="20"/>
              </w:rPr>
              <w:t xml:space="preserve"> </w:t>
            </w:r>
            <w:r w:rsidR="007B2003" w:rsidRPr="009D4E7A">
              <w:rPr>
                <w:sz w:val="20"/>
              </w:rPr>
              <w:t xml:space="preserve">składanych </w:t>
            </w:r>
            <w:r w:rsidRPr="009D4E7A">
              <w:rPr>
                <w:sz w:val="20"/>
              </w:rPr>
              <w:t xml:space="preserve">w toku procesu inwestycyjno </w:t>
            </w:r>
            <w:r w:rsidR="00A05938" w:rsidRPr="009D4E7A">
              <w:rPr>
                <w:sz w:val="20"/>
              </w:rPr>
              <w:t>–</w:t>
            </w:r>
            <w:r w:rsidRPr="009D4E7A">
              <w:rPr>
                <w:sz w:val="20"/>
              </w:rPr>
              <w:t xml:space="preserve"> budowlanego</w:t>
            </w:r>
            <w:r w:rsidR="00A05938" w:rsidRPr="009D4E7A">
              <w:rPr>
                <w:sz w:val="20"/>
              </w:rPr>
              <w:t xml:space="preserve"> oraz cyklu życia budynku</w:t>
            </w:r>
            <w:r w:rsidR="00084F13" w:rsidRPr="009D4E7A">
              <w:rPr>
                <w:sz w:val="20"/>
              </w:rPr>
              <w:t xml:space="preserve"> (</w:t>
            </w:r>
            <w:r w:rsidR="0029200D" w:rsidRPr="009D4E7A">
              <w:rPr>
                <w:sz w:val="20"/>
              </w:rPr>
              <w:t>m.in. dane i</w:t>
            </w:r>
            <w:r w:rsidR="00084F13" w:rsidRPr="009D4E7A">
              <w:rPr>
                <w:sz w:val="20"/>
              </w:rPr>
              <w:t>nwestor</w:t>
            </w:r>
            <w:r w:rsidR="0029200D" w:rsidRPr="009D4E7A">
              <w:rPr>
                <w:sz w:val="20"/>
              </w:rPr>
              <w:t>a</w:t>
            </w:r>
            <w:r w:rsidR="00084F13" w:rsidRPr="009D4E7A">
              <w:rPr>
                <w:sz w:val="20"/>
              </w:rPr>
              <w:t>, pełnomocnik</w:t>
            </w:r>
            <w:r w:rsidR="0029200D" w:rsidRPr="009D4E7A">
              <w:rPr>
                <w:sz w:val="20"/>
              </w:rPr>
              <w:t>a</w:t>
            </w:r>
            <w:r w:rsidR="00084F13" w:rsidRPr="009D4E7A">
              <w:rPr>
                <w:sz w:val="20"/>
              </w:rPr>
              <w:t>, nieruchomości, dotyczące zamierzenia</w:t>
            </w:r>
            <w:r w:rsidR="0029200D" w:rsidRPr="009D4E7A">
              <w:rPr>
                <w:sz w:val="20"/>
              </w:rPr>
              <w:t>, załączniki)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8594" w14:textId="6F6A600B" w:rsidR="00625BB8" w:rsidRPr="009D4E7A" w:rsidRDefault="00D943AC" w:rsidP="00625BB8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sz w:val="20"/>
              </w:rPr>
              <w:t>Odwołania bezpośrednie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299F" w14:textId="47C13AF8" w:rsidR="00625BB8" w:rsidRPr="009D4E7A" w:rsidRDefault="006E3C69" w:rsidP="00625BB8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B511" w14:textId="0DAF43CA" w:rsidR="00625BB8" w:rsidRPr="009D4E7A" w:rsidRDefault="00625BB8" w:rsidP="00625BB8">
            <w:pPr>
              <w:pStyle w:val="Tekstkomentarza"/>
              <w:spacing w:line="256" w:lineRule="auto"/>
              <w:jc w:val="both"/>
              <w:rPr>
                <w:rFonts w:cs="Arial"/>
                <w:color w:val="000000" w:themeColor="text1"/>
                <w:lang w:eastAsia="pl-PL"/>
              </w:rPr>
            </w:pPr>
            <w:r w:rsidRPr="009D4E7A">
              <w:rPr>
                <w:rFonts w:cs="Arial"/>
                <w:color w:val="000000" w:themeColor="text1"/>
                <w:lang w:eastAsia="pl-PL"/>
              </w:rPr>
              <w:t>API</w:t>
            </w:r>
          </w:p>
        </w:tc>
      </w:tr>
      <w:tr w:rsidR="00555923" w:rsidRPr="009D4E7A" w14:paraId="2343F445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619A" w14:textId="669A41C9" w:rsidR="00555923" w:rsidRPr="009D4E7A" w:rsidRDefault="002D2303" w:rsidP="00555923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223F" w14:textId="2BA5EC73" w:rsidR="00555923" w:rsidRPr="009D4E7A" w:rsidRDefault="00555923" w:rsidP="00555923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8170" w14:textId="176CC242" w:rsidR="00555923" w:rsidRPr="009D4E7A" w:rsidRDefault="00555923" w:rsidP="00555923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e-Budownictwo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6228" w14:textId="2CDE5300" w:rsidR="00555923" w:rsidRPr="009D4E7A" w:rsidRDefault="00555923" w:rsidP="00555923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Status sprawy dot. prowadzonego postępowania administracyjnego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6269" w14:textId="3D85FC58" w:rsidR="00555923" w:rsidRPr="009D4E7A" w:rsidRDefault="00555923" w:rsidP="00555923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33BB" w14:textId="582E8A1E" w:rsidR="00555923" w:rsidRPr="009D4E7A" w:rsidRDefault="00555923" w:rsidP="00555923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61C2" w14:textId="0C758C0D" w:rsidR="00555923" w:rsidRPr="009D4E7A" w:rsidRDefault="00555923" w:rsidP="00555923">
            <w:pPr>
              <w:pStyle w:val="Tekstkomentarza"/>
              <w:spacing w:line="256" w:lineRule="auto"/>
              <w:jc w:val="both"/>
              <w:rPr>
                <w:rFonts w:cs="Arial"/>
                <w:color w:val="000000" w:themeColor="text1"/>
                <w:lang w:eastAsia="pl-PL"/>
              </w:rPr>
            </w:pPr>
            <w:r w:rsidRPr="009D4E7A">
              <w:rPr>
                <w:rFonts w:cs="Arial"/>
                <w:color w:val="000000" w:themeColor="text1"/>
                <w:lang w:eastAsia="pl-PL"/>
              </w:rPr>
              <w:t>API</w:t>
            </w:r>
          </w:p>
        </w:tc>
      </w:tr>
      <w:tr w:rsidR="00F30A89" w:rsidRPr="009D4E7A" w14:paraId="428FFB7B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C283" w14:textId="5A91A0B9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02C5" w14:textId="4B53B806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F79D" w14:textId="1EE27108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RWDZ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16C7" w14:textId="5EF3C360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>
              <w:rPr>
                <w:sz w:val="20"/>
              </w:rPr>
              <w:t>Dane rejestrowe z prowadzonych postępowań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BAD7" w14:textId="22279419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AF30" w14:textId="63695700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7930" w14:textId="5B3B859F" w:rsidR="00F30A89" w:rsidRPr="009D4E7A" w:rsidRDefault="00F30A89" w:rsidP="00F30A89">
            <w:pPr>
              <w:pStyle w:val="Tekstkomentarza"/>
              <w:spacing w:line="256" w:lineRule="auto"/>
              <w:jc w:val="both"/>
              <w:rPr>
                <w:rFonts w:cs="Arial"/>
                <w:color w:val="000000" w:themeColor="text1"/>
                <w:lang w:eastAsia="pl-PL"/>
              </w:rPr>
            </w:pPr>
            <w:r w:rsidRPr="009D4E7A">
              <w:rPr>
                <w:rFonts w:cs="Arial"/>
                <w:color w:val="000000" w:themeColor="text1"/>
                <w:lang w:eastAsia="pl-PL"/>
              </w:rPr>
              <w:t>API</w:t>
            </w:r>
          </w:p>
        </w:tc>
      </w:tr>
      <w:tr w:rsidR="00F30A89" w:rsidRPr="009D4E7A" w14:paraId="68DF7EE6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A4E7" w14:textId="716B65FF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457" w14:textId="639AF44E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4FF4" w14:textId="59D43B4B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Geoportal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0F04" w14:textId="50DF93F3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Dane o prowadzonych postępowaniach administracyjnych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0251" w14:textId="1D95120C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AC8D" w14:textId="07DB72AE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Opcjonalny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6FDE" w14:textId="08CB200E" w:rsidR="00F30A89" w:rsidRPr="009D4E7A" w:rsidRDefault="00F30A89" w:rsidP="00F30A89">
            <w:pPr>
              <w:pStyle w:val="Tekstkomentarza"/>
              <w:spacing w:line="256" w:lineRule="auto"/>
              <w:jc w:val="both"/>
              <w:rPr>
                <w:rFonts w:cs="Arial"/>
                <w:color w:val="000000" w:themeColor="text1"/>
                <w:lang w:eastAsia="pl-PL"/>
              </w:rPr>
            </w:pPr>
            <w:r w:rsidRPr="009D4E7A">
              <w:t>API</w:t>
            </w:r>
          </w:p>
        </w:tc>
      </w:tr>
      <w:tr w:rsidR="00F30A89" w:rsidRPr="009D4E7A" w14:paraId="17EA7E50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92CD" w14:textId="44D7E115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95A5" w14:textId="04CF3C47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A63E" w14:textId="491C2F13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Centralne Cyfrowe Archiwum Budownictwa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9876B" w14:textId="37369D7E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Wszystkie dane z SOPAB, które zyskują status archiwalny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CE71F" w14:textId="0CF1958F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sz w:val="20"/>
              </w:rPr>
              <w:t>Przekazanie lub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3C2C" w14:textId="4FBABA74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sz w:val="20"/>
              </w:rPr>
              <w:t>Opcjonalny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2865" w14:textId="3FDAB9AA" w:rsidR="00F30A89" w:rsidRPr="009D4E7A" w:rsidRDefault="00F30A89" w:rsidP="00F30A89">
            <w:pPr>
              <w:pStyle w:val="Tekstkomentarza"/>
              <w:spacing w:line="256" w:lineRule="auto"/>
              <w:jc w:val="both"/>
              <w:rPr>
                <w:rFonts w:cs="Arial"/>
                <w:color w:val="000000" w:themeColor="text1"/>
                <w:lang w:eastAsia="pl-PL"/>
              </w:rPr>
            </w:pPr>
            <w:r w:rsidRPr="009D4E7A">
              <w:t>API</w:t>
            </w:r>
          </w:p>
        </w:tc>
      </w:tr>
      <w:tr w:rsidR="00F30A89" w:rsidRPr="009D4E7A" w14:paraId="7D49BD46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20B1" w14:textId="1CDDFF59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E4CB" w14:textId="41917080" w:rsidR="00F30A89" w:rsidRPr="009D4E7A" w:rsidRDefault="00F30A89" w:rsidP="00F30A8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EZD RP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05F3" w14:textId="2629CC8E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430B" w14:textId="322F0557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Dane z dokumentów składanych w toku procesu inwestycyjno-budowlanego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024B" w14:textId="1A455186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D67B" w14:textId="3B9FC865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015B" w14:textId="78E2604E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API</w:t>
            </w:r>
          </w:p>
        </w:tc>
      </w:tr>
      <w:tr w:rsidR="00F30A89" w:rsidRPr="009D4E7A" w14:paraId="48970BFF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B165" w14:textId="21BDF06B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53F2" w14:textId="5854056A" w:rsidR="00F30A89" w:rsidRPr="009D4E7A" w:rsidRDefault="00F30A89" w:rsidP="00F30A8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4619" w14:textId="1EB456F9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EZD RP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2F75" w14:textId="5E300DE6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Dane z pism (decyzji, postanowień, wezwań) przesyłanych przez organ </w:t>
            </w: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aab</w:t>
            </w:r>
            <w:proofErr w:type="spellEnd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/</w:t>
            </w: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nb</w:t>
            </w:r>
            <w:proofErr w:type="spellEnd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w toku procesu inwestycyjno-budowlanego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7772" w14:textId="40564657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FF05" w14:textId="48D54FDF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3BE8" w14:textId="3A65F6CD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API</w:t>
            </w:r>
          </w:p>
        </w:tc>
      </w:tr>
      <w:tr w:rsidR="00F30A89" w:rsidRPr="009D4E7A" w14:paraId="2EB8DFA5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83FC" w14:textId="42BB9B23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6391C" w14:textId="3AFB9D85" w:rsidR="00F30A89" w:rsidRPr="009D4E7A" w:rsidRDefault="00F30A89" w:rsidP="00F30A8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Lokalny system dziedzinowy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A37D" w14:textId="16A72A9B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D4B7" w14:textId="3AEE0C6F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Dane z prowadzonych postępowań, dane z rejestrów i ewidencji prowadzonych w systemach lokalnych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564F" w14:textId="34F111A6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DE8C5" w14:textId="1F3ED371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9FC3" w14:textId="48424A20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API</w:t>
            </w:r>
          </w:p>
        </w:tc>
      </w:tr>
      <w:tr w:rsidR="00F30A89" w:rsidRPr="009D4E7A" w14:paraId="588B2BEE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C3DB" w14:textId="2C67FF9B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8626" w14:textId="1E3C6D06" w:rsidR="00F30A89" w:rsidRPr="009D4E7A" w:rsidRDefault="00F30A89" w:rsidP="00F30A8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0E43" w14:textId="505D6A71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Lokalny system dziedzinowy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EB7E" w14:textId="362D66DD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Dane z prowadzonych postępowań, dane z rejestrów i ewidencji prowadzonych w SOPAB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21BB" w14:textId="74AD423C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DE6C" w14:textId="35D2E7AA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A6C2" w14:textId="770E45F0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API</w:t>
            </w:r>
          </w:p>
        </w:tc>
      </w:tr>
      <w:tr w:rsidR="00F30A89" w:rsidRPr="009D4E7A" w14:paraId="5B162884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7F74" w14:textId="00DC44EA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5430" w14:textId="5A0FAA0A" w:rsidR="00F30A89" w:rsidRPr="009D4E7A" w:rsidRDefault="00F30A89" w:rsidP="00F30A8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GESUT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A77B" w14:textId="7E7065F6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DEB2" w14:textId="01D12EB2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Wizualizacja danych o sieciach uzbrojenia terenu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114E" w14:textId="5D1A1F96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B17B" w14:textId="364861CD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4D9" w14:textId="2FF7ECCF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Krajowa Integracja Uzbrojenia Terenu (KIUT)</w:t>
            </w:r>
            <w:r>
              <w:t>.</w:t>
            </w:r>
            <w:r w:rsidRPr="009D4E7A">
              <w:t xml:space="preserve"> Usługa </w:t>
            </w:r>
            <w:r w:rsidRPr="009D4E7A">
              <w:lastRenderedPageBreak/>
              <w:t>sieciowa WMS</w:t>
            </w:r>
          </w:p>
        </w:tc>
      </w:tr>
      <w:tr w:rsidR="00F30A89" w:rsidRPr="009D4E7A" w14:paraId="78677E96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F9BB" w14:textId="1B748AAD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1</w:t>
            </w:r>
            <w:r w:rsidR="007E70B9">
              <w:rPr>
                <w:rFonts w:cs="Arial"/>
                <w:color w:val="000000" w:themeColor="text1"/>
                <w:sz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700B" w14:textId="2E59CBDD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KSZBDOT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529B" w14:textId="6799ADF2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CBA7B" w14:textId="11147B08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Wizualizacja danych o obiektach topograficznych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E709" w14:textId="5200AC69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39C1" w14:textId="2BED35FA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9A20" w14:textId="6FE5A085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Usługi danych topograficznych</w:t>
            </w:r>
            <w:r>
              <w:t xml:space="preserve">. </w:t>
            </w:r>
            <w:r w:rsidRPr="009D4E7A">
              <w:t>Usługa sieciowa WMS</w:t>
            </w:r>
          </w:p>
        </w:tc>
      </w:tr>
      <w:tr w:rsidR="00F30A89" w:rsidRPr="009D4E7A" w14:paraId="2BA15C0F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E9B1" w14:textId="60577461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1DCB" w14:textId="0E0E6B69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PRPOG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BD33" w14:textId="5516B0A3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402B" w14:textId="125E4088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Dane o osnowach geodezyjnych grawimetrycznych i magnetycznych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882A" w14:textId="1447BD7E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853A" w14:textId="1F3D4A8A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F755" w14:textId="2867FCFC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Usługi osnów podstawowych</w:t>
            </w:r>
          </w:p>
        </w:tc>
      </w:tr>
      <w:tr w:rsidR="00F30A89" w:rsidRPr="009D4E7A" w14:paraId="0037EBE2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2BD6" w14:textId="11D94CE7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B1D7" w14:textId="32438101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EGiB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841C" w14:textId="5B536EA9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FB84" w14:textId="60CEFD5D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Dane o gruntach, budynkach i lokalach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CC85" w14:textId="5DE75AD1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F4CB" w14:textId="3D617E37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C792" w14:textId="44201D15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Krajowa Integracja Ewidencji Gruntów (KIEG)</w:t>
            </w:r>
            <w:r>
              <w:t xml:space="preserve">. </w:t>
            </w:r>
            <w:r w:rsidRPr="009D4E7A">
              <w:t>Usługa sieciowa WMS</w:t>
            </w:r>
          </w:p>
        </w:tc>
      </w:tr>
      <w:tr w:rsidR="00F30A89" w:rsidRPr="009D4E7A" w14:paraId="6A636D53" w14:textId="77777777" w:rsidTr="0055592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011E" w14:textId="3A5377B1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C03B" w14:textId="52BC45D0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BDOT500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533B" w14:textId="66C0601B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AFF6" w14:textId="4D232A57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Dane obiektów topograficznych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4CAE" w14:textId="170B41DE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80A8" w14:textId="25EAA77C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C609" w14:textId="77777777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Krajowa Integracja Baz Danych</w:t>
            </w:r>
          </w:p>
          <w:p w14:paraId="69A497E0" w14:textId="70020F93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Obiektów Topograficznych (KIBDOT)</w:t>
            </w:r>
          </w:p>
        </w:tc>
      </w:tr>
      <w:tr w:rsidR="00F30A89" w:rsidRPr="009D4E7A" w14:paraId="6C137065" w14:textId="77777777" w:rsidTr="008A15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6A00" w14:textId="1FEF9EAD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5BEA" w14:textId="457DA8A3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SZNMT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7F8A6" w14:textId="425828A5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CD93" w14:textId="1D9E80AF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Dane fotogrametryczne, w szczególności zbiory danych przestrzennych: zobrazowań lotniczych i satelitarnych, </w:t>
            </w: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ortofotomapy</w:t>
            </w:r>
            <w:proofErr w:type="spellEnd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, numeryczne dane wysokościowe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4F00" w14:textId="331BB0CF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CA198" w14:textId="485AD28F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39A6" w14:textId="77777777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 xml:space="preserve">Usługi </w:t>
            </w:r>
            <w:proofErr w:type="spellStart"/>
            <w:r w:rsidRPr="009D4E7A">
              <w:t>ortofotomapy</w:t>
            </w:r>
            <w:proofErr w:type="spellEnd"/>
          </w:p>
          <w:p w14:paraId="5CB021F4" w14:textId="58DD76C9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Usługi numerycznego modelu terenu</w:t>
            </w:r>
          </w:p>
        </w:tc>
      </w:tr>
      <w:tr w:rsidR="00F30A89" w:rsidRPr="009D4E7A" w14:paraId="50C85884" w14:textId="77777777" w:rsidTr="008A15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9977B" w14:textId="61B216A7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5148A" w14:textId="7FD6DA7F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SZPRNG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1B738" w14:textId="78CFEBF2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EA4F4" w14:textId="3C7AC809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Nazwy geograficzne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AF4AB" w14:textId="3D700F28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8F74B" w14:textId="0F024E12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FAC7" w14:textId="7DC1DC93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Państwowy Rejestr Nazw Geograficznych</w:t>
            </w:r>
          </w:p>
        </w:tc>
      </w:tr>
      <w:tr w:rsidR="00F30A89" w:rsidRPr="009D4E7A" w14:paraId="3EF07153" w14:textId="77777777" w:rsidTr="008A15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294D" w14:textId="2BFE97F5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249E" w14:textId="2CE32B15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Miejscowe plany zagospodarowania przestrzennego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C3B3" w14:textId="56D502E1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7F13" w14:textId="390974B7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Wizualizacja miejscowych planów zagospodarowania przestrzennego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FB598" w14:textId="0AB72911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6832C" w14:textId="3ABF9A69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331F6" w14:textId="6DCA6494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Krajowa Integracja Miejscowych Planów Zagospodarowania Przestrzennego (KIMPZP)</w:t>
            </w:r>
            <w:r>
              <w:t xml:space="preserve">. </w:t>
            </w:r>
            <w:r w:rsidRPr="009D4E7A">
              <w:t xml:space="preserve">Usługa </w:t>
            </w:r>
            <w:r w:rsidRPr="009D4E7A">
              <w:lastRenderedPageBreak/>
              <w:t>sieciowa WMS</w:t>
            </w:r>
          </w:p>
        </w:tc>
      </w:tr>
      <w:tr w:rsidR="00F30A89" w:rsidRPr="009D4E7A" w14:paraId="570BC973" w14:textId="77777777" w:rsidTr="008A15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2D26" w14:textId="14C00D6C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DD3B5" w14:textId="64E4980C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SUiKZP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FBCD7" w14:textId="6F527157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6823" w14:textId="3781884F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Polityka zagospodarowania przestrzennego gminy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3CD00" w14:textId="466F290A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C3B04" w14:textId="31863867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BCE7" w14:textId="2FFD99A0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Krajowa Integracja Studium Kierunków Zagospodarowania Przestrzennego (KISKZP)</w:t>
            </w:r>
          </w:p>
        </w:tc>
      </w:tr>
      <w:tr w:rsidR="00F30A89" w:rsidRPr="009D4E7A" w14:paraId="0F59E72F" w14:textId="77777777" w:rsidTr="008A150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20F8" w14:textId="752D7744" w:rsidR="00F30A89" w:rsidRPr="009D4E7A" w:rsidRDefault="007E70B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7B79" w14:textId="388A5434" w:rsidR="00F30A89" w:rsidRPr="009D4E7A" w:rsidRDefault="00F30A89" w:rsidP="00F30A89">
            <w:pPr>
              <w:jc w:val="both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9F56" w14:textId="580F116A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SOPAB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5991" w14:textId="3D6AA395" w:rsidR="00F30A89" w:rsidRPr="009D4E7A" w:rsidRDefault="00F30A89" w:rsidP="00F30A8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Dane szczegółowych osnów geodezyjnych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F9C6" w14:textId="13677B9B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Odwołania bezpośrednie i kopiowanie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0290" w14:textId="03FDA58E" w:rsidR="00F30A89" w:rsidRPr="009D4E7A" w:rsidRDefault="00F30A89" w:rsidP="00F30A8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Krytyczny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1BCB" w14:textId="6358D25C" w:rsidR="00F30A89" w:rsidRPr="009D4E7A" w:rsidRDefault="00F30A89" w:rsidP="00F30A89">
            <w:pPr>
              <w:pStyle w:val="Tekstkomentarza"/>
              <w:spacing w:line="256" w:lineRule="auto"/>
              <w:jc w:val="both"/>
            </w:pPr>
            <w:r w:rsidRPr="009D4E7A">
              <w:t>Krajowa Integracja Szczegółowych Osnów Geodezyjnych (KISOG)</w:t>
            </w:r>
          </w:p>
        </w:tc>
      </w:tr>
    </w:tbl>
    <w:p w14:paraId="29BD2F16" w14:textId="492B384F" w:rsidR="000B4D51" w:rsidRPr="009D4E7A" w:rsidRDefault="00BE3ABC" w:rsidP="00F76B27">
      <w:pPr>
        <w:pStyle w:val="Nagwek2"/>
        <w:keepNext/>
        <w:numPr>
          <w:ilvl w:val="1"/>
          <w:numId w:val="10"/>
        </w:numPr>
        <w:rPr>
          <w:lang w:val="pl-PL"/>
        </w:rPr>
      </w:pPr>
      <w:r w:rsidRPr="009D4E7A">
        <w:rPr>
          <w:lang w:val="pl-PL"/>
        </w:rPr>
        <w:t xml:space="preserve"> Kl</w:t>
      </w:r>
      <w:r w:rsidR="00AE6E1C" w:rsidRPr="009D4E7A">
        <w:rPr>
          <w:lang w:val="pl-PL"/>
        </w:rPr>
        <w:t>u</w:t>
      </w:r>
      <w:r w:rsidRPr="009D4E7A">
        <w:rPr>
          <w:lang w:val="pl-PL"/>
        </w:rPr>
        <w:t xml:space="preserve">czowe komponenty architektury rozwiązania </w:t>
      </w:r>
    </w:p>
    <w:p w14:paraId="388BD383" w14:textId="27EBF60E" w:rsidR="000B4D51" w:rsidRPr="009D4E7A" w:rsidRDefault="008E5F45" w:rsidP="000F313E">
      <w:pPr>
        <w:pStyle w:val="Tekstpodstawowy2"/>
        <w:jc w:val="center"/>
      </w:pPr>
      <w:r>
        <w:rPr>
          <w:noProof/>
          <w:lang w:eastAsia="pl-PL"/>
        </w:rPr>
        <w:drawing>
          <wp:inline distT="0" distB="0" distL="0" distR="0" wp14:anchorId="224B46A9" wp14:editId="6CA2D564">
            <wp:extent cx="5886637" cy="23317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omponenty architektury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4691" cy="2334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997" w:type="dxa"/>
        <w:jc w:val="center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7293"/>
      </w:tblGrid>
      <w:tr w:rsidR="000B4D51" w:rsidRPr="009D4E7A" w14:paraId="5A5A772A" w14:textId="77777777" w:rsidTr="00F21139">
        <w:trPr>
          <w:cantSplit/>
          <w:tblHeader/>
          <w:jc w:val="center"/>
        </w:trPr>
        <w:tc>
          <w:tcPr>
            <w:tcW w:w="1704" w:type="dxa"/>
            <w:shd w:val="pct5" w:color="auto" w:fill="auto"/>
          </w:tcPr>
          <w:p w14:paraId="2D129B91" w14:textId="77777777" w:rsidR="000B4D51" w:rsidRPr="009D4E7A" w:rsidRDefault="000B4D51" w:rsidP="002051E8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9D4E7A">
              <w:rPr>
                <w:rFonts w:ascii="Arial" w:hAnsi="Arial" w:cs="Arial"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293" w:type="dxa"/>
            <w:shd w:val="pct5" w:color="auto" w:fill="auto"/>
          </w:tcPr>
          <w:p w14:paraId="3DE6CD30" w14:textId="77777777" w:rsidR="000B4D51" w:rsidRPr="009D4E7A" w:rsidRDefault="000B4D51" w:rsidP="002051E8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9D4E7A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0B4D51" w:rsidRPr="009D4E7A" w14:paraId="6AA37580" w14:textId="77777777" w:rsidTr="00F21139">
        <w:trPr>
          <w:cantSplit/>
          <w:jc w:val="center"/>
        </w:trPr>
        <w:tc>
          <w:tcPr>
            <w:tcW w:w="1704" w:type="dxa"/>
          </w:tcPr>
          <w:p w14:paraId="5B9A6018" w14:textId="77777777" w:rsidR="000B4D51" w:rsidRPr="009D4E7A" w:rsidRDefault="000B4D51" w:rsidP="002051E8">
            <w:pPr>
              <w:pStyle w:val="Poletabeli"/>
              <w:rPr>
                <w:rFonts w:ascii="Arial" w:hAnsi="Arial" w:cs="Arial"/>
                <w:color w:val="70AD47" w:themeColor="accent6"/>
                <w:sz w:val="22"/>
                <w:szCs w:val="22"/>
                <w:lang w:val="pl-PL" w:eastAsia="pl-PL"/>
              </w:rPr>
            </w:pPr>
            <w:r w:rsidRPr="009D4E7A">
              <w:rPr>
                <w:rFonts w:ascii="Arial" w:hAnsi="Arial" w:cs="Arial"/>
                <w:color w:val="70AD47" w:themeColor="accent6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7293" w:type="dxa"/>
          </w:tcPr>
          <w:p w14:paraId="4C6570C1" w14:textId="77777777" w:rsidR="000B4D51" w:rsidRPr="009D4E7A" w:rsidRDefault="000B4D51" w:rsidP="002051E8">
            <w:pPr>
              <w:pStyle w:val="Poletabeli"/>
              <w:rPr>
                <w:rFonts w:ascii="Arial" w:hAnsi="Arial" w:cs="Arial"/>
                <w:color w:val="70AD47" w:themeColor="accent6"/>
                <w:sz w:val="22"/>
                <w:szCs w:val="22"/>
                <w:lang w:val="pl-PL" w:eastAsia="pl-PL"/>
              </w:rPr>
            </w:pPr>
            <w:r w:rsidRPr="009D4E7A">
              <w:rPr>
                <w:rFonts w:ascii="Arial" w:hAnsi="Arial" w:cs="Arial"/>
                <w:color w:val="70AD47" w:themeColor="accent6"/>
                <w:sz w:val="22"/>
                <w:szCs w:val="22"/>
                <w:lang w:val="pl-PL" w:eastAsia="pl-PL"/>
              </w:rPr>
              <w:t>System projektowany, w trakcie budowy, w trakcie wdrożenia.</w:t>
            </w:r>
          </w:p>
        </w:tc>
      </w:tr>
      <w:tr w:rsidR="000B4D51" w:rsidRPr="009D4E7A" w14:paraId="33D74826" w14:textId="77777777" w:rsidTr="00F21139">
        <w:trPr>
          <w:cantSplit/>
          <w:jc w:val="center"/>
        </w:trPr>
        <w:tc>
          <w:tcPr>
            <w:tcW w:w="1704" w:type="dxa"/>
          </w:tcPr>
          <w:p w14:paraId="1BDFA417" w14:textId="77777777" w:rsidR="000B4D51" w:rsidRPr="005A1782" w:rsidRDefault="000B4D51" w:rsidP="002051E8">
            <w:pPr>
              <w:pStyle w:val="Poletabeli"/>
              <w:rPr>
                <w:rFonts w:ascii="Arial" w:hAnsi="Arial" w:cs="Arial"/>
                <w:color w:val="00B0F0"/>
                <w:sz w:val="22"/>
                <w:szCs w:val="22"/>
                <w:lang w:val="pl-PL" w:eastAsia="pl-PL"/>
              </w:rPr>
            </w:pPr>
            <w:r w:rsidRPr="005A1782">
              <w:rPr>
                <w:rFonts w:ascii="Arial" w:hAnsi="Arial" w:cs="Arial"/>
                <w:color w:val="00B0F0"/>
                <w:sz w:val="22"/>
                <w:szCs w:val="22"/>
                <w:lang w:val="pl-PL" w:eastAsia="pl-PL"/>
              </w:rPr>
              <w:t>Modyfikowany</w:t>
            </w:r>
          </w:p>
        </w:tc>
        <w:tc>
          <w:tcPr>
            <w:tcW w:w="7293" w:type="dxa"/>
          </w:tcPr>
          <w:p w14:paraId="6DA6D21B" w14:textId="77777777" w:rsidR="000B4D51" w:rsidRPr="005A1782" w:rsidRDefault="000B4D51" w:rsidP="002051E8">
            <w:pPr>
              <w:pStyle w:val="Poletabeli"/>
              <w:rPr>
                <w:rFonts w:ascii="Arial" w:hAnsi="Arial" w:cs="Arial"/>
                <w:color w:val="00B0F0"/>
                <w:sz w:val="22"/>
                <w:szCs w:val="22"/>
                <w:lang w:val="pl-PL" w:eastAsia="pl-PL"/>
              </w:rPr>
            </w:pPr>
            <w:r w:rsidRPr="005A1782">
              <w:rPr>
                <w:rFonts w:ascii="Arial" w:hAnsi="Arial" w:cs="Arial"/>
                <w:color w:val="00B0F0"/>
                <w:sz w:val="22"/>
                <w:szCs w:val="22"/>
                <w:lang w:val="pl-PL" w:eastAsia="pl-PL"/>
              </w:rPr>
              <w:t>System modyfikowany, rozszerzany na potrzeby projektu.</w:t>
            </w:r>
          </w:p>
        </w:tc>
      </w:tr>
      <w:tr w:rsidR="000B4D51" w:rsidRPr="009D4E7A" w14:paraId="17741FEE" w14:textId="77777777" w:rsidTr="00F21139">
        <w:trPr>
          <w:cantSplit/>
          <w:jc w:val="center"/>
        </w:trPr>
        <w:tc>
          <w:tcPr>
            <w:tcW w:w="1704" w:type="dxa"/>
          </w:tcPr>
          <w:p w14:paraId="64F7BAD6" w14:textId="77777777" w:rsidR="000B4D51" w:rsidRPr="009D4E7A" w:rsidRDefault="000B4D51" w:rsidP="002051E8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9D4E7A">
              <w:rPr>
                <w:rFonts w:ascii="Arial" w:hAnsi="Arial" w:cs="Arial"/>
                <w:color w:val="4472C4" w:themeColor="accent1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7293" w:type="dxa"/>
          </w:tcPr>
          <w:p w14:paraId="0EC78634" w14:textId="77777777" w:rsidR="000B4D51" w:rsidRPr="009D4E7A" w:rsidRDefault="000B4D51" w:rsidP="002051E8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9D4E7A">
              <w:rPr>
                <w:rFonts w:ascii="Arial" w:hAnsi="Arial" w:cs="Arial"/>
                <w:color w:val="4472C4" w:themeColor="accent1"/>
                <w:sz w:val="22"/>
                <w:szCs w:val="22"/>
                <w:lang w:val="pl-PL" w:eastAsia="pl-PL"/>
              </w:rPr>
              <w:t>System działający produkcyjnie, gotowy do wykorzystania</w:t>
            </w:r>
          </w:p>
        </w:tc>
      </w:tr>
    </w:tbl>
    <w:p w14:paraId="54431893" w14:textId="77777777" w:rsidR="000B4D51" w:rsidRPr="009D4E7A" w:rsidRDefault="000B4D51" w:rsidP="00F2198E">
      <w:pPr>
        <w:pStyle w:val="Tekstpodstawowy2"/>
      </w:pPr>
    </w:p>
    <w:p w14:paraId="010B4743" w14:textId="5882C14C" w:rsidR="00F2198E" w:rsidRPr="009D4E7A" w:rsidRDefault="00776AE5" w:rsidP="00F76B27">
      <w:pPr>
        <w:pStyle w:val="Nagwek2"/>
        <w:numPr>
          <w:ilvl w:val="1"/>
          <w:numId w:val="10"/>
        </w:numPr>
        <w:rPr>
          <w:lang w:val="pl-PL" w:eastAsia="pl-PL"/>
        </w:rPr>
      </w:pPr>
      <w:r w:rsidRPr="009D4E7A">
        <w:rPr>
          <w:lang w:val="pl-PL" w:eastAsia="pl-PL"/>
        </w:rPr>
        <w:t xml:space="preserve"> </w:t>
      </w:r>
      <w:r w:rsidR="00BE3ABC" w:rsidRPr="009D4E7A">
        <w:rPr>
          <w:lang w:val="pl-PL" w:eastAsia="pl-PL"/>
        </w:rPr>
        <w:t xml:space="preserve">Przyjęte założenia technologiczne </w:t>
      </w:r>
    </w:p>
    <w:p w14:paraId="2735D422" w14:textId="77777777" w:rsidR="00BE3ABC" w:rsidRPr="009D4E7A" w:rsidRDefault="00BE3ABC" w:rsidP="00BE3ABC">
      <w:pPr>
        <w:ind w:left="851" w:firstLine="66"/>
        <w:jc w:val="both"/>
        <w:rPr>
          <w:rFonts w:cs="Arial"/>
          <w:color w:val="0070C0"/>
          <w:sz w:val="22"/>
          <w:szCs w:val="24"/>
          <w:lang w:eastAsia="pl-PL"/>
        </w:rPr>
      </w:pPr>
    </w:p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73"/>
        <w:gridCol w:w="6660"/>
      </w:tblGrid>
      <w:tr w:rsidR="00BE3ABC" w:rsidRPr="009D4E7A" w14:paraId="77E9534F" w14:textId="77777777" w:rsidTr="00F21139">
        <w:tc>
          <w:tcPr>
            <w:tcW w:w="567" w:type="dxa"/>
            <w:shd w:val="clear" w:color="auto" w:fill="E7E6E6"/>
          </w:tcPr>
          <w:p w14:paraId="5717E4BB" w14:textId="77777777" w:rsidR="00BE3ABC" w:rsidRPr="009D4E7A" w:rsidRDefault="00BE3ABC" w:rsidP="00B03E91">
            <w:pPr>
              <w:jc w:val="center"/>
              <w:rPr>
                <w:b/>
                <w:sz w:val="20"/>
                <w:szCs w:val="24"/>
              </w:rPr>
            </w:pPr>
            <w:r w:rsidRPr="009D4E7A">
              <w:rPr>
                <w:b/>
                <w:sz w:val="20"/>
                <w:szCs w:val="24"/>
              </w:rPr>
              <w:t>Lp.</w:t>
            </w:r>
          </w:p>
        </w:tc>
        <w:tc>
          <w:tcPr>
            <w:tcW w:w="1773" w:type="dxa"/>
            <w:shd w:val="clear" w:color="auto" w:fill="E7E6E6"/>
          </w:tcPr>
          <w:p w14:paraId="4AAEC59B" w14:textId="77777777" w:rsidR="00BE3ABC" w:rsidRPr="009D4E7A" w:rsidRDefault="00BE3ABC" w:rsidP="00B03E91">
            <w:pPr>
              <w:rPr>
                <w:b/>
                <w:sz w:val="20"/>
                <w:szCs w:val="24"/>
              </w:rPr>
            </w:pPr>
            <w:r w:rsidRPr="009D4E7A">
              <w:rPr>
                <w:b/>
                <w:sz w:val="20"/>
                <w:szCs w:val="24"/>
              </w:rPr>
              <w:t>Obszar</w:t>
            </w:r>
          </w:p>
        </w:tc>
        <w:tc>
          <w:tcPr>
            <w:tcW w:w="6660" w:type="dxa"/>
            <w:shd w:val="clear" w:color="auto" w:fill="E7E6E6"/>
          </w:tcPr>
          <w:p w14:paraId="2DDFA5D3" w14:textId="77777777" w:rsidR="00BE3ABC" w:rsidRPr="009D4E7A" w:rsidRDefault="00BE3ABC" w:rsidP="00B03E91">
            <w:pPr>
              <w:jc w:val="center"/>
              <w:rPr>
                <w:b/>
                <w:sz w:val="20"/>
              </w:rPr>
            </w:pPr>
            <w:r w:rsidRPr="009D4E7A">
              <w:rPr>
                <w:b/>
                <w:sz w:val="20"/>
              </w:rPr>
              <w:t>Założenie technologiczne</w:t>
            </w:r>
          </w:p>
        </w:tc>
      </w:tr>
      <w:tr w:rsidR="00BE3ABC" w:rsidRPr="009D4E7A" w14:paraId="60A8EF46" w14:textId="77777777" w:rsidTr="00F21139">
        <w:tc>
          <w:tcPr>
            <w:tcW w:w="567" w:type="dxa"/>
          </w:tcPr>
          <w:p w14:paraId="4D2DFEBA" w14:textId="77777777" w:rsidR="00BE3ABC" w:rsidRPr="009D4E7A" w:rsidRDefault="00BE3ABC" w:rsidP="00F76B2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1773" w:type="dxa"/>
          </w:tcPr>
          <w:p w14:paraId="7891F750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Infrastruktura</w:t>
            </w:r>
          </w:p>
        </w:tc>
        <w:tc>
          <w:tcPr>
            <w:tcW w:w="6660" w:type="dxa"/>
          </w:tcPr>
          <w:p w14:paraId="12C9BEC9" w14:textId="46F9D914" w:rsidR="00BE3ABC" w:rsidRPr="009D4E7A" w:rsidRDefault="004C1C59" w:rsidP="00B03E91">
            <w:pPr>
              <w:jc w:val="center"/>
              <w:rPr>
                <w:color w:val="000000" w:themeColor="text1"/>
                <w:sz w:val="20"/>
                <w:lang w:eastAsia="pl-PL"/>
              </w:rPr>
            </w:pPr>
            <w:r w:rsidRPr="009D4E7A">
              <w:rPr>
                <w:color w:val="000000" w:themeColor="text1"/>
                <w:sz w:val="20"/>
              </w:rPr>
              <w:t>Aplikacja webowa zintegrowana z centralną bazą danych utrzymywaną w infrastrukturze chmurowej.</w:t>
            </w:r>
          </w:p>
        </w:tc>
      </w:tr>
      <w:tr w:rsidR="00BE3ABC" w:rsidRPr="009D4E7A" w14:paraId="0FA7E78F" w14:textId="77777777" w:rsidTr="00F21139">
        <w:tc>
          <w:tcPr>
            <w:tcW w:w="567" w:type="dxa"/>
          </w:tcPr>
          <w:p w14:paraId="4BF02A7E" w14:textId="77777777" w:rsidR="00BE3ABC" w:rsidRPr="009D4E7A" w:rsidRDefault="00BE3ABC" w:rsidP="00F76B2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1773" w:type="dxa"/>
          </w:tcPr>
          <w:p w14:paraId="579B0A59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Sieć i bezpieczeństwo</w:t>
            </w:r>
          </w:p>
        </w:tc>
        <w:tc>
          <w:tcPr>
            <w:tcW w:w="6660" w:type="dxa"/>
          </w:tcPr>
          <w:p w14:paraId="71E8EBB8" w14:textId="28BE0B47" w:rsidR="00BE3ABC" w:rsidRPr="009D4E7A" w:rsidRDefault="00C43943" w:rsidP="00B03E91">
            <w:pPr>
              <w:jc w:val="center"/>
              <w:rPr>
                <w:color w:val="000000" w:themeColor="text1"/>
                <w:sz w:val="20"/>
                <w:lang w:eastAsia="pl-PL"/>
              </w:rPr>
            </w:pPr>
            <w:r w:rsidRPr="009D4E7A">
              <w:rPr>
                <w:color w:val="000000" w:themeColor="text1"/>
                <w:sz w:val="20"/>
                <w:lang w:eastAsia="pl-PL"/>
              </w:rPr>
              <w:t>Dostarczy dostawca chmury na podstawie wymagań Zamawiającego.</w:t>
            </w:r>
          </w:p>
        </w:tc>
      </w:tr>
      <w:tr w:rsidR="00BE3ABC" w:rsidRPr="009D4E7A" w14:paraId="45AA470A" w14:textId="77777777" w:rsidTr="00F21139">
        <w:tc>
          <w:tcPr>
            <w:tcW w:w="567" w:type="dxa"/>
          </w:tcPr>
          <w:p w14:paraId="376B1A36" w14:textId="77777777" w:rsidR="00BE3ABC" w:rsidRPr="009D4E7A" w:rsidRDefault="00BE3ABC" w:rsidP="00F76B2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1773" w:type="dxa"/>
          </w:tcPr>
          <w:p w14:paraId="22D96B7A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Standardy wymiany danych</w:t>
            </w:r>
          </w:p>
        </w:tc>
        <w:tc>
          <w:tcPr>
            <w:tcW w:w="6660" w:type="dxa"/>
          </w:tcPr>
          <w:p w14:paraId="09FCE357" w14:textId="54500C30" w:rsidR="00BE3ABC" w:rsidRPr="009D4E7A" w:rsidRDefault="00AC7768" w:rsidP="00B03E91">
            <w:pPr>
              <w:jc w:val="center"/>
              <w:rPr>
                <w:color w:val="000000" w:themeColor="text1"/>
                <w:sz w:val="20"/>
                <w:lang w:eastAsia="pl-PL"/>
              </w:rPr>
            </w:pPr>
            <w:r w:rsidRPr="009D4E7A">
              <w:rPr>
                <w:color w:val="000000" w:themeColor="text1"/>
                <w:sz w:val="20"/>
                <w:lang w:eastAsia="pl-PL"/>
              </w:rPr>
              <w:t xml:space="preserve">Standard </w:t>
            </w:r>
            <w:r w:rsidR="00D80E9B" w:rsidRPr="009D4E7A">
              <w:rPr>
                <w:color w:val="000000" w:themeColor="text1"/>
                <w:sz w:val="20"/>
                <w:lang w:eastAsia="pl-PL"/>
              </w:rPr>
              <w:t>API zgodn</w:t>
            </w:r>
            <w:r w:rsidRPr="009D4E7A">
              <w:rPr>
                <w:color w:val="000000" w:themeColor="text1"/>
                <w:sz w:val="20"/>
                <w:lang w:eastAsia="pl-PL"/>
              </w:rPr>
              <w:t>y</w:t>
            </w:r>
            <w:r w:rsidR="00D80E9B" w:rsidRPr="009D4E7A">
              <w:rPr>
                <w:color w:val="000000" w:themeColor="text1"/>
                <w:sz w:val="20"/>
                <w:lang w:eastAsia="pl-PL"/>
              </w:rPr>
              <w:t xml:space="preserve"> z wytycznymi gov.pl</w:t>
            </w:r>
          </w:p>
        </w:tc>
      </w:tr>
      <w:tr w:rsidR="00BE3ABC" w:rsidRPr="009D4E7A" w14:paraId="0D521F47" w14:textId="77777777" w:rsidTr="00F21139">
        <w:tc>
          <w:tcPr>
            <w:tcW w:w="567" w:type="dxa"/>
          </w:tcPr>
          <w:p w14:paraId="30741A95" w14:textId="77777777" w:rsidR="00BE3ABC" w:rsidRPr="009D4E7A" w:rsidRDefault="00BE3ABC" w:rsidP="00F76B2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1773" w:type="dxa"/>
          </w:tcPr>
          <w:p w14:paraId="712C98B2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Systemy operacyjne serwerowe</w:t>
            </w:r>
          </w:p>
        </w:tc>
        <w:tc>
          <w:tcPr>
            <w:tcW w:w="6660" w:type="dxa"/>
          </w:tcPr>
          <w:p w14:paraId="56EAEB4F" w14:textId="0B05A953" w:rsidR="00BE3ABC" w:rsidRPr="009D4E7A" w:rsidRDefault="00C43943" w:rsidP="00B03E91">
            <w:pPr>
              <w:jc w:val="center"/>
              <w:rPr>
                <w:color w:val="000000" w:themeColor="text1"/>
                <w:sz w:val="20"/>
                <w:lang w:eastAsia="pl-PL"/>
              </w:rPr>
            </w:pPr>
            <w:r w:rsidRPr="009D4E7A">
              <w:rPr>
                <w:color w:val="000000" w:themeColor="text1"/>
                <w:sz w:val="20"/>
              </w:rPr>
              <w:t>Systemy open source lub komercyjne w zależności od oferty dostawcy systemu.</w:t>
            </w:r>
          </w:p>
        </w:tc>
      </w:tr>
      <w:tr w:rsidR="00BE3ABC" w:rsidRPr="009D4E7A" w14:paraId="1AC42FDB" w14:textId="77777777" w:rsidTr="00F21139">
        <w:tc>
          <w:tcPr>
            <w:tcW w:w="567" w:type="dxa"/>
          </w:tcPr>
          <w:p w14:paraId="228697A6" w14:textId="77777777" w:rsidR="00BE3ABC" w:rsidRPr="009D4E7A" w:rsidRDefault="00BE3ABC" w:rsidP="00F76B2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1773" w:type="dxa"/>
          </w:tcPr>
          <w:p w14:paraId="20747F44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Bazy danych</w:t>
            </w:r>
          </w:p>
        </w:tc>
        <w:tc>
          <w:tcPr>
            <w:tcW w:w="6660" w:type="dxa"/>
          </w:tcPr>
          <w:p w14:paraId="304323E1" w14:textId="2F6D93FC" w:rsidR="00BE3ABC" w:rsidRPr="009D4E7A" w:rsidRDefault="00C43943" w:rsidP="00B03E91">
            <w:pPr>
              <w:jc w:val="center"/>
              <w:rPr>
                <w:color w:val="000000" w:themeColor="text1"/>
                <w:sz w:val="20"/>
                <w:lang w:eastAsia="pl-PL"/>
              </w:rPr>
            </w:pPr>
            <w:r w:rsidRPr="009D4E7A">
              <w:rPr>
                <w:color w:val="000000" w:themeColor="text1"/>
                <w:sz w:val="20"/>
              </w:rPr>
              <w:t>Systemy open source lub komercyjne w zależności od oferty dostawcy systemu.</w:t>
            </w:r>
          </w:p>
        </w:tc>
      </w:tr>
      <w:tr w:rsidR="00BE3ABC" w:rsidRPr="009D4E7A" w14:paraId="24F45BA1" w14:textId="77777777" w:rsidTr="00F21139">
        <w:tc>
          <w:tcPr>
            <w:tcW w:w="567" w:type="dxa"/>
          </w:tcPr>
          <w:p w14:paraId="736C921D" w14:textId="77777777" w:rsidR="00BE3ABC" w:rsidRPr="009D4E7A" w:rsidRDefault="00BE3ABC" w:rsidP="00F76B2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1773" w:type="dxa"/>
          </w:tcPr>
          <w:p w14:paraId="272E4D29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Serwery aplikacji</w:t>
            </w:r>
          </w:p>
        </w:tc>
        <w:tc>
          <w:tcPr>
            <w:tcW w:w="6660" w:type="dxa"/>
          </w:tcPr>
          <w:p w14:paraId="3652E3A7" w14:textId="66B81858" w:rsidR="00BE3ABC" w:rsidRPr="009D4E7A" w:rsidRDefault="00C43943" w:rsidP="00B03E91">
            <w:pPr>
              <w:jc w:val="center"/>
              <w:rPr>
                <w:color w:val="000000" w:themeColor="text1"/>
                <w:sz w:val="20"/>
                <w:lang w:eastAsia="pl-PL"/>
              </w:rPr>
            </w:pPr>
            <w:r w:rsidRPr="009D4E7A">
              <w:rPr>
                <w:color w:val="000000" w:themeColor="text1"/>
                <w:sz w:val="20"/>
              </w:rPr>
              <w:t>Serwery aplikacyjne</w:t>
            </w:r>
            <w:r w:rsidR="00D74D45" w:rsidRPr="009D4E7A">
              <w:rPr>
                <w:color w:val="000000" w:themeColor="text1"/>
                <w:sz w:val="20"/>
              </w:rPr>
              <w:t>,</w:t>
            </w:r>
            <w:r w:rsidRPr="009D4E7A">
              <w:rPr>
                <w:color w:val="000000" w:themeColor="text1"/>
                <w:sz w:val="20"/>
              </w:rPr>
              <w:t xml:space="preserve"> bazodanowe</w:t>
            </w:r>
            <w:r w:rsidR="00D74D45" w:rsidRPr="009D4E7A">
              <w:rPr>
                <w:color w:val="000000" w:themeColor="text1"/>
                <w:sz w:val="20"/>
              </w:rPr>
              <w:t xml:space="preserve"> i serwery plików</w:t>
            </w:r>
            <w:r w:rsidRPr="009D4E7A">
              <w:rPr>
                <w:color w:val="000000" w:themeColor="text1"/>
                <w:sz w:val="20"/>
              </w:rPr>
              <w:t>.</w:t>
            </w:r>
          </w:p>
        </w:tc>
      </w:tr>
      <w:tr w:rsidR="00BE3ABC" w:rsidRPr="009D4E7A" w14:paraId="68D35320" w14:textId="77777777" w:rsidTr="00F21139">
        <w:tc>
          <w:tcPr>
            <w:tcW w:w="567" w:type="dxa"/>
          </w:tcPr>
          <w:p w14:paraId="4D6C00C9" w14:textId="77777777" w:rsidR="00BE3ABC" w:rsidRPr="009D4E7A" w:rsidRDefault="00BE3ABC" w:rsidP="00F76B2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1773" w:type="dxa"/>
          </w:tcPr>
          <w:p w14:paraId="4366FBEE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Portale</w:t>
            </w:r>
          </w:p>
        </w:tc>
        <w:tc>
          <w:tcPr>
            <w:tcW w:w="6660" w:type="dxa"/>
          </w:tcPr>
          <w:p w14:paraId="60DBBC4A" w14:textId="309C641F" w:rsidR="00BE3ABC" w:rsidRPr="009D4E7A" w:rsidRDefault="00C43943" w:rsidP="00B03E91">
            <w:pPr>
              <w:jc w:val="center"/>
              <w:rPr>
                <w:color w:val="000000" w:themeColor="text1"/>
                <w:sz w:val="20"/>
                <w:lang w:eastAsia="pl-PL"/>
              </w:rPr>
            </w:pPr>
            <w:r w:rsidRPr="009D4E7A">
              <w:rPr>
                <w:color w:val="000000" w:themeColor="text1"/>
                <w:sz w:val="20"/>
              </w:rPr>
              <w:t>Portal dla użytkowników jako podstawowy interfejs aplikacji.</w:t>
            </w:r>
          </w:p>
        </w:tc>
      </w:tr>
      <w:tr w:rsidR="00BE3ABC" w:rsidRPr="009D4E7A" w14:paraId="3BB2DC10" w14:textId="77777777" w:rsidTr="00F21139">
        <w:tc>
          <w:tcPr>
            <w:tcW w:w="567" w:type="dxa"/>
          </w:tcPr>
          <w:p w14:paraId="0E28D037" w14:textId="77777777" w:rsidR="00BE3ABC" w:rsidRPr="009D4E7A" w:rsidRDefault="00BE3ABC" w:rsidP="00F76B27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1773" w:type="dxa"/>
          </w:tcPr>
          <w:p w14:paraId="4EC87C6F" w14:textId="77777777" w:rsidR="00BE3ABC" w:rsidRPr="009D4E7A" w:rsidRDefault="00BE3ABC" w:rsidP="00B03E91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Inne</w:t>
            </w:r>
          </w:p>
        </w:tc>
        <w:tc>
          <w:tcPr>
            <w:tcW w:w="6660" w:type="dxa"/>
          </w:tcPr>
          <w:p w14:paraId="7C5A9FD6" w14:textId="3AAE3BAE" w:rsidR="00BE3ABC" w:rsidRPr="009D4E7A" w:rsidRDefault="008C06E1" w:rsidP="00B03E91">
            <w:pPr>
              <w:jc w:val="center"/>
              <w:rPr>
                <w:color w:val="000000" w:themeColor="text1"/>
                <w:sz w:val="20"/>
                <w:lang w:eastAsia="pl-PL"/>
              </w:rPr>
            </w:pPr>
            <w:r w:rsidRPr="009D4E7A">
              <w:rPr>
                <w:color w:val="000000" w:themeColor="text1"/>
                <w:sz w:val="20"/>
              </w:rPr>
              <w:t>brak sztywnych założeń</w:t>
            </w:r>
          </w:p>
        </w:tc>
      </w:tr>
    </w:tbl>
    <w:p w14:paraId="57B12D73" w14:textId="77777777" w:rsidR="00BE3ABC" w:rsidRPr="009D4E7A" w:rsidRDefault="00BE3ABC" w:rsidP="00BE3ABC">
      <w:pPr>
        <w:pStyle w:val="Tekstpodstawowy2"/>
        <w:rPr>
          <w:lang w:eastAsia="pl-PL"/>
        </w:rPr>
      </w:pPr>
    </w:p>
    <w:p w14:paraId="4329743C" w14:textId="096BBC33" w:rsidR="00BE3ABC" w:rsidRPr="009D4E7A" w:rsidRDefault="00776AE5" w:rsidP="00F76B27">
      <w:pPr>
        <w:pStyle w:val="Nagwek2"/>
        <w:keepNext/>
        <w:numPr>
          <w:ilvl w:val="1"/>
          <w:numId w:val="12"/>
        </w:numPr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9D4E7A">
        <w:rPr>
          <w:lang w:val="pl-PL" w:eastAsia="pl-PL"/>
        </w:rPr>
        <w:t xml:space="preserve"> </w:t>
      </w:r>
      <w:r w:rsidR="00BE3ABC" w:rsidRPr="009D4E7A">
        <w:rPr>
          <w:lang w:val="pl-PL" w:eastAsia="pl-PL"/>
        </w:rPr>
        <w:t>Opis zasobów danych przetwarzanych w planowanym rozwiązaniu</w:t>
      </w:r>
    </w:p>
    <w:p w14:paraId="285D0B5F" w14:textId="77777777" w:rsidR="00BE3ABC" w:rsidRPr="009D4E7A" w:rsidRDefault="00BE3ABC" w:rsidP="00BE3ABC">
      <w:pPr>
        <w:spacing w:before="120"/>
        <w:ind w:left="851"/>
        <w:jc w:val="both"/>
      </w:pPr>
      <w:r w:rsidRPr="009D4E7A">
        <w:t>Czy nowy system będzie tworzył zasoby danych o charakterze rejestru publicznego?</w:t>
      </w:r>
    </w:p>
    <w:p w14:paraId="148A12BB" w14:textId="77777777" w:rsidR="00BE3ABC" w:rsidRPr="009D4E7A" w:rsidRDefault="00BE3ABC" w:rsidP="00BE3ABC">
      <w:pPr>
        <w:spacing w:before="120" w:after="120"/>
        <w:ind w:left="851"/>
        <w:jc w:val="both"/>
      </w:pPr>
      <w:r w:rsidRPr="007E70B9">
        <w:rPr>
          <w:rFonts w:eastAsiaTheme="minorHAnsi"/>
          <w:strike/>
          <w:lang w:eastAsia="pl-PL"/>
        </w:rPr>
        <w:t>TAK</w:t>
      </w:r>
      <w:r w:rsidRPr="009D4E7A">
        <w:rPr>
          <w:rFonts w:eastAsiaTheme="minorHAnsi"/>
          <w:strike/>
          <w:lang w:eastAsia="pl-PL"/>
        </w:rPr>
        <w:t>/</w:t>
      </w:r>
      <w:r w:rsidRPr="007E70B9">
        <w:rPr>
          <w:rFonts w:eastAsiaTheme="minorHAnsi"/>
          <w:lang w:eastAsia="pl-PL"/>
        </w:rPr>
        <w:t>NIE</w:t>
      </w:r>
      <w:r w:rsidRPr="009D4E7A">
        <w:rPr>
          <w:rFonts w:eastAsiaTheme="minorHAnsi"/>
          <w:lang w:eastAsia="pl-PL"/>
        </w:rPr>
        <w:t xml:space="preserve"> </w:t>
      </w:r>
      <w:r w:rsidRPr="009D4E7A">
        <w:rPr>
          <w:rStyle w:val="Odwoanieprzypisudolnego"/>
          <w:rFonts w:eastAsiaTheme="minorHAnsi"/>
          <w:lang w:eastAsia="pl-PL"/>
        </w:rPr>
        <w:footnoteReference w:id="4"/>
      </w:r>
    </w:p>
    <w:tbl>
      <w:tblPr>
        <w:tblW w:w="7796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440"/>
        <w:gridCol w:w="4840"/>
      </w:tblGrid>
      <w:tr w:rsidR="00BE3ABC" w:rsidRPr="009D4E7A" w14:paraId="53E98142" w14:textId="77777777" w:rsidTr="000904B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FFD53E6" w14:textId="77777777" w:rsidR="00BE3ABC" w:rsidRPr="009D4E7A" w:rsidRDefault="00BE3ABC" w:rsidP="00B03E91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9D4E7A">
              <w:rPr>
                <w:b/>
                <w:sz w:val="20"/>
                <w:szCs w:val="24"/>
              </w:rPr>
              <w:t>Lp.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488485E" w14:textId="77777777" w:rsidR="00BE3ABC" w:rsidRPr="009D4E7A" w:rsidRDefault="00BE3ABC" w:rsidP="00B03E91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9D4E7A">
              <w:rPr>
                <w:b/>
                <w:sz w:val="20"/>
                <w:szCs w:val="24"/>
              </w:rPr>
              <w:t>Tworzony rejestr publiczny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7B4CFF42" w14:textId="77777777" w:rsidR="00BE3ABC" w:rsidRPr="009D4E7A" w:rsidRDefault="00BE3ABC" w:rsidP="00B03E91">
            <w:pPr>
              <w:spacing w:line="256" w:lineRule="auto"/>
              <w:jc w:val="center"/>
              <w:rPr>
                <w:b/>
                <w:sz w:val="20"/>
              </w:rPr>
            </w:pPr>
            <w:r w:rsidRPr="009D4E7A">
              <w:rPr>
                <w:b/>
                <w:sz w:val="20"/>
              </w:rPr>
              <w:t xml:space="preserve">Opis </w:t>
            </w:r>
          </w:p>
        </w:tc>
      </w:tr>
      <w:tr w:rsidR="007E70B9" w:rsidRPr="009D4E7A" w14:paraId="0A533D58" w14:textId="77777777" w:rsidTr="000904B5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7600880" w14:textId="77777777" w:rsidR="007E70B9" w:rsidRPr="009D4E7A" w:rsidRDefault="007E70B9" w:rsidP="00B03E91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A32F249" w14:textId="32DDA878" w:rsidR="007E70B9" w:rsidRPr="007E70B9" w:rsidRDefault="007E70B9" w:rsidP="00B03E91">
            <w:pPr>
              <w:spacing w:line="256" w:lineRule="auto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n</w:t>
            </w:r>
            <w:r w:rsidRPr="007E70B9">
              <w:rPr>
                <w:sz w:val="20"/>
                <w:szCs w:val="24"/>
              </w:rPr>
              <w:t>ie dotyczy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F85C7EA" w14:textId="74D1EA93" w:rsidR="007E70B9" w:rsidRPr="007E70B9" w:rsidRDefault="007E70B9" w:rsidP="00B03E91">
            <w:pPr>
              <w:spacing w:line="256" w:lineRule="auto"/>
              <w:jc w:val="center"/>
              <w:rPr>
                <w:sz w:val="20"/>
              </w:rPr>
            </w:pPr>
            <w:r>
              <w:rPr>
                <w:sz w:val="20"/>
              </w:rPr>
              <w:t>n</w:t>
            </w:r>
            <w:r w:rsidRPr="007E70B9">
              <w:rPr>
                <w:sz w:val="20"/>
              </w:rPr>
              <w:t>ie dotyczy</w:t>
            </w:r>
          </w:p>
        </w:tc>
      </w:tr>
    </w:tbl>
    <w:p w14:paraId="43893CFB" w14:textId="77777777" w:rsidR="00BE3ABC" w:rsidRPr="009D4E7A" w:rsidRDefault="00BE3ABC" w:rsidP="00BE3ABC"/>
    <w:p w14:paraId="02F54F8A" w14:textId="77777777" w:rsidR="00BE3ABC" w:rsidRPr="009D4E7A" w:rsidRDefault="00BE3ABC" w:rsidP="00BE3ABC">
      <w:pPr>
        <w:spacing w:before="120"/>
        <w:ind w:left="851"/>
        <w:jc w:val="both"/>
      </w:pPr>
      <w:r w:rsidRPr="009D4E7A">
        <w:t xml:space="preserve">Czy nowy system będzie przetwarzał (używał, zmieniał) zawartość innych rejestrów publicznych? </w:t>
      </w:r>
    </w:p>
    <w:p w14:paraId="17F91942" w14:textId="77777777" w:rsidR="00BE3ABC" w:rsidRPr="009D4E7A" w:rsidRDefault="00BE3ABC" w:rsidP="00BE3ABC">
      <w:pPr>
        <w:spacing w:before="120" w:after="120"/>
        <w:ind w:left="851"/>
        <w:jc w:val="both"/>
      </w:pPr>
      <w:r w:rsidRPr="009D4E7A">
        <w:rPr>
          <w:rFonts w:eastAsiaTheme="minorHAnsi"/>
          <w:lang w:eastAsia="pl-PL"/>
        </w:rPr>
        <w:t>TAK</w:t>
      </w:r>
      <w:r w:rsidRPr="009D4E7A">
        <w:rPr>
          <w:rFonts w:eastAsiaTheme="minorHAnsi"/>
          <w:strike/>
          <w:lang w:eastAsia="pl-PL"/>
        </w:rPr>
        <w:t>/NIE</w:t>
      </w:r>
      <w:r w:rsidRPr="009D4E7A">
        <w:rPr>
          <w:rFonts w:eastAsiaTheme="minorHAnsi"/>
          <w:lang w:eastAsia="pl-PL"/>
        </w:rPr>
        <w:t xml:space="preserve"> </w:t>
      </w:r>
      <w:r w:rsidRPr="009D4E7A">
        <w:rPr>
          <w:rStyle w:val="Odwoanieprzypisudolnego"/>
          <w:rFonts w:eastAsiaTheme="minorHAnsi"/>
          <w:lang w:eastAsia="pl-PL"/>
        </w:rPr>
        <w:footnoteReference w:id="5"/>
      </w:r>
    </w:p>
    <w:tbl>
      <w:tblPr>
        <w:tblW w:w="765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162"/>
        <w:gridCol w:w="2499"/>
        <w:gridCol w:w="2477"/>
      </w:tblGrid>
      <w:tr w:rsidR="00BE3ABC" w:rsidRPr="009D4E7A" w14:paraId="1566FBE1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A4AAE54" w14:textId="77777777" w:rsidR="00BE3ABC" w:rsidRPr="009D4E7A" w:rsidRDefault="00BE3ABC" w:rsidP="00B03E91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9D4E7A">
              <w:rPr>
                <w:b/>
                <w:sz w:val="20"/>
                <w:szCs w:val="24"/>
              </w:rPr>
              <w:t>Lp.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E0EA395" w14:textId="77777777" w:rsidR="00BE3ABC" w:rsidRPr="009D4E7A" w:rsidRDefault="00BE3ABC" w:rsidP="00B03E91">
            <w:pPr>
              <w:spacing w:line="256" w:lineRule="auto"/>
              <w:jc w:val="center"/>
              <w:rPr>
                <w:b/>
                <w:sz w:val="20"/>
                <w:szCs w:val="24"/>
              </w:rPr>
            </w:pPr>
            <w:r w:rsidRPr="009D4E7A">
              <w:rPr>
                <w:b/>
                <w:sz w:val="20"/>
                <w:szCs w:val="24"/>
              </w:rPr>
              <w:t>Rejestr publiczny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02A66785" w14:textId="77777777" w:rsidR="00BE3ABC" w:rsidRPr="009D4E7A" w:rsidRDefault="00BE3ABC" w:rsidP="00B03E91">
            <w:pPr>
              <w:spacing w:line="256" w:lineRule="auto"/>
              <w:jc w:val="center"/>
              <w:rPr>
                <w:b/>
                <w:sz w:val="20"/>
              </w:rPr>
            </w:pPr>
            <w:r w:rsidRPr="009D4E7A">
              <w:rPr>
                <w:b/>
                <w:sz w:val="20"/>
              </w:rPr>
              <w:t xml:space="preserve">Opis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44DE0B5E" w14:textId="77777777" w:rsidR="00BE3ABC" w:rsidRPr="009D4E7A" w:rsidRDefault="00BE3ABC" w:rsidP="00B03E91">
            <w:pPr>
              <w:spacing w:line="256" w:lineRule="auto"/>
              <w:jc w:val="center"/>
              <w:rPr>
                <w:b/>
                <w:sz w:val="20"/>
              </w:rPr>
            </w:pPr>
            <w:r w:rsidRPr="009D4E7A">
              <w:rPr>
                <w:b/>
                <w:sz w:val="20"/>
              </w:rPr>
              <w:t>Zakres przetwarzania</w:t>
            </w:r>
          </w:p>
        </w:tc>
      </w:tr>
      <w:tr w:rsidR="00E172A4" w:rsidRPr="009D4E7A" w:rsidDel="00E172A4" w14:paraId="2FEACF3B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EBE0" w14:textId="5E1CC866" w:rsidR="00E172A4" w:rsidRPr="009D4E7A" w:rsidDel="00E172A4" w:rsidRDefault="00E172A4" w:rsidP="002E1871">
            <w:pPr>
              <w:spacing w:line="256" w:lineRule="auto"/>
              <w:jc w:val="both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933" w14:textId="2F7EDBE3" w:rsidR="00E172A4" w:rsidRPr="009D4E7A" w:rsidDel="00E172A4" w:rsidRDefault="00E172A4" w:rsidP="002E1871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RWDZ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57C9" w14:textId="3C734E47" w:rsidR="00E172A4" w:rsidRPr="009D4E7A" w:rsidDel="00E172A4" w:rsidRDefault="00E172A4" w:rsidP="00E8366E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Rejestr Wniosków, Decyzji i Zgłoszeń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A732" w14:textId="368FE3A4" w:rsidR="00E172A4" w:rsidRPr="009D4E7A" w:rsidDel="00E172A4" w:rsidRDefault="00E172A4" w:rsidP="002E1871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zmiana</w:t>
            </w:r>
          </w:p>
        </w:tc>
      </w:tr>
      <w:tr w:rsidR="002E1871" w:rsidRPr="009D4E7A" w14:paraId="37AC21C3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A5F" w14:textId="4E6DA10A" w:rsidR="002E1871" w:rsidRPr="009D4E7A" w:rsidRDefault="007E70B9" w:rsidP="002E1871">
            <w:pPr>
              <w:spacing w:line="256" w:lineRule="auto"/>
              <w:jc w:val="both"/>
              <w:rPr>
                <w:sz w:val="20"/>
                <w:lang w:eastAsia="pl-PL"/>
              </w:rPr>
            </w:pPr>
            <w:r>
              <w:rPr>
                <w:sz w:val="20"/>
                <w:lang w:eastAsia="pl-PL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97BA" w14:textId="4B78FD58" w:rsidR="002E1871" w:rsidRPr="009D4E7A" w:rsidRDefault="0033720F" w:rsidP="002E1871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>
              <w:rPr>
                <w:rFonts w:cs="Arial"/>
                <w:color w:val="000000" w:themeColor="text1"/>
                <w:sz w:val="20"/>
                <w:lang w:eastAsia="pl-PL"/>
              </w:rPr>
              <w:t>Rejestry l</w:t>
            </w:r>
            <w:r w:rsidR="003F1557" w:rsidRPr="009D4E7A">
              <w:rPr>
                <w:rFonts w:cs="Arial"/>
                <w:color w:val="000000" w:themeColor="text1"/>
                <w:sz w:val="20"/>
                <w:lang w:eastAsia="pl-PL"/>
              </w:rPr>
              <w:t>okaln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ych</w:t>
            </w:r>
            <w:r w:rsidR="003F1557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system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ów</w:t>
            </w:r>
            <w:r w:rsidR="003F1557"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dziedzinow</w:t>
            </w:r>
            <w:r>
              <w:rPr>
                <w:rFonts w:cs="Arial"/>
                <w:color w:val="000000" w:themeColor="text1"/>
                <w:sz w:val="20"/>
                <w:lang w:eastAsia="pl-PL"/>
              </w:rPr>
              <w:t>ych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6A4E" w14:textId="131DB275" w:rsidR="002E1871" w:rsidRPr="009D4E7A" w:rsidRDefault="003F1557" w:rsidP="002E1871">
            <w:pPr>
              <w:spacing w:line="256" w:lineRule="auto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Istniejące lokalnie rejestry w systemach dziedzinowych do prowadzenia postępowań administracyjnych w obszarze budownictwa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DA7F" w14:textId="45AF27B9" w:rsidR="002E1871" w:rsidRPr="009D4E7A" w:rsidRDefault="003F1557" w:rsidP="002E1871">
            <w:pPr>
              <w:spacing w:line="256" w:lineRule="auto"/>
              <w:jc w:val="center"/>
              <w:rPr>
                <w:color w:val="0070C0"/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30975944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1453" w14:textId="41C8B81C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90D7" w14:textId="3C62EF91" w:rsidR="007E70B9" w:rsidRPr="009D4E7A" w:rsidRDefault="007E70B9" w:rsidP="007E70B9">
            <w:pPr>
              <w:spacing w:line="256" w:lineRule="auto"/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Rejestr miejscowych planów zagospodarowania przestrzennego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5608" w14:textId="30A27755" w:rsidR="007E70B9" w:rsidRPr="009D4E7A" w:rsidRDefault="007E70B9" w:rsidP="007E70B9">
            <w:pPr>
              <w:spacing w:line="256" w:lineRule="auto"/>
              <w:rPr>
                <w:color w:val="0070C0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Prowadzony przez GUGiK na podstawie zgłoszeń z organów szczebla gminnego krajowy Rejestr miejscowych planów zagospodarowania przestrzennego 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4727" w14:textId="6EF7EBF0" w:rsidR="007E70B9" w:rsidRPr="009D4E7A" w:rsidRDefault="007E70B9" w:rsidP="007E70B9">
            <w:pPr>
              <w:spacing w:line="256" w:lineRule="auto"/>
              <w:jc w:val="center"/>
              <w:rPr>
                <w:color w:val="0070C0"/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292882B5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4044" w14:textId="167FB860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55A1" w14:textId="2C68F058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Baza danych obiektów </w:t>
            </w: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ogólnogeograficznych</w:t>
            </w:r>
            <w:proofErr w:type="spellEnd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 xml:space="preserve"> (BDOO)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0C07" w14:textId="006AA6CC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Wektorowa (obiektowa) baza danych zawierająca lokalizację przestrzenną obiektów topograficznych wraz z ich charakterystyką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6333" w14:textId="2A5C77AC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424E1988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A96B" w14:textId="3A28F845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lastRenderedPageBreak/>
              <w:t>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4A69" w14:textId="648C2A21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Baza danych obiektów topograficznych (BDOT10k)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5E22" w14:textId="4E4EC888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Wektorowa (obiektowa) baza danych zawierająca lokalizację przestrzenną obiektów topograficznych wraz z ich charakterystyką.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1CD6" w14:textId="00B24F38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70BA14CA" w14:textId="77777777" w:rsidTr="008F64E0">
        <w:trPr>
          <w:trHeight w:val="7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0183" w14:textId="514D0880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E9D1" w14:textId="3D32C038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Baza danych zobrazowań lotniczych i satelitarnych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A7A1" w14:textId="4782AFCE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Baza danych gromadząca fotogrametryczne zdjęcia lotnicze i satelitarne stanowiące zarejestrowany i utrwalony obraz powierzchni Ziemi, wykonany z pułapu lotniczego w sposób umożliwiający odtworzenie wzajemnych związków przestrzennych oraz kształtów i wymiarów obiektów terenowych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A7E0" w14:textId="35E8BC93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72F951DA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42E8" w14:textId="6535D56B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7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780E" w14:textId="6D8AB472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Ewidencja gruntów i budynków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7D4A" w14:textId="2844A6DD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Rejestr referencyjny zawierający informacje o nieruchomościach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4F4E" w14:textId="0BD5560C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28DB0C3E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8E9D" w14:textId="6382D791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8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D2C3" w14:textId="1CD71BDD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Ewidencja map tematycznych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3F62" w14:textId="57B12F2F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Ewidencja map tematycznych przedstawiających wybrane zagadnienia przyrodnicze lub społeczno-gospodarcze, w tym w szczególności mapy hydrograficzne i sozologiczne oraz mapy w skalach przeglądowych.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6373" w14:textId="12457323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7596E639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A054" w14:textId="3CCD84BD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9C7E" w14:textId="67BA448D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Ewidencja map topograficznych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FC7" w14:textId="00F0D15E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Mapy topograficzne znajdujące się w centralnej części państwowego zasobu geodezyjnego i kartograficznego.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159D" w14:textId="081B45A5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2EB71ACA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111A" w14:textId="062EE58D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10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15A4" w14:textId="647F117F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Ewidencja miejscowości, ulic i adresów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36E0" w14:textId="6019954B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 xml:space="preserve">Baza danych </w:t>
            </w: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miejscowości, ulic i adresów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2AC8" w14:textId="0254487E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51820EF4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B05F" w14:textId="50FD5380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11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F5F1" w14:textId="4FC01A07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Ewidencja zbiorów oraz usług danych przestrzennych objętych infrastrukturą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F8B1" w14:textId="72069EF5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Ewidencja zbiorów oraz usług danych przestrzennych objętych infrastrukturą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657B" w14:textId="6E9286E7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0E26A67D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6A92" w14:textId="4208838B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12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1157" w14:textId="16F9AF69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Geodezyjna Ewidencja Sieci Uzbrojenia Terenu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408D" w14:textId="62183789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 xml:space="preserve">Rejestr publiczny zapewniający gromadzenie, aktualizację i udostępnianie informacji </w:t>
            </w:r>
            <w:r w:rsidRPr="009D4E7A">
              <w:rPr>
                <w:sz w:val="20"/>
              </w:rPr>
              <w:lastRenderedPageBreak/>
              <w:t>o sieciach uzbrojenia terenu.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3B0F" w14:textId="011F344E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lastRenderedPageBreak/>
              <w:t>użycie</w:t>
            </w:r>
          </w:p>
        </w:tc>
      </w:tr>
      <w:tr w:rsidR="007E70B9" w:rsidRPr="009D4E7A" w14:paraId="2D002BF9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EE71" w14:textId="54FA2121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13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4CE6" w14:textId="1F9EF572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Numeryczny Model Terenu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0A51" w14:textId="585D6079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Numeryczny model terenu (NMT) stanowi dyskretną (punktową) reprezentację wysokości topograficznej powierzchni terenu, wraz z algorytmem interpolacyjnym umożliwiającym odtworzenie jej kształtu w określonym obszarze.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9B71" w14:textId="48F6E43A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4C2C176D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1907" w14:textId="169A5DC9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14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141B" w14:textId="33596E51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proofErr w:type="spellStart"/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Ortofotomapa</w:t>
            </w:r>
            <w:proofErr w:type="spellEnd"/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4599" w14:textId="5915B89C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proofErr w:type="spellStart"/>
            <w:r w:rsidRPr="009D4E7A">
              <w:rPr>
                <w:sz w:val="20"/>
              </w:rPr>
              <w:t>Ortofotomapa</w:t>
            </w:r>
            <w:proofErr w:type="spellEnd"/>
            <w:r w:rsidRPr="009D4E7A">
              <w:rPr>
                <w:sz w:val="20"/>
              </w:rPr>
              <w:t xml:space="preserve"> stanowi rastrowy obraz powierzchni terenu, powstały w wyniku przetworzenia zdjęć lotniczych lub satelitarnych. W Polsce organem odpowiedzialnym za prowadzenie bazy danych dotyczącej </w:t>
            </w:r>
            <w:proofErr w:type="spellStart"/>
            <w:r w:rsidRPr="009D4E7A">
              <w:rPr>
                <w:sz w:val="20"/>
              </w:rPr>
              <w:t>ortofotomapy</w:t>
            </w:r>
            <w:proofErr w:type="spellEnd"/>
            <w:r w:rsidRPr="009D4E7A">
              <w:rPr>
                <w:sz w:val="20"/>
              </w:rPr>
              <w:t xml:space="preserve"> na mocy ustawy Prawo geodezyjne i kartograficzne jest Główny Geodeta Kraju.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C6BE" w14:textId="506E150F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54B265A1" w14:textId="77777777" w:rsidTr="008F64E0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C658" w14:textId="6F11F928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15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D869" w14:textId="38F81F48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Państwowy rejestr granic i jednostek podziałów terytorialnych kraju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280E" w14:textId="5A8CF135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>Rejestr danych obejmujących obszar całego kraju w zakresie przebiegu granic oraz  powierzchni jednostek zasadniczego trójstopniowego podziału terytorialnego kraju. Ponadto gromadzone są informacje dotyczące krajowego zestawienia zbiorczego gruntów, który jest spisem danych o ogólnej powierzchni gruntów położonych w granicach jednostki ewidencyjnej, zestawionych według ich przynależności do poszczególnych grup i podgrup rejestrowych z jednoczesnym podziałem na użytki gruntowe.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A149" w14:textId="456A2CD9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użycie</w:t>
            </w:r>
          </w:p>
        </w:tc>
      </w:tr>
      <w:tr w:rsidR="007E70B9" w:rsidRPr="009D4E7A" w14:paraId="1985C459" w14:textId="77777777" w:rsidTr="008C2676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8170" w14:textId="03A665C5" w:rsidR="007E70B9" w:rsidRPr="009D4E7A" w:rsidRDefault="007E70B9" w:rsidP="007E70B9">
            <w:pPr>
              <w:spacing w:line="256" w:lineRule="auto"/>
              <w:jc w:val="both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t>16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7C15" w14:textId="41F56070" w:rsidR="007E70B9" w:rsidRPr="009D4E7A" w:rsidRDefault="007E70B9" w:rsidP="007E70B9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9D4E7A">
              <w:rPr>
                <w:rFonts w:cs="Arial"/>
                <w:color w:val="000000" w:themeColor="text1"/>
                <w:sz w:val="20"/>
                <w:lang w:eastAsia="pl-PL"/>
              </w:rPr>
              <w:t>PRPOG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0CAA" w14:textId="4D243995" w:rsidR="007E70B9" w:rsidRPr="009D4E7A" w:rsidRDefault="007E70B9" w:rsidP="007E70B9">
            <w:pPr>
              <w:spacing w:line="256" w:lineRule="auto"/>
              <w:rPr>
                <w:sz w:val="20"/>
              </w:rPr>
            </w:pPr>
            <w:r w:rsidRPr="009D4E7A">
              <w:rPr>
                <w:sz w:val="20"/>
              </w:rPr>
              <w:t xml:space="preserve">Baza danych państwowego rejestru podstawowych osnów geodezyjnych, </w:t>
            </w:r>
            <w:r w:rsidRPr="009D4E7A">
              <w:rPr>
                <w:sz w:val="20"/>
              </w:rPr>
              <w:lastRenderedPageBreak/>
              <w:t>grawimetrycznych i magnetycznych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CA33" w14:textId="6B23E489" w:rsidR="007E70B9" w:rsidRPr="009D4E7A" w:rsidRDefault="007E70B9" w:rsidP="007E70B9">
            <w:pPr>
              <w:spacing w:line="256" w:lineRule="auto"/>
              <w:jc w:val="center"/>
              <w:rPr>
                <w:sz w:val="20"/>
                <w:lang w:eastAsia="pl-PL"/>
              </w:rPr>
            </w:pPr>
            <w:r w:rsidRPr="009D4E7A">
              <w:rPr>
                <w:sz w:val="20"/>
                <w:lang w:eastAsia="pl-PL"/>
              </w:rPr>
              <w:lastRenderedPageBreak/>
              <w:t>użycie</w:t>
            </w:r>
          </w:p>
        </w:tc>
      </w:tr>
    </w:tbl>
    <w:p w14:paraId="1D5B8F90" w14:textId="77777777" w:rsidR="00BE3ABC" w:rsidRPr="009D4E7A" w:rsidRDefault="00BE3ABC" w:rsidP="00BE3ABC">
      <w:pPr>
        <w:tabs>
          <w:tab w:val="left" w:pos="4962"/>
        </w:tabs>
        <w:spacing w:before="120" w:after="360"/>
        <w:ind w:right="170"/>
        <w:outlineLvl w:val="1"/>
      </w:pPr>
    </w:p>
    <w:p w14:paraId="5C9F4A70" w14:textId="77777777" w:rsidR="00BE3ABC" w:rsidRPr="009D4E7A" w:rsidRDefault="00BE3ABC" w:rsidP="00BE3ABC">
      <w:pPr>
        <w:pStyle w:val="Nagwek2"/>
        <w:keepNext/>
        <w:rPr>
          <w:b w:val="0"/>
          <w:sz w:val="20"/>
          <w:szCs w:val="20"/>
          <w:lang w:val="pl-PL" w:eastAsia="pl-PL"/>
        </w:rPr>
      </w:pPr>
      <w:r w:rsidRPr="009D4E7A">
        <w:rPr>
          <w:szCs w:val="20"/>
          <w:lang w:val="pl-PL" w:eastAsia="pl-PL"/>
        </w:rPr>
        <w:t>Bezpieczeństwo</w:t>
      </w:r>
    </w:p>
    <w:p w14:paraId="65F7920D" w14:textId="758E7428" w:rsidR="00BE3ABC" w:rsidRPr="009D4E7A" w:rsidRDefault="00BE3ABC" w:rsidP="000E635A">
      <w:pPr>
        <w:spacing w:line="276" w:lineRule="auto"/>
        <w:jc w:val="both"/>
        <w:rPr>
          <w:sz w:val="22"/>
          <w:szCs w:val="22"/>
          <w:lang w:eastAsia="pl-PL"/>
        </w:rPr>
      </w:pPr>
      <w:r w:rsidRPr="009D4E7A">
        <w:rPr>
          <w:sz w:val="22"/>
          <w:szCs w:val="22"/>
          <w:lang w:eastAsia="pl-PL"/>
        </w:rPr>
        <w:t>Planowany poziom zapewnienia bezpieczeństwa (w rozumieniu przepisów §20</w:t>
      </w:r>
      <w:r w:rsidR="00583435" w:rsidRPr="009D4E7A">
        <w:rPr>
          <w:sz w:val="22"/>
          <w:szCs w:val="22"/>
          <w:lang w:eastAsia="pl-PL"/>
        </w:rPr>
        <w:t xml:space="preserve"> </w:t>
      </w:r>
      <w:r w:rsidRPr="009D4E7A">
        <w:rPr>
          <w:sz w:val="22"/>
          <w:szCs w:val="22"/>
          <w:lang w:eastAsia="pl-PL"/>
        </w:rPr>
        <w:t>rozporządzenia Rady Ministrów z dnia 12 kwietnia 2012 r. w sprawie Krajowych Ram Interoperacyjności […] (Dz. U. 2012, poz. 526 z późn. zm.) w zakresie dot. systemu zarządzania bezpieczeństwem informacji:</w:t>
      </w:r>
    </w:p>
    <w:p w14:paraId="65AAD955" w14:textId="2F92DB49" w:rsidR="00BE3ABC" w:rsidRPr="009D4E7A" w:rsidRDefault="00BE3ABC" w:rsidP="00F76B27">
      <w:pPr>
        <w:pStyle w:val="Akapitzlist"/>
        <w:numPr>
          <w:ilvl w:val="0"/>
          <w:numId w:val="18"/>
        </w:numPr>
        <w:spacing w:line="276" w:lineRule="auto"/>
        <w:rPr>
          <w:szCs w:val="22"/>
        </w:rPr>
      </w:pPr>
      <w:r w:rsidRPr="009D4E7A">
        <w:rPr>
          <w:szCs w:val="22"/>
        </w:rPr>
        <w:t xml:space="preserve">system nie podlega rygorom KRI – należy </w:t>
      </w:r>
      <w:r w:rsidR="005A1782" w:rsidRPr="009D4E7A">
        <w:rPr>
          <w:szCs w:val="22"/>
        </w:rPr>
        <w:t>wyjaśnić,</w:t>
      </w:r>
      <w:r w:rsidRPr="009D4E7A">
        <w:rPr>
          <w:szCs w:val="22"/>
        </w:rPr>
        <w:t xml:space="preserve"> czy istnieją inne normy bezpieczeństwa, które będą spełnione przez system zgodnie z wymogami KRI,</w:t>
      </w:r>
    </w:p>
    <w:p w14:paraId="66607F32" w14:textId="77777777" w:rsidR="00BE3ABC" w:rsidRPr="009D4E7A" w:rsidRDefault="00BE3ABC" w:rsidP="00F76B27">
      <w:pPr>
        <w:pStyle w:val="Akapitzlist"/>
        <w:numPr>
          <w:ilvl w:val="0"/>
          <w:numId w:val="18"/>
        </w:numPr>
        <w:spacing w:line="276" w:lineRule="auto"/>
        <w:rPr>
          <w:strike/>
          <w:szCs w:val="22"/>
        </w:rPr>
      </w:pPr>
      <w:r w:rsidRPr="009D4E7A">
        <w:rPr>
          <w:strike/>
          <w:szCs w:val="22"/>
        </w:rPr>
        <w:t>dodatkowe zabezpieczenia powyżej wymogów KRI: należy wskazać uzasadnienie&gt;&gt;</w:t>
      </w:r>
      <w:r w:rsidRPr="009D4E7A">
        <w:rPr>
          <w:vertAlign w:val="superscript"/>
        </w:rPr>
        <w:footnoteReference w:id="6"/>
      </w:r>
    </w:p>
    <w:p w14:paraId="1EFCA1E5" w14:textId="0129A8C3" w:rsidR="00BE3ABC" w:rsidRPr="009D4E7A" w:rsidRDefault="00BE3ABC" w:rsidP="000E635A">
      <w:pPr>
        <w:spacing w:line="276" w:lineRule="auto"/>
        <w:jc w:val="both"/>
        <w:rPr>
          <w:sz w:val="22"/>
          <w:szCs w:val="22"/>
          <w:lang w:eastAsia="pl-PL"/>
        </w:rPr>
      </w:pPr>
      <w:r w:rsidRPr="009D4E7A">
        <w:rPr>
          <w:sz w:val="22"/>
          <w:szCs w:val="22"/>
          <w:lang w:eastAsia="pl-PL"/>
        </w:rPr>
        <w:t>Planowany poziom zapewnienia bezpieczeństwa uwzględnia również wymagania narzucone przez Ustawę z dnia 10 maja 2018 r. o ochronie danych osobowych oraz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CDB83EA" w14:textId="6853E53E" w:rsidR="00BE3ABC" w:rsidRPr="000F4615" w:rsidRDefault="00BE3ABC" w:rsidP="000E635A">
      <w:pPr>
        <w:spacing w:line="276" w:lineRule="auto"/>
        <w:jc w:val="both"/>
        <w:rPr>
          <w:sz w:val="22"/>
          <w:szCs w:val="22"/>
          <w:lang w:eastAsia="pl-PL"/>
        </w:rPr>
      </w:pPr>
      <w:r w:rsidRPr="009D4E7A">
        <w:rPr>
          <w:sz w:val="22"/>
          <w:szCs w:val="22"/>
          <w:lang w:eastAsia="pl-PL"/>
        </w:rPr>
        <w:t>Dodatkowo, planowany system tworzony będzie z uwzględnieniem treści norm</w:t>
      </w:r>
      <w:r w:rsidR="00583435" w:rsidRPr="009D4E7A">
        <w:rPr>
          <w:sz w:val="22"/>
          <w:szCs w:val="22"/>
          <w:lang w:eastAsia="pl-PL"/>
        </w:rPr>
        <w:t xml:space="preserve"> </w:t>
      </w:r>
      <w:r w:rsidRPr="009D4E7A">
        <w:rPr>
          <w:sz w:val="22"/>
          <w:szCs w:val="22"/>
          <w:lang w:eastAsia="pl-PL"/>
        </w:rPr>
        <w:t>obligatoryjnych, w szczególności normy PN-ISO/IEC 27002:2014-12 w zakresie standardów bezpieczeństwa informacji, praktyk zarządzania bezpieczeństwem informacji, w tym wyboru, wdrażania i zarządzania zabezpieczeniami, a także normy PN-ISO/IEC 27005 w zakresie zarządzania ryzykiem w bezpieczeństwie informacji.</w:t>
      </w:r>
      <w:r w:rsidRPr="000F4615">
        <w:rPr>
          <w:sz w:val="22"/>
          <w:szCs w:val="22"/>
          <w:lang w:eastAsia="pl-PL"/>
        </w:rPr>
        <w:t xml:space="preserve"> </w:t>
      </w:r>
    </w:p>
    <w:p w14:paraId="6C608AE9" w14:textId="77777777" w:rsidR="00BE3ABC" w:rsidRPr="000F4615" w:rsidRDefault="00BE3ABC" w:rsidP="00BE3ABC">
      <w:pPr>
        <w:tabs>
          <w:tab w:val="left" w:pos="4962"/>
        </w:tabs>
        <w:spacing w:before="120" w:after="360"/>
        <w:ind w:right="170"/>
        <w:outlineLvl w:val="1"/>
        <w:rPr>
          <w:vanish/>
        </w:rPr>
      </w:pPr>
    </w:p>
    <w:p w14:paraId="3D32C1D2" w14:textId="77777777" w:rsidR="003D3658" w:rsidRPr="000F4615" w:rsidRDefault="003D3658"/>
    <w:sectPr w:rsidR="003D3658" w:rsidRPr="000F4615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9331E" w16cex:dateUtc="2022-07-01T06:47:00Z"/>
  <w16cex:commentExtensible w16cex:durableId="2669335D" w16cex:dateUtc="2022-07-01T06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79494" w14:textId="77777777" w:rsidR="006E277E" w:rsidRDefault="006E277E" w:rsidP="00BE3ABC">
      <w:r>
        <w:separator/>
      </w:r>
    </w:p>
  </w:endnote>
  <w:endnote w:type="continuationSeparator" w:id="0">
    <w:p w14:paraId="0B47D66C" w14:textId="77777777" w:rsidR="006E277E" w:rsidRDefault="006E277E" w:rsidP="00BE3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DCB9E" w14:textId="77777777" w:rsidR="006E277E" w:rsidRDefault="006E277E" w:rsidP="00BE3ABC">
      <w:r>
        <w:separator/>
      </w:r>
    </w:p>
  </w:footnote>
  <w:footnote w:type="continuationSeparator" w:id="0">
    <w:p w14:paraId="52FC171A" w14:textId="77777777" w:rsidR="006E277E" w:rsidRDefault="006E277E" w:rsidP="00BE3ABC">
      <w:r>
        <w:continuationSeparator/>
      </w:r>
    </w:p>
  </w:footnote>
  <w:footnote w:id="1">
    <w:p w14:paraId="42279DD0" w14:textId="701F83ED" w:rsidR="006E277E" w:rsidRPr="00E92229" w:rsidRDefault="006E277E" w:rsidP="001F7044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8805B6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8805B6">
        <w:rPr>
          <w:rFonts w:ascii="Arial" w:hAnsi="Arial" w:cs="Arial"/>
          <w:sz w:val="18"/>
          <w:szCs w:val="18"/>
        </w:rPr>
        <w:t xml:space="preserve">Pięciostopniowa e-dojrzałość usług określona w badaniach </w:t>
      </w:r>
      <w:r w:rsidRPr="008805B6">
        <w:rPr>
          <w:rFonts w:ascii="Arial" w:eastAsia="Times New Roman" w:hAnsi="Arial" w:cs="Arial"/>
          <w:sz w:val="18"/>
          <w:szCs w:val="18"/>
        </w:rPr>
        <w:t>„</w:t>
      </w:r>
      <w:r w:rsidRPr="008805B6">
        <w:rPr>
          <w:rFonts w:ascii="Arial" w:hAnsi="Arial" w:cs="Arial"/>
          <w:sz w:val="18"/>
          <w:szCs w:val="18"/>
        </w:rPr>
        <w:t>Digitizing Public Services in Europe: Putting ambition into action</w:t>
      </w:r>
      <w:r w:rsidRPr="008805B6">
        <w:rPr>
          <w:rFonts w:ascii="Arial" w:hAnsi="Arial" w:cs="Arial"/>
          <w:bCs/>
          <w:sz w:val="18"/>
          <w:szCs w:val="18"/>
        </w:rPr>
        <w:t>”</w:t>
      </w:r>
      <w:r w:rsidRPr="008805B6">
        <w:rPr>
          <w:rFonts w:ascii="Arial" w:hAnsi="Arial" w:cs="Arial"/>
          <w:sz w:val="18"/>
          <w:szCs w:val="18"/>
        </w:rPr>
        <w:t>, prowadzonych na zlecenie KE przez firmę Cap Gemini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  <w:r w:rsidRPr="00E92229">
        <w:rPr>
          <w:rFonts w:ascii="Arial" w:hAnsi="Arial" w:cs="Arial"/>
          <w:sz w:val="18"/>
          <w:szCs w:val="18"/>
          <w:lang w:val="pl-PL"/>
        </w:rPr>
        <w:t>ec.europa.eu/newsroom/document.cfm?action=display&amp;doc_id=747</w:t>
      </w:r>
      <w:r>
        <w:rPr>
          <w:rFonts w:ascii="Arial" w:hAnsi="Arial" w:cs="Arial"/>
          <w:sz w:val="18"/>
          <w:szCs w:val="18"/>
          <w:lang w:val="pl-PL"/>
        </w:rPr>
        <w:t xml:space="preserve"> </w:t>
      </w:r>
    </w:p>
  </w:footnote>
  <w:footnote w:id="2">
    <w:p w14:paraId="04DE13BA" w14:textId="77777777" w:rsidR="006E277E" w:rsidRPr="00E11921" w:rsidRDefault="006E277E" w:rsidP="001F7044">
      <w:pPr>
        <w:pStyle w:val="Tekstprzypisudolnego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 xml:space="preserve">. </w:t>
      </w:r>
    </w:p>
  </w:footnote>
  <w:footnote w:id="3">
    <w:p w14:paraId="56A76DE8" w14:textId="77777777" w:rsidR="006E277E" w:rsidRPr="005D3974" w:rsidRDefault="006E277E" w:rsidP="00BE3ABC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4">
    <w:p w14:paraId="06D33A03" w14:textId="77777777" w:rsidR="006E277E" w:rsidRPr="00E11921" w:rsidRDefault="006E277E" w:rsidP="00BE3ABC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70653D0F" w14:textId="77777777" w:rsidR="006E277E" w:rsidRPr="00E11921" w:rsidRDefault="006E277E" w:rsidP="00BE3ABC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6">
    <w:p w14:paraId="76E45C96" w14:textId="77777777" w:rsidR="006E277E" w:rsidRPr="00245488" w:rsidRDefault="006E277E" w:rsidP="00BE3AB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45488">
        <w:rPr>
          <w:rFonts w:ascii="Arial" w:hAnsi="Arial" w:cs="Arial"/>
          <w:sz w:val="18"/>
          <w:szCs w:val="18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3F159" w14:textId="77777777" w:rsidR="006E277E" w:rsidRPr="00BE221C" w:rsidRDefault="006E277E" w:rsidP="0029377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</w:rPr>
    </w:pPr>
    <w:r w:rsidRPr="00BE221C">
      <w:rPr>
        <w:rFonts w:cs="Arial"/>
        <w:sz w:val="18"/>
        <w:szCs w:val="18"/>
      </w:rPr>
      <w:t xml:space="preserve">OPIS ZAŁOŻEŃ PROJEKTU INFORMATYCZNEGO </w:t>
    </w:r>
  </w:p>
  <w:p w14:paraId="2E6EE4A9" w14:textId="77777777" w:rsidR="006E277E" w:rsidRPr="00DC2AEF" w:rsidRDefault="006E277E" w:rsidP="0029377D">
    <w:pPr>
      <w:spacing w:line="264" w:lineRule="auto"/>
      <w:jc w:val="center"/>
      <w:rPr>
        <w:b/>
        <w:sz w:val="20"/>
        <w:szCs w:val="18"/>
      </w:rPr>
    </w:pPr>
    <w:r w:rsidRPr="00DC2AEF">
      <w:rPr>
        <w:rFonts w:cs="Arial"/>
        <w:b/>
        <w:sz w:val="20"/>
      </w:rPr>
      <w:t xml:space="preserve">Cyfryzacja procesów </w:t>
    </w:r>
    <w:proofErr w:type="spellStart"/>
    <w:r w:rsidRPr="00DC2AEF">
      <w:rPr>
        <w:rFonts w:cs="Arial"/>
        <w:b/>
        <w:sz w:val="20"/>
      </w:rPr>
      <w:t>back-office</w:t>
    </w:r>
    <w:proofErr w:type="spellEnd"/>
    <w:r w:rsidRPr="00DC2AEF">
      <w:rPr>
        <w:rFonts w:cs="Arial"/>
        <w:b/>
        <w:sz w:val="20"/>
      </w:rPr>
      <w:t xml:space="preserve"> w </w:t>
    </w:r>
    <w:r>
      <w:rPr>
        <w:rFonts w:cs="Arial"/>
        <w:b/>
        <w:sz w:val="20"/>
      </w:rPr>
      <w:t>organach AAB i NB</w:t>
    </w:r>
  </w:p>
  <w:p w14:paraId="0FC09FFC" w14:textId="77777777" w:rsidR="006E277E" w:rsidRDefault="006E27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298466C2"/>
    <w:multiLevelType w:val="hybridMultilevel"/>
    <w:tmpl w:val="7E9CAE94"/>
    <w:lvl w:ilvl="0" w:tplc="E466A58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16FA6"/>
    <w:multiLevelType w:val="multilevel"/>
    <w:tmpl w:val="D69CBAAA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5" w15:restartNumberingAfterBreak="0">
    <w:nsid w:val="513D593A"/>
    <w:multiLevelType w:val="hybridMultilevel"/>
    <w:tmpl w:val="95F099DA"/>
    <w:lvl w:ilvl="0" w:tplc="C8C6EE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F68E4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78EEFE">
      <w:start w:val="1"/>
      <w:numFmt w:val="lowerRoman"/>
      <w:lvlText w:val="%3."/>
      <w:lvlJc w:val="left"/>
      <w:pPr>
        <w:ind w:left="216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E6A09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086D0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F865F6">
      <w:start w:val="1"/>
      <w:numFmt w:val="lowerRoman"/>
      <w:lvlText w:val="%6."/>
      <w:lvlJc w:val="left"/>
      <w:pPr>
        <w:ind w:left="432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30626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B949EE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A70CE20">
      <w:start w:val="1"/>
      <w:numFmt w:val="lowerRoman"/>
      <w:lvlText w:val="%9."/>
      <w:lvlJc w:val="left"/>
      <w:pPr>
        <w:ind w:left="6480" w:hanging="2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50A4409"/>
    <w:multiLevelType w:val="hybridMultilevel"/>
    <w:tmpl w:val="4DBE0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41129F"/>
    <w:multiLevelType w:val="hybridMultilevel"/>
    <w:tmpl w:val="688E9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03769"/>
    <w:multiLevelType w:val="hybridMultilevel"/>
    <w:tmpl w:val="87F89A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E42E3"/>
    <w:multiLevelType w:val="hybridMultilevel"/>
    <w:tmpl w:val="79CCF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62648"/>
    <w:multiLevelType w:val="hybridMultilevel"/>
    <w:tmpl w:val="B16C2110"/>
    <w:styleLink w:val="Zaimportowanystyl2"/>
    <w:lvl w:ilvl="0" w:tplc="B3101F0A">
      <w:start w:val="1"/>
      <w:numFmt w:val="bullet"/>
      <w:lvlText w:val="•"/>
      <w:lvlJc w:val="left"/>
      <w:pPr>
        <w:ind w:left="663" w:hanging="303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5617AA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60A8E9E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8CE71C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D23982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DE175C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8AC02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C003E4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96BB40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786"/>
          </w:tabs>
          <w:ind w:left="786" w:hanging="360"/>
        </w:pPr>
        <w:rPr>
          <w:rFonts w:ascii="Arial" w:hAnsi="Arial"/>
          <w:color w:val="auto"/>
        </w:rPr>
      </w:lvl>
    </w:lvlOverride>
    <w:lvlOverride w:ilvl="1">
      <w:lvl w:ilvl="1">
        <w:start w:val="1"/>
        <w:numFmt w:val="decimal"/>
        <w:pStyle w:val="Nagwek2"/>
        <w:lvlText w:val="%1.%2"/>
        <w:lvlJc w:val="left"/>
        <w:pPr>
          <w:tabs>
            <w:tab w:val="num" w:pos="643"/>
          </w:tabs>
          <w:ind w:left="283" w:firstLine="0"/>
        </w:pPr>
        <w:rPr>
          <w:rFonts w:ascii="Arial" w:hAnsi="Arial" w:hint="default"/>
          <w:b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pStyle w:val="Nagwek3"/>
        <w:lvlText w:val="%1.%2.%3"/>
        <w:lvlJc w:val="left"/>
        <w:pPr>
          <w:ind w:left="2204" w:hanging="360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pStyle w:val="Nagwek4"/>
        <w:lvlText w:val="%1.%2.%3.%4"/>
        <w:lvlJc w:val="left"/>
        <w:pPr>
          <w:ind w:left="1866" w:hanging="360"/>
        </w:pPr>
        <w:rPr>
          <w:rFonts w:ascii="Arial" w:hAnsi="Arial"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ind w:left="2226" w:hanging="360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ind w:left="2586" w:hanging="360"/>
        </w:pPr>
        <w:rPr>
          <w:rFonts w:ascii="Arial" w:hAnsi="Arial"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ind w:left="2946" w:hanging="36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ind w:left="3306" w:hanging="360"/>
        </w:pPr>
        <w:rPr>
          <w:rFonts w:ascii="Arial" w:hAnsi="Arial"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ind w:left="3666" w:hanging="360"/>
        </w:pPr>
        <w:rPr>
          <w:rFonts w:ascii="Arial" w:hAnsi="Arial" w:hint="default"/>
        </w:rPr>
      </w:lvl>
    </w:lvlOverride>
  </w:num>
  <w:num w:numId="2">
    <w:abstractNumId w:val="4"/>
  </w:num>
  <w:num w:numId="3">
    <w:abstractNumId w:val="1"/>
  </w:num>
  <w:num w:numId="4">
    <w:abstractNumId w:val="4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786"/>
          </w:tabs>
          <w:ind w:left="786" w:hanging="360"/>
        </w:pPr>
        <w:rPr>
          <w:rFonts w:ascii="Arial" w:hAnsi="Arial"/>
          <w:color w:val="auto"/>
        </w:rPr>
      </w:lvl>
    </w:lvlOverride>
    <w:lvlOverride w:ilvl="1">
      <w:lvl w:ilvl="1">
        <w:start w:val="1"/>
        <w:numFmt w:val="decimal"/>
        <w:pStyle w:val="Nagwek2"/>
        <w:lvlText w:val="%1.%2"/>
        <w:lvlJc w:val="left"/>
        <w:pPr>
          <w:tabs>
            <w:tab w:val="num" w:pos="1070"/>
          </w:tabs>
          <w:ind w:left="710" w:firstLine="0"/>
        </w:pPr>
        <w:rPr>
          <w:rFonts w:ascii="Arial" w:hAnsi="Arial" w:hint="default"/>
          <w:color w:val="auto"/>
        </w:rPr>
      </w:lvl>
    </w:lvlOverride>
    <w:lvlOverride w:ilvl="2">
      <w:lvl w:ilvl="2">
        <w:start w:val="1"/>
        <w:numFmt w:val="decimal"/>
        <w:pStyle w:val="Nagwek3"/>
        <w:lvlText w:val="%1.%2.%3"/>
        <w:lvlJc w:val="left"/>
        <w:pPr>
          <w:ind w:left="2204" w:hanging="360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pStyle w:val="Nagwek4"/>
        <w:lvlText w:val="%1.%2.%3.%4"/>
        <w:lvlJc w:val="left"/>
        <w:pPr>
          <w:ind w:left="1866" w:hanging="360"/>
        </w:pPr>
        <w:rPr>
          <w:rFonts w:ascii="Arial" w:hAnsi="Arial"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ind w:left="2226" w:hanging="360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ind w:left="2586" w:hanging="360"/>
        </w:pPr>
        <w:rPr>
          <w:rFonts w:ascii="Arial" w:hAnsi="Arial"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ind w:left="2946" w:hanging="36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ind w:left="3306" w:hanging="360"/>
        </w:pPr>
        <w:rPr>
          <w:rFonts w:ascii="Arial" w:hAnsi="Arial"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ind w:left="3666" w:hanging="360"/>
        </w:pPr>
        <w:rPr>
          <w:rFonts w:ascii="Arial" w:hAnsi="Arial" w:hint="default"/>
        </w:rPr>
      </w:lvl>
    </w:lvlOverride>
  </w:num>
  <w:num w:numId="5">
    <w:abstractNumId w:val="4"/>
    <w:lvlOverride w:ilvl="0">
      <w:startOverride w:val="2"/>
      <w:lvl w:ilvl="0">
        <w:start w:val="2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startOverride w:val="4"/>
      <w:lvl w:ilvl="1">
        <w:start w:val="4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</w:num>
  <w:num w:numId="6">
    <w:abstractNumId w:val="4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786"/>
          </w:tabs>
          <w:ind w:left="786" w:hanging="360"/>
        </w:pPr>
        <w:rPr>
          <w:rFonts w:ascii="Arial" w:hAnsi="Arial"/>
          <w:color w:val="auto"/>
        </w:rPr>
      </w:lvl>
    </w:lvlOverride>
    <w:lvlOverride w:ilvl="1">
      <w:lvl w:ilvl="1">
        <w:start w:val="1"/>
        <w:numFmt w:val="decimal"/>
        <w:pStyle w:val="Nagwek2"/>
        <w:lvlText w:val="%1.%2"/>
        <w:lvlJc w:val="left"/>
        <w:pPr>
          <w:tabs>
            <w:tab w:val="num" w:pos="1070"/>
          </w:tabs>
          <w:ind w:left="710" w:firstLine="0"/>
        </w:pPr>
        <w:rPr>
          <w:rFonts w:ascii="Arial" w:hAnsi="Arial" w:hint="default"/>
          <w:color w:val="auto"/>
        </w:rPr>
      </w:lvl>
    </w:lvlOverride>
    <w:lvlOverride w:ilvl="2">
      <w:lvl w:ilvl="2">
        <w:start w:val="1"/>
        <w:numFmt w:val="decimal"/>
        <w:pStyle w:val="Nagwek3"/>
        <w:lvlText w:val="%1.%2.%3"/>
        <w:lvlJc w:val="left"/>
        <w:pPr>
          <w:ind w:left="2204" w:hanging="360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pStyle w:val="Nagwek4"/>
        <w:lvlText w:val="%1.%2.%3.%4"/>
        <w:lvlJc w:val="left"/>
        <w:pPr>
          <w:ind w:left="1866" w:hanging="360"/>
        </w:pPr>
        <w:rPr>
          <w:rFonts w:ascii="Arial" w:hAnsi="Arial"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ind w:left="2226" w:hanging="360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ind w:left="2586" w:hanging="360"/>
        </w:pPr>
        <w:rPr>
          <w:rFonts w:ascii="Arial" w:hAnsi="Arial"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ind w:left="2946" w:hanging="36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ind w:left="3306" w:hanging="360"/>
        </w:pPr>
        <w:rPr>
          <w:rFonts w:ascii="Arial" w:hAnsi="Arial"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ind w:left="3666" w:hanging="360"/>
        </w:pPr>
        <w:rPr>
          <w:rFonts w:ascii="Arial" w:hAnsi="Arial" w:hint="default"/>
        </w:rPr>
      </w:lvl>
    </w:lvlOverride>
  </w:num>
  <w:num w:numId="7">
    <w:abstractNumId w:val="0"/>
  </w:num>
  <w:num w:numId="8">
    <w:abstractNumId w:val="4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786"/>
          </w:tabs>
          <w:ind w:left="786" w:hanging="360"/>
        </w:pPr>
        <w:rPr>
          <w:rFonts w:ascii="Arial" w:hAnsi="Arial"/>
          <w:color w:val="auto"/>
        </w:rPr>
      </w:lvl>
    </w:lvlOverride>
    <w:lvlOverride w:ilvl="1">
      <w:lvl w:ilvl="1">
        <w:start w:val="1"/>
        <w:numFmt w:val="decimal"/>
        <w:pStyle w:val="Nagwek2"/>
        <w:lvlText w:val="%1.%2"/>
        <w:lvlJc w:val="left"/>
        <w:pPr>
          <w:tabs>
            <w:tab w:val="num" w:pos="643"/>
          </w:tabs>
          <w:ind w:left="283" w:firstLine="0"/>
        </w:pPr>
        <w:rPr>
          <w:rFonts w:ascii="Arial" w:hAnsi="Arial" w:hint="default"/>
          <w:b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pStyle w:val="Nagwek3"/>
        <w:lvlText w:val="%1.%2.%3"/>
        <w:lvlJc w:val="left"/>
        <w:pPr>
          <w:ind w:left="2204" w:hanging="360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pStyle w:val="Nagwek4"/>
        <w:lvlText w:val="%1.%2.%3.%4"/>
        <w:lvlJc w:val="left"/>
        <w:pPr>
          <w:ind w:left="1866" w:hanging="360"/>
        </w:pPr>
        <w:rPr>
          <w:rFonts w:ascii="Arial" w:hAnsi="Arial"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ind w:left="2226" w:hanging="360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ind w:left="2586" w:hanging="360"/>
        </w:pPr>
        <w:rPr>
          <w:rFonts w:ascii="Arial" w:hAnsi="Arial"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ind w:left="2946" w:hanging="36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ind w:left="3306" w:hanging="360"/>
        </w:pPr>
        <w:rPr>
          <w:rFonts w:ascii="Arial" w:hAnsi="Arial"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ind w:left="3666" w:hanging="360"/>
        </w:pPr>
        <w:rPr>
          <w:rFonts w:ascii="Arial" w:hAnsi="Arial" w:hint="default"/>
        </w:rPr>
      </w:lvl>
    </w:lvlOverride>
  </w:num>
  <w:num w:numId="9">
    <w:abstractNumId w:val="4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786"/>
          </w:tabs>
          <w:ind w:left="786" w:hanging="360"/>
        </w:pPr>
        <w:rPr>
          <w:rFonts w:ascii="Arial" w:hAnsi="Arial"/>
          <w:color w:val="auto"/>
        </w:rPr>
      </w:lvl>
    </w:lvlOverride>
    <w:lvlOverride w:ilvl="1">
      <w:lvl w:ilvl="1">
        <w:start w:val="1"/>
        <w:numFmt w:val="decimal"/>
        <w:pStyle w:val="Nagwek2"/>
        <w:lvlText w:val="%1.%2"/>
        <w:lvlJc w:val="left"/>
        <w:pPr>
          <w:tabs>
            <w:tab w:val="num" w:pos="1070"/>
          </w:tabs>
          <w:ind w:left="710" w:firstLine="0"/>
        </w:pPr>
        <w:rPr>
          <w:rFonts w:ascii="Arial" w:hAnsi="Arial" w:hint="default"/>
          <w:color w:val="auto"/>
        </w:rPr>
      </w:lvl>
    </w:lvlOverride>
    <w:lvlOverride w:ilvl="2">
      <w:lvl w:ilvl="2">
        <w:start w:val="1"/>
        <w:numFmt w:val="decimal"/>
        <w:pStyle w:val="Nagwek3"/>
        <w:lvlText w:val="%1.%2.%3"/>
        <w:lvlJc w:val="left"/>
        <w:pPr>
          <w:ind w:left="2204" w:hanging="360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pStyle w:val="Nagwek4"/>
        <w:lvlText w:val="%1.%2.%3.%4"/>
        <w:lvlJc w:val="left"/>
        <w:pPr>
          <w:ind w:left="1866" w:hanging="360"/>
        </w:pPr>
        <w:rPr>
          <w:rFonts w:ascii="Arial" w:hAnsi="Arial"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ind w:left="2226" w:hanging="360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ind w:left="2586" w:hanging="360"/>
        </w:pPr>
        <w:rPr>
          <w:rFonts w:ascii="Arial" w:hAnsi="Arial"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ind w:left="2946" w:hanging="36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ind w:left="3306" w:hanging="360"/>
        </w:pPr>
        <w:rPr>
          <w:rFonts w:ascii="Arial" w:hAnsi="Arial"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ind w:left="3666" w:hanging="360"/>
        </w:pPr>
        <w:rPr>
          <w:rFonts w:ascii="Arial" w:hAnsi="Arial" w:hint="default"/>
        </w:rPr>
      </w:lvl>
    </w:lvlOverride>
  </w:num>
  <w:num w:numId="10">
    <w:abstractNumId w:val="4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786"/>
          </w:tabs>
          <w:ind w:left="786" w:hanging="360"/>
        </w:pPr>
        <w:rPr>
          <w:rFonts w:ascii="Arial" w:hAnsi="Arial"/>
        </w:rPr>
      </w:lvl>
    </w:lvlOverride>
    <w:lvlOverride w:ilvl="1">
      <w:lvl w:ilvl="1">
        <w:start w:val="1"/>
        <w:numFmt w:val="decimal"/>
        <w:pStyle w:val="Nagwek2"/>
        <w:lvlText w:val="%1.%2"/>
        <w:lvlJc w:val="left"/>
        <w:pPr>
          <w:tabs>
            <w:tab w:val="num" w:pos="1070"/>
          </w:tabs>
          <w:ind w:left="710" w:firstLine="0"/>
        </w:pPr>
        <w:rPr>
          <w:rFonts w:ascii="Arial" w:hAnsi="Arial" w:hint="default"/>
          <w:color w:val="auto"/>
        </w:rPr>
      </w:lvl>
    </w:lvlOverride>
    <w:lvlOverride w:ilvl="2">
      <w:lvl w:ilvl="2">
        <w:start w:val="1"/>
        <w:numFmt w:val="decimal"/>
        <w:pStyle w:val="Nagwek3"/>
        <w:lvlText w:val="%1.%2.%3"/>
        <w:lvlJc w:val="left"/>
        <w:pPr>
          <w:ind w:left="2204" w:hanging="360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pStyle w:val="Nagwek4"/>
        <w:lvlText w:val="%1.%2.%3.%4"/>
        <w:lvlJc w:val="left"/>
        <w:pPr>
          <w:ind w:left="1866" w:hanging="360"/>
        </w:pPr>
        <w:rPr>
          <w:rFonts w:ascii="Arial" w:hAnsi="Arial"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ind w:left="2226" w:hanging="360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ind w:left="2586" w:hanging="360"/>
        </w:pPr>
        <w:rPr>
          <w:rFonts w:ascii="Arial" w:hAnsi="Arial"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ind w:left="2946" w:hanging="36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ind w:left="3306" w:hanging="360"/>
        </w:pPr>
        <w:rPr>
          <w:rFonts w:ascii="Arial" w:hAnsi="Arial"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ind w:left="3666" w:hanging="360"/>
        </w:pPr>
        <w:rPr>
          <w:rFonts w:ascii="Arial" w:hAnsi="Arial" w:hint="default"/>
        </w:rPr>
      </w:lvl>
    </w:lvlOverride>
  </w:num>
  <w:num w:numId="11">
    <w:abstractNumId w:val="2"/>
  </w:num>
  <w:num w:numId="12">
    <w:abstractNumId w:val="4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786"/>
          </w:tabs>
          <w:ind w:left="786" w:hanging="360"/>
        </w:pPr>
        <w:rPr>
          <w:rFonts w:ascii="Arial" w:hAnsi="Arial"/>
        </w:rPr>
      </w:lvl>
    </w:lvlOverride>
    <w:lvlOverride w:ilvl="1">
      <w:lvl w:ilvl="1">
        <w:start w:val="1"/>
        <w:numFmt w:val="decimal"/>
        <w:pStyle w:val="Nagwek2"/>
        <w:lvlText w:val="%1.%2"/>
        <w:lvlJc w:val="left"/>
        <w:pPr>
          <w:tabs>
            <w:tab w:val="num" w:pos="1070"/>
          </w:tabs>
          <w:ind w:left="710" w:firstLine="0"/>
        </w:pPr>
        <w:rPr>
          <w:rFonts w:ascii="Arial" w:hAnsi="Arial" w:hint="default"/>
          <w:b/>
          <w:color w:val="auto"/>
          <w:sz w:val="24"/>
          <w:szCs w:val="24"/>
        </w:rPr>
      </w:lvl>
    </w:lvlOverride>
    <w:lvlOverride w:ilvl="2">
      <w:lvl w:ilvl="2">
        <w:start w:val="1"/>
        <w:numFmt w:val="decimal"/>
        <w:pStyle w:val="Nagwek3"/>
        <w:lvlText w:val="%1.%2.%3"/>
        <w:lvlJc w:val="left"/>
        <w:pPr>
          <w:ind w:left="2204" w:hanging="360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pStyle w:val="Nagwek4"/>
        <w:lvlText w:val="%1.%2.%3.%4"/>
        <w:lvlJc w:val="left"/>
        <w:pPr>
          <w:ind w:left="1866" w:hanging="360"/>
        </w:pPr>
        <w:rPr>
          <w:rFonts w:ascii="Arial" w:hAnsi="Arial"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ind w:left="2226" w:hanging="360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ind w:left="2586" w:hanging="360"/>
        </w:pPr>
        <w:rPr>
          <w:rFonts w:ascii="Arial" w:hAnsi="Arial"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ind w:left="2946" w:hanging="36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ind w:left="3306" w:hanging="360"/>
        </w:pPr>
        <w:rPr>
          <w:rFonts w:ascii="Arial" w:hAnsi="Arial"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ind w:left="3666" w:hanging="360"/>
        </w:pPr>
        <w:rPr>
          <w:rFonts w:ascii="Arial" w:hAnsi="Arial" w:hint="default"/>
        </w:rPr>
      </w:lvl>
    </w:lvlOverride>
  </w:num>
  <w:num w:numId="13">
    <w:abstractNumId w:val="5"/>
  </w:num>
  <w:num w:numId="14">
    <w:abstractNumId w:val="5"/>
    <w:lvlOverride w:ilvl="0">
      <w:lvl w:ilvl="0" w:tplc="C8C6EE32">
        <w:start w:val="1"/>
        <w:numFmt w:val="decimal"/>
        <w:lvlText w:val="%1)"/>
        <w:lvlJc w:val="left"/>
        <w:pPr>
          <w:ind w:left="688" w:hanging="3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F68E48C">
        <w:start w:val="1"/>
        <w:numFmt w:val="lowerLetter"/>
        <w:lvlText w:val="%2."/>
        <w:lvlJc w:val="left"/>
        <w:pPr>
          <w:ind w:left="1408" w:hanging="3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6D78EEFE">
        <w:start w:val="1"/>
        <w:numFmt w:val="lowerRoman"/>
        <w:lvlText w:val="%3."/>
        <w:lvlJc w:val="left"/>
        <w:pPr>
          <w:ind w:left="2106" w:hanging="2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31E6A09E">
        <w:start w:val="1"/>
        <w:numFmt w:val="decimal"/>
        <w:lvlText w:val="%4."/>
        <w:lvlJc w:val="left"/>
        <w:pPr>
          <w:ind w:left="2848" w:hanging="3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3C086D00">
        <w:start w:val="1"/>
        <w:numFmt w:val="lowerLetter"/>
        <w:lvlText w:val="%5."/>
        <w:lvlJc w:val="left"/>
        <w:pPr>
          <w:ind w:left="3568" w:hanging="3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02F865F6">
        <w:start w:val="1"/>
        <w:numFmt w:val="lowerRoman"/>
        <w:lvlText w:val="%6."/>
        <w:lvlJc w:val="left"/>
        <w:pPr>
          <w:ind w:left="4266" w:hanging="2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E330626C">
        <w:start w:val="1"/>
        <w:numFmt w:val="decimal"/>
        <w:lvlText w:val="%7."/>
        <w:lvlJc w:val="left"/>
        <w:pPr>
          <w:ind w:left="5008" w:hanging="3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5B949EE2">
        <w:start w:val="1"/>
        <w:numFmt w:val="lowerLetter"/>
        <w:lvlText w:val="%8."/>
        <w:lvlJc w:val="left"/>
        <w:pPr>
          <w:ind w:left="5728" w:hanging="32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CA70CE20">
        <w:start w:val="1"/>
        <w:numFmt w:val="lowerRoman"/>
        <w:lvlText w:val="%9."/>
        <w:lvlJc w:val="left"/>
        <w:pPr>
          <w:ind w:left="6426" w:hanging="2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5">
    <w:abstractNumId w:val="8"/>
  </w:num>
  <w:num w:numId="16">
    <w:abstractNumId w:val="10"/>
  </w:num>
  <w:num w:numId="17">
    <w:abstractNumId w:val="4"/>
    <w:lvlOverride w:ilvl="0">
      <w:lvl w:ilvl="0">
        <w:start w:val="1"/>
        <w:numFmt w:val="decimal"/>
        <w:pStyle w:val="Nagwek1"/>
        <w:lvlText w:val="%1."/>
        <w:lvlJc w:val="left"/>
        <w:pPr>
          <w:tabs>
            <w:tab w:val="num" w:pos="786"/>
          </w:tabs>
          <w:ind w:left="786" w:hanging="360"/>
        </w:pPr>
        <w:rPr>
          <w:rFonts w:ascii="Arial" w:hAnsi="Arial"/>
        </w:rPr>
      </w:lvl>
    </w:lvlOverride>
    <w:lvlOverride w:ilvl="1">
      <w:lvl w:ilvl="1">
        <w:start w:val="1"/>
        <w:numFmt w:val="decimal"/>
        <w:pStyle w:val="Nagwek2"/>
        <w:lvlText w:val="%1.%2"/>
        <w:lvlJc w:val="left"/>
        <w:pPr>
          <w:tabs>
            <w:tab w:val="num" w:pos="1070"/>
          </w:tabs>
          <w:ind w:left="710" w:firstLine="0"/>
        </w:pPr>
        <w:rPr>
          <w:rFonts w:ascii="Arial" w:hAnsi="Arial" w:hint="default"/>
          <w:color w:val="auto"/>
        </w:rPr>
      </w:lvl>
    </w:lvlOverride>
    <w:lvlOverride w:ilvl="2">
      <w:lvl w:ilvl="2">
        <w:start w:val="1"/>
        <w:numFmt w:val="decimal"/>
        <w:pStyle w:val="Nagwek3"/>
        <w:lvlText w:val="%1.%2.%3"/>
        <w:lvlJc w:val="left"/>
        <w:pPr>
          <w:ind w:left="2204" w:hanging="360"/>
        </w:pPr>
        <w:rPr>
          <w:rFonts w:ascii="Arial" w:hAnsi="Arial" w:hint="default"/>
        </w:rPr>
      </w:lvl>
    </w:lvlOverride>
    <w:lvlOverride w:ilvl="3">
      <w:lvl w:ilvl="3">
        <w:start w:val="1"/>
        <w:numFmt w:val="decimal"/>
        <w:pStyle w:val="Nagwek4"/>
        <w:lvlText w:val="%1.%2.%3.%4"/>
        <w:lvlJc w:val="left"/>
        <w:pPr>
          <w:ind w:left="1866" w:hanging="360"/>
        </w:pPr>
        <w:rPr>
          <w:rFonts w:ascii="Arial" w:hAnsi="Arial" w:hint="default"/>
        </w:rPr>
      </w:lvl>
    </w:lvlOverride>
    <w:lvlOverride w:ilvl="4">
      <w:lvl w:ilvl="4">
        <w:start w:val="1"/>
        <w:numFmt w:val="decimal"/>
        <w:pStyle w:val="Nagwek5"/>
        <w:lvlText w:val="%1.%2.%3.%4.%5"/>
        <w:lvlJc w:val="left"/>
        <w:pPr>
          <w:ind w:left="2226" w:hanging="360"/>
        </w:pPr>
        <w:rPr>
          <w:rFonts w:ascii="Arial" w:hAnsi="Arial" w:hint="default"/>
        </w:rPr>
      </w:lvl>
    </w:lvlOverride>
    <w:lvlOverride w:ilvl="5">
      <w:lvl w:ilvl="5">
        <w:start w:val="1"/>
        <w:numFmt w:val="decimal"/>
        <w:pStyle w:val="Nagwek6"/>
        <w:lvlText w:val="%1.%2.%3.%4.%5.%6"/>
        <w:lvlJc w:val="left"/>
        <w:pPr>
          <w:ind w:left="2586" w:hanging="360"/>
        </w:pPr>
        <w:rPr>
          <w:rFonts w:ascii="Arial" w:hAnsi="Arial" w:hint="default"/>
        </w:rPr>
      </w:lvl>
    </w:lvlOverride>
    <w:lvlOverride w:ilvl="6">
      <w:lvl w:ilvl="6">
        <w:start w:val="1"/>
        <w:numFmt w:val="decimal"/>
        <w:pStyle w:val="Nagwek7"/>
        <w:lvlText w:val="%1.%2.%3.%4.%5.%6.%7"/>
        <w:lvlJc w:val="left"/>
        <w:pPr>
          <w:ind w:left="2946" w:hanging="360"/>
        </w:pPr>
        <w:rPr>
          <w:rFonts w:ascii="Arial" w:hAnsi="Arial" w:hint="default"/>
        </w:rPr>
      </w:lvl>
    </w:lvlOverride>
    <w:lvlOverride w:ilvl="7">
      <w:lvl w:ilvl="7">
        <w:start w:val="1"/>
        <w:numFmt w:val="decimal"/>
        <w:pStyle w:val="Nagwek8"/>
        <w:lvlText w:val="%1.%2.%3.%4.%5.%6.%7.%8"/>
        <w:lvlJc w:val="left"/>
        <w:pPr>
          <w:ind w:left="3306" w:hanging="360"/>
        </w:pPr>
        <w:rPr>
          <w:rFonts w:ascii="Arial" w:hAnsi="Arial" w:hint="default"/>
        </w:rPr>
      </w:lvl>
    </w:lvlOverride>
    <w:lvlOverride w:ilvl="8">
      <w:lvl w:ilvl="8">
        <w:start w:val="1"/>
        <w:numFmt w:val="decimal"/>
        <w:pStyle w:val="Nagwek9"/>
        <w:lvlText w:val="%1.%2.%3.%4.%5.%6.%7.%8.%9"/>
        <w:lvlJc w:val="left"/>
        <w:pPr>
          <w:ind w:left="3666" w:hanging="360"/>
        </w:pPr>
        <w:rPr>
          <w:rFonts w:ascii="Arial" w:hAnsi="Arial" w:hint="default"/>
        </w:rPr>
      </w:lvl>
    </w:lvlOverride>
  </w:num>
  <w:num w:numId="18">
    <w:abstractNumId w:val="6"/>
  </w:num>
  <w:num w:numId="19">
    <w:abstractNumId w:val="3"/>
  </w:num>
  <w:num w:numId="20">
    <w:abstractNumId w:val="9"/>
  </w:num>
  <w:num w:numId="21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ABC"/>
    <w:rsid w:val="00000258"/>
    <w:rsid w:val="000029F7"/>
    <w:rsid w:val="0001176E"/>
    <w:rsid w:val="0001202B"/>
    <w:rsid w:val="00013093"/>
    <w:rsid w:val="000148DB"/>
    <w:rsid w:val="0001630B"/>
    <w:rsid w:val="00024103"/>
    <w:rsid w:val="000378A9"/>
    <w:rsid w:val="00042A81"/>
    <w:rsid w:val="00050BBF"/>
    <w:rsid w:val="00053ADA"/>
    <w:rsid w:val="00072C35"/>
    <w:rsid w:val="0007770F"/>
    <w:rsid w:val="00084F13"/>
    <w:rsid w:val="00086AE6"/>
    <w:rsid w:val="000904B5"/>
    <w:rsid w:val="00093D20"/>
    <w:rsid w:val="000974CE"/>
    <w:rsid w:val="00097E24"/>
    <w:rsid w:val="000A32AA"/>
    <w:rsid w:val="000B07C5"/>
    <w:rsid w:val="000B4D51"/>
    <w:rsid w:val="000B7FAA"/>
    <w:rsid w:val="000C0F4C"/>
    <w:rsid w:val="000C15FF"/>
    <w:rsid w:val="000C3777"/>
    <w:rsid w:val="000D449F"/>
    <w:rsid w:val="000D609E"/>
    <w:rsid w:val="000E635A"/>
    <w:rsid w:val="000E63E6"/>
    <w:rsid w:val="000F313E"/>
    <w:rsid w:val="000F4615"/>
    <w:rsid w:val="000F6FD4"/>
    <w:rsid w:val="0010366E"/>
    <w:rsid w:val="001078BB"/>
    <w:rsid w:val="0012016D"/>
    <w:rsid w:val="00122FF3"/>
    <w:rsid w:val="0012613F"/>
    <w:rsid w:val="00154072"/>
    <w:rsid w:val="00157A7A"/>
    <w:rsid w:val="00160E49"/>
    <w:rsid w:val="0016374F"/>
    <w:rsid w:val="00166014"/>
    <w:rsid w:val="00167AE3"/>
    <w:rsid w:val="00175ABE"/>
    <w:rsid w:val="001776BF"/>
    <w:rsid w:val="00182B36"/>
    <w:rsid w:val="00185C57"/>
    <w:rsid w:val="001932C1"/>
    <w:rsid w:val="001A1622"/>
    <w:rsid w:val="001A37A5"/>
    <w:rsid w:val="001A4069"/>
    <w:rsid w:val="001B7485"/>
    <w:rsid w:val="001C00E6"/>
    <w:rsid w:val="001C0C8E"/>
    <w:rsid w:val="001C583E"/>
    <w:rsid w:val="001C6DF9"/>
    <w:rsid w:val="001C7070"/>
    <w:rsid w:val="001D6A99"/>
    <w:rsid w:val="001E4BBF"/>
    <w:rsid w:val="001E6EA9"/>
    <w:rsid w:val="001E777C"/>
    <w:rsid w:val="001F7044"/>
    <w:rsid w:val="002051E8"/>
    <w:rsid w:val="0022014C"/>
    <w:rsid w:val="002230A5"/>
    <w:rsid w:val="002242A9"/>
    <w:rsid w:val="00230FF8"/>
    <w:rsid w:val="002324D8"/>
    <w:rsid w:val="0023265C"/>
    <w:rsid w:val="002330B3"/>
    <w:rsid w:val="0023355C"/>
    <w:rsid w:val="00236EE7"/>
    <w:rsid w:val="0024329B"/>
    <w:rsid w:val="002510CA"/>
    <w:rsid w:val="00254063"/>
    <w:rsid w:val="0025582A"/>
    <w:rsid w:val="00256CF1"/>
    <w:rsid w:val="00264876"/>
    <w:rsid w:val="0026767C"/>
    <w:rsid w:val="00272DBD"/>
    <w:rsid w:val="00275B76"/>
    <w:rsid w:val="00277451"/>
    <w:rsid w:val="00282614"/>
    <w:rsid w:val="0028712F"/>
    <w:rsid w:val="00287A37"/>
    <w:rsid w:val="00290BEA"/>
    <w:rsid w:val="0029200D"/>
    <w:rsid w:val="0029377D"/>
    <w:rsid w:val="00297ECA"/>
    <w:rsid w:val="002A0B5F"/>
    <w:rsid w:val="002A4B05"/>
    <w:rsid w:val="002A7D49"/>
    <w:rsid w:val="002C1A45"/>
    <w:rsid w:val="002C7BE2"/>
    <w:rsid w:val="002D2303"/>
    <w:rsid w:val="002E1871"/>
    <w:rsid w:val="002E1D53"/>
    <w:rsid w:val="002E3D9F"/>
    <w:rsid w:val="002F433E"/>
    <w:rsid w:val="00302D79"/>
    <w:rsid w:val="00306879"/>
    <w:rsid w:val="0030702E"/>
    <w:rsid w:val="00313561"/>
    <w:rsid w:val="00313607"/>
    <w:rsid w:val="00315B0D"/>
    <w:rsid w:val="003164BE"/>
    <w:rsid w:val="003204CE"/>
    <w:rsid w:val="00321E19"/>
    <w:rsid w:val="00323175"/>
    <w:rsid w:val="0032447A"/>
    <w:rsid w:val="003265D4"/>
    <w:rsid w:val="00326E89"/>
    <w:rsid w:val="00335D31"/>
    <w:rsid w:val="0033720F"/>
    <w:rsid w:val="00341BA9"/>
    <w:rsid w:val="00342A96"/>
    <w:rsid w:val="00345BC8"/>
    <w:rsid w:val="003466F1"/>
    <w:rsid w:val="003467AF"/>
    <w:rsid w:val="0034746B"/>
    <w:rsid w:val="00360F02"/>
    <w:rsid w:val="003631E1"/>
    <w:rsid w:val="0037321F"/>
    <w:rsid w:val="00383BBC"/>
    <w:rsid w:val="003848C2"/>
    <w:rsid w:val="003849FF"/>
    <w:rsid w:val="00390EB0"/>
    <w:rsid w:val="00395C45"/>
    <w:rsid w:val="003A324D"/>
    <w:rsid w:val="003B478B"/>
    <w:rsid w:val="003C06DB"/>
    <w:rsid w:val="003C3CC9"/>
    <w:rsid w:val="003C431D"/>
    <w:rsid w:val="003C6DDE"/>
    <w:rsid w:val="003D3658"/>
    <w:rsid w:val="003D7974"/>
    <w:rsid w:val="003F1557"/>
    <w:rsid w:val="003F4F50"/>
    <w:rsid w:val="0040136A"/>
    <w:rsid w:val="00403746"/>
    <w:rsid w:val="0041705E"/>
    <w:rsid w:val="00424786"/>
    <w:rsid w:val="004273A0"/>
    <w:rsid w:val="00435A73"/>
    <w:rsid w:val="004375FF"/>
    <w:rsid w:val="00441780"/>
    <w:rsid w:val="00444200"/>
    <w:rsid w:val="00445B27"/>
    <w:rsid w:val="00450C59"/>
    <w:rsid w:val="004556FE"/>
    <w:rsid w:val="00460173"/>
    <w:rsid w:val="004724AC"/>
    <w:rsid w:val="0047477B"/>
    <w:rsid w:val="004824E5"/>
    <w:rsid w:val="0048436A"/>
    <w:rsid w:val="0048532F"/>
    <w:rsid w:val="00493F0D"/>
    <w:rsid w:val="00495A8C"/>
    <w:rsid w:val="00497468"/>
    <w:rsid w:val="004A1E40"/>
    <w:rsid w:val="004A2449"/>
    <w:rsid w:val="004A349F"/>
    <w:rsid w:val="004A3B67"/>
    <w:rsid w:val="004B0585"/>
    <w:rsid w:val="004B16EF"/>
    <w:rsid w:val="004B2974"/>
    <w:rsid w:val="004B58C0"/>
    <w:rsid w:val="004B7490"/>
    <w:rsid w:val="004B7B9B"/>
    <w:rsid w:val="004C1C59"/>
    <w:rsid w:val="004C6BDE"/>
    <w:rsid w:val="004C6EC6"/>
    <w:rsid w:val="004D097C"/>
    <w:rsid w:val="004D1717"/>
    <w:rsid w:val="004D4484"/>
    <w:rsid w:val="004E06D2"/>
    <w:rsid w:val="004E08ED"/>
    <w:rsid w:val="004E3B5F"/>
    <w:rsid w:val="004E7066"/>
    <w:rsid w:val="004F0582"/>
    <w:rsid w:val="004F1408"/>
    <w:rsid w:val="004F628E"/>
    <w:rsid w:val="004F6568"/>
    <w:rsid w:val="005127BB"/>
    <w:rsid w:val="00516336"/>
    <w:rsid w:val="00523CF0"/>
    <w:rsid w:val="00527E65"/>
    <w:rsid w:val="00533A53"/>
    <w:rsid w:val="00536181"/>
    <w:rsid w:val="00542ACD"/>
    <w:rsid w:val="005444EF"/>
    <w:rsid w:val="00547998"/>
    <w:rsid w:val="00547AEB"/>
    <w:rsid w:val="00550177"/>
    <w:rsid w:val="00550D03"/>
    <w:rsid w:val="005521AA"/>
    <w:rsid w:val="00555923"/>
    <w:rsid w:val="005559D1"/>
    <w:rsid w:val="00557F3F"/>
    <w:rsid w:val="005652AA"/>
    <w:rsid w:val="00566196"/>
    <w:rsid w:val="00570FCD"/>
    <w:rsid w:val="0057123A"/>
    <w:rsid w:val="00575AB7"/>
    <w:rsid w:val="00583435"/>
    <w:rsid w:val="00590637"/>
    <w:rsid w:val="00597E88"/>
    <w:rsid w:val="005A1292"/>
    <w:rsid w:val="005A1782"/>
    <w:rsid w:val="005A3BC1"/>
    <w:rsid w:val="005A668F"/>
    <w:rsid w:val="005B4F25"/>
    <w:rsid w:val="005B535B"/>
    <w:rsid w:val="005B666C"/>
    <w:rsid w:val="005C0FAD"/>
    <w:rsid w:val="005C1015"/>
    <w:rsid w:val="005C149D"/>
    <w:rsid w:val="005D5A6D"/>
    <w:rsid w:val="005E2555"/>
    <w:rsid w:val="005E593A"/>
    <w:rsid w:val="005F53AF"/>
    <w:rsid w:val="00602A75"/>
    <w:rsid w:val="00610ED9"/>
    <w:rsid w:val="006141E9"/>
    <w:rsid w:val="00625BB8"/>
    <w:rsid w:val="00626970"/>
    <w:rsid w:val="0062700D"/>
    <w:rsid w:val="00632762"/>
    <w:rsid w:val="00634C3B"/>
    <w:rsid w:val="00640C3E"/>
    <w:rsid w:val="00641E82"/>
    <w:rsid w:val="0064653B"/>
    <w:rsid w:val="00654981"/>
    <w:rsid w:val="00654DA2"/>
    <w:rsid w:val="00655D6D"/>
    <w:rsid w:val="006574FF"/>
    <w:rsid w:val="0065752F"/>
    <w:rsid w:val="006606F9"/>
    <w:rsid w:val="0066629D"/>
    <w:rsid w:val="0067064D"/>
    <w:rsid w:val="00672915"/>
    <w:rsid w:val="00672AE3"/>
    <w:rsid w:val="0067450B"/>
    <w:rsid w:val="006760C7"/>
    <w:rsid w:val="006816E9"/>
    <w:rsid w:val="006816F5"/>
    <w:rsid w:val="006826CE"/>
    <w:rsid w:val="006857B9"/>
    <w:rsid w:val="00686A54"/>
    <w:rsid w:val="00695774"/>
    <w:rsid w:val="006B0C37"/>
    <w:rsid w:val="006B71F6"/>
    <w:rsid w:val="006B7370"/>
    <w:rsid w:val="006C2F7D"/>
    <w:rsid w:val="006C6775"/>
    <w:rsid w:val="006D0B8D"/>
    <w:rsid w:val="006D361E"/>
    <w:rsid w:val="006D40E7"/>
    <w:rsid w:val="006D6016"/>
    <w:rsid w:val="006D63DD"/>
    <w:rsid w:val="006D649F"/>
    <w:rsid w:val="006E277E"/>
    <w:rsid w:val="006E27D9"/>
    <w:rsid w:val="006E2804"/>
    <w:rsid w:val="006E3C69"/>
    <w:rsid w:val="006E7919"/>
    <w:rsid w:val="006F0359"/>
    <w:rsid w:val="006F18D5"/>
    <w:rsid w:val="006F1DA2"/>
    <w:rsid w:val="006F2375"/>
    <w:rsid w:val="006F7205"/>
    <w:rsid w:val="006F74D8"/>
    <w:rsid w:val="006F7591"/>
    <w:rsid w:val="00712B2E"/>
    <w:rsid w:val="0072409D"/>
    <w:rsid w:val="00737B16"/>
    <w:rsid w:val="00747F0C"/>
    <w:rsid w:val="00752FA7"/>
    <w:rsid w:val="00753CFE"/>
    <w:rsid w:val="00753FF2"/>
    <w:rsid w:val="00755094"/>
    <w:rsid w:val="00757657"/>
    <w:rsid w:val="00757D18"/>
    <w:rsid w:val="007732E4"/>
    <w:rsid w:val="00776AE5"/>
    <w:rsid w:val="00783E9A"/>
    <w:rsid w:val="00784D85"/>
    <w:rsid w:val="007853E1"/>
    <w:rsid w:val="00785721"/>
    <w:rsid w:val="007A2EE5"/>
    <w:rsid w:val="007A396E"/>
    <w:rsid w:val="007A4420"/>
    <w:rsid w:val="007A4631"/>
    <w:rsid w:val="007A5447"/>
    <w:rsid w:val="007A607A"/>
    <w:rsid w:val="007A7D3C"/>
    <w:rsid w:val="007B05EE"/>
    <w:rsid w:val="007B0E2A"/>
    <w:rsid w:val="007B1B80"/>
    <w:rsid w:val="007B2003"/>
    <w:rsid w:val="007B6CDE"/>
    <w:rsid w:val="007C6F76"/>
    <w:rsid w:val="007C7EB6"/>
    <w:rsid w:val="007D375F"/>
    <w:rsid w:val="007E40F1"/>
    <w:rsid w:val="007E70B9"/>
    <w:rsid w:val="007E7140"/>
    <w:rsid w:val="007F4819"/>
    <w:rsid w:val="007F4DC8"/>
    <w:rsid w:val="007F7C1C"/>
    <w:rsid w:val="00801D1E"/>
    <w:rsid w:val="0081194B"/>
    <w:rsid w:val="0081354E"/>
    <w:rsid w:val="00816BC0"/>
    <w:rsid w:val="00816D04"/>
    <w:rsid w:val="0082292C"/>
    <w:rsid w:val="00823FA6"/>
    <w:rsid w:val="00824403"/>
    <w:rsid w:val="00827670"/>
    <w:rsid w:val="008412B2"/>
    <w:rsid w:val="00847DAC"/>
    <w:rsid w:val="00852CD4"/>
    <w:rsid w:val="00865C96"/>
    <w:rsid w:val="00867435"/>
    <w:rsid w:val="00871524"/>
    <w:rsid w:val="008721DB"/>
    <w:rsid w:val="00873A02"/>
    <w:rsid w:val="0087534F"/>
    <w:rsid w:val="00876A66"/>
    <w:rsid w:val="00885A9A"/>
    <w:rsid w:val="00885E11"/>
    <w:rsid w:val="008A150B"/>
    <w:rsid w:val="008A34BD"/>
    <w:rsid w:val="008B146D"/>
    <w:rsid w:val="008B3C14"/>
    <w:rsid w:val="008B6630"/>
    <w:rsid w:val="008B7994"/>
    <w:rsid w:val="008C06E1"/>
    <w:rsid w:val="008C0A8F"/>
    <w:rsid w:val="008C2676"/>
    <w:rsid w:val="008C4101"/>
    <w:rsid w:val="008D15C7"/>
    <w:rsid w:val="008E122D"/>
    <w:rsid w:val="008E1A2E"/>
    <w:rsid w:val="008E5F45"/>
    <w:rsid w:val="008E64B2"/>
    <w:rsid w:val="008F1104"/>
    <w:rsid w:val="008F29B5"/>
    <w:rsid w:val="008F64E0"/>
    <w:rsid w:val="00902E3B"/>
    <w:rsid w:val="0090393E"/>
    <w:rsid w:val="0091000A"/>
    <w:rsid w:val="00913276"/>
    <w:rsid w:val="00916F17"/>
    <w:rsid w:val="00917066"/>
    <w:rsid w:val="00917948"/>
    <w:rsid w:val="00921FB7"/>
    <w:rsid w:val="00931D93"/>
    <w:rsid w:val="009346AD"/>
    <w:rsid w:val="0093653B"/>
    <w:rsid w:val="00945DF4"/>
    <w:rsid w:val="009478A5"/>
    <w:rsid w:val="00956543"/>
    <w:rsid w:val="009568CD"/>
    <w:rsid w:val="0096035C"/>
    <w:rsid w:val="00960C94"/>
    <w:rsid w:val="00967107"/>
    <w:rsid w:val="00967B9A"/>
    <w:rsid w:val="009749D3"/>
    <w:rsid w:val="00976988"/>
    <w:rsid w:val="00981088"/>
    <w:rsid w:val="00983259"/>
    <w:rsid w:val="009845B8"/>
    <w:rsid w:val="00990931"/>
    <w:rsid w:val="00992AC1"/>
    <w:rsid w:val="0099340B"/>
    <w:rsid w:val="00995A3D"/>
    <w:rsid w:val="0099681E"/>
    <w:rsid w:val="009A13FA"/>
    <w:rsid w:val="009A4825"/>
    <w:rsid w:val="009A53C4"/>
    <w:rsid w:val="009B1968"/>
    <w:rsid w:val="009B426F"/>
    <w:rsid w:val="009B5882"/>
    <w:rsid w:val="009B665B"/>
    <w:rsid w:val="009C319F"/>
    <w:rsid w:val="009C5BE6"/>
    <w:rsid w:val="009C5DB5"/>
    <w:rsid w:val="009C62B5"/>
    <w:rsid w:val="009D1235"/>
    <w:rsid w:val="009D1437"/>
    <w:rsid w:val="009D2AA0"/>
    <w:rsid w:val="009D4E7A"/>
    <w:rsid w:val="009D79A6"/>
    <w:rsid w:val="009E2EE5"/>
    <w:rsid w:val="009E34C7"/>
    <w:rsid w:val="009E3BD0"/>
    <w:rsid w:val="009E4A1C"/>
    <w:rsid w:val="009E7892"/>
    <w:rsid w:val="00A01F67"/>
    <w:rsid w:val="00A04015"/>
    <w:rsid w:val="00A04A6A"/>
    <w:rsid w:val="00A05544"/>
    <w:rsid w:val="00A05938"/>
    <w:rsid w:val="00A20B31"/>
    <w:rsid w:val="00A23107"/>
    <w:rsid w:val="00A25061"/>
    <w:rsid w:val="00A25BFD"/>
    <w:rsid w:val="00A26384"/>
    <w:rsid w:val="00A30355"/>
    <w:rsid w:val="00A31215"/>
    <w:rsid w:val="00A3198A"/>
    <w:rsid w:val="00A3452D"/>
    <w:rsid w:val="00A41DF8"/>
    <w:rsid w:val="00A50CC7"/>
    <w:rsid w:val="00A51247"/>
    <w:rsid w:val="00A5152E"/>
    <w:rsid w:val="00A55EFC"/>
    <w:rsid w:val="00A62097"/>
    <w:rsid w:val="00A62EBF"/>
    <w:rsid w:val="00A67604"/>
    <w:rsid w:val="00A829B1"/>
    <w:rsid w:val="00A8517B"/>
    <w:rsid w:val="00A85A4D"/>
    <w:rsid w:val="00A90AE6"/>
    <w:rsid w:val="00A91F88"/>
    <w:rsid w:val="00A96AE3"/>
    <w:rsid w:val="00A97D24"/>
    <w:rsid w:val="00AA0F00"/>
    <w:rsid w:val="00AA74B1"/>
    <w:rsid w:val="00AB5532"/>
    <w:rsid w:val="00AC7768"/>
    <w:rsid w:val="00AC7A9C"/>
    <w:rsid w:val="00AD14BB"/>
    <w:rsid w:val="00AE0041"/>
    <w:rsid w:val="00AE5D99"/>
    <w:rsid w:val="00AE6E1C"/>
    <w:rsid w:val="00AF0F3B"/>
    <w:rsid w:val="00B00264"/>
    <w:rsid w:val="00B0166B"/>
    <w:rsid w:val="00B02000"/>
    <w:rsid w:val="00B03570"/>
    <w:rsid w:val="00B03E91"/>
    <w:rsid w:val="00B041FE"/>
    <w:rsid w:val="00B1068F"/>
    <w:rsid w:val="00B11667"/>
    <w:rsid w:val="00B14C12"/>
    <w:rsid w:val="00B14D1C"/>
    <w:rsid w:val="00B17D48"/>
    <w:rsid w:val="00B20E0A"/>
    <w:rsid w:val="00B31D9D"/>
    <w:rsid w:val="00B3559F"/>
    <w:rsid w:val="00B37002"/>
    <w:rsid w:val="00B45C50"/>
    <w:rsid w:val="00B5030C"/>
    <w:rsid w:val="00B52A90"/>
    <w:rsid w:val="00B56422"/>
    <w:rsid w:val="00B605F7"/>
    <w:rsid w:val="00B7529F"/>
    <w:rsid w:val="00B90CD2"/>
    <w:rsid w:val="00B919D0"/>
    <w:rsid w:val="00B92032"/>
    <w:rsid w:val="00B97F7B"/>
    <w:rsid w:val="00BA0D92"/>
    <w:rsid w:val="00BA4D72"/>
    <w:rsid w:val="00BA5589"/>
    <w:rsid w:val="00BA7468"/>
    <w:rsid w:val="00BB6ABB"/>
    <w:rsid w:val="00BC19CF"/>
    <w:rsid w:val="00BC421D"/>
    <w:rsid w:val="00BD42F6"/>
    <w:rsid w:val="00BE066F"/>
    <w:rsid w:val="00BE2098"/>
    <w:rsid w:val="00BE3ABC"/>
    <w:rsid w:val="00BE3E97"/>
    <w:rsid w:val="00BE5A3A"/>
    <w:rsid w:val="00BF2A54"/>
    <w:rsid w:val="00BF620C"/>
    <w:rsid w:val="00BF6356"/>
    <w:rsid w:val="00BF7E58"/>
    <w:rsid w:val="00C030D1"/>
    <w:rsid w:val="00C065FF"/>
    <w:rsid w:val="00C0706D"/>
    <w:rsid w:val="00C072B1"/>
    <w:rsid w:val="00C14ECD"/>
    <w:rsid w:val="00C15EAF"/>
    <w:rsid w:val="00C242A8"/>
    <w:rsid w:val="00C24F72"/>
    <w:rsid w:val="00C25489"/>
    <w:rsid w:val="00C25AC6"/>
    <w:rsid w:val="00C2640A"/>
    <w:rsid w:val="00C27989"/>
    <w:rsid w:val="00C27FD4"/>
    <w:rsid w:val="00C33C44"/>
    <w:rsid w:val="00C37797"/>
    <w:rsid w:val="00C414BF"/>
    <w:rsid w:val="00C43943"/>
    <w:rsid w:val="00C446D0"/>
    <w:rsid w:val="00C44828"/>
    <w:rsid w:val="00C44875"/>
    <w:rsid w:val="00C52786"/>
    <w:rsid w:val="00C57F41"/>
    <w:rsid w:val="00C63A10"/>
    <w:rsid w:val="00C70E7F"/>
    <w:rsid w:val="00C80300"/>
    <w:rsid w:val="00C9704C"/>
    <w:rsid w:val="00CB041B"/>
    <w:rsid w:val="00CB0F32"/>
    <w:rsid w:val="00CB5C9B"/>
    <w:rsid w:val="00CB7E60"/>
    <w:rsid w:val="00CC6E29"/>
    <w:rsid w:val="00CD0FEF"/>
    <w:rsid w:val="00CE096C"/>
    <w:rsid w:val="00CE4CA3"/>
    <w:rsid w:val="00CF02BB"/>
    <w:rsid w:val="00CF4B0D"/>
    <w:rsid w:val="00CF5596"/>
    <w:rsid w:val="00D063DE"/>
    <w:rsid w:val="00D14472"/>
    <w:rsid w:val="00D16761"/>
    <w:rsid w:val="00D17F33"/>
    <w:rsid w:val="00D215ED"/>
    <w:rsid w:val="00D227DF"/>
    <w:rsid w:val="00D2286F"/>
    <w:rsid w:val="00D26B4F"/>
    <w:rsid w:val="00D3401D"/>
    <w:rsid w:val="00D51246"/>
    <w:rsid w:val="00D54790"/>
    <w:rsid w:val="00D56E27"/>
    <w:rsid w:val="00D574D7"/>
    <w:rsid w:val="00D57C00"/>
    <w:rsid w:val="00D6095F"/>
    <w:rsid w:val="00D61E34"/>
    <w:rsid w:val="00D65EF9"/>
    <w:rsid w:val="00D70F79"/>
    <w:rsid w:val="00D718BD"/>
    <w:rsid w:val="00D74D45"/>
    <w:rsid w:val="00D7665B"/>
    <w:rsid w:val="00D807EC"/>
    <w:rsid w:val="00D80E9B"/>
    <w:rsid w:val="00D81B46"/>
    <w:rsid w:val="00D825B9"/>
    <w:rsid w:val="00D83C37"/>
    <w:rsid w:val="00D8429A"/>
    <w:rsid w:val="00D93BEA"/>
    <w:rsid w:val="00D9419C"/>
    <w:rsid w:val="00D943AC"/>
    <w:rsid w:val="00DA1E0F"/>
    <w:rsid w:val="00DA506D"/>
    <w:rsid w:val="00DA7A5B"/>
    <w:rsid w:val="00DB72DF"/>
    <w:rsid w:val="00DC47F2"/>
    <w:rsid w:val="00DD229D"/>
    <w:rsid w:val="00DD6CD0"/>
    <w:rsid w:val="00DE52F0"/>
    <w:rsid w:val="00DF5152"/>
    <w:rsid w:val="00E00F75"/>
    <w:rsid w:val="00E0163E"/>
    <w:rsid w:val="00E060F3"/>
    <w:rsid w:val="00E1315B"/>
    <w:rsid w:val="00E146F5"/>
    <w:rsid w:val="00E1521C"/>
    <w:rsid w:val="00E172A4"/>
    <w:rsid w:val="00E20B96"/>
    <w:rsid w:val="00E33D69"/>
    <w:rsid w:val="00E52AA6"/>
    <w:rsid w:val="00E6689A"/>
    <w:rsid w:val="00E8366E"/>
    <w:rsid w:val="00E841BA"/>
    <w:rsid w:val="00E9153D"/>
    <w:rsid w:val="00E951EB"/>
    <w:rsid w:val="00EA0780"/>
    <w:rsid w:val="00EB5529"/>
    <w:rsid w:val="00EC0D4D"/>
    <w:rsid w:val="00EC3D64"/>
    <w:rsid w:val="00ED074D"/>
    <w:rsid w:val="00ED5F6A"/>
    <w:rsid w:val="00EE4AF2"/>
    <w:rsid w:val="00EE5DCB"/>
    <w:rsid w:val="00EF0D82"/>
    <w:rsid w:val="00EF1795"/>
    <w:rsid w:val="00EF22E6"/>
    <w:rsid w:val="00F17082"/>
    <w:rsid w:val="00F21139"/>
    <w:rsid w:val="00F2198E"/>
    <w:rsid w:val="00F23565"/>
    <w:rsid w:val="00F30A89"/>
    <w:rsid w:val="00F44C72"/>
    <w:rsid w:val="00F4715D"/>
    <w:rsid w:val="00F474C2"/>
    <w:rsid w:val="00F50C17"/>
    <w:rsid w:val="00F614F9"/>
    <w:rsid w:val="00F61AC9"/>
    <w:rsid w:val="00F70BB6"/>
    <w:rsid w:val="00F76B27"/>
    <w:rsid w:val="00F836C9"/>
    <w:rsid w:val="00F850D2"/>
    <w:rsid w:val="00F85D80"/>
    <w:rsid w:val="00F90327"/>
    <w:rsid w:val="00F933B5"/>
    <w:rsid w:val="00FA07B0"/>
    <w:rsid w:val="00FB0CC6"/>
    <w:rsid w:val="00FB1E53"/>
    <w:rsid w:val="00FB55F0"/>
    <w:rsid w:val="00FD00DE"/>
    <w:rsid w:val="00FD74B6"/>
    <w:rsid w:val="00FF060E"/>
    <w:rsid w:val="00FF1149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144E"/>
  <w15:chartTrackingRefBased/>
  <w15:docId w15:val="{C5C803FB-DD1C-4F0A-84DD-4CD78E8D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3ABC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BE3ABC"/>
    <w:pPr>
      <w:keepNext/>
      <w:numPr>
        <w:numId w:val="1"/>
      </w:numPr>
      <w:tabs>
        <w:tab w:val="clear" w:pos="786"/>
      </w:tabs>
      <w:spacing w:before="360" w:after="120" w:line="240" w:lineRule="auto"/>
      <w:ind w:left="360"/>
      <w:outlineLvl w:val="0"/>
    </w:pPr>
    <w:rPr>
      <w:rFonts w:ascii="Arial" w:eastAsia="Times New Roman" w:hAnsi="Arial" w:cs="Times New Roman"/>
      <w:b/>
      <w:caps/>
      <w:sz w:val="24"/>
      <w:szCs w:val="24"/>
      <w:lang w:val="en-US"/>
    </w:rPr>
  </w:style>
  <w:style w:type="paragraph" w:styleId="Nagwek2">
    <w:name w:val="heading 2"/>
    <w:basedOn w:val="Nagwek1"/>
    <w:next w:val="Tekstpodstawowy2"/>
    <w:link w:val="Nagwek2Znak"/>
    <w:qFormat/>
    <w:rsid w:val="00BE3ABC"/>
    <w:pPr>
      <w:keepNext w:val="0"/>
      <w:numPr>
        <w:ilvl w:val="1"/>
      </w:numPr>
      <w:spacing w:before="120"/>
      <w:ind w:left="792" w:right="170" w:hanging="432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BE3ABC"/>
    <w:pPr>
      <w:numPr>
        <w:ilvl w:val="2"/>
      </w:numPr>
      <w:tabs>
        <w:tab w:val="left" w:pos="1800"/>
      </w:tabs>
      <w:ind w:left="1506" w:hanging="504"/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Normalny"/>
    <w:link w:val="Nagwek4Znak"/>
    <w:qFormat/>
    <w:rsid w:val="00BE3ABC"/>
    <w:pPr>
      <w:numPr>
        <w:ilvl w:val="3"/>
      </w:numPr>
      <w:tabs>
        <w:tab w:val="clear" w:pos="1800"/>
        <w:tab w:val="left" w:pos="2610"/>
      </w:tabs>
      <w:ind w:left="1728" w:hanging="648"/>
      <w:outlineLvl w:val="3"/>
    </w:pPr>
    <w:rPr>
      <w:bCs/>
    </w:rPr>
  </w:style>
  <w:style w:type="paragraph" w:styleId="Nagwek5">
    <w:name w:val="heading 5"/>
    <w:basedOn w:val="Nagwek4"/>
    <w:next w:val="Normalny"/>
    <w:link w:val="Nagwek5Znak"/>
    <w:qFormat/>
    <w:rsid w:val="00BE3ABC"/>
    <w:pPr>
      <w:numPr>
        <w:ilvl w:val="4"/>
      </w:num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BE3ABC"/>
    <w:pPr>
      <w:numPr>
        <w:ilvl w:val="5"/>
      </w:num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BE3ABC"/>
    <w:pPr>
      <w:numPr>
        <w:ilvl w:val="6"/>
      </w:num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BE3ABC"/>
    <w:pPr>
      <w:numPr>
        <w:ilvl w:val="7"/>
      </w:num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BE3ABC"/>
    <w:pPr>
      <w:numPr>
        <w:ilvl w:val="8"/>
        <w:numId w:val="1"/>
      </w:numPr>
      <w:spacing w:before="240" w:after="60"/>
      <w:ind w:left="4320" w:hanging="14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ABC"/>
    <w:rPr>
      <w:rFonts w:ascii="Arial" w:eastAsia="Times New Roman" w:hAnsi="Arial" w:cs="Times New Roman"/>
      <w:b/>
      <w:cap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rsid w:val="00BE3ABC"/>
    <w:rPr>
      <w:rFonts w:ascii="Arial" w:eastAsia="Times New Roman" w:hAnsi="Arial" w:cs="Arial"/>
      <w:b/>
      <w:iCs/>
      <w:sz w:val="24"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rsid w:val="00BE3ABC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3ABC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3ABC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E3ABC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3ABC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3ABC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3ABC"/>
    <w:rPr>
      <w:rFonts w:ascii="Cambria" w:eastAsia="Times New Roman" w:hAnsi="Cambria" w:cs="Times New Roman"/>
      <w:sz w:val="24"/>
      <w:szCs w:val="20"/>
    </w:rPr>
  </w:style>
  <w:style w:type="numbering" w:customStyle="1" w:styleId="Headings">
    <w:name w:val="Headings"/>
    <w:rsid w:val="00BE3ABC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BE3A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E3ABC"/>
  </w:style>
  <w:style w:type="paragraph" w:styleId="Tekstpodstawowy2">
    <w:name w:val="Body Text 2"/>
    <w:basedOn w:val="Normalny"/>
    <w:link w:val="Tekstpodstawowy2Znak"/>
    <w:uiPriority w:val="99"/>
    <w:unhideWhenUsed/>
    <w:rsid w:val="00BE3AB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E3ABC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3AB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3ABC"/>
    <w:rPr>
      <w:sz w:val="16"/>
      <w:szCs w:val="16"/>
    </w:rPr>
  </w:style>
  <w:style w:type="paragraph" w:customStyle="1" w:styleId="bullettext1blueitalic">
    <w:name w:val="bullet text 1 + blue + italic"/>
    <w:basedOn w:val="Normalny"/>
    <w:qFormat/>
    <w:rsid w:val="00BE3ABC"/>
    <w:pPr>
      <w:numPr>
        <w:numId w:val="3"/>
      </w:numPr>
      <w:spacing w:before="120" w:after="120"/>
    </w:pPr>
    <w:rPr>
      <w:i/>
      <w:color w:val="0070C0"/>
      <w:sz w:val="22"/>
    </w:rPr>
  </w:style>
  <w:style w:type="paragraph" w:styleId="Tekstprzypisudolnego">
    <w:name w:val="footnote text"/>
    <w:basedOn w:val="Normalny"/>
    <w:link w:val="TekstprzypisudolnegoZnak"/>
    <w:uiPriority w:val="99"/>
    <w:rsid w:val="00BE3ABC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3ABC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BE3ABC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E3A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BE3ABC"/>
    <w:pPr>
      <w:spacing w:line="360" w:lineRule="auto"/>
      <w:ind w:left="720"/>
      <w:contextualSpacing/>
      <w:jc w:val="both"/>
    </w:pPr>
    <w:rPr>
      <w:sz w:val="22"/>
      <w:szCs w:val="24"/>
      <w:lang w:eastAsia="pl-PL"/>
    </w:rPr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BE3ABC"/>
    <w:rPr>
      <w:rFonts w:ascii="Arial" w:eastAsia="Times New Roman" w:hAnsi="Arial" w:cs="Times New Roman"/>
      <w:szCs w:val="24"/>
      <w:lang w:eastAsia="pl-PL"/>
    </w:rPr>
  </w:style>
  <w:style w:type="paragraph" w:styleId="NormalnyWeb">
    <w:name w:val="Normal (Web)"/>
    <w:basedOn w:val="Normalny"/>
    <w:uiPriority w:val="99"/>
    <w:rsid w:val="00BE3ABC"/>
    <w:pPr>
      <w:overflowPunct w:val="0"/>
      <w:autoSpaceDE w:val="0"/>
      <w:autoSpaceDN w:val="0"/>
      <w:adjustRightInd w:val="0"/>
      <w:textAlignment w:val="baseline"/>
    </w:pPr>
  </w:style>
  <w:style w:type="paragraph" w:styleId="Legenda">
    <w:name w:val="caption"/>
    <w:basedOn w:val="Normalny"/>
    <w:next w:val="Normalny"/>
    <w:qFormat/>
    <w:rsid w:val="00BE3ABC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</w:rPr>
  </w:style>
  <w:style w:type="paragraph" w:customStyle="1" w:styleId="Poletabeli">
    <w:name w:val="Pole tabeli"/>
    <w:basedOn w:val="Normalny"/>
    <w:link w:val="PoletabeliZnak"/>
    <w:rsid w:val="00BE3ABC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BE3ABC"/>
    <w:pPr>
      <w:spacing w:before="60" w:after="60"/>
    </w:pPr>
    <w:rPr>
      <w:rFonts w:ascii="Verdana" w:hAnsi="Verdana"/>
      <w:b/>
      <w:kern w:val="28"/>
      <w:sz w:val="16"/>
      <w:lang w:eastAsia="pl-PL"/>
    </w:rPr>
  </w:style>
  <w:style w:type="character" w:customStyle="1" w:styleId="PoletabeliZnak">
    <w:name w:val="Pole tabeli Znak"/>
    <w:link w:val="Poletabeli"/>
    <w:rsid w:val="00BE3ABC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rsid w:val="00BE3AB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E3ABC"/>
    <w:rPr>
      <w:rFonts w:ascii="Arial" w:eastAsia="Times New Roman" w:hAnsi="Arial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9D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D0"/>
    <w:rPr>
      <w:rFonts w:ascii="Segoe UI" w:eastAsia="Times New Roman" w:hAnsi="Segoe UI" w:cs="Segoe UI"/>
      <w:sz w:val="18"/>
      <w:szCs w:val="18"/>
    </w:rPr>
  </w:style>
  <w:style w:type="table" w:customStyle="1" w:styleId="TableNormal">
    <w:name w:val="Table Normal"/>
    <w:rsid w:val="00B919D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rsid w:val="00086A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docdata">
    <w:name w:val="docdata"/>
    <w:rsid w:val="00086AE6"/>
  </w:style>
  <w:style w:type="paragraph" w:styleId="Nagwek">
    <w:name w:val="header"/>
    <w:basedOn w:val="Normalny"/>
    <w:link w:val="NagwekZnak"/>
    <w:uiPriority w:val="99"/>
    <w:unhideWhenUsed/>
    <w:rsid w:val="002937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377D"/>
    <w:rPr>
      <w:rFonts w:ascii="Arial" w:eastAsia="Times New Roman" w:hAnsi="Arial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937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377D"/>
    <w:rPr>
      <w:rFonts w:ascii="Arial" w:eastAsia="Times New Roman" w:hAnsi="Arial" w:cs="Times New Roman"/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9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9B5"/>
    <w:rPr>
      <w:rFonts w:ascii="Arial" w:eastAsia="Times New Roman" w:hAnsi="Arial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8B3C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3C14"/>
    <w:rPr>
      <w:color w:val="605E5C"/>
      <w:shd w:val="clear" w:color="auto" w:fill="E1DFDD"/>
    </w:rPr>
  </w:style>
  <w:style w:type="numbering" w:customStyle="1" w:styleId="Zaimportowanystyl2">
    <w:name w:val="Zaimportowany styl 2"/>
    <w:rsid w:val="000C15FF"/>
    <w:pPr>
      <w:numPr>
        <w:numId w:val="1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360F02"/>
    <w:rPr>
      <w:color w:val="954F72" w:themeColor="followedHyperlink"/>
      <w:u w:val="single"/>
    </w:rPr>
  </w:style>
  <w:style w:type="table" w:customStyle="1" w:styleId="TableNormal1">
    <w:name w:val="Table Normal1"/>
    <w:rsid w:val="0081354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ogrubienie">
    <w:name w:val="Strong"/>
    <w:basedOn w:val="Domylnaczcionkaakapitu"/>
    <w:uiPriority w:val="22"/>
    <w:qFormat/>
    <w:rsid w:val="00BC19CF"/>
    <w:rPr>
      <w:b/>
      <w:bCs/>
    </w:rPr>
  </w:style>
  <w:style w:type="paragraph" w:customStyle="1" w:styleId="Default">
    <w:name w:val="Default"/>
    <w:rsid w:val="00B04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F6568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3189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9578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345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759">
          <w:marLeft w:val="22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1649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2582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9816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728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6794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3341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52851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7338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8216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8956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5353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7332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6342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135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2828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9968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0007">
          <w:marLeft w:val="216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9622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283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3401">
          <w:marLeft w:val="252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F5DDDCC1F05F409CA69B7CBDEFA39C" ma:contentTypeVersion="14" ma:contentTypeDescription="Utwórz nowy dokument." ma:contentTypeScope="" ma:versionID="570550cc8171054105a0b9a8c1a5c3d3">
  <xsd:schema xmlns:xsd="http://www.w3.org/2001/XMLSchema" xmlns:xs="http://www.w3.org/2001/XMLSchema" xmlns:p="http://schemas.microsoft.com/office/2006/metadata/properties" xmlns:ns3="dcb8aebc-4ae9-49dd-b637-cf1f06c3e425" xmlns:ns4="fd186fbb-3efa-4790-ab4b-c8a78bce1f6b" targetNamespace="http://schemas.microsoft.com/office/2006/metadata/properties" ma:root="true" ma:fieldsID="19ab7e9a7ec9abd465a6b8532dc735f9" ns3:_="" ns4:_="">
    <xsd:import namespace="dcb8aebc-4ae9-49dd-b637-cf1f06c3e425"/>
    <xsd:import namespace="fd186fbb-3efa-4790-ab4b-c8a78bce1f6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8aebc-4ae9-49dd-b637-cf1f06c3e4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86fbb-3efa-4790-ab4b-c8a78bce1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980C5-B16A-407D-826B-1965E7983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BFEB5-E0AF-425B-A107-3AA1CD3F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b8aebc-4ae9-49dd-b637-cf1f06c3e425"/>
    <ds:schemaRef ds:uri="fd186fbb-3efa-4790-ab4b-c8a78bce1f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488305-B026-4FEA-9C31-65262A2F92DA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fd186fbb-3efa-4790-ab4b-c8a78bce1f6b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dcb8aebc-4ae9-49dd-b637-cf1f06c3e425"/>
  </ds:schemaRefs>
</ds:datastoreItem>
</file>

<file path=customXml/itemProps4.xml><?xml version="1.0" encoding="utf-8"?>
<ds:datastoreItem xmlns:ds="http://schemas.openxmlformats.org/officeDocument/2006/customXml" ds:itemID="{01239928-99EE-4E8D-99E2-0B608DE5A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6408</Words>
  <Characters>38454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Urząd Nadzoru Budowlanego</Company>
  <LinksUpToDate>false</LinksUpToDate>
  <CharactersWithSpaces>44773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Ostaszewska - Cichocka</dc:creator>
  <cp:keywords/>
  <dc:description/>
  <cp:lastModifiedBy>Jarosław Sosnowski</cp:lastModifiedBy>
  <cp:revision>4</cp:revision>
  <dcterms:created xsi:type="dcterms:W3CDTF">2022-08-24T11:51:00Z</dcterms:created>
  <dcterms:modified xsi:type="dcterms:W3CDTF">2022-08-24T14:56:00Z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0x0101007AF5DDDCC1F05F409CA69B7CBDEFA39C</vt:lpwstr>
  </property>
</Properties>
</file>