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B5491" w14:textId="77777777" w:rsidR="00467C1B" w:rsidRPr="006D205A" w:rsidRDefault="00467C1B" w:rsidP="00467C1B">
      <w:pPr>
        <w:tabs>
          <w:tab w:val="left" w:pos="7621"/>
        </w:tabs>
        <w:jc w:val="right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bookmarkStart w:id="0" w:name="_GoBack"/>
      <w:bookmarkEnd w:id="0"/>
      <w:r w:rsidRPr="006D205A">
        <w:rPr>
          <w:rFonts w:ascii="Arial" w:eastAsia="Times New Roman" w:hAnsi="Arial" w:cs="Arial"/>
          <w:b/>
          <w:bCs/>
          <w:color w:val="000000" w:themeColor="text1"/>
          <w:lang w:eastAsia="pl-PL"/>
        </w:rPr>
        <w:t>Załącznik nr 2</w:t>
      </w:r>
    </w:p>
    <w:p w14:paraId="10681A9E" w14:textId="03B4A800" w:rsidR="00467C1B" w:rsidRPr="006D205A" w:rsidRDefault="00BE23BD" w:rsidP="00467C1B">
      <w:pPr>
        <w:spacing w:before="120" w:after="24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/>
          <w:bCs/>
          <w:color w:val="000000" w:themeColor="text1"/>
          <w:lang w:eastAsia="pl-PL"/>
        </w:rPr>
        <w:t>OPIS PROGRAMU</w:t>
      </w:r>
    </w:p>
    <w:p w14:paraId="04D1CE02" w14:textId="77777777" w:rsidR="00467C1B" w:rsidRPr="006D205A" w:rsidRDefault="00467C1B" w:rsidP="00467C1B">
      <w:pPr>
        <w:spacing w:before="120" w:after="24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Opis </w:t>
      </w:r>
      <w:r w:rsidRPr="006D205A">
        <w:rPr>
          <w:rFonts w:ascii="Arial" w:eastAsia="Times New Roman" w:hAnsi="Arial" w:cs="Arial"/>
          <w:b/>
          <w:bCs/>
          <w:i/>
          <w:color w:val="000000" w:themeColor="text1"/>
          <w:lang w:eastAsia="pl-PL"/>
        </w:rPr>
        <w:t>Programu kontroli jakości w diagnostyce ostrej białaczki u dzieci</w:t>
      </w:r>
      <w:r w:rsidRPr="006D205A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</w:t>
      </w:r>
      <w:r w:rsidRPr="006D205A">
        <w:rPr>
          <w:rFonts w:ascii="Arial" w:eastAsia="Times New Roman" w:hAnsi="Arial" w:cs="Arial"/>
          <w:b/>
          <w:bCs/>
          <w:color w:val="000000" w:themeColor="text1"/>
          <w:lang w:eastAsia="pl-PL"/>
        </w:rPr>
        <w:br/>
        <w:t>na lata 2019-2021:</w:t>
      </w:r>
    </w:p>
    <w:p w14:paraId="7FD8D573" w14:textId="77777777" w:rsidR="00467C1B" w:rsidRPr="006D205A" w:rsidRDefault="00467C1B" w:rsidP="00467C1B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/>
          <w:bCs/>
          <w:color w:val="000000" w:themeColor="text1"/>
          <w:lang w:eastAsia="pl-PL"/>
        </w:rPr>
        <w:t>Cele ogólne Programu:</w:t>
      </w:r>
    </w:p>
    <w:p w14:paraId="3C819BDB" w14:textId="77777777" w:rsidR="00467C1B" w:rsidRPr="006D205A" w:rsidRDefault="00467C1B" w:rsidP="00467C1B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6D205A">
        <w:rPr>
          <w:rFonts w:ascii="Arial" w:hAnsi="Arial" w:cs="Arial"/>
          <w:color w:val="000000" w:themeColor="text1"/>
          <w:lang w:eastAsia="pl-PL"/>
        </w:rPr>
        <w:t>Poprawa wyników leczenia dzieci z ostrą białaczką limfoblastyczną (ALL) i ostrą białaczką szpikową (AML).</w:t>
      </w:r>
    </w:p>
    <w:p w14:paraId="5344FCCB" w14:textId="77777777" w:rsidR="00467C1B" w:rsidRPr="006D205A" w:rsidRDefault="00467C1B" w:rsidP="00467C1B">
      <w:pPr>
        <w:spacing w:before="240" w:after="12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/>
          <w:bCs/>
          <w:color w:val="000000" w:themeColor="text1"/>
          <w:lang w:eastAsia="pl-PL"/>
        </w:rPr>
        <w:t>Cele szczegółowe Programu:</w:t>
      </w:r>
    </w:p>
    <w:p w14:paraId="18A2E897" w14:textId="77777777" w:rsidR="00467C1B" w:rsidRPr="006D205A" w:rsidRDefault="00467C1B" w:rsidP="00467C1B">
      <w:pPr>
        <w:pStyle w:val="Akapitzlist"/>
        <w:numPr>
          <w:ilvl w:val="0"/>
          <w:numId w:val="1"/>
        </w:numPr>
        <w:spacing w:before="120" w:after="0"/>
        <w:ind w:left="284" w:hanging="284"/>
        <w:contextualSpacing w:val="0"/>
        <w:jc w:val="both"/>
        <w:rPr>
          <w:rFonts w:ascii="Arial" w:hAnsi="Arial" w:cs="Arial"/>
          <w:color w:val="000000" w:themeColor="text1"/>
          <w:lang w:eastAsia="pl-PL"/>
        </w:rPr>
      </w:pPr>
      <w:r w:rsidRPr="006D205A">
        <w:rPr>
          <w:rFonts w:ascii="Arial" w:hAnsi="Arial" w:cs="Arial"/>
          <w:color w:val="000000" w:themeColor="text1"/>
          <w:lang w:eastAsia="pl-PL"/>
        </w:rPr>
        <w:t>Zastosowanie bardziej intensywnego leczenia u dzieci z cechami rokującymi niekorzystnie.</w:t>
      </w:r>
    </w:p>
    <w:p w14:paraId="3CC1B176" w14:textId="77777777" w:rsidR="00467C1B" w:rsidRPr="006D205A" w:rsidRDefault="00467C1B" w:rsidP="00467C1B">
      <w:pPr>
        <w:pStyle w:val="Akapitzlist"/>
        <w:numPr>
          <w:ilvl w:val="0"/>
          <w:numId w:val="1"/>
        </w:numPr>
        <w:spacing w:before="120" w:after="0"/>
        <w:ind w:left="284" w:hanging="284"/>
        <w:jc w:val="both"/>
        <w:rPr>
          <w:rFonts w:ascii="Arial" w:hAnsi="Arial" w:cs="Arial"/>
          <w:color w:val="000000" w:themeColor="text1"/>
          <w:lang w:eastAsia="pl-PL"/>
        </w:rPr>
      </w:pPr>
      <w:r w:rsidRPr="006D205A">
        <w:rPr>
          <w:rFonts w:ascii="Arial" w:hAnsi="Arial" w:cs="Arial"/>
          <w:color w:val="000000" w:themeColor="text1"/>
          <w:lang w:eastAsia="pl-PL"/>
        </w:rPr>
        <w:t>Zredukowanie intensywności chemioterapii u pacjentów, u których z dużą wiarygodnością można wykluczyć obecność cech rokujących niekorzystnie.</w:t>
      </w:r>
    </w:p>
    <w:p w14:paraId="6DC1D614" w14:textId="77777777" w:rsidR="00467C1B" w:rsidRPr="006D205A" w:rsidRDefault="00467C1B" w:rsidP="00467C1B">
      <w:pPr>
        <w:pStyle w:val="Akapitzlist"/>
        <w:numPr>
          <w:ilvl w:val="0"/>
          <w:numId w:val="1"/>
        </w:numPr>
        <w:spacing w:before="120" w:after="0"/>
        <w:ind w:left="284" w:hanging="284"/>
        <w:jc w:val="both"/>
        <w:rPr>
          <w:rFonts w:ascii="Arial" w:hAnsi="Arial" w:cs="Arial"/>
          <w:color w:val="000000" w:themeColor="text1"/>
          <w:lang w:eastAsia="pl-PL"/>
        </w:rPr>
      </w:pPr>
      <w:r w:rsidRPr="006D205A">
        <w:rPr>
          <w:rFonts w:ascii="Arial" w:hAnsi="Arial" w:cs="Arial"/>
          <w:color w:val="000000" w:themeColor="text1"/>
          <w:lang w:eastAsia="pl-PL"/>
        </w:rPr>
        <w:t>Zmniejszenie toksyczności i późnych następstw leczenia oraz obniżenie kosztów leczenia poprzez dostosowanie intensywności leczenia do indywidualnej oceny pacjentów.</w:t>
      </w:r>
    </w:p>
    <w:p w14:paraId="403EB1C8" w14:textId="77777777" w:rsidR="00467C1B" w:rsidRPr="006D205A" w:rsidRDefault="00467C1B" w:rsidP="00467C1B">
      <w:pPr>
        <w:spacing w:before="240" w:after="12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/>
          <w:bCs/>
          <w:color w:val="000000" w:themeColor="text1"/>
          <w:lang w:eastAsia="pl-PL"/>
        </w:rPr>
        <w:t>Opis Programu:</w:t>
      </w:r>
    </w:p>
    <w:p w14:paraId="40370A84" w14:textId="3BACC88C" w:rsidR="00467C1B" w:rsidRPr="006D205A" w:rsidRDefault="00467C1B" w:rsidP="00467C1B">
      <w:pPr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>W Polsce rozpoznaje się białaczkę u ok. 2</w:t>
      </w:r>
      <w:r w:rsidR="00742AE6" w:rsidRPr="006D205A">
        <w:rPr>
          <w:rFonts w:ascii="Arial" w:eastAsia="Times New Roman" w:hAnsi="Arial" w:cs="Arial"/>
          <w:bCs/>
          <w:color w:val="000000" w:themeColor="text1"/>
          <w:lang w:eastAsia="pl-PL"/>
        </w:rPr>
        <w:t>6</w:t>
      </w:r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>0 dzieci rocznie, z czego w ok. 2</w:t>
      </w:r>
      <w:r w:rsidR="00742AE6" w:rsidRPr="006D205A">
        <w:rPr>
          <w:rFonts w:ascii="Arial" w:eastAsia="Times New Roman" w:hAnsi="Arial" w:cs="Arial"/>
          <w:bCs/>
          <w:color w:val="000000" w:themeColor="text1"/>
          <w:lang w:eastAsia="pl-PL"/>
        </w:rPr>
        <w:t>10</w:t>
      </w:r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przypadkach stwierdzana jest ostra białaczka limfoblastyczna (ALL) - najczęstszy nowotwór wieku dziecięcego, natomiast rozpoznanie ostrej białaczki szpikowej (AML) stawiane jest u ok. 50-60 dzieci rocznie.</w:t>
      </w:r>
    </w:p>
    <w:p w14:paraId="1A9B4106" w14:textId="243848F0" w:rsidR="00467C1B" w:rsidRPr="006D205A" w:rsidRDefault="00467C1B" w:rsidP="00467C1B">
      <w:pPr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W ciągu ostatnich 20 lat kolejno wprowadzano w Polsce szereg bardzo udanych programów klinicznych leczenia ostrej białaczki limfoblastycznej u dzieci z ALL, które pochodziły z oryginalnego programu niemieckiej Pediatrycznej Grupy Onkologicznej (BFM). Dzięki kolejnym modyfikacjom tego programu, szansę na pełne wyleczenie w Polsce ma ponad 90% dzieci z ALL standardowego ryzyka i około 60% dzieci z ALL wysokiego ryzyka. Obecnie wszystkie dzieci w Polsce z rozpoznaniem ALL leczone są według protokołu ALL </w:t>
      </w:r>
      <w:r w:rsidR="00742AE6" w:rsidRPr="006D205A">
        <w:rPr>
          <w:rFonts w:ascii="Arial" w:eastAsia="Times New Roman" w:hAnsi="Arial" w:cs="Arial"/>
          <w:bCs/>
          <w:color w:val="000000" w:themeColor="text1"/>
          <w:lang w:eastAsia="pl-PL"/>
        </w:rPr>
        <w:t>AIEOP-BFM 2017</w:t>
      </w:r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. W ramach tego programu, dla stratyfikacji pacjentów do grup ryzyka i dostosowania intensywności leczenia wykorzystuje się ocenę rearanżacji genowych w komórkach białaczkowych, a dla oceny skuteczności leczenia wykorzystuje się badanie poziomu choroby resztkowej (ang. </w:t>
      </w:r>
      <w:r w:rsidRPr="006D205A">
        <w:rPr>
          <w:rFonts w:ascii="Arial" w:eastAsia="Times New Roman" w:hAnsi="Arial" w:cs="Arial"/>
          <w:bCs/>
          <w:i/>
          <w:color w:val="000000" w:themeColor="text1"/>
          <w:lang w:eastAsia="pl-PL"/>
        </w:rPr>
        <w:t>MRD -</w:t>
      </w:r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</w:t>
      </w:r>
      <w:r w:rsidRPr="006D205A">
        <w:rPr>
          <w:rFonts w:ascii="Arial" w:eastAsia="Times New Roman" w:hAnsi="Arial" w:cs="Arial"/>
          <w:bCs/>
          <w:i/>
          <w:color w:val="000000" w:themeColor="text1"/>
          <w:lang w:eastAsia="pl-PL"/>
        </w:rPr>
        <w:t>Minimal Residual Disease</w:t>
      </w:r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>) przy pomocy cytometrii przepływowej i technik molekularnych.</w:t>
      </w:r>
    </w:p>
    <w:p w14:paraId="511A3934" w14:textId="77777777" w:rsidR="00467C1B" w:rsidRPr="006D205A" w:rsidRDefault="00467C1B" w:rsidP="00467C1B">
      <w:pPr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>Do 1983 r. w naszym kraju stosowano różne sposoby leczenia AML i uzyskiwano mniej niż 10% wyleczeń. Wprowadzone później, kolejno modyfikowane programy terapeutyczne, oparte na doświadczeniach Grupy BFM pozwoliły na poprawę wyników – do prawie 50% wyleczeń. W celu uzyskania dalszej poprawy wyników terapii AML u dzieci, wprowadzono oryginalny program Grupy BFM: AML-BFM Interim 2004, uwzględniający bardziej precyzyjną stratyfikację do grup ryzyka, z wykorzystaniem badań cytogenetycznych i molekularnych. Dla oceny skuteczności leczenia wykorzystuje się czułe techniki molekularne w celu oznaczenia poziomu charakterystycznych dla danego typu AML molekularnych markerów. W ciągu ostatnich 10 lat liczne badania dowiodły, że detekcja nawet niewielkiej liczby komórek nowotworowych (MRD) znamiennie koreluje z wynikami terapii w wielu złośliwych chorobach krwi. W poszczególnych podtypach tych chorób, ocena MRD jest ważna dla podejmowania decyzji terapeutycznych.</w:t>
      </w:r>
    </w:p>
    <w:p w14:paraId="7611584E" w14:textId="77777777" w:rsidR="00467C1B" w:rsidRPr="006D205A" w:rsidRDefault="00467C1B" w:rsidP="00467C1B">
      <w:pPr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Realizacja zadania ukierunkowana jest na kontrolę jakości w diagnostyce ostrej białaczki u dzieci. Jego celem jest poprawa wyników leczenia dzieci z ALL i AML, poprzez zastosowanie bardziej intensywnego leczenia u dzieci z cechami niekorzystnymi rokowniczo oraz przez zredukowanie intensywności chemioterapii u dzieci, u których z dużą wiarygodnością można wykluczyć obecność cech niekorzystnych rokowniczo. </w:t>
      </w:r>
    </w:p>
    <w:p w14:paraId="12758F11" w14:textId="77777777" w:rsidR="00467C1B" w:rsidRPr="006D205A" w:rsidRDefault="00467C1B" w:rsidP="00467C1B">
      <w:pPr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lastRenderedPageBreak/>
        <w:t xml:space="preserve">Dla osiągnięcia założonych celów, konieczne jest wykorzystanie strategii postępowania opartej na ocenie MRD, oznaczanej równocześnie przy pomocy metody cytofluorometrycznej i technik molekularnych, co daje szansę na zmniejszenie toksyczności i redukcję kosztów leczenia białaczki u dzieci. Równocześnie, prowadzona będzie centralna weryfikacja wyników badań cytomorfologicznych krwi obwodowej i szpiku oraz badań cytogenetycznych komórek białaczkowych u każdego pacjenta. Wyniki będą omawiane na wspólnych posiedzeniach diagnostów ze wszystkich ośrodków wykonujących te badania. </w:t>
      </w:r>
    </w:p>
    <w:p w14:paraId="42FE33DA" w14:textId="77777777" w:rsidR="00467C1B" w:rsidRPr="006D205A" w:rsidRDefault="00467C1B" w:rsidP="00467C1B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/>
          <w:bCs/>
          <w:color w:val="000000" w:themeColor="text1"/>
          <w:lang w:eastAsia="pl-PL"/>
        </w:rPr>
        <w:t>Działania do realizacji:</w:t>
      </w:r>
    </w:p>
    <w:p w14:paraId="2D180046" w14:textId="77777777" w:rsidR="00467C1B" w:rsidRPr="006D205A" w:rsidRDefault="00467C1B" w:rsidP="00467C1B">
      <w:pPr>
        <w:tabs>
          <w:tab w:val="left" w:pos="142"/>
        </w:tabs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1. Prowadzenie centralnej weryfikacji badań cytomorfologicznych wszystkich pacjentów z rozpoznaną ostrą białaczką: badanie szpiku wykonywane obligatoryjnie dobie 15 i 33 oraz, w razie potrzeby, w dniu rozpoznania, lub w późniejszych terminach, oraz badanie krwi obwodowej w 8 dobie. </w:t>
      </w:r>
    </w:p>
    <w:p w14:paraId="0CCF3B40" w14:textId="77777777" w:rsidR="00467C1B" w:rsidRPr="006D205A" w:rsidRDefault="00467C1B" w:rsidP="00467C1B">
      <w:pPr>
        <w:tabs>
          <w:tab w:val="left" w:pos="142"/>
        </w:tabs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>2. Przesyłanie preparatów do weryfikacji badań cytomorfologicznych pomiędzy ośrodkami zgłaszającymi i leczącymi pacjentów a ośrodkami weryfikującymi badania.</w:t>
      </w:r>
    </w:p>
    <w:p w14:paraId="0520B41C" w14:textId="77777777" w:rsidR="00467C1B" w:rsidRPr="006D205A" w:rsidRDefault="00467C1B" w:rsidP="00467C1B">
      <w:pPr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>3. Organizacja 3 sesji weryfikacyjnych dotyczących cytomorfologii, z udziałem przedstawicieli 16 polskich ośrodków diagnostycznych</w:t>
      </w:r>
      <w:r w:rsidRPr="006D205A">
        <w:rPr>
          <w:rStyle w:val="Odwoaniedokomentarza"/>
          <w:rFonts w:ascii="Arial" w:hAnsi="Arial" w:cs="Arial"/>
          <w:color w:val="000000" w:themeColor="text1"/>
          <w:sz w:val="22"/>
        </w:rPr>
        <w:t>,</w:t>
      </w:r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w czasie których omawiane będą wyniki zweryfikowanych badań. Finansowaniu podlegać będą </w:t>
      </w:r>
      <w:r w:rsidRPr="006D205A">
        <w:rPr>
          <w:rFonts w:ascii="Arial" w:eastAsia="Times New Roman" w:hAnsi="Arial" w:cs="Arial"/>
          <w:bCs/>
          <w:color w:val="000000" w:themeColor="text1"/>
          <w:u w:val="single"/>
          <w:lang w:eastAsia="pl-PL"/>
        </w:rPr>
        <w:t>wyłącznie</w:t>
      </w:r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następujące koszty: podróży uczestników najbardziej ekonomicznym środkiem transportu, noclegów uczestników, wynajmu sali, usługi gastronomicznej (cateringu), wynajmu sprzętu medycznego (np. mikroskopów), wydruku/zakupu materiałów konferencyjnych/szkoleniowych, prowadzenia wykładów.</w:t>
      </w:r>
    </w:p>
    <w:p w14:paraId="52AA4FF1" w14:textId="77777777" w:rsidR="00467C1B" w:rsidRPr="006D205A" w:rsidRDefault="00467C1B" w:rsidP="00467C1B">
      <w:pPr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>4. Prowadzenie centralnej weryfikacji badań cytogenetycznych metodą prążkową i/lub FISH. których wyniki omawiane będą na wspólnych posiedzeniach diagnostów ze wszystkich ośrodków wykonujących ww. badania.</w:t>
      </w:r>
    </w:p>
    <w:p w14:paraId="6AC9AC1C" w14:textId="77777777" w:rsidR="00467C1B" w:rsidRPr="006D205A" w:rsidRDefault="00467C1B" w:rsidP="00467C1B">
      <w:pPr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>5. Przesyłanie preparatów do weryfikacji badań cytogenetycznych pomiędzy ośrodkami zgłaszającymi i leczącymi pacjentów a ośrodkami weryfikującymi badania.</w:t>
      </w:r>
    </w:p>
    <w:p w14:paraId="55DCAD06" w14:textId="77777777" w:rsidR="00467C1B" w:rsidRPr="006D205A" w:rsidRDefault="00467C1B" w:rsidP="00467C1B">
      <w:pPr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6. Organizacja 2 sesji weryfikacyjnych dotyczących cytogenetyki, z udziałem przedstawicieli 16 polskich ośrodków diagnostycznych, w czasie których omawiane będą wyniki zweryfikowanych badań. Finansowaniu podlegać będą </w:t>
      </w:r>
      <w:r w:rsidRPr="006D205A">
        <w:rPr>
          <w:rFonts w:ascii="Arial" w:eastAsia="Times New Roman" w:hAnsi="Arial" w:cs="Arial"/>
          <w:bCs/>
          <w:color w:val="000000" w:themeColor="text1"/>
          <w:u w:val="single"/>
          <w:lang w:eastAsia="pl-PL"/>
        </w:rPr>
        <w:t>wyłącznie</w:t>
      </w:r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następujące koszty: podróży uczestników najbardziej ekonomicznym środkiem transportu, noclegów uczestników, wynajmu sali, usługi gastronomicznej (cateringu), wynajmu sprzętu medycznego (np. mikroskopów), wydruku/zakupu materiałów konferencyjnych/szkoleniowych,  prowadzenia wykładów.</w:t>
      </w:r>
    </w:p>
    <w:p w14:paraId="0DE6ACF4" w14:textId="77777777" w:rsidR="00467C1B" w:rsidRPr="006D205A" w:rsidRDefault="00467C1B" w:rsidP="00467C1B">
      <w:pPr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>7. Monitorowanie minimalnej choroby resztkowej metodą cytofluorometryczną (przy pomocy cytometrii przepływowej) u wszystkich pacjentów, w oparciu o próbki szpiku pobrane przy rozpoznaniu choroby (konieczność znalezienia markerów immunologicznych) oraz w dobie 15 i 33. Laboratorium wykonujące badanie dla wszystkich pacjentów z Polski musi posiadać europejski certyfikat jakości oceny choroby resztkowej.</w:t>
      </w:r>
    </w:p>
    <w:p w14:paraId="6585C416" w14:textId="772A5420" w:rsidR="00467C1B" w:rsidRPr="006D205A" w:rsidRDefault="00467C1B" w:rsidP="00467C1B">
      <w:pPr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CE535A">
        <w:rPr>
          <w:rFonts w:ascii="Arial" w:eastAsia="Times New Roman" w:hAnsi="Arial" w:cs="Arial"/>
          <w:bCs/>
          <w:color w:val="000000" w:themeColor="text1"/>
          <w:lang w:eastAsia="pl-PL"/>
        </w:rPr>
        <w:t>8. Monitorowanie minimalnej choroby resztkowej metodą molekularną</w:t>
      </w:r>
      <w:r w:rsidR="00CE535A" w:rsidRPr="00CE535A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w ALL</w:t>
      </w:r>
      <w:r w:rsidRPr="00CE535A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u każdego pacjenta z DNA komórek szpiku pobranych przy rozpoznaniu choroby (konieczność znalezienia markerów genetycznych)</w:t>
      </w:r>
      <w:r w:rsidR="00742AE6" w:rsidRPr="00CE535A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w odpowiednich punktach czasowych zdefiniowanych programem leczenia AIEOP-BFM 2017 (od 1 do 7 punktów czasowych dla jednego pacjenta w przypadku leczenia pierwszej linii oraz od 1 do 4 punktów czasowych przy leczeniu wznowy choroby). </w:t>
      </w:r>
      <w:r w:rsidRPr="00CE535A">
        <w:rPr>
          <w:rFonts w:ascii="Arial" w:eastAsia="Times New Roman" w:hAnsi="Arial" w:cs="Arial"/>
          <w:bCs/>
          <w:color w:val="000000" w:themeColor="text1"/>
          <w:lang w:eastAsia="pl-PL"/>
        </w:rPr>
        <w:t>Laboratorium genetyki molekularnej wykonujące badania, musi przystąpić do europejskiego programu certyfikacji jakości oceny choroby resztkowej</w:t>
      </w:r>
      <w:r w:rsidR="00742AE6" w:rsidRPr="00CE535A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EURO-MRD.</w:t>
      </w:r>
    </w:p>
    <w:p w14:paraId="57C069B7" w14:textId="3E6B2ED3" w:rsidR="00D940C2" w:rsidRPr="0028296F" w:rsidRDefault="00D940C2" w:rsidP="0028296F">
      <w:pPr>
        <w:jc w:val="both"/>
        <w:rPr>
          <w:rFonts w:ascii="Arial" w:eastAsia="Times New Roman" w:hAnsi="Arial" w:cs="Arial"/>
          <w:color w:val="FF0000"/>
          <w:lang w:eastAsia="pl-PL"/>
        </w:rPr>
      </w:pPr>
      <w:r w:rsidRPr="00DF6FBC">
        <w:rPr>
          <w:rFonts w:ascii="Arial" w:eastAsia="Times New Roman" w:hAnsi="Arial" w:cs="Arial"/>
          <w:bCs/>
          <w:color w:val="000000" w:themeColor="text1"/>
          <w:lang w:eastAsia="pl-PL"/>
        </w:rPr>
        <w:t>9. Prowadzenie diagnostyki molekularnej sekwencjonowania RNA metodą NGS oraz macierzy całogenomowych w diagnostyce podtypów białaczek w celu zastąpienia tą technologią wykonywanych obecnie badań cytogenetycznych (ALL i AML)</w:t>
      </w:r>
      <w:r w:rsidR="00DF6FBC" w:rsidRPr="00DF6FBC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. </w:t>
      </w:r>
      <w:r w:rsidR="00DF6FBC" w:rsidRPr="0028296F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Metoda sekwencjonowania RNA NGS ma dostarczyć informacji o obecności fuzji genowych oraz o obecności mutacji punktowych w genach zaangażowanych w karcynogenezę w celu wskazania potencjalnego celu terapeutycznego. Badania za pomocą macierzy całogenomowych powinny być wykonane metodą wysokiej rozdzielczości na poziomie detekcji zmian liczby kopii fragmentów genomu </w:t>
      </w:r>
      <w:r w:rsidR="00DF6FBC" w:rsidRPr="0028296F">
        <w:rPr>
          <w:rFonts w:ascii="Arial" w:eastAsia="Times New Roman" w:hAnsi="Arial" w:cs="Arial"/>
          <w:bCs/>
          <w:color w:val="000000" w:themeColor="text1"/>
          <w:lang w:eastAsia="pl-PL"/>
        </w:rPr>
        <w:lastRenderedPageBreak/>
        <w:t>wielkości 25-50kb, pokrywająca wszystkie znane geny wg OMIM i RefSeq i pozwalającą na detekcję nabytych disomii jednorodzicielskich (UPD).</w:t>
      </w:r>
    </w:p>
    <w:p w14:paraId="0BA476A3" w14:textId="77777777" w:rsidR="00467C1B" w:rsidRPr="006D205A" w:rsidRDefault="00467C1B" w:rsidP="00467C1B">
      <w:pPr>
        <w:spacing w:before="240" w:after="12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/>
          <w:bCs/>
          <w:color w:val="000000" w:themeColor="text1"/>
          <w:lang w:eastAsia="pl-PL"/>
        </w:rPr>
        <w:t>Populacja badana:</w:t>
      </w:r>
    </w:p>
    <w:p w14:paraId="3F6806EF" w14:textId="77777777" w:rsidR="00467C1B" w:rsidRPr="006D205A" w:rsidRDefault="00467C1B" w:rsidP="00467C1B">
      <w:pPr>
        <w:spacing w:before="240"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Dzieci i młodzież do 18 r.ż., u których zdiagnozowano ostrą białaczkę. </w:t>
      </w:r>
    </w:p>
    <w:p w14:paraId="14DECFC0" w14:textId="77777777" w:rsidR="00523B62" w:rsidRPr="006D205A" w:rsidRDefault="00523B62" w:rsidP="00523B62">
      <w:pPr>
        <w:spacing w:before="240" w:after="12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/>
          <w:bCs/>
          <w:color w:val="000000" w:themeColor="text1"/>
          <w:lang w:eastAsia="pl-PL"/>
        </w:rPr>
        <w:t>Ogólne warunki realizacji zadania:</w:t>
      </w:r>
    </w:p>
    <w:p w14:paraId="42D4B2D2" w14:textId="77777777" w:rsidR="00523B62" w:rsidRPr="006D205A" w:rsidRDefault="00E80393" w:rsidP="00E80393">
      <w:pPr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- </w:t>
      </w:r>
      <w:r w:rsidR="00523B62" w:rsidRPr="006D205A">
        <w:rPr>
          <w:rFonts w:ascii="Arial" w:eastAsia="Times New Roman" w:hAnsi="Arial" w:cs="Arial"/>
          <w:bCs/>
          <w:color w:val="000000" w:themeColor="text1"/>
          <w:lang w:eastAsia="pl-PL"/>
        </w:rPr>
        <w:t>Wykaz limitów kosztów, możliwych do rozliczania w ramach organizacji sesji weryfikacyjnych i sesji kliniczno-terapeutycznej:</w:t>
      </w:r>
    </w:p>
    <w:p w14:paraId="74DCF35C" w14:textId="77777777" w:rsidR="00523B62" w:rsidRPr="006D205A" w:rsidRDefault="00E80393" w:rsidP="00E80393">
      <w:pPr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- </w:t>
      </w:r>
      <w:r w:rsidR="00523B62" w:rsidRPr="006D205A">
        <w:rPr>
          <w:rFonts w:ascii="Arial" w:eastAsia="Times New Roman" w:hAnsi="Arial" w:cs="Arial"/>
          <w:bCs/>
          <w:color w:val="000000" w:themeColor="text1"/>
          <w:lang w:eastAsia="pl-PL"/>
        </w:rPr>
        <w:t>Koszty wynajęcia sal wykładowych (cena max. na osobę – 40 zł, jednak nie więcej niż 3 500 zł za dzień). W przypadku, gdy realizator zorganizuje spotkanie w swojej siedzibie, koszty wynajmu sali nie będą refundowane,</w:t>
      </w:r>
    </w:p>
    <w:p w14:paraId="5B70FECA" w14:textId="77777777" w:rsidR="00523B62" w:rsidRPr="006D205A" w:rsidRDefault="00E80393" w:rsidP="00E80393">
      <w:pPr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- </w:t>
      </w:r>
      <w:r w:rsidR="00523B62" w:rsidRPr="006D205A">
        <w:rPr>
          <w:rFonts w:ascii="Arial" w:eastAsia="Times New Roman" w:hAnsi="Arial" w:cs="Arial"/>
          <w:bCs/>
          <w:color w:val="000000" w:themeColor="text1"/>
          <w:lang w:eastAsia="pl-PL"/>
        </w:rPr>
        <w:t>Koszty wynagrodzenia wykładowców – max. 500 zł dla osoby posiadającej co najmniej stopień naukowy doktora oraz max. 300 zł dla pozostałych osób (za godzinę wykładową tj. min. 45 min.),</w:t>
      </w:r>
    </w:p>
    <w:p w14:paraId="18EB7AA7" w14:textId="77777777" w:rsidR="00523B62" w:rsidRPr="006D205A" w:rsidRDefault="00E80393" w:rsidP="00E80393">
      <w:pPr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- </w:t>
      </w:r>
      <w:r w:rsidR="00523B62" w:rsidRPr="006D205A">
        <w:rPr>
          <w:rFonts w:ascii="Arial" w:eastAsia="Times New Roman" w:hAnsi="Arial" w:cs="Arial"/>
          <w:bCs/>
          <w:color w:val="000000" w:themeColor="text1"/>
          <w:lang w:eastAsia="pl-PL"/>
        </w:rPr>
        <w:t>Koszty dojazdów (najbardziej ekonomicznym środkiem transportu):</w:t>
      </w:r>
    </w:p>
    <w:p w14:paraId="1CCD2865" w14:textId="77777777" w:rsidR="00523B62" w:rsidRPr="006D205A" w:rsidRDefault="00E80393" w:rsidP="00E80393">
      <w:pPr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- </w:t>
      </w:r>
      <w:r w:rsidR="00523B62" w:rsidRPr="006D205A">
        <w:rPr>
          <w:rFonts w:ascii="Arial" w:eastAsia="Times New Roman" w:hAnsi="Arial" w:cs="Arial"/>
          <w:bCs/>
          <w:color w:val="000000" w:themeColor="text1"/>
          <w:lang w:eastAsia="pl-PL"/>
        </w:rPr>
        <w:t>Pod pojęciem podróży najbardziej ekonomicznym środkiem transportu Zleceniodawca rozumie podróż za pośrednictwem PKP – 2 klasą, PKS lub miejskiego zakładu komunikacji. W przypadku braku możliwości wykorzystania powyższych środków transportu na trasie dojazdu na spotkanie, Zleceniobiorca może wykorzystać jako środek transportu samochód osobowy zgodnie z rozporządzeniem Ministra Pracy i Polityki Społecznej z dnia 29 stycznia 2013 r. w sprawie należności przysługujących pracownikowi zatrudnionemu w państwowej lub samorządowej jednostce sfery budżetowej z tytułu podróży służbowej (Dz. U. 2013 r. poz. 167). W przypadku konieczności wykorzystania innego, niż wymienione środka transportu, należy przedstawić stosowne uzasadnienie dlaczego konieczne jest jego wykorzystanie, wraz z analizą kosztów podróży pozostałymi środkami (PKP, PKS, MZK, samochód osobowy) w tym samym terminie. W przypadku, jeżeli koszty podróży środkiem transportu innym niż wskazane będzie wyższy, wówczas przysługuje rozliczenie kosztów podróży do wysokości kwoty najbardziej ekonomicznego z nich.</w:t>
      </w:r>
    </w:p>
    <w:p w14:paraId="0593685C" w14:textId="77777777" w:rsidR="00523B62" w:rsidRPr="006D205A" w:rsidRDefault="00E80393" w:rsidP="00E80393">
      <w:pPr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- </w:t>
      </w:r>
      <w:r w:rsidR="00523B62" w:rsidRPr="006D205A">
        <w:rPr>
          <w:rFonts w:ascii="Arial" w:eastAsia="Times New Roman" w:hAnsi="Arial" w:cs="Arial"/>
          <w:bCs/>
          <w:color w:val="000000" w:themeColor="text1"/>
          <w:lang w:eastAsia="pl-PL"/>
        </w:rPr>
        <w:t>Koszty usługi gastronomicznej (cateringu) - max. 35 zł za osobę na dzień,</w:t>
      </w:r>
    </w:p>
    <w:p w14:paraId="031757B5" w14:textId="77777777" w:rsidR="00523B62" w:rsidRPr="006D205A" w:rsidRDefault="00E80393" w:rsidP="00E80393">
      <w:pPr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- </w:t>
      </w:r>
      <w:r w:rsidR="00523B62" w:rsidRPr="006D205A">
        <w:rPr>
          <w:rFonts w:ascii="Arial" w:eastAsia="Times New Roman" w:hAnsi="Arial" w:cs="Arial"/>
          <w:bCs/>
          <w:color w:val="000000" w:themeColor="text1"/>
          <w:lang w:eastAsia="pl-PL"/>
        </w:rPr>
        <w:t>Koszty noclegów dla wykładowców i uczestników sesji – max. 220 zł za osobę za dzień</w:t>
      </w:r>
    </w:p>
    <w:p w14:paraId="318C7CC4" w14:textId="2334DEB8" w:rsidR="00523B62" w:rsidRPr="006D205A" w:rsidRDefault="00E80393" w:rsidP="00E80393">
      <w:pPr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- </w:t>
      </w:r>
      <w:r w:rsidR="00523B62" w:rsidRPr="006D205A">
        <w:rPr>
          <w:rFonts w:ascii="Arial" w:eastAsia="Times New Roman" w:hAnsi="Arial" w:cs="Arial"/>
          <w:bCs/>
          <w:color w:val="000000" w:themeColor="text1"/>
          <w:lang w:eastAsia="pl-PL"/>
        </w:rPr>
        <w:t>Koszty obsługi administracyjnej – max. 10% łącz</w:t>
      </w:r>
      <w:r w:rsidR="00B37F7C">
        <w:rPr>
          <w:rFonts w:ascii="Arial" w:eastAsia="Times New Roman" w:hAnsi="Arial" w:cs="Arial"/>
          <w:bCs/>
          <w:color w:val="000000" w:themeColor="text1"/>
          <w:lang w:eastAsia="pl-PL"/>
        </w:rPr>
        <w:t>nej kwoty środków wydatkowanych</w:t>
      </w:r>
      <w:r w:rsidR="00523B62" w:rsidRPr="006D205A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na organizację sesji weryfikacyjnych,</w:t>
      </w:r>
    </w:p>
    <w:p w14:paraId="759B4604" w14:textId="77777777" w:rsidR="00523B62" w:rsidRPr="006D205A" w:rsidRDefault="00E80393" w:rsidP="00E80393">
      <w:pPr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- </w:t>
      </w:r>
      <w:r w:rsidR="00523B62" w:rsidRPr="006D205A">
        <w:rPr>
          <w:rFonts w:ascii="Arial" w:eastAsia="Times New Roman" w:hAnsi="Arial" w:cs="Arial"/>
          <w:bCs/>
          <w:color w:val="000000" w:themeColor="text1"/>
          <w:lang w:eastAsia="pl-PL"/>
        </w:rPr>
        <w:t>Nie podlegają refundacji koszty wynajmu sprzętu medycznego, w przypadku, gdy jest on własnością realizatora Programu.</w:t>
      </w:r>
    </w:p>
    <w:p w14:paraId="60D9FDFD" w14:textId="77777777" w:rsidR="00A62D4D" w:rsidRPr="006D205A" w:rsidRDefault="006866A7" w:rsidP="00E80393">
      <w:pPr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</w:p>
    <w:sectPr w:rsidR="00A62D4D" w:rsidRPr="006D2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40A5B0" w16cid:durableId="20A02C2A"/>
  <w16cid:commentId w16cid:paraId="172B45C3" w16cid:durableId="20A02DB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7B38"/>
    <w:multiLevelType w:val="hybridMultilevel"/>
    <w:tmpl w:val="83D03C5E"/>
    <w:lvl w:ilvl="0" w:tplc="3A9AB1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C5B99"/>
    <w:multiLevelType w:val="hybridMultilevel"/>
    <w:tmpl w:val="B2D08B14"/>
    <w:lvl w:ilvl="0" w:tplc="92CC1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5F4"/>
    <w:rsid w:val="001435CE"/>
    <w:rsid w:val="002323D2"/>
    <w:rsid w:val="00246365"/>
    <w:rsid w:val="0028296F"/>
    <w:rsid w:val="00467C1B"/>
    <w:rsid w:val="004B5590"/>
    <w:rsid w:val="00523B62"/>
    <w:rsid w:val="005575F4"/>
    <w:rsid w:val="00557695"/>
    <w:rsid w:val="006866A7"/>
    <w:rsid w:val="006D205A"/>
    <w:rsid w:val="00742AE6"/>
    <w:rsid w:val="00A911C7"/>
    <w:rsid w:val="00AB766F"/>
    <w:rsid w:val="00B37F7C"/>
    <w:rsid w:val="00BE23BD"/>
    <w:rsid w:val="00CB6042"/>
    <w:rsid w:val="00CE535A"/>
    <w:rsid w:val="00D940C2"/>
    <w:rsid w:val="00DF6FBC"/>
    <w:rsid w:val="00E8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E6359"/>
  <w15:chartTrackingRefBased/>
  <w15:docId w15:val="{D4EA7842-A656-4FCB-A5B8-48551DD2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7C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67C1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rsid w:val="00467C1B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76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76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76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766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7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66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rsid w:val="00DF6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1367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Bilińska Magdalena</dc:creator>
  <cp:keywords/>
  <dc:description/>
  <cp:lastModifiedBy>Bilińska Magdalena</cp:lastModifiedBy>
  <cp:revision>2</cp:revision>
  <dcterms:created xsi:type="dcterms:W3CDTF">2019-06-07T12:20:00Z</dcterms:created>
  <dcterms:modified xsi:type="dcterms:W3CDTF">2019-06-07T12:20:00Z</dcterms:modified>
</cp:coreProperties>
</file>