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D639" w14:textId="77777777" w:rsidR="00E615E3" w:rsidRPr="00C32FCD" w:rsidRDefault="009D72F0" w:rsidP="00C32FC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32FC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2852AA" wp14:editId="4DBD5728">
            <wp:extent cx="2591435" cy="623570"/>
            <wp:effectExtent l="0" t="0" r="0" b="5080"/>
            <wp:docPr id="1" name="Obraz 1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57A75101" w14:textId="77777777" w:rsidR="00E615E3" w:rsidRPr="00C32FCD" w:rsidRDefault="00E615E3" w:rsidP="00C32FC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28EFE7EA" w14:textId="4F439797" w:rsidR="00E615E3" w:rsidRPr="00C32FCD" w:rsidRDefault="00896E69" w:rsidP="00630617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934733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DDD9532" w14:textId="2513D045" w:rsidR="00E615E3" w:rsidRPr="00C32FCD" w:rsidRDefault="00E615E3" w:rsidP="00C32FCD">
      <w:pPr>
        <w:tabs>
          <w:tab w:val="left" w:pos="1320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45116EAA" w14:textId="77777777" w:rsidR="00C32FCD" w:rsidRDefault="009D72F0" w:rsidP="00C32FC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32FCD">
        <w:rPr>
          <w:rFonts w:ascii="Arial" w:hAnsi="Arial" w:cs="Arial"/>
          <w:b/>
          <w:color w:val="57575B"/>
          <w:sz w:val="40"/>
          <w:szCs w:val="40"/>
        </w:rPr>
        <w:t>Przewodniczący</w:t>
      </w:r>
    </w:p>
    <w:p w14:paraId="7EE8BAD3" w14:textId="3F667F24" w:rsidR="009C7BF6" w:rsidRPr="00C32FCD" w:rsidRDefault="00376F95" w:rsidP="00C32FC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32FCD">
        <w:rPr>
          <w:rFonts w:ascii="Arial" w:hAnsi="Arial" w:cs="Arial"/>
          <w:sz w:val="24"/>
          <w:szCs w:val="24"/>
        </w:rPr>
        <w:t xml:space="preserve"> </w:t>
      </w:r>
      <w:r w:rsidR="009C7BF6" w:rsidRPr="00C32FCD">
        <w:rPr>
          <w:rFonts w:ascii="Arial" w:hAnsi="Arial" w:cs="Arial"/>
          <w:sz w:val="24"/>
          <w:szCs w:val="24"/>
        </w:rPr>
        <w:t xml:space="preserve">Warszawa,  </w:t>
      </w:r>
      <w:r w:rsidR="00324972" w:rsidRPr="00C32FCD">
        <w:rPr>
          <w:rFonts w:ascii="Arial" w:hAnsi="Arial" w:cs="Arial"/>
          <w:sz w:val="24"/>
          <w:szCs w:val="24"/>
        </w:rPr>
        <w:t xml:space="preserve"> </w:t>
      </w:r>
      <w:r w:rsidR="00566A7D">
        <w:rPr>
          <w:rFonts w:ascii="Arial" w:hAnsi="Arial" w:cs="Arial"/>
          <w:sz w:val="24"/>
          <w:szCs w:val="24"/>
        </w:rPr>
        <w:t>7</w:t>
      </w:r>
      <w:r w:rsidR="00324972" w:rsidRPr="00C32FCD">
        <w:rPr>
          <w:rFonts w:ascii="Arial" w:hAnsi="Arial" w:cs="Arial"/>
          <w:sz w:val="24"/>
          <w:szCs w:val="24"/>
        </w:rPr>
        <w:t xml:space="preserve"> </w:t>
      </w:r>
      <w:r w:rsidRPr="00C32FCD">
        <w:rPr>
          <w:rFonts w:ascii="Arial" w:hAnsi="Arial" w:cs="Arial"/>
          <w:sz w:val="24"/>
          <w:szCs w:val="24"/>
        </w:rPr>
        <w:t xml:space="preserve"> </w:t>
      </w:r>
      <w:r w:rsidR="00C963EB" w:rsidRPr="00C32FCD">
        <w:rPr>
          <w:rFonts w:ascii="Arial" w:hAnsi="Arial" w:cs="Arial"/>
          <w:sz w:val="24"/>
          <w:szCs w:val="24"/>
        </w:rPr>
        <w:t>marca 2023</w:t>
      </w:r>
      <w:r w:rsidR="009C7BF6" w:rsidRPr="00C32FCD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27E9501C" w14:textId="19701FA0" w:rsidR="009C7BF6" w:rsidRPr="00C32FCD" w:rsidRDefault="009C7BF6" w:rsidP="00C32FC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FCD">
        <w:rPr>
          <w:rFonts w:ascii="Arial" w:eastAsia="Times New Roman" w:hAnsi="Arial" w:cs="Arial"/>
          <w:b/>
          <w:sz w:val="24"/>
          <w:szCs w:val="24"/>
          <w:lang w:eastAsia="pl-PL"/>
        </w:rPr>
        <w:t>Sygn. akt KR VI</w:t>
      </w:r>
      <w:r w:rsidR="00766118" w:rsidRPr="00C32F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963EB" w:rsidRPr="00C32FCD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9140BB" w:rsidRPr="00C32FCD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32FCD">
        <w:rPr>
          <w:rFonts w:ascii="Arial" w:eastAsia="Times New Roman" w:hAnsi="Arial" w:cs="Arial"/>
          <w:b/>
          <w:sz w:val="24"/>
          <w:szCs w:val="24"/>
          <w:lang w:eastAsia="pl-PL"/>
        </w:rPr>
        <w:t>ukośnik</w:t>
      </w:r>
      <w:r w:rsidR="00766118" w:rsidRPr="00C32FCD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</w:p>
    <w:p w14:paraId="443A659E" w14:textId="28D2EC55" w:rsidR="00073CF3" w:rsidRPr="00C32FCD" w:rsidRDefault="009D72F0" w:rsidP="00C32FC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FCD">
        <w:rPr>
          <w:rFonts w:ascii="Arial" w:hAnsi="Arial" w:cs="Arial"/>
          <w:b/>
          <w:sz w:val="24"/>
          <w:szCs w:val="24"/>
        </w:rPr>
        <w:t>DPA-VI</w:t>
      </w:r>
      <w:r w:rsidR="00376F95" w:rsidRPr="00C32FCD">
        <w:rPr>
          <w:rFonts w:ascii="Arial" w:hAnsi="Arial" w:cs="Arial"/>
          <w:b/>
          <w:sz w:val="24"/>
          <w:szCs w:val="24"/>
        </w:rPr>
        <w:t>.9130.</w:t>
      </w:r>
      <w:r w:rsidR="00766118" w:rsidRPr="00C32FCD">
        <w:rPr>
          <w:rFonts w:ascii="Arial" w:hAnsi="Arial" w:cs="Arial"/>
          <w:b/>
          <w:sz w:val="24"/>
          <w:szCs w:val="24"/>
        </w:rPr>
        <w:t>4</w:t>
      </w:r>
      <w:r w:rsidR="009140BB" w:rsidRPr="00C32FCD">
        <w:rPr>
          <w:rFonts w:ascii="Arial" w:hAnsi="Arial" w:cs="Arial"/>
          <w:b/>
          <w:sz w:val="24"/>
          <w:szCs w:val="24"/>
        </w:rPr>
        <w:t>4</w:t>
      </w:r>
      <w:r w:rsidR="00766118" w:rsidRPr="00C32FCD">
        <w:rPr>
          <w:rFonts w:ascii="Arial" w:hAnsi="Arial" w:cs="Arial"/>
          <w:b/>
          <w:sz w:val="24"/>
          <w:szCs w:val="24"/>
        </w:rPr>
        <w:t>.2022</w:t>
      </w:r>
      <w:r w:rsidRPr="00C32FCD">
        <w:rPr>
          <w:rFonts w:ascii="Arial" w:hAnsi="Arial" w:cs="Arial"/>
          <w:b/>
          <w:sz w:val="24"/>
          <w:szCs w:val="24"/>
        </w:rPr>
        <w:br/>
      </w:r>
    </w:p>
    <w:p w14:paraId="309C5272" w14:textId="77777777" w:rsidR="009C7BF6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813BB7F" w14:textId="477238BD" w:rsidR="009C7BF6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32F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15D566A2" w14:textId="77777777" w:rsidR="009C7BF6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6CF07F4" w14:textId="77777777" w:rsidR="009C7BF6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F70F0D6" w14:textId="72188B05" w:rsidR="009C7BF6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roku o szczególnych zasadach usuwania skutków prawnych decyzji reprywatyzacyjnych </w:t>
      </w:r>
      <w:r w:rsidRPr="00C32FCD">
        <w:rPr>
          <w:rFonts w:ascii="Arial" w:eastAsia="Times New Roman" w:hAnsi="Arial" w:cs="Arial"/>
          <w:sz w:val="24"/>
          <w:szCs w:val="24"/>
          <w:lang w:eastAsia="zh-CN"/>
        </w:rPr>
        <w:lastRenderedPageBreak/>
        <w:t>dotyczących nieruchomości warszawskich, wydanych z naruszeniem prawa (Dz.</w:t>
      </w:r>
      <w:r w:rsidR="00474308"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32FCD">
        <w:rPr>
          <w:rFonts w:ascii="Arial" w:eastAsia="Times New Roman" w:hAnsi="Arial" w:cs="Arial"/>
          <w:sz w:val="24"/>
          <w:szCs w:val="24"/>
          <w:lang w:eastAsia="zh-CN"/>
        </w:rPr>
        <w:t>U. z 2021 r. poz. 795),</w:t>
      </w:r>
      <w:r w:rsidR="00073CF3"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 w wykonaniu postanowienia Komisji do spraw reprywatyzacji nieruchomości warszawskich </w:t>
      </w:r>
      <w:r w:rsidR="00766118" w:rsidRPr="00C32FCD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766118" w:rsidRPr="00C32FCD">
        <w:rPr>
          <w:rFonts w:ascii="Arial" w:hAnsi="Arial" w:cs="Arial"/>
          <w:sz w:val="24"/>
          <w:szCs w:val="24"/>
        </w:rPr>
        <w:t> </w:t>
      </w:r>
      <w:r w:rsidR="00766118"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dnia </w:t>
      </w:r>
      <w:r w:rsidR="00C963EB"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14 grudnia </w:t>
      </w:r>
      <w:r w:rsidR="00766118"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2022 r., sygn. akt KR VI R </w:t>
      </w:r>
      <w:r w:rsidR="00C963EB" w:rsidRPr="00C32FCD">
        <w:rPr>
          <w:rFonts w:ascii="Arial" w:eastAsia="Times New Roman" w:hAnsi="Arial" w:cs="Arial"/>
          <w:sz w:val="24"/>
          <w:szCs w:val="24"/>
          <w:lang w:eastAsia="zh-CN"/>
        </w:rPr>
        <w:t>103</w:t>
      </w:r>
      <w:r w:rsidR="00766118" w:rsidRPr="00C32FCD">
        <w:rPr>
          <w:rFonts w:ascii="Arial" w:eastAsia="Times New Roman" w:hAnsi="Arial" w:cs="Arial"/>
          <w:sz w:val="24"/>
          <w:szCs w:val="24"/>
          <w:lang w:eastAsia="zh-CN"/>
        </w:rPr>
        <w:t>/22</w:t>
      </w:r>
    </w:p>
    <w:p w14:paraId="6AD4095F" w14:textId="77777777" w:rsidR="009C7BF6" w:rsidRPr="00C32FCD" w:rsidRDefault="009C7BF6" w:rsidP="00C32FCD">
      <w:pPr>
        <w:suppressAutoHyphens/>
        <w:spacing w:after="48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410734" w14:textId="7D7A08A6" w:rsidR="009140BB" w:rsidRPr="00C32FCD" w:rsidRDefault="009C7BF6" w:rsidP="00C32FCD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zawiadamiam </w:t>
      </w:r>
      <w:r w:rsidR="00073CF3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dodatkowo </w:t>
      </w: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>następując</w:t>
      </w:r>
      <w:r w:rsidR="00073CF3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>ą</w:t>
      </w: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stron</w:t>
      </w:r>
      <w:r w:rsidR="00073CF3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>ę</w:t>
      </w: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16AEAE13" w14:textId="47D3D241" w:rsidR="00B40DAB" w:rsidRPr="00C32FCD" w:rsidRDefault="00B52EE3" w:rsidP="00C32FCD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- </w:t>
      </w:r>
      <w:r w:rsidR="00B40DAB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Stoen Operator spółka z ograniczoną odpowiedzialnością </w:t>
      </w:r>
      <w:r w:rsidR="00B37136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z siedzibą  </w:t>
      </w: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 Warszawie  </w:t>
      </w:r>
    </w:p>
    <w:p w14:paraId="2D333CCF" w14:textId="2B1A99B2" w:rsidR="009140BB" w:rsidRPr="00C32FCD" w:rsidRDefault="009140BB" w:rsidP="00C32FCD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- </w:t>
      </w:r>
      <w:proofErr w:type="spellStart"/>
      <w:r w:rsidR="00324972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>Veolia</w:t>
      </w:r>
      <w:proofErr w:type="spellEnd"/>
      <w:r w:rsidR="00324972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Energia Warszawa spółka akcyjna </w:t>
      </w:r>
      <w:r w:rsidR="00B37136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z siedzibą </w:t>
      </w:r>
      <w:r w:rsidR="00324972" w:rsidRPr="00C32FC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 Warszawie </w:t>
      </w:r>
    </w:p>
    <w:p w14:paraId="43B8C5EA" w14:textId="0C3C30DD" w:rsidR="009C7BF6" w:rsidRPr="00C32FCD" w:rsidRDefault="009C7BF6" w:rsidP="00C32FCD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o </w:t>
      </w:r>
      <w:r w:rsidR="006C7328" w:rsidRPr="00C32FCD">
        <w:rPr>
          <w:rFonts w:ascii="Arial" w:eastAsia="Times New Roman" w:hAnsi="Arial" w:cs="Arial"/>
          <w:sz w:val="24"/>
          <w:szCs w:val="24"/>
          <w:lang w:eastAsia="zh-CN"/>
        </w:rPr>
        <w:t>wszczęciu</w:t>
      </w:r>
      <w:r w:rsidRPr="00C32FCD">
        <w:rPr>
          <w:rFonts w:ascii="Arial" w:eastAsia="Times New Roman" w:hAnsi="Arial" w:cs="Arial"/>
          <w:sz w:val="24"/>
          <w:szCs w:val="24"/>
          <w:lang w:eastAsia="zh-CN"/>
        </w:rPr>
        <w:t xml:space="preserve"> z urzędu postępowania rozpoznawczego </w:t>
      </w:r>
      <w:r w:rsidRPr="00C32FCD">
        <w:rPr>
          <w:rFonts w:ascii="Arial" w:hAnsi="Arial" w:cs="Arial"/>
          <w:bCs/>
          <w:sz w:val="24"/>
          <w:szCs w:val="24"/>
        </w:rPr>
        <w:t xml:space="preserve">w przedmiocie </w:t>
      </w:r>
      <w:r w:rsidR="00995AA0" w:rsidRPr="00C32FCD">
        <w:rPr>
          <w:rFonts w:ascii="Arial" w:hAnsi="Arial" w:cs="Arial"/>
          <w:bCs/>
          <w:sz w:val="24"/>
          <w:szCs w:val="24"/>
        </w:rPr>
        <w:t>Burmistrza Gminy Warszawa-Centrum z dnia 14  grudnia  2001  r. nr  187/2001 dotyczącej uchylenia orzeczenia administracyjnego Prezydium Rady Narodowej w m.st. Warszawa z dnia 23 listopada 1959  r. oraz ustanawiającej prawo użytkowania wieczystego do zabudowanego gruntu o powierzchni 899  m2 położonego w  Warszawie przy ul. Nowy Świat 53, stanowiącego działkę ewidencyjną nr 10 z obrębu 5-03-11, dla której Sąd Rejonowy dla Warszawy - Mokotowa w  Warszawie prowadzi księgę wieczystą nr WA4M/00204904/2, dawne oznaczenie numerem hipotecznym 1252</w:t>
      </w:r>
      <w:r w:rsidR="00324972" w:rsidRPr="00C32FCD">
        <w:rPr>
          <w:rFonts w:ascii="Arial" w:hAnsi="Arial" w:cs="Arial"/>
          <w:bCs/>
          <w:sz w:val="24"/>
          <w:szCs w:val="24"/>
        </w:rPr>
        <w:t>.</w:t>
      </w:r>
    </w:p>
    <w:p w14:paraId="493FD386" w14:textId="77777777" w:rsidR="00766118" w:rsidRPr="00C32FCD" w:rsidRDefault="00766118" w:rsidP="00C32FCD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09591555" w14:textId="77777777" w:rsidR="009C7BF6" w:rsidRPr="00C32FCD" w:rsidRDefault="009C7BF6" w:rsidP="00C32FC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2FCD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39942669" w14:textId="2C64EEC4" w:rsidR="009C7BF6" w:rsidRPr="00C32FCD" w:rsidRDefault="009C7BF6" w:rsidP="00C32FC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2FCD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58428C6" w14:textId="77777777" w:rsidR="00423F7A" w:rsidRPr="00C32FCD" w:rsidRDefault="00423F7A" w:rsidP="00C32FCD">
      <w:pPr>
        <w:spacing w:after="480" w:line="360" w:lineRule="auto"/>
        <w:rPr>
          <w:rFonts w:ascii="Arial" w:eastAsiaTheme="minorHAnsi" w:hAnsi="Arial" w:cs="Arial"/>
          <w:b/>
          <w:bCs/>
          <w:sz w:val="18"/>
          <w:szCs w:val="18"/>
        </w:rPr>
      </w:pPr>
    </w:p>
    <w:p w14:paraId="5A18B40B" w14:textId="3473E5B2" w:rsidR="00423F7A" w:rsidRPr="00C32FCD" w:rsidRDefault="00423F7A" w:rsidP="00C32FCD">
      <w:pPr>
        <w:spacing w:after="480" w:line="360" w:lineRule="auto"/>
        <w:rPr>
          <w:rFonts w:ascii="Arial" w:eastAsiaTheme="minorHAnsi" w:hAnsi="Arial" w:cs="Arial"/>
          <w:b/>
          <w:bCs/>
          <w:sz w:val="18"/>
          <w:szCs w:val="18"/>
        </w:rPr>
      </w:pPr>
    </w:p>
    <w:p w14:paraId="2880A413" w14:textId="77777777" w:rsidR="00423F7A" w:rsidRPr="00C32FCD" w:rsidRDefault="00423F7A" w:rsidP="00C32FCD">
      <w:pPr>
        <w:spacing w:after="480" w:line="360" w:lineRule="auto"/>
        <w:rPr>
          <w:rFonts w:ascii="Arial" w:eastAsiaTheme="minorHAnsi" w:hAnsi="Arial" w:cs="Arial"/>
          <w:b/>
          <w:bCs/>
          <w:sz w:val="18"/>
          <w:szCs w:val="18"/>
        </w:rPr>
      </w:pPr>
    </w:p>
    <w:p w14:paraId="7520041C" w14:textId="6601BCD5" w:rsidR="00A41D3A" w:rsidRPr="00C32FCD" w:rsidRDefault="00423F7A" w:rsidP="00C32FCD">
      <w:pPr>
        <w:spacing w:after="480" w:line="360" w:lineRule="auto"/>
        <w:rPr>
          <w:rFonts w:ascii="Arial" w:eastAsiaTheme="minorHAnsi" w:hAnsi="Arial" w:cs="Arial"/>
          <w:b/>
          <w:bCs/>
          <w:sz w:val="18"/>
          <w:szCs w:val="18"/>
        </w:rPr>
      </w:pPr>
      <w:r w:rsidRPr="00C32FCD"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  <w:r w:rsidR="00A41D3A" w:rsidRPr="00C32FCD">
        <w:rPr>
          <w:rFonts w:ascii="Arial" w:eastAsiaTheme="minorHAnsi" w:hAnsi="Arial" w:cs="Arial"/>
          <w:b/>
          <w:bCs/>
          <w:sz w:val="18"/>
          <w:szCs w:val="18"/>
        </w:rPr>
        <w:t>POUCZENIE:</w:t>
      </w:r>
    </w:p>
    <w:p w14:paraId="139B3A17" w14:textId="59632330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103AE7" w14:textId="60E26188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2. Zgodnie z art. 33 ustawy z dnia 14 czerwca 1960 r. – Kodeks postępowania administracyjnego (Dz. U.  z  202</w:t>
      </w:r>
      <w:r w:rsidR="00EA7CD2" w:rsidRPr="00C32FCD">
        <w:rPr>
          <w:rFonts w:ascii="Arial" w:hAnsi="Arial" w:cs="Arial"/>
          <w:sz w:val="18"/>
          <w:szCs w:val="18"/>
        </w:rPr>
        <w:t>2</w:t>
      </w:r>
      <w:r w:rsidRPr="00C32FCD">
        <w:rPr>
          <w:rFonts w:ascii="Arial" w:hAnsi="Arial" w:cs="Arial"/>
          <w:sz w:val="18"/>
          <w:szCs w:val="18"/>
        </w:rPr>
        <w:t xml:space="preserve">  r. poz. </w:t>
      </w:r>
      <w:r w:rsidR="00EA7CD2" w:rsidRPr="00C32FCD">
        <w:rPr>
          <w:rFonts w:ascii="Arial" w:hAnsi="Arial" w:cs="Arial"/>
          <w:sz w:val="18"/>
          <w:szCs w:val="18"/>
        </w:rPr>
        <w:t>2000</w:t>
      </w:r>
      <w:r w:rsidRPr="00C32FCD">
        <w:rPr>
          <w:rFonts w:ascii="Arial" w:hAnsi="Arial" w:cs="Arial"/>
          <w:sz w:val="18"/>
          <w:szCs w:val="18"/>
        </w:rPr>
        <w:t>):</w:t>
      </w:r>
    </w:p>
    <w:p w14:paraId="1AB092C0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§ 1. Pełnomocnikiem strony może być osoba fizyczna posiadająca zdolność do czynności prawnych.</w:t>
      </w:r>
    </w:p>
    <w:p w14:paraId="02FA99A2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§ 2. Pełnomocnictwo powinno być udzielone na piśmie, w formie dokumentu elektronicznego lub zgłoszone do protokołu.</w:t>
      </w:r>
    </w:p>
    <w:p w14:paraId="75EB14B8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686DF5D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0F8EAE6" w14:textId="59EB18CA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858691F" w14:textId="419B5508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3. Zgodnie z art. 21 ust. 1 ustawy z dnia 6 lipca 1982 r. ustawy o rad</w:t>
      </w:r>
      <w:r w:rsidR="00EA7CD2" w:rsidRPr="00C32FCD">
        <w:rPr>
          <w:rFonts w:ascii="Arial" w:hAnsi="Arial" w:cs="Arial"/>
          <w:sz w:val="18"/>
          <w:szCs w:val="18"/>
        </w:rPr>
        <w:t>c</w:t>
      </w:r>
      <w:r w:rsidRPr="00C32FCD">
        <w:rPr>
          <w:rFonts w:ascii="Arial" w:hAnsi="Arial" w:cs="Arial"/>
          <w:sz w:val="18"/>
          <w:szCs w:val="18"/>
        </w:rPr>
        <w:t xml:space="preserve">ach prawnych (Dz. U. z 2022 r. poz. 1166) radca prawny może udzielić dalszego pełnomocnictwa (substytucji) innemu radcy prawnemu, adwokatowi, </w:t>
      </w:r>
      <w:r w:rsidRPr="00C32FCD">
        <w:rPr>
          <w:rFonts w:ascii="Arial" w:hAnsi="Arial" w:cs="Arial"/>
          <w:sz w:val="18"/>
          <w:szCs w:val="18"/>
        </w:rPr>
        <w:lastRenderedPageBreak/>
        <w:t>prawnikowi zagranicznemu wykonującemu stałą praktykę w zakresie wynikającym z ustawy o świadczeniu przez prawników zagranicznych pomocy prawnej w Rzeczypospolitej Polskiej.</w:t>
      </w:r>
    </w:p>
    <w:p w14:paraId="25DE8C78" w14:textId="7D862771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4. Zgodnie z art. 35</w:t>
      </w:r>
      <w:r w:rsidRPr="00C32FCD">
        <w:rPr>
          <w:rFonts w:ascii="Arial" w:hAnsi="Arial" w:cs="Arial"/>
          <w:sz w:val="18"/>
          <w:szCs w:val="18"/>
          <w:vertAlign w:val="superscript"/>
        </w:rPr>
        <w:t>1</w:t>
      </w:r>
      <w:r w:rsidRPr="00C32FCD">
        <w:rPr>
          <w:rFonts w:ascii="Arial" w:hAnsi="Arial" w:cs="Arial"/>
          <w:sz w:val="18"/>
          <w:szCs w:val="18"/>
        </w:rPr>
        <w:t xml:space="preserve"> ust. 4 ustawy z dnia 6 lipca 1982 r. ustawy o rad</w:t>
      </w:r>
      <w:r w:rsidR="00EA7CD2" w:rsidRPr="00C32FCD">
        <w:rPr>
          <w:rFonts w:ascii="Arial" w:hAnsi="Arial" w:cs="Arial"/>
          <w:sz w:val="18"/>
          <w:szCs w:val="18"/>
        </w:rPr>
        <w:t>c</w:t>
      </w:r>
      <w:r w:rsidRPr="00C32FCD">
        <w:rPr>
          <w:rFonts w:ascii="Arial" w:hAnsi="Arial" w:cs="Arial"/>
          <w:sz w:val="18"/>
          <w:szCs w:val="18"/>
        </w:rPr>
        <w:t>ach prawnych (Dz. U. z 2022 r. poz. 1166)</w:t>
      </w:r>
      <w:r w:rsidR="00EA7CD2" w:rsidRPr="00C32FCD">
        <w:rPr>
          <w:rFonts w:ascii="Arial" w:hAnsi="Arial" w:cs="Arial"/>
          <w:sz w:val="18"/>
          <w:szCs w:val="18"/>
        </w:rPr>
        <w:t>,</w:t>
      </w:r>
      <w:r w:rsidRPr="00C32FCD">
        <w:rPr>
          <w:rFonts w:ascii="Arial" w:hAnsi="Arial" w:cs="Arial"/>
          <w:sz w:val="18"/>
          <w:szCs w:val="18"/>
        </w:rPr>
        <w:t xml:space="preserve">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5BF9F73" w14:textId="47CC23CC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5. Zgodnie z art. 25 ust. 3 ustawy z dnia 26 maja 1982 r. – Prawo o adwokaturze (Dz. U. z 20</w:t>
      </w:r>
      <w:r w:rsidR="00EA7CD2" w:rsidRPr="00C32FCD">
        <w:rPr>
          <w:rFonts w:ascii="Arial" w:hAnsi="Arial" w:cs="Arial"/>
          <w:sz w:val="18"/>
          <w:szCs w:val="18"/>
        </w:rPr>
        <w:t>22</w:t>
      </w:r>
      <w:r w:rsidRPr="00C32FCD">
        <w:rPr>
          <w:rFonts w:ascii="Arial" w:hAnsi="Arial" w:cs="Arial"/>
          <w:sz w:val="18"/>
          <w:szCs w:val="18"/>
        </w:rPr>
        <w:t xml:space="preserve"> r. poz. </w:t>
      </w:r>
      <w:r w:rsidR="00EA7CD2" w:rsidRPr="00C32FCD">
        <w:rPr>
          <w:rFonts w:ascii="Arial" w:hAnsi="Arial" w:cs="Arial"/>
          <w:sz w:val="18"/>
          <w:szCs w:val="18"/>
        </w:rPr>
        <w:t xml:space="preserve">1184), </w:t>
      </w:r>
      <w:r w:rsidRPr="00C32FCD">
        <w:rPr>
          <w:rFonts w:ascii="Arial" w:hAnsi="Arial" w:cs="Arial"/>
          <w:sz w:val="18"/>
          <w:szCs w:val="18"/>
        </w:rPr>
        <w:t>w wypadku gdy adwokat prowadzący sprawę nie może wziąć osobiście udziału w rozprawie lub wykonać osobiście poszczególnych czynności w sprawie, może on udzielić substytucji.</w:t>
      </w:r>
    </w:p>
    <w:p w14:paraId="0354E00A" w14:textId="1BEF563D" w:rsidR="00A41D3A" w:rsidRPr="00C32FCD" w:rsidRDefault="00A41D3A" w:rsidP="00C32FCD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C32FCD">
        <w:rPr>
          <w:rFonts w:ascii="Arial" w:hAnsi="Arial" w:cs="Arial"/>
          <w:sz w:val="18"/>
          <w:szCs w:val="18"/>
        </w:rPr>
        <w:t>6. Zgodnie z art. 77 ust. 5 ustawy z dnia 26 maja 1982 r. – Prawo o adwokaturze (Dz. U. z 20</w:t>
      </w:r>
      <w:r w:rsidR="00EA7CD2" w:rsidRPr="00C32FCD">
        <w:rPr>
          <w:rFonts w:ascii="Arial" w:hAnsi="Arial" w:cs="Arial"/>
          <w:sz w:val="18"/>
          <w:szCs w:val="18"/>
        </w:rPr>
        <w:t>22</w:t>
      </w:r>
      <w:r w:rsidRPr="00C32FCD">
        <w:rPr>
          <w:rFonts w:ascii="Arial" w:hAnsi="Arial" w:cs="Arial"/>
          <w:sz w:val="18"/>
          <w:szCs w:val="18"/>
        </w:rPr>
        <w:t xml:space="preserve"> r. poz. 1</w:t>
      </w:r>
      <w:r w:rsidR="00EA7CD2" w:rsidRPr="00C32FCD">
        <w:rPr>
          <w:rFonts w:ascii="Arial" w:hAnsi="Arial" w:cs="Arial"/>
          <w:sz w:val="18"/>
          <w:szCs w:val="18"/>
        </w:rPr>
        <w:t xml:space="preserve">184), </w:t>
      </w:r>
      <w:r w:rsidRPr="00C32FCD">
        <w:rPr>
          <w:rFonts w:ascii="Arial" w:hAnsi="Arial" w:cs="Arial"/>
          <w:sz w:val="18"/>
          <w:szCs w:val="18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A238A44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</w:rPr>
      </w:pPr>
    </w:p>
    <w:p w14:paraId="707C3A1B" w14:textId="77777777" w:rsidR="00A41D3A" w:rsidRPr="00C32FCD" w:rsidRDefault="00A41D3A" w:rsidP="00C32FCD">
      <w:pPr>
        <w:spacing w:after="480" w:line="360" w:lineRule="auto"/>
        <w:rPr>
          <w:rFonts w:ascii="Arial" w:hAnsi="Arial" w:cs="Arial"/>
        </w:rPr>
      </w:pPr>
    </w:p>
    <w:p w14:paraId="2BFDF35E" w14:textId="77777777" w:rsidR="00994608" w:rsidRPr="00C32FCD" w:rsidRDefault="00994608" w:rsidP="00C32FCD">
      <w:pPr>
        <w:spacing w:after="480" w:line="360" w:lineRule="auto"/>
        <w:rPr>
          <w:rFonts w:ascii="Arial" w:hAnsi="Arial" w:cs="Arial"/>
        </w:rPr>
      </w:pPr>
    </w:p>
    <w:sectPr w:rsidR="00994608" w:rsidRPr="00C3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7A5E" w14:textId="77777777" w:rsidR="00D366BF" w:rsidRDefault="00D366BF" w:rsidP="00A12594">
      <w:pPr>
        <w:spacing w:after="0" w:line="240" w:lineRule="auto"/>
      </w:pPr>
      <w:r>
        <w:separator/>
      </w:r>
    </w:p>
  </w:endnote>
  <w:endnote w:type="continuationSeparator" w:id="0">
    <w:p w14:paraId="7C5A598F" w14:textId="77777777" w:rsidR="00D366BF" w:rsidRDefault="00D366BF" w:rsidP="00A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02A0" w14:textId="77777777" w:rsidR="00D366BF" w:rsidRDefault="00D366BF" w:rsidP="00A12594">
      <w:pPr>
        <w:spacing w:after="0" w:line="240" w:lineRule="auto"/>
      </w:pPr>
      <w:r>
        <w:separator/>
      </w:r>
    </w:p>
  </w:footnote>
  <w:footnote w:type="continuationSeparator" w:id="0">
    <w:p w14:paraId="11EC265F" w14:textId="77777777" w:rsidR="00D366BF" w:rsidRDefault="00D366BF" w:rsidP="00A1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6"/>
    <w:rsid w:val="00073CF3"/>
    <w:rsid w:val="000D00DB"/>
    <w:rsid w:val="00213E62"/>
    <w:rsid w:val="002213E0"/>
    <w:rsid w:val="00247A15"/>
    <w:rsid w:val="002F0972"/>
    <w:rsid w:val="00314A81"/>
    <w:rsid w:val="00324972"/>
    <w:rsid w:val="00376BB0"/>
    <w:rsid w:val="00376F95"/>
    <w:rsid w:val="00423F7A"/>
    <w:rsid w:val="004707BB"/>
    <w:rsid w:val="00474308"/>
    <w:rsid w:val="00566A7D"/>
    <w:rsid w:val="00630617"/>
    <w:rsid w:val="006C7328"/>
    <w:rsid w:val="00766118"/>
    <w:rsid w:val="00896E69"/>
    <w:rsid w:val="009140BB"/>
    <w:rsid w:val="00994608"/>
    <w:rsid w:val="00995AA0"/>
    <w:rsid w:val="009C7BF6"/>
    <w:rsid w:val="009D72F0"/>
    <w:rsid w:val="00A12594"/>
    <w:rsid w:val="00A41D3A"/>
    <w:rsid w:val="00B37136"/>
    <w:rsid w:val="00B40DAB"/>
    <w:rsid w:val="00B52EE3"/>
    <w:rsid w:val="00BE3802"/>
    <w:rsid w:val="00C32FCD"/>
    <w:rsid w:val="00C963EB"/>
    <w:rsid w:val="00D366BF"/>
    <w:rsid w:val="00D46E92"/>
    <w:rsid w:val="00DC5CB3"/>
    <w:rsid w:val="00E41310"/>
    <w:rsid w:val="00E615E3"/>
    <w:rsid w:val="00EA7CD2"/>
    <w:rsid w:val="00E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C663"/>
  <w15:chartTrackingRefBased/>
  <w15:docId w15:val="{2F9A3275-0CAB-46C9-A0DF-518C192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6</cp:revision>
  <dcterms:created xsi:type="dcterms:W3CDTF">2023-03-06T09:35:00Z</dcterms:created>
  <dcterms:modified xsi:type="dcterms:W3CDTF">2023-03-08T11:57:00Z</dcterms:modified>
</cp:coreProperties>
</file>