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F270E" w14:textId="242EAD1A" w:rsidR="00C04B63" w:rsidRDefault="00532F36" w:rsidP="00E15C2E">
      <w:pPr>
        <w:jc w:val="both"/>
        <w:rPr>
          <w:b/>
        </w:rPr>
      </w:pPr>
      <w:bookmarkStart w:id="0" w:name="_GoBack"/>
      <w:bookmarkEnd w:id="0"/>
      <w:r w:rsidRPr="00532F36">
        <w:rPr>
          <w:b/>
        </w:rPr>
        <w:t xml:space="preserve">Ekspertyza dotycząca zasadności finansowania ze środków europejskich </w:t>
      </w:r>
      <w:r w:rsidR="00C04B63" w:rsidRPr="00C04B63">
        <w:rPr>
          <w:b/>
        </w:rPr>
        <w:t>utworzeni</w:t>
      </w:r>
      <w:r w:rsidR="00C04B63">
        <w:rPr>
          <w:b/>
        </w:rPr>
        <w:t>a</w:t>
      </w:r>
      <w:r w:rsidR="00C04B63" w:rsidRPr="00C04B63">
        <w:rPr>
          <w:b/>
        </w:rPr>
        <w:t xml:space="preserve"> sieci magazynów </w:t>
      </w:r>
      <w:r w:rsidR="00C04B63">
        <w:rPr>
          <w:b/>
        </w:rPr>
        <w:t>studyjnych</w:t>
      </w:r>
      <w:r w:rsidR="00C04B63" w:rsidRPr="00C04B63">
        <w:rPr>
          <w:b/>
        </w:rPr>
        <w:t xml:space="preserve"> </w:t>
      </w:r>
    </w:p>
    <w:p w14:paraId="06249219" w14:textId="5BCF523F" w:rsidR="00C04B63" w:rsidRPr="00C04B63" w:rsidRDefault="00C04B63" w:rsidP="00E15C2E">
      <w:pPr>
        <w:jc w:val="both"/>
        <w:rPr>
          <w:u w:val="single"/>
        </w:rPr>
      </w:pPr>
      <w:r w:rsidRPr="00C04B63">
        <w:rPr>
          <w:u w:val="single"/>
        </w:rPr>
        <w:t>Cel analizy</w:t>
      </w:r>
    </w:p>
    <w:p w14:paraId="1D35A1C1" w14:textId="5A67224B" w:rsidR="00FE5D70" w:rsidRPr="00FE5D70" w:rsidRDefault="00FE5D70" w:rsidP="00FE5D70">
      <w:pPr>
        <w:jc w:val="both"/>
      </w:pPr>
      <w:r w:rsidRPr="00FE5D70">
        <w:t xml:space="preserve">Celem analizy jest uzasadnienie finansowania niezbędnych inwestycji infrastrukturalnych służących </w:t>
      </w:r>
      <w:r>
        <w:t>utworz</w:t>
      </w:r>
      <w:r w:rsidR="00D02524">
        <w:t>eniu sieci magazynów studyjnych</w:t>
      </w:r>
      <w:r w:rsidR="00D02524">
        <w:rPr>
          <w:rStyle w:val="Odwoanieprzypisudolnego"/>
        </w:rPr>
        <w:footnoteReference w:id="1"/>
      </w:r>
      <w:r w:rsidR="00D02524">
        <w:t xml:space="preserve">, działających przy muzeach i galeriach sztuki </w:t>
      </w:r>
      <w:r w:rsidRPr="00FE5D70">
        <w:t xml:space="preserve">w związku z programowaniem kolejnej perspektywy finansowej UE. </w:t>
      </w:r>
    </w:p>
    <w:p w14:paraId="2DB38A59" w14:textId="2D8B3684" w:rsidR="00C04B63" w:rsidRPr="00FE5D70" w:rsidRDefault="00FE5D70" w:rsidP="00FE5D70">
      <w:pPr>
        <w:jc w:val="both"/>
      </w:pPr>
      <w:r w:rsidRPr="00FE5D70">
        <w:t>Zamawiający oczekuje przedstawienia potrzeb w zakresie:</w:t>
      </w:r>
    </w:p>
    <w:p w14:paraId="3B931387" w14:textId="4FFCBE6E" w:rsidR="00C04B63" w:rsidRPr="00FE5D70" w:rsidRDefault="00FE5D70" w:rsidP="00E15C2E">
      <w:pPr>
        <w:jc w:val="both"/>
      </w:pPr>
      <w:r w:rsidRPr="00FE5D70">
        <w:t>- budowy,</w:t>
      </w:r>
    </w:p>
    <w:p w14:paraId="432A7CA6" w14:textId="754E4E7B" w:rsidR="00FE5D70" w:rsidRPr="00FE5D70" w:rsidRDefault="00FE5D70" w:rsidP="00E15C2E">
      <w:pPr>
        <w:jc w:val="both"/>
      </w:pPr>
      <w:r w:rsidRPr="00FE5D70">
        <w:t>- rozbudowy,</w:t>
      </w:r>
    </w:p>
    <w:p w14:paraId="2E224F70" w14:textId="0716224E" w:rsidR="00FE5D70" w:rsidRDefault="00D02524" w:rsidP="00E15C2E">
      <w:pPr>
        <w:jc w:val="both"/>
      </w:pPr>
      <w:r>
        <w:t>- remontu</w:t>
      </w:r>
    </w:p>
    <w:p w14:paraId="5825B9DF" w14:textId="644BAD2F" w:rsidR="00FE5D70" w:rsidRPr="00FE5D70" w:rsidRDefault="00D02524" w:rsidP="00E15C2E">
      <w:pPr>
        <w:jc w:val="both"/>
      </w:pPr>
      <w:r w:rsidRPr="00FE5D70">
        <w:t>infrastruktury magazynowej, która będzie jednocześnie pełniła funkcję ośrodków studyjno-konserwatorski</w:t>
      </w:r>
      <w:r w:rsidR="003049A7">
        <w:t xml:space="preserve">ch oraz </w:t>
      </w:r>
      <w:r w:rsidR="00FE5D70" w:rsidRPr="00FE5D70">
        <w:t xml:space="preserve">adaptacji </w:t>
      </w:r>
      <w:r>
        <w:t xml:space="preserve">istniejących obiektów, w szczególności zabytkowych na cele </w:t>
      </w:r>
      <w:proofErr w:type="spellStart"/>
      <w:r>
        <w:t>magazynowo-studyjne</w:t>
      </w:r>
      <w:proofErr w:type="spellEnd"/>
      <w:r>
        <w:t>.</w:t>
      </w:r>
    </w:p>
    <w:p w14:paraId="6CFF36A6" w14:textId="77777777" w:rsidR="002A666A" w:rsidRDefault="002A666A" w:rsidP="00E15C2E">
      <w:pPr>
        <w:jc w:val="both"/>
      </w:pPr>
      <w:r w:rsidRPr="002A666A">
        <w:rPr>
          <w:u w:val="single"/>
        </w:rPr>
        <w:t>Przedmiot zamówienia</w:t>
      </w:r>
      <w:r w:rsidR="00C04B63" w:rsidRPr="00FE5D70">
        <w:t xml:space="preserve"> </w:t>
      </w:r>
    </w:p>
    <w:p w14:paraId="146F30C4" w14:textId="23EA3134" w:rsidR="002A666A" w:rsidRDefault="002A666A" w:rsidP="00E15C2E">
      <w:pPr>
        <w:jc w:val="both"/>
      </w:pPr>
      <w:r w:rsidRPr="002A666A">
        <w:t xml:space="preserve">Przedmiotem ekspertyzy jest dokonanie diagnozy i oceny zasadności wspierania z funduszy strukturalnych rozwoju infrastruktury </w:t>
      </w:r>
      <w:r>
        <w:t xml:space="preserve">magazynowej muzeów i galerii sztuki, służącej jednocześnie zwiększeniu dostępności społeczeństwa do zbiorów oraz do </w:t>
      </w:r>
      <w:r w:rsidR="00D02524">
        <w:t>efektów pracy badaczy i konserwatorów.</w:t>
      </w:r>
      <w:r w:rsidRPr="002A666A">
        <w:t xml:space="preserve"> </w:t>
      </w:r>
    </w:p>
    <w:p w14:paraId="08AE84EE" w14:textId="23995C56" w:rsidR="002A666A" w:rsidRPr="002A666A" w:rsidRDefault="002A666A" w:rsidP="00E15C2E">
      <w:pPr>
        <w:jc w:val="both"/>
        <w:rPr>
          <w:u w:val="single"/>
        </w:rPr>
      </w:pPr>
      <w:r w:rsidRPr="002A666A">
        <w:rPr>
          <w:u w:val="single"/>
        </w:rPr>
        <w:t>Zakres zamówienia</w:t>
      </w:r>
    </w:p>
    <w:p w14:paraId="24FD7EEF" w14:textId="7E76A3C3" w:rsidR="00D02524" w:rsidRDefault="00D02524" w:rsidP="00E15C2E">
      <w:pPr>
        <w:jc w:val="both"/>
      </w:pPr>
      <w:r w:rsidRPr="00D02524">
        <w:t>W 2017 r. w Polsce działalność prowadziło 949 muzeów i oddziałów muzealnych</w:t>
      </w:r>
      <w:r>
        <w:t xml:space="preserve"> oraz 341 galerii sztuki.</w:t>
      </w:r>
    </w:p>
    <w:p w14:paraId="5DCFD0AA" w14:textId="060C6EBD" w:rsidR="002A666A" w:rsidRDefault="002A666A" w:rsidP="00E15C2E">
      <w:pPr>
        <w:jc w:val="both"/>
      </w:pPr>
      <w:r>
        <w:t>Analizie obejmie:</w:t>
      </w:r>
    </w:p>
    <w:p w14:paraId="7BBF9A8C" w14:textId="40BD2137" w:rsidR="002A666A" w:rsidRDefault="002A666A" w:rsidP="002A666A">
      <w:pPr>
        <w:jc w:val="both"/>
      </w:pPr>
      <w:r>
        <w:t>1) muzea, dla których organizatorem lub współorganizatorem jest Minister Kultury i Dziedzictwa Narodowego;</w:t>
      </w:r>
    </w:p>
    <w:p w14:paraId="0098E679" w14:textId="296BDED5" w:rsidR="002A666A" w:rsidRDefault="002A666A" w:rsidP="002A666A">
      <w:pPr>
        <w:jc w:val="both"/>
      </w:pPr>
      <w:r>
        <w:t>2) muzea, dla których organizatorem jest inny organ administracji państwowej;</w:t>
      </w:r>
    </w:p>
    <w:p w14:paraId="0884E1BA" w14:textId="1994F3A9" w:rsidR="002A666A" w:rsidRDefault="002A666A" w:rsidP="002A666A">
      <w:pPr>
        <w:jc w:val="both"/>
      </w:pPr>
      <w:r>
        <w:t>3) muzea wpisane do Państwowego Rejestru Muzeów, będących instytucjami kultury (muzea państwowe i samorządowe);</w:t>
      </w:r>
    </w:p>
    <w:p w14:paraId="02546C85" w14:textId="2E14CA47" w:rsidR="002A666A" w:rsidRDefault="002A666A" w:rsidP="002A666A">
      <w:pPr>
        <w:jc w:val="both"/>
      </w:pPr>
      <w:r>
        <w:t xml:space="preserve">4) wyspecjalizowane instytucje kultury podległe/nadzorowane przez </w:t>
      </w:r>
      <w:proofErr w:type="spellStart"/>
      <w:r>
        <w:t>MKiDN</w:t>
      </w:r>
      <w:proofErr w:type="spellEnd"/>
      <w:r>
        <w:t xml:space="preserve"> </w:t>
      </w:r>
      <w:r w:rsidR="00D02524">
        <w:t>(np. NIMOZ, NID);</w:t>
      </w:r>
    </w:p>
    <w:p w14:paraId="5DB97044" w14:textId="6EA0DD02" w:rsidR="00D02524" w:rsidRDefault="00D02524" w:rsidP="002A666A">
      <w:pPr>
        <w:jc w:val="both"/>
      </w:pPr>
      <w:r>
        <w:t>5) publiczne galerie sztuki.</w:t>
      </w:r>
    </w:p>
    <w:p w14:paraId="786A9E91" w14:textId="75F35A82" w:rsidR="00D02524" w:rsidRDefault="00D02524" w:rsidP="002A666A">
      <w:pPr>
        <w:jc w:val="both"/>
      </w:pPr>
      <w:r w:rsidRPr="00D02524">
        <w:t>Zamawiający oczekuje, że Wykonawca dokona analizy i udzieli odpowiedzi na poniższe pytania:</w:t>
      </w:r>
    </w:p>
    <w:p w14:paraId="38A4791A" w14:textId="091A9D58" w:rsidR="00D02524" w:rsidRDefault="00D02524" w:rsidP="00D02524">
      <w:pPr>
        <w:jc w:val="both"/>
      </w:pPr>
      <w:r>
        <w:lastRenderedPageBreak/>
        <w:t xml:space="preserve">1. Ile </w:t>
      </w:r>
      <w:r w:rsidR="001B0F6C">
        <w:t xml:space="preserve">muzeów i galerii sztuki, wskazanych w pkt. 1- 5 posiada </w:t>
      </w:r>
      <w:r>
        <w:t>magazyn studyjny? Jakie rodzaje zbiorów są w nich przechowywane?</w:t>
      </w:r>
    </w:p>
    <w:p w14:paraId="18C6B20A" w14:textId="4F8C235F" w:rsidR="00D02524" w:rsidRDefault="00D02524" w:rsidP="00D02524">
      <w:pPr>
        <w:jc w:val="both"/>
      </w:pPr>
      <w:r>
        <w:t xml:space="preserve">2. Czy wszystkie </w:t>
      </w:r>
      <w:r w:rsidR="001B0F6C">
        <w:t xml:space="preserve">istniejące magazyny studyjne </w:t>
      </w:r>
      <w:r>
        <w:t>zapewniają otwarty dostęp do zbiorów?</w:t>
      </w:r>
    </w:p>
    <w:p w14:paraId="19A8EA13" w14:textId="7A5CB006" w:rsidR="00D02524" w:rsidRDefault="00D02524" w:rsidP="00D02524">
      <w:pPr>
        <w:jc w:val="both"/>
      </w:pPr>
      <w:r>
        <w:t>3. Które muzea identyfikują potrzebę utworzenia magazynów studyjnych? Jakie</w:t>
      </w:r>
      <w:r w:rsidR="001B0F6C">
        <w:t>go rodzaju</w:t>
      </w:r>
      <w:r>
        <w:t xml:space="preserve"> zbior</w:t>
      </w:r>
      <w:r w:rsidR="001B0F6C">
        <w:t>y</w:t>
      </w:r>
      <w:r>
        <w:t xml:space="preserve"> byłyby tam przechowywane?</w:t>
      </w:r>
    </w:p>
    <w:p w14:paraId="00289679" w14:textId="50FF4AE5" w:rsidR="00D02524" w:rsidRDefault="00D02524" w:rsidP="00D02524">
      <w:pPr>
        <w:jc w:val="both"/>
      </w:pPr>
      <w:r>
        <w:t xml:space="preserve">4. Jakie </w:t>
      </w:r>
      <w:r w:rsidR="001B0F6C">
        <w:t>obiekty</w:t>
      </w:r>
      <w:r>
        <w:t xml:space="preserve"> i gdzie można by było zaadaptować (w podziale na zabytki i </w:t>
      </w:r>
      <w:proofErr w:type="spellStart"/>
      <w:r>
        <w:t>niezabytki</w:t>
      </w:r>
      <w:proofErr w:type="spellEnd"/>
      <w:r>
        <w:t>)?</w:t>
      </w:r>
    </w:p>
    <w:p w14:paraId="302162F2" w14:textId="6CE9187E" w:rsidR="00D02524" w:rsidRDefault="00D02524" w:rsidP="00D02524">
      <w:pPr>
        <w:jc w:val="both"/>
      </w:pPr>
      <w:r>
        <w:t>5. Czy jest potrzeba budowy od podstaw nowych magazynów</w:t>
      </w:r>
      <w:r w:rsidR="001B0F6C">
        <w:t xml:space="preserve"> studyjnych</w:t>
      </w:r>
      <w:r>
        <w:t>?</w:t>
      </w:r>
    </w:p>
    <w:p w14:paraId="4FB77384" w14:textId="1B17703C" w:rsidR="002A666A" w:rsidRDefault="00D02524" w:rsidP="00D02524">
      <w:pPr>
        <w:jc w:val="both"/>
      </w:pPr>
      <w:r>
        <w:t>6. Jakie funkcje</w:t>
      </w:r>
      <w:r w:rsidR="001B0F6C">
        <w:t xml:space="preserve"> – poza przechowywaniem, ochroną i udostępnianiem zbiorów -</w:t>
      </w:r>
      <w:r>
        <w:t xml:space="preserve"> mogłyby pełnić magazyny studyjne</w:t>
      </w:r>
      <w:r w:rsidR="001B0F6C">
        <w:t xml:space="preserve"> (pytanie dotyczy prowadzonej oferty kulturalno-edukacyjnej)</w:t>
      </w:r>
      <w:r>
        <w:t>?</w:t>
      </w:r>
      <w:r w:rsidR="001B0F6C">
        <w:t xml:space="preserve"> Czy nowa oferta nie będzie</w:t>
      </w:r>
      <w:r w:rsidR="001B0F6C" w:rsidRPr="001B0F6C">
        <w:t xml:space="preserve"> pokrywać się z działalnością podstawową muzeum lub innych muzeów w regionie?</w:t>
      </w:r>
    </w:p>
    <w:p w14:paraId="49EE966D" w14:textId="4D192ED1" w:rsidR="001B0F6C" w:rsidRDefault="001B0F6C" w:rsidP="001B0F6C">
      <w:pPr>
        <w:jc w:val="both"/>
      </w:pPr>
      <w:r>
        <w:t>Zamawiający oczekuje, że Wykonawca w oparciu o przyjęte przez siebie metody przedstawi zapotrzebowanie muzeów i galerii sztuki w podziale na województwa.</w:t>
      </w:r>
    </w:p>
    <w:p w14:paraId="10C1F918" w14:textId="3E480F21" w:rsidR="00532F36" w:rsidRPr="00532F36" w:rsidRDefault="001B0F6C" w:rsidP="00E15C2E">
      <w:pPr>
        <w:jc w:val="both"/>
        <w:rPr>
          <w:b/>
        </w:rPr>
      </w:pPr>
      <w:r w:rsidRPr="001B0F6C">
        <w:rPr>
          <w:b/>
        </w:rPr>
        <w:t>Termin wykonania ekspertyzy nie może być dłuższy niż do 30 listopada br.</w:t>
      </w:r>
    </w:p>
    <w:p w14:paraId="3B21C1A2" w14:textId="5D12E6C0" w:rsidR="00855121" w:rsidRPr="001B0F6C" w:rsidRDefault="001B0F6C" w:rsidP="008551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u w:val="single"/>
        </w:rPr>
      </w:pPr>
      <w:r w:rsidRPr="001B0F6C">
        <w:rPr>
          <w:rFonts w:cs="Times New Roman"/>
          <w:u w:val="single"/>
        </w:rPr>
        <w:t>Uzasadnienie</w:t>
      </w:r>
    </w:p>
    <w:p w14:paraId="660FD0C7" w14:textId="0B556D86" w:rsidR="003049A7" w:rsidRDefault="003049A7" w:rsidP="00F20D48">
      <w:pPr>
        <w:jc w:val="both"/>
      </w:pPr>
      <w:r w:rsidRPr="003049A7">
        <w:t>Ważną tendencją w rozwoju muzeów jest dążenie do budowania przekazu pobudzającego wyobraźnię i motywację poznawczą, a w konsekwencji uruchomiającego interakcję pomiędzy zwiedzającym i muzealiami</w:t>
      </w:r>
      <w:r>
        <w:t xml:space="preserve">. </w:t>
      </w:r>
    </w:p>
    <w:p w14:paraId="766D59D2" w14:textId="7F0283DB" w:rsidR="003049A7" w:rsidRDefault="003049A7" w:rsidP="00F20D48">
      <w:pPr>
        <w:jc w:val="both"/>
      </w:pPr>
      <w:r w:rsidRPr="003049A7">
        <w:t>Równocześnie fakt, iż ochrona, efektywne i zrównoważone zarządzanie zbiorami jest we współczesnym świecie coraz częściej zagadnieniem wykorzystującym różnorodne dziedziny wiedzy i wychodzącym poza dotychczasowy, tradycyjny zakres działalności muzealnej, powoduje nowe podejście do tematu i poszukiwanie nowych rozwiązań, szczególnie nakierowanych na stałe podwyższanie poziomu ochrony zbiorów.</w:t>
      </w:r>
    </w:p>
    <w:p w14:paraId="16FDE42E" w14:textId="3E4237B3" w:rsidR="003049A7" w:rsidRDefault="003049A7" w:rsidP="00F20D48">
      <w:pPr>
        <w:jc w:val="both"/>
      </w:pPr>
      <w:r w:rsidRPr="003049A7">
        <w:t>Magazyn studyjny to miejsce pełniące nie tylko funkcję odpowiedniego przechowywania i ochrony zbiorów, ale również obiekt umożliwiający zwiedzającym zapoznanie się ze zbiorami dotychczas nie udostępnianymi ze względu na brak powierzchni wystawienniczej. Obiekt ten pozwala również na obserwowanie prowadzonych prac naukowych i konserwatorskich.</w:t>
      </w:r>
    </w:p>
    <w:p w14:paraId="26D89D06" w14:textId="2A6CD92D" w:rsidR="009475CE" w:rsidRPr="00532F36" w:rsidRDefault="00B434A0" w:rsidP="00F20D48">
      <w:pPr>
        <w:jc w:val="both"/>
      </w:pPr>
      <w:r w:rsidRPr="00532F36">
        <w:t>Mając na uwadze powyższe, ważne</w:t>
      </w:r>
      <w:r w:rsidR="008B16BF" w:rsidRPr="00532F36">
        <w:t xml:space="preserve"> jest stworzenie</w:t>
      </w:r>
      <w:r w:rsidRPr="00532F36">
        <w:t xml:space="preserve"> takiego</w:t>
      </w:r>
      <w:r w:rsidR="008B16BF" w:rsidRPr="00532F36">
        <w:t xml:space="preserve"> magazynu, który połączy wysoką jakość ochrony zbiorów, niski koszt budowy oraz bardzo niskie zużycie energii podczas eksploatacji. </w:t>
      </w:r>
      <w:r w:rsidR="008445F1" w:rsidRPr="00532F36">
        <w:t>Zakłada się utworzenie sieci magazynów muzealnych, które będą jednocześnie ośrodkami studyjno-konserwatorskimi udostępnianymi nie tylko badaczom i konserwatorom, ale także szerokiej publiczności. Praktyka taka nie tylko pozwala na lepsze rozpoznanie i zabezpieczenie zbiorów, ale znacząco wpływa na ich dostępność dla zwiedzających. Takie działania wzmacniają związek mieszkańców z otaczającym ich dziedzictwem kulturowym, wzmagają zaangażowanie różnych grup interesariuszy w proces jego ochrony i pośrednio wzmacniają kapitał społeczny, przyczyniając się do wzrostu spójności terytorialnej regionów.</w:t>
      </w:r>
    </w:p>
    <w:p w14:paraId="4683DCDA" w14:textId="77777777" w:rsidR="00F90F2F" w:rsidRPr="00532F36" w:rsidRDefault="00F90F2F" w:rsidP="00F20D48">
      <w:pPr>
        <w:jc w:val="both"/>
      </w:pPr>
    </w:p>
    <w:p w14:paraId="7B4A8CD1" w14:textId="5A6E7570" w:rsidR="002A666A" w:rsidRPr="003049A7" w:rsidRDefault="001B0F6C" w:rsidP="002930B1">
      <w:pPr>
        <w:jc w:val="both"/>
        <w:rPr>
          <w:b/>
        </w:rPr>
      </w:pPr>
      <w:r w:rsidRPr="003049A7">
        <w:rPr>
          <w:b/>
        </w:rPr>
        <w:lastRenderedPageBreak/>
        <w:t xml:space="preserve">Zamawiający prosi o przesłanie wyceny zamówienia (cena brutto i cena netto) obejmującego wszystkie </w:t>
      </w:r>
      <w:r w:rsidR="002930B1" w:rsidRPr="003049A7">
        <w:rPr>
          <w:b/>
        </w:rPr>
        <w:t xml:space="preserve">muzea i galerie sztuki, określone w pkt. 1-5 zakresu zamówienia. </w:t>
      </w:r>
    </w:p>
    <w:sectPr w:rsidR="002A666A" w:rsidRPr="00304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3A82" w14:textId="77777777" w:rsidR="009F28AF" w:rsidRDefault="009F28AF" w:rsidP="001A65F0">
      <w:pPr>
        <w:spacing w:after="0" w:line="240" w:lineRule="auto"/>
      </w:pPr>
      <w:r>
        <w:separator/>
      </w:r>
    </w:p>
  </w:endnote>
  <w:endnote w:type="continuationSeparator" w:id="0">
    <w:p w14:paraId="32D75701" w14:textId="77777777" w:rsidR="009F28AF" w:rsidRDefault="009F28AF" w:rsidP="001A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Corbel"/>
    <w:charset w:val="EE"/>
    <w:family w:val="swiss"/>
    <w:pitch w:val="variable"/>
    <w:sig w:usb0="600002FF" w:usb1="00000001" w:usb2="00000000" w:usb3="00000000" w:csb0="0000019F" w:csb1="00000000"/>
  </w:font>
  <w:font w:name="Fira Sans Extra Condensed SemiB">
    <w:altName w:val="Arial"/>
    <w:charset w:val="EE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54734" w14:textId="77777777" w:rsidR="009F28AF" w:rsidRDefault="009F28AF" w:rsidP="001A65F0">
      <w:pPr>
        <w:spacing w:after="0" w:line="240" w:lineRule="auto"/>
      </w:pPr>
      <w:r>
        <w:separator/>
      </w:r>
    </w:p>
  </w:footnote>
  <w:footnote w:type="continuationSeparator" w:id="0">
    <w:p w14:paraId="52C25C6F" w14:textId="77777777" w:rsidR="009F28AF" w:rsidRDefault="009F28AF" w:rsidP="001A65F0">
      <w:pPr>
        <w:spacing w:after="0" w:line="240" w:lineRule="auto"/>
      </w:pPr>
      <w:r>
        <w:continuationSeparator/>
      </w:r>
    </w:p>
  </w:footnote>
  <w:footnote w:id="1">
    <w:p w14:paraId="419B6E8A" w14:textId="60F08022" w:rsidR="00D02524" w:rsidRDefault="00D02524" w:rsidP="00D025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02524">
        <w:t>Magazyn studyjny to miejsce pełniące nie tylko funkcję odpowiedniego przechowywania i ochrony zbiorów, ale również obiekt umożliwiający zwiedzającym zapoznanie się ze zbiorami dotychczas nie udostępnianymi ze względu na brak powierzchni wystawienniczej. Obiekt ten pozwala również na obserwowanie prowadzonych prac naukowych i konserwatorskich.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55A"/>
    <w:multiLevelType w:val="hybridMultilevel"/>
    <w:tmpl w:val="02F60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06"/>
    <w:rsid w:val="000256BA"/>
    <w:rsid w:val="000313CA"/>
    <w:rsid w:val="0014768F"/>
    <w:rsid w:val="001532BD"/>
    <w:rsid w:val="001A65F0"/>
    <w:rsid w:val="001B0F6C"/>
    <w:rsid w:val="001F432D"/>
    <w:rsid w:val="00201947"/>
    <w:rsid w:val="00207759"/>
    <w:rsid w:val="00231FF3"/>
    <w:rsid w:val="00262CC3"/>
    <w:rsid w:val="002930B1"/>
    <w:rsid w:val="002A666A"/>
    <w:rsid w:val="00302806"/>
    <w:rsid w:val="003049A7"/>
    <w:rsid w:val="00375AAF"/>
    <w:rsid w:val="003B2BDE"/>
    <w:rsid w:val="003B54BA"/>
    <w:rsid w:val="003F6F51"/>
    <w:rsid w:val="00532F36"/>
    <w:rsid w:val="0057653C"/>
    <w:rsid w:val="005B5DDC"/>
    <w:rsid w:val="00672507"/>
    <w:rsid w:val="00675B43"/>
    <w:rsid w:val="00685F69"/>
    <w:rsid w:val="007030DA"/>
    <w:rsid w:val="008337A2"/>
    <w:rsid w:val="008445F1"/>
    <w:rsid w:val="00855121"/>
    <w:rsid w:val="00866F74"/>
    <w:rsid w:val="008B16BF"/>
    <w:rsid w:val="0093069A"/>
    <w:rsid w:val="009475CE"/>
    <w:rsid w:val="00970836"/>
    <w:rsid w:val="009F28AF"/>
    <w:rsid w:val="00A0239F"/>
    <w:rsid w:val="00A65B57"/>
    <w:rsid w:val="00A832D7"/>
    <w:rsid w:val="00AC01E7"/>
    <w:rsid w:val="00B31A86"/>
    <w:rsid w:val="00B434A0"/>
    <w:rsid w:val="00B87D28"/>
    <w:rsid w:val="00C04B63"/>
    <w:rsid w:val="00C82E2C"/>
    <w:rsid w:val="00CD229B"/>
    <w:rsid w:val="00D02524"/>
    <w:rsid w:val="00D41E0C"/>
    <w:rsid w:val="00DB09E6"/>
    <w:rsid w:val="00DE15FC"/>
    <w:rsid w:val="00E15C2E"/>
    <w:rsid w:val="00E16615"/>
    <w:rsid w:val="00E8343F"/>
    <w:rsid w:val="00E92E58"/>
    <w:rsid w:val="00EE37B2"/>
    <w:rsid w:val="00F15D27"/>
    <w:rsid w:val="00F20D48"/>
    <w:rsid w:val="00F20E59"/>
    <w:rsid w:val="00F52F19"/>
    <w:rsid w:val="00F858D0"/>
    <w:rsid w:val="00F90F2F"/>
    <w:rsid w:val="00FC32A1"/>
    <w:rsid w:val="00FC61A1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1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A65F0"/>
    <w:pPr>
      <w:spacing w:before="120" w:after="0" w:line="240" w:lineRule="auto"/>
    </w:pPr>
    <w:rPr>
      <w:rFonts w:ascii="Fira Sans" w:hAnsi="Fira Sans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F0"/>
    <w:rPr>
      <w:rFonts w:ascii="Fira Sans" w:hAnsi="Fira Sans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A65F0"/>
    <w:rPr>
      <w:vertAlign w:val="superscript"/>
    </w:rPr>
  </w:style>
  <w:style w:type="paragraph" w:customStyle="1" w:styleId="tytuinformacji">
    <w:name w:val="tytuł informacji"/>
    <w:basedOn w:val="Normalny"/>
    <w:rsid w:val="001A65F0"/>
    <w:pPr>
      <w:spacing w:before="120"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character" w:styleId="Hipercze">
    <w:name w:val="Hyperlink"/>
    <w:basedOn w:val="Domylnaczcionkaakapitu"/>
    <w:uiPriority w:val="99"/>
    <w:unhideWhenUsed/>
    <w:rsid w:val="00F20D4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D48"/>
    <w:rPr>
      <w:color w:val="800080" w:themeColor="followedHyperlink"/>
      <w:u w:val="single"/>
    </w:rPr>
  </w:style>
  <w:style w:type="paragraph" w:customStyle="1" w:styleId="Default">
    <w:name w:val="Default"/>
    <w:rsid w:val="00F85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09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09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09E6"/>
    <w:rPr>
      <w:vertAlign w:val="superscript"/>
    </w:rPr>
  </w:style>
  <w:style w:type="table" w:styleId="Tabela-Siatka">
    <w:name w:val="Table Grid"/>
    <w:basedOn w:val="Standardowy"/>
    <w:uiPriority w:val="59"/>
    <w:rsid w:val="00F9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3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4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A65F0"/>
    <w:pPr>
      <w:spacing w:before="120" w:after="0" w:line="240" w:lineRule="auto"/>
    </w:pPr>
    <w:rPr>
      <w:rFonts w:ascii="Fira Sans" w:hAnsi="Fira Sans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5F0"/>
    <w:rPr>
      <w:rFonts w:ascii="Fira Sans" w:hAnsi="Fira Sans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A65F0"/>
    <w:rPr>
      <w:vertAlign w:val="superscript"/>
    </w:rPr>
  </w:style>
  <w:style w:type="paragraph" w:customStyle="1" w:styleId="tytuinformacji">
    <w:name w:val="tytuł informacji"/>
    <w:basedOn w:val="Normalny"/>
    <w:rsid w:val="001A65F0"/>
    <w:pPr>
      <w:spacing w:before="120"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character" w:styleId="Hipercze">
    <w:name w:val="Hyperlink"/>
    <w:basedOn w:val="Domylnaczcionkaakapitu"/>
    <w:uiPriority w:val="99"/>
    <w:unhideWhenUsed/>
    <w:rsid w:val="00F20D4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D48"/>
    <w:rPr>
      <w:color w:val="800080" w:themeColor="followedHyperlink"/>
      <w:u w:val="single"/>
    </w:rPr>
  </w:style>
  <w:style w:type="paragraph" w:customStyle="1" w:styleId="Default">
    <w:name w:val="Default"/>
    <w:rsid w:val="00F85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09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09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09E6"/>
    <w:rPr>
      <w:vertAlign w:val="superscript"/>
    </w:rPr>
  </w:style>
  <w:style w:type="table" w:styleId="Tabela-Siatka">
    <w:name w:val="Table Grid"/>
    <w:basedOn w:val="Standardowy"/>
    <w:uiPriority w:val="59"/>
    <w:rsid w:val="00F9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3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9C42-8E7F-4FB4-BBEF-3449B8C9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3855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Tarasek-Wojciechowska</dc:creator>
  <cp:lastModifiedBy>Edyta Tarasek-Wojciechowska</cp:lastModifiedBy>
  <cp:revision>2</cp:revision>
  <dcterms:created xsi:type="dcterms:W3CDTF">2018-08-23T14:48:00Z</dcterms:created>
  <dcterms:modified xsi:type="dcterms:W3CDTF">2018-08-23T14:48:00Z</dcterms:modified>
</cp:coreProperties>
</file>