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5F" w:rsidRPr="004E607A" w:rsidRDefault="005373F9" w:rsidP="00A1675F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A1675F" w:rsidRPr="001C7B5F" w:rsidRDefault="005373F9" w:rsidP="00A1675F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A1675F" w:rsidRPr="004E65D9" w:rsidRDefault="005373F9" w:rsidP="00A1675F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A1675F" w:rsidRPr="00EE75C1" w:rsidRDefault="005373F9" w:rsidP="00A1675F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A1675F" w:rsidRPr="00EE75C1" w:rsidRDefault="005373F9" w:rsidP="00A1675F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1675F" w:rsidRPr="00EE75C1" w:rsidRDefault="005373F9" w:rsidP="00A1675F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1675F" w:rsidRDefault="005373F9" w:rsidP="00A1675F">
      <w:pPr>
        <w:tabs>
          <w:tab w:val="left" w:pos="6237"/>
        </w:tabs>
      </w:pPr>
      <w:r>
        <w:t xml:space="preserve">                          Warszawa, </w:t>
      </w:r>
      <w:bookmarkStart w:id="0" w:name="ezdDataPodpisu"/>
      <w:r>
        <w:t>10 czerwca 2021 r.</w:t>
      </w:r>
      <w:bookmarkEnd w:id="0"/>
    </w:p>
    <w:p w:rsidR="00A1675F" w:rsidRDefault="005373F9" w:rsidP="00A1675F"/>
    <w:p w:rsidR="00A1675F" w:rsidRDefault="005373F9" w:rsidP="00A1675F"/>
    <w:p w:rsidR="00A1675F" w:rsidRDefault="005373F9" w:rsidP="00A1675F"/>
    <w:p w:rsidR="00A1675F" w:rsidRDefault="005373F9" w:rsidP="00A1675F"/>
    <w:p w:rsidR="00A1675F" w:rsidRPr="00D85864" w:rsidRDefault="005373F9" w:rsidP="00A1675F">
      <w:pPr>
        <w:spacing w:line="276" w:lineRule="auto"/>
      </w:pPr>
    </w:p>
    <w:p w:rsidR="00A1675F" w:rsidRPr="00283966" w:rsidRDefault="005373F9" w:rsidP="00A1675F">
      <w:pPr>
        <w:spacing w:line="276" w:lineRule="auto"/>
        <w:rPr>
          <w:sz w:val="20"/>
        </w:rPr>
      </w:pPr>
      <w:r>
        <w:rPr>
          <w:sz w:val="20"/>
        </w:rPr>
        <w:t xml:space="preserve">          </w:t>
      </w:r>
      <w:bookmarkStart w:id="1" w:name="_GoBack"/>
      <w:r>
        <w:rPr>
          <w:sz w:val="20"/>
        </w:rPr>
        <w:t>WNP-I.4131.120</w:t>
      </w:r>
      <w:r w:rsidRPr="00283966">
        <w:rPr>
          <w:sz w:val="20"/>
        </w:rPr>
        <w:t>.2021</w:t>
      </w:r>
      <w:r>
        <w:rPr>
          <w:sz w:val="20"/>
        </w:rPr>
        <w:t>.KS</w:t>
      </w:r>
    </w:p>
    <w:bookmarkEnd w:id="1"/>
    <w:p w:rsidR="00A1675F" w:rsidRPr="00A433E2" w:rsidRDefault="005373F9" w:rsidP="00A1675F">
      <w:pPr>
        <w:spacing w:line="276" w:lineRule="auto"/>
        <w:rPr>
          <w:sz w:val="20"/>
        </w:rPr>
      </w:pPr>
    </w:p>
    <w:p w:rsidR="00A1675F" w:rsidRPr="00A433E2" w:rsidRDefault="005373F9" w:rsidP="00A1675F">
      <w:pPr>
        <w:tabs>
          <w:tab w:val="left" w:pos="4095"/>
        </w:tabs>
        <w:spacing w:line="276" w:lineRule="auto"/>
        <w:rPr>
          <w:sz w:val="20"/>
        </w:rPr>
      </w:pPr>
    </w:p>
    <w:p w:rsidR="00A1675F" w:rsidRPr="00D114FC" w:rsidRDefault="005373F9" w:rsidP="00A1675F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Rada Gminy Prażmów</w:t>
      </w:r>
    </w:p>
    <w:p w:rsidR="00A1675F" w:rsidRDefault="005373F9" w:rsidP="00A1675F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ul. Piotra Czołchańskiego 1</w:t>
      </w:r>
    </w:p>
    <w:p w:rsidR="00A1675F" w:rsidRPr="00D114FC" w:rsidRDefault="005373F9" w:rsidP="00A1675F">
      <w:pPr>
        <w:spacing w:line="276" w:lineRule="auto"/>
        <w:ind w:left="4678"/>
        <w:jc w:val="both"/>
      </w:pPr>
      <w:r>
        <w:rPr>
          <w:b/>
          <w:sz w:val="28"/>
          <w:lang w:eastAsia="ar-SA"/>
        </w:rPr>
        <w:t>05-505 Prażmów</w:t>
      </w:r>
    </w:p>
    <w:p w:rsidR="00A1675F" w:rsidRDefault="005373F9" w:rsidP="00A1675F">
      <w:pPr>
        <w:spacing w:line="276" w:lineRule="auto"/>
        <w:jc w:val="both"/>
        <w:rPr>
          <w:i/>
        </w:rPr>
      </w:pPr>
    </w:p>
    <w:p w:rsidR="00A1675F" w:rsidRDefault="005373F9" w:rsidP="00A1675F">
      <w:pPr>
        <w:spacing w:line="276" w:lineRule="auto"/>
        <w:jc w:val="both"/>
        <w:rPr>
          <w:i/>
        </w:rPr>
      </w:pPr>
    </w:p>
    <w:p w:rsidR="00A1675F" w:rsidRPr="00283966" w:rsidRDefault="005373F9" w:rsidP="00A1675F">
      <w:pPr>
        <w:tabs>
          <w:tab w:val="left" w:pos="2505"/>
        </w:tabs>
        <w:spacing w:line="276" w:lineRule="auto"/>
        <w:jc w:val="both"/>
      </w:pPr>
      <w:r>
        <w:tab/>
      </w:r>
    </w:p>
    <w:p w:rsidR="00A1675F" w:rsidRPr="00D114FC" w:rsidRDefault="005373F9" w:rsidP="00A1675F">
      <w:pPr>
        <w:spacing w:line="360" w:lineRule="auto"/>
        <w:jc w:val="center"/>
        <w:rPr>
          <w:b/>
        </w:rPr>
      </w:pPr>
      <w:r w:rsidRPr="00D114FC">
        <w:rPr>
          <w:b/>
        </w:rPr>
        <w:t>Rozstrzygnięcie nadzorcze</w:t>
      </w:r>
    </w:p>
    <w:p w:rsidR="00A1675F" w:rsidRPr="00D114FC" w:rsidRDefault="005373F9" w:rsidP="00A1675F">
      <w:pPr>
        <w:spacing w:line="360" w:lineRule="auto"/>
        <w:jc w:val="both"/>
      </w:pPr>
      <w:r w:rsidRPr="00D114FC">
        <w:t xml:space="preserve">Działając na podstawie art. 91 ust. 1, w związku z art. 86 ustawy z dnia 8 marca 1990 r. </w:t>
      </w:r>
      <w:r>
        <w:br/>
        <w:t xml:space="preserve">o samorządzie gminnym (Dz. U. z 2020 </w:t>
      </w:r>
      <w:r w:rsidRPr="00D114FC">
        <w:t>r. poz. 713, z późn. zm.)</w:t>
      </w:r>
    </w:p>
    <w:p w:rsidR="00A1675F" w:rsidRPr="00D114FC" w:rsidRDefault="005373F9" w:rsidP="00A1675F">
      <w:pPr>
        <w:spacing w:line="360" w:lineRule="auto"/>
        <w:jc w:val="center"/>
        <w:rPr>
          <w:b/>
        </w:rPr>
      </w:pPr>
      <w:r w:rsidRPr="00D114FC">
        <w:rPr>
          <w:b/>
        </w:rPr>
        <w:t>stwierdzam nieważność</w:t>
      </w:r>
    </w:p>
    <w:p w:rsidR="00A1675F" w:rsidRDefault="005373F9" w:rsidP="00A1675F">
      <w:pPr>
        <w:spacing w:line="360" w:lineRule="auto"/>
        <w:jc w:val="both"/>
        <w:rPr>
          <w:i/>
        </w:rPr>
      </w:pPr>
      <w:r>
        <w:t xml:space="preserve">załącznika do </w:t>
      </w:r>
      <w:r>
        <w:t xml:space="preserve">uchwały Rady Gminy Prażmów Nr XXX.320.2021 z dnia 14 maja 2021 r. </w:t>
      </w:r>
      <w:r>
        <w:br/>
      </w:r>
      <w:r w:rsidRPr="00D114FC">
        <w:rPr>
          <w:i/>
        </w:rPr>
        <w:t>w sprawie</w:t>
      </w:r>
      <w:r>
        <w:rPr>
          <w:i/>
        </w:rPr>
        <w:t xml:space="preserve"> </w:t>
      </w:r>
      <w:r>
        <w:rPr>
          <w:i/>
        </w:rPr>
        <w:t>przyjęcia Programu współpracy Gminy Prażmów w 2021 roku z organizacjami pozarządowymi i podmiotami, o których mowa w art. 3 ust. 3 ustawy z dnia 24 kwietnia 2003 r. o działalności</w:t>
      </w:r>
      <w:r>
        <w:rPr>
          <w:i/>
        </w:rPr>
        <w:t xml:space="preserve"> pożytku publicznego i o wolontariacie </w:t>
      </w:r>
      <w:r>
        <w:rPr>
          <w:b/>
        </w:rPr>
        <w:t xml:space="preserve">w zakresie </w:t>
      </w:r>
      <w:r>
        <w:rPr>
          <w:b/>
        </w:rPr>
        <w:t xml:space="preserve">ust. 3 Rozdziału 10 </w:t>
      </w:r>
      <w:r>
        <w:rPr>
          <w:b/>
        </w:rPr>
        <w:br/>
      </w:r>
      <w:r>
        <w:rPr>
          <w:b/>
        </w:rPr>
        <w:t>pn. ,,</w:t>
      </w:r>
      <w:r>
        <w:rPr>
          <w:b/>
        </w:rPr>
        <w:t>Sposób pracy Komisji”</w:t>
      </w:r>
      <w:r w:rsidRPr="0070146D">
        <w:t>.</w:t>
      </w:r>
    </w:p>
    <w:p w:rsidR="00A1675F" w:rsidRDefault="005373F9" w:rsidP="00A1675F">
      <w:pPr>
        <w:spacing w:line="360" w:lineRule="auto"/>
        <w:jc w:val="center"/>
        <w:rPr>
          <w:b/>
        </w:rPr>
      </w:pPr>
      <w:r w:rsidRPr="00BF6A9D">
        <w:rPr>
          <w:b/>
        </w:rPr>
        <w:t>Uzasadnienie</w:t>
      </w:r>
    </w:p>
    <w:p w:rsidR="00A1675F" w:rsidRDefault="005373F9" w:rsidP="00D4022F">
      <w:pPr>
        <w:suppressAutoHyphens/>
        <w:spacing w:after="240" w:line="360" w:lineRule="auto"/>
        <w:ind w:firstLine="708"/>
        <w:jc w:val="both"/>
        <w:rPr>
          <w:rFonts w:eastAsia="Calibri"/>
          <w:bCs/>
          <w:i/>
          <w:iCs/>
          <w:lang w:eastAsia="en-US"/>
        </w:rPr>
      </w:pPr>
      <w:r w:rsidRPr="002F3AE6">
        <w:rPr>
          <w:bCs/>
          <w:lang w:eastAsia="ar-SA"/>
        </w:rPr>
        <w:t xml:space="preserve">Na sesji, która </w:t>
      </w:r>
      <w:r>
        <w:rPr>
          <w:bCs/>
          <w:lang w:eastAsia="ar-SA"/>
        </w:rPr>
        <w:t>odbyła się w dniu 14 maja</w:t>
      </w:r>
      <w:r>
        <w:rPr>
          <w:bCs/>
          <w:lang w:eastAsia="ar-SA"/>
        </w:rPr>
        <w:t xml:space="preserve"> 2021 </w:t>
      </w:r>
      <w:r>
        <w:rPr>
          <w:bCs/>
          <w:lang w:eastAsia="ar-SA"/>
        </w:rPr>
        <w:t xml:space="preserve">r. Rada Gminy Prażmów podjęła </w:t>
      </w:r>
      <w:r>
        <w:rPr>
          <w:bCs/>
          <w:lang w:eastAsia="ar-SA"/>
        </w:rPr>
        <w:t>uchwałę</w:t>
      </w:r>
      <w:r w:rsidRPr="00407C25">
        <w:rPr>
          <w:i/>
        </w:rPr>
        <w:t xml:space="preserve"> </w:t>
      </w:r>
      <w:r w:rsidRPr="00407C25">
        <w:t>Nr XXX.320.2021</w:t>
      </w:r>
      <w:r>
        <w:rPr>
          <w:i/>
        </w:rPr>
        <w:t xml:space="preserve"> </w:t>
      </w:r>
      <w:r w:rsidRPr="00D114FC">
        <w:rPr>
          <w:i/>
        </w:rPr>
        <w:t>w sprawie</w:t>
      </w:r>
      <w:r>
        <w:rPr>
          <w:i/>
        </w:rPr>
        <w:t xml:space="preserve"> przyjęcia Programu współpracy Gm</w:t>
      </w:r>
      <w:r>
        <w:rPr>
          <w:i/>
        </w:rPr>
        <w:t xml:space="preserve">iny Prażmów w 2021 roku </w:t>
      </w:r>
      <w:r>
        <w:rPr>
          <w:i/>
        </w:rPr>
        <w:br/>
        <w:t xml:space="preserve">z organizacjami pozarządowymi i podmiotami, o których mowa w art. 3 ust. 3 ustawy z dnia </w:t>
      </w:r>
      <w:r>
        <w:rPr>
          <w:i/>
        </w:rPr>
        <w:br/>
        <w:t>24 kwietnia 2003 r. o działalności pożytku publicznego i o wolontariacie</w:t>
      </w:r>
      <w:r>
        <w:rPr>
          <w:i/>
        </w:rPr>
        <w:t>.</w:t>
      </w:r>
      <w:r>
        <w:rPr>
          <w:bCs/>
          <w:lang w:eastAsia="ar-SA"/>
        </w:rPr>
        <w:t xml:space="preserve"> </w:t>
      </w:r>
    </w:p>
    <w:p w:rsidR="004C4477" w:rsidRDefault="005373F9" w:rsidP="00D4022F">
      <w:pPr>
        <w:suppressAutoHyphens/>
        <w:spacing w:after="240" w:line="360" w:lineRule="auto"/>
        <w:ind w:firstLine="708"/>
        <w:jc w:val="both"/>
        <w:rPr>
          <w:b/>
          <w:lang w:eastAsia="ar-SA"/>
        </w:rPr>
      </w:pPr>
      <w:r>
        <w:rPr>
          <w:rFonts w:eastAsia="Calibri"/>
          <w:bCs/>
          <w:iCs/>
          <w:lang w:eastAsia="en-US"/>
        </w:rPr>
        <w:t xml:space="preserve">Uchwała została doręczona organowi nadzoru </w:t>
      </w:r>
      <w:r>
        <w:rPr>
          <w:rFonts w:eastAsia="Calibri"/>
          <w:bCs/>
          <w:iCs/>
          <w:lang w:eastAsia="en-US"/>
        </w:rPr>
        <w:t>w dniu 25</w:t>
      </w:r>
      <w:r>
        <w:rPr>
          <w:rFonts w:eastAsia="Calibri"/>
          <w:bCs/>
          <w:iCs/>
          <w:lang w:eastAsia="en-US"/>
        </w:rPr>
        <w:t xml:space="preserve"> maja 2021 r. </w:t>
      </w:r>
    </w:p>
    <w:p w:rsidR="000429CE" w:rsidRDefault="005373F9" w:rsidP="00D4022F">
      <w:pPr>
        <w:suppressAutoHyphens/>
        <w:spacing w:after="240" w:line="360" w:lineRule="auto"/>
        <w:ind w:firstLine="708"/>
        <w:jc w:val="both"/>
      </w:pPr>
      <w:r w:rsidRPr="004C4477">
        <w:t xml:space="preserve">W uchwale wskazano, że podstawę prawną do jej podjęcia stanowi przepis </w:t>
      </w:r>
      <w:r w:rsidRPr="004C4477">
        <w:br/>
        <w:t xml:space="preserve">art. 18 ust. 2 pkt 15 ustawy o samorządzie gminnym oraz art. 5a ust. 1 i 4 ustawy z dnia </w:t>
      </w:r>
      <w:r>
        <w:br/>
      </w:r>
      <w:r w:rsidRPr="004C4477">
        <w:t xml:space="preserve">24 kwietnia 2003 r. o działalności pożytku publicznego i o wolontariacie (Dz. U. z  2020 r. </w:t>
      </w:r>
      <w:r>
        <w:br/>
      </w:r>
      <w:r w:rsidRPr="004C4477">
        <w:t>poz. 1057).</w:t>
      </w:r>
    </w:p>
    <w:p w:rsidR="000429CE" w:rsidRDefault="005373F9" w:rsidP="00D4022F">
      <w:pPr>
        <w:suppressAutoHyphens/>
        <w:spacing w:after="240" w:line="360" w:lineRule="auto"/>
        <w:ind w:firstLine="708"/>
        <w:jc w:val="both"/>
      </w:pPr>
      <w:r w:rsidRPr="000429CE">
        <w:lastRenderedPageBreak/>
        <w:t>Zgodnie z art. 5a ustawy o działalności pożytku publicznego i o wolontariacie organ stanowiący jednostki samorządu terytorialnego uchwala, po konsultacjach z organizacjami pozarządowymi oraz podmiotami wymienionymi w art. 3 ust. 3, przeprowadzo</w:t>
      </w:r>
      <w:r w:rsidRPr="000429CE">
        <w:t>nych w sposób określony w art. 5 ust. 5, roczny program współpracy z organizacjami pozarządowymi oraz podmiotami wymienionymi w art. 3 ust. 3. Określając program współpracy rada, na podstawie art. 5a ust. 4 tej ustawy zobowiązana jest określić w jego treśc</w:t>
      </w:r>
      <w:r w:rsidRPr="000429CE">
        <w:t xml:space="preserve">i w szczególności: cel główny </w:t>
      </w:r>
      <w:r>
        <w:br/>
      </w:r>
      <w:r w:rsidRPr="000429CE">
        <w:t>i cele szczegółowe programu</w:t>
      </w:r>
      <w:r>
        <w:t>,</w:t>
      </w:r>
      <w:r w:rsidRPr="000429CE">
        <w:t xml:space="preserve"> zasady współpracy; zakres przedmiotowy</w:t>
      </w:r>
      <w:r>
        <w:t>,</w:t>
      </w:r>
      <w:r w:rsidRPr="000429CE">
        <w:t xml:space="preserve"> formy współpracy, </w:t>
      </w:r>
      <w:r>
        <w:br/>
      </w:r>
      <w:r w:rsidRPr="000429CE">
        <w:t>o których mowa w art. 5 ust. 2</w:t>
      </w:r>
      <w:r>
        <w:t xml:space="preserve">, </w:t>
      </w:r>
      <w:r w:rsidRPr="000429CE">
        <w:t>priorytetowe zadania publiczne</w:t>
      </w:r>
      <w:r>
        <w:t>,</w:t>
      </w:r>
      <w:r w:rsidRPr="000429CE">
        <w:t xml:space="preserve"> okres realizacji programu</w:t>
      </w:r>
      <w:r>
        <w:t>,</w:t>
      </w:r>
      <w:r w:rsidRPr="000429CE">
        <w:t xml:space="preserve"> sposób realizacji programu</w:t>
      </w:r>
      <w:r>
        <w:t>,</w:t>
      </w:r>
      <w:r w:rsidRPr="000429CE">
        <w:t xml:space="preserve"> wysokość środków p</w:t>
      </w:r>
      <w:r w:rsidRPr="000429CE">
        <w:t>lanowanych na realizację programu</w:t>
      </w:r>
      <w:r>
        <w:t>,</w:t>
      </w:r>
      <w:r w:rsidRPr="000429CE">
        <w:t xml:space="preserve"> sposób oceny realizacji programu</w:t>
      </w:r>
      <w:r>
        <w:t xml:space="preserve">, </w:t>
      </w:r>
      <w:r w:rsidRPr="000429CE">
        <w:t>informację o sposobie tworzenia programu oraz o przebiegu konsultacji</w:t>
      </w:r>
      <w:r>
        <w:t xml:space="preserve"> oraz</w:t>
      </w:r>
      <w:r w:rsidRPr="000429CE">
        <w:t xml:space="preserve"> tryb powoływania i zasady działania komisji konkursowych do opiniowania ofert w otwartych konkursach ofert.</w:t>
      </w:r>
    </w:p>
    <w:p w:rsidR="000429CE" w:rsidRPr="000B3C0C" w:rsidRDefault="005373F9" w:rsidP="00D4022F">
      <w:pPr>
        <w:suppressAutoHyphens/>
        <w:spacing w:after="240" w:line="360" w:lineRule="auto"/>
        <w:ind w:firstLine="708"/>
        <w:jc w:val="both"/>
      </w:pPr>
      <w:r w:rsidRPr="000B3C0C">
        <w:rPr>
          <w:bCs/>
        </w:rPr>
        <w:t xml:space="preserve">W </w:t>
      </w:r>
      <w:r>
        <w:rPr>
          <w:bCs/>
        </w:rPr>
        <w:t xml:space="preserve">ust. 3 </w:t>
      </w:r>
      <w:r>
        <w:t>Rozdziału</w:t>
      </w:r>
      <w:r w:rsidRPr="000B3C0C">
        <w:t xml:space="preserve"> 10 pn. ,,Sposób pracy Komisji</w:t>
      </w:r>
      <w:r>
        <w:t xml:space="preserve">” </w:t>
      </w:r>
      <w:r w:rsidRPr="000B3C0C">
        <w:t>Załącznika do kwestionowanej uchwały Rada Gminy Prażmów postanowiła</w:t>
      </w:r>
      <w:r>
        <w:t>, że</w:t>
      </w:r>
      <w:r w:rsidRPr="000B3C0C">
        <w:t xml:space="preserve">: „3. </w:t>
      </w:r>
      <w:r w:rsidRPr="000B3C0C">
        <w:rPr>
          <w:i/>
        </w:rPr>
        <w:t>Członkowie Komisji przed pierwszym posiedzeniem, po zapoznaniu się</w:t>
      </w:r>
      <w:r w:rsidRPr="000B3C0C">
        <w:rPr>
          <w:i/>
        </w:rPr>
        <w:t xml:space="preserve"> z wykazem złożonych ofert, składają oświadczenie</w:t>
      </w:r>
      <w:r w:rsidRPr="000B3C0C">
        <w:rPr>
          <w:i/>
        </w:rPr>
        <w:t xml:space="preserve"> </w:t>
      </w:r>
      <w:r w:rsidRPr="000B3C0C">
        <w:rPr>
          <w:i/>
        </w:rPr>
        <w:t>dotyczące bezst</w:t>
      </w:r>
      <w:r w:rsidRPr="000B3C0C">
        <w:rPr>
          <w:i/>
        </w:rPr>
        <w:t>ronności, którego wzór określa Wójt</w:t>
      </w:r>
      <w:r w:rsidRPr="000B3C0C">
        <w:t xml:space="preserve">”. </w:t>
      </w:r>
    </w:p>
    <w:p w:rsidR="000B3C0C" w:rsidRPr="000B3C0C" w:rsidRDefault="005373F9" w:rsidP="00D4022F">
      <w:pPr>
        <w:suppressAutoHyphens/>
        <w:spacing w:after="240" w:line="360" w:lineRule="auto"/>
        <w:ind w:firstLine="708"/>
        <w:jc w:val="both"/>
      </w:pPr>
      <w:r>
        <w:rPr>
          <w:rFonts w:eastAsiaTheme="minorHAnsi"/>
        </w:rPr>
        <w:t>W ocenie organu nadzoru r</w:t>
      </w:r>
      <w:r>
        <w:rPr>
          <w:rFonts w:eastAsiaTheme="minorHAnsi"/>
        </w:rPr>
        <w:t>ozwiązanie</w:t>
      </w:r>
      <w:r w:rsidRPr="000B3C0C">
        <w:rPr>
          <w:rFonts w:eastAsiaTheme="minorHAnsi"/>
        </w:rPr>
        <w:t xml:space="preserve"> odnoszące się do obowiązku złożenia przez czł</w:t>
      </w:r>
      <w:r>
        <w:rPr>
          <w:rFonts w:eastAsiaTheme="minorHAnsi"/>
        </w:rPr>
        <w:t>onka k</w:t>
      </w:r>
      <w:r w:rsidRPr="000B3C0C">
        <w:rPr>
          <w:rFonts w:eastAsiaTheme="minorHAnsi"/>
        </w:rPr>
        <w:t xml:space="preserve">omisji </w:t>
      </w:r>
      <w:r>
        <w:rPr>
          <w:rFonts w:eastAsiaTheme="minorHAnsi"/>
        </w:rPr>
        <w:t xml:space="preserve">konkursowej </w:t>
      </w:r>
      <w:r w:rsidRPr="000B3C0C">
        <w:rPr>
          <w:rFonts w:eastAsiaTheme="minorHAnsi"/>
          <w:i/>
          <w:iCs/>
        </w:rPr>
        <w:t>oświadczeń</w:t>
      </w:r>
      <w:r w:rsidRPr="000B3C0C">
        <w:rPr>
          <w:rFonts w:eastAsiaTheme="minorHAnsi"/>
        </w:rPr>
        <w:t xml:space="preserve"> </w:t>
      </w:r>
      <w:r w:rsidRPr="000B3C0C">
        <w:rPr>
          <w:rFonts w:eastAsiaTheme="minorHAnsi"/>
          <w:i/>
        </w:rPr>
        <w:t>o ich bezstronności</w:t>
      </w:r>
      <w:r w:rsidRPr="000B3C0C">
        <w:rPr>
          <w:rFonts w:eastAsiaTheme="minorHAnsi"/>
        </w:rPr>
        <w:t xml:space="preserve"> </w:t>
      </w:r>
      <w:r>
        <w:rPr>
          <w:rFonts w:eastAsiaTheme="minorHAnsi"/>
        </w:rPr>
        <w:t xml:space="preserve">stanowi przekroczenie ustawowej kompetencji wynikającej </w:t>
      </w:r>
      <w:r w:rsidRPr="000B3C0C">
        <w:rPr>
          <w:rFonts w:eastAsiaTheme="minorHAnsi"/>
        </w:rPr>
        <w:t>z art. 15 ust. 2f ustawy</w:t>
      </w:r>
      <w:r w:rsidRPr="000B3C0C">
        <w:rPr>
          <w:rFonts w:eastAsiaTheme="minorHAnsi"/>
        </w:rPr>
        <w:t xml:space="preserve"> o działalności pożytku publicznego </w:t>
      </w:r>
      <w:r>
        <w:rPr>
          <w:rFonts w:eastAsiaTheme="minorHAnsi"/>
        </w:rPr>
        <w:br/>
      </w:r>
      <w:r w:rsidRPr="000B3C0C">
        <w:rPr>
          <w:rFonts w:eastAsiaTheme="minorHAnsi"/>
        </w:rPr>
        <w:t>i o wolontariacie,</w:t>
      </w:r>
      <w:r w:rsidRPr="00EF3395">
        <w:rPr>
          <w:rFonts w:cstheme="minorHAnsi"/>
          <w:shd w:val="clear" w:color="auto" w:fill="FFFFFF"/>
        </w:rPr>
        <w:t xml:space="preserve"> </w:t>
      </w:r>
      <w:r w:rsidRPr="00972D18">
        <w:rPr>
          <w:rFonts w:cstheme="minorHAnsi"/>
          <w:shd w:val="clear" w:color="auto" w:fill="FFFFFF"/>
        </w:rPr>
        <w:t>gdyż nie mieści się ani w trybie powoływania komisji konkursowej, ani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t>w</w:t>
      </w:r>
      <w:r w:rsidRPr="00972D18">
        <w:rPr>
          <w:rFonts w:cstheme="minorHAnsi"/>
          <w:shd w:val="clear" w:color="auto" w:fill="FFFFFF"/>
        </w:rPr>
        <w:t xml:space="preserve"> zasadach jej działania.</w:t>
      </w:r>
      <w:r>
        <w:rPr>
          <w:rFonts w:cstheme="minorHAnsi"/>
          <w:shd w:val="clear" w:color="auto" w:fill="FFFFFF"/>
        </w:rPr>
        <w:t xml:space="preserve"> </w:t>
      </w:r>
      <w:r w:rsidRPr="00972D18">
        <w:rPr>
          <w:rFonts w:cstheme="minorHAnsi"/>
          <w:shd w:val="clear" w:color="auto" w:fill="FFFFFF"/>
        </w:rPr>
        <w:t xml:space="preserve">Rada, zamieszczając w uchwale ten </w:t>
      </w:r>
      <w:r>
        <w:rPr>
          <w:rFonts w:cstheme="minorHAnsi"/>
          <w:shd w:val="clear" w:color="auto" w:fill="FFFFFF"/>
        </w:rPr>
        <w:t>prze</w:t>
      </w:r>
      <w:r w:rsidRPr="00972D18">
        <w:rPr>
          <w:rFonts w:cstheme="minorHAnsi"/>
          <w:shd w:val="clear" w:color="auto" w:fill="FFFFFF"/>
        </w:rPr>
        <w:t xml:space="preserve">pis, </w:t>
      </w:r>
      <w:r>
        <w:rPr>
          <w:rFonts w:cstheme="minorHAnsi"/>
          <w:shd w:val="clear" w:color="auto" w:fill="FFFFFF"/>
        </w:rPr>
        <w:t xml:space="preserve">naruszyła </w:t>
      </w:r>
      <w:r w:rsidRPr="00972D18">
        <w:rPr>
          <w:rFonts w:cstheme="minorHAnsi"/>
          <w:shd w:val="clear" w:color="auto" w:fill="FFFFFF"/>
        </w:rPr>
        <w:t>art</w:t>
      </w:r>
      <w:hyperlink r:id="rId6" w:anchor="/document/17030487?unitId=art(15)ust(2(f))&amp;cm=DOCUMENT" w:history="1">
        <w:r w:rsidRPr="001C6912">
          <w:t>. 15 ust. 2f</w:t>
        </w:r>
      </w:hyperlink>
      <w:r w:rsidRPr="001C6912">
        <w:rPr>
          <w:rFonts w:cstheme="minorHAnsi"/>
          <w:shd w:val="clear" w:color="auto" w:fill="FFFFFF"/>
        </w:rPr>
        <w:t xml:space="preserve"> </w:t>
      </w:r>
      <w:r w:rsidRPr="00972D18">
        <w:rPr>
          <w:rFonts w:cstheme="minorHAnsi"/>
          <w:shd w:val="clear" w:color="auto" w:fill="FFFFFF"/>
        </w:rPr>
        <w:t>ww. ustawy</w:t>
      </w:r>
      <w:r>
        <w:rPr>
          <w:rFonts w:cstheme="minorHAnsi"/>
          <w:shd w:val="clear" w:color="auto" w:fill="FFFFFF"/>
        </w:rPr>
        <w:t>,</w:t>
      </w:r>
      <w:r w:rsidRPr="00972D18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który stanowi</w:t>
      </w:r>
      <w:r w:rsidRPr="00972D18">
        <w:rPr>
          <w:rFonts w:cstheme="minorHAnsi"/>
          <w:shd w:val="clear" w:color="auto" w:fill="FFFFFF"/>
        </w:rPr>
        <w:t xml:space="preserve">, że do członków komisji konkursowej biorących udział </w:t>
      </w:r>
      <w:r>
        <w:rPr>
          <w:rFonts w:cstheme="minorHAnsi"/>
          <w:shd w:val="clear" w:color="auto" w:fill="FFFFFF"/>
        </w:rPr>
        <w:br/>
      </w:r>
      <w:r w:rsidRPr="00972D18">
        <w:rPr>
          <w:rFonts w:cstheme="minorHAnsi"/>
          <w:shd w:val="clear" w:color="auto" w:fill="FFFFFF"/>
        </w:rPr>
        <w:t>w opiniowaniu ofert stosuje się przepisy</w:t>
      </w:r>
      <w:r>
        <w:rPr>
          <w:rFonts w:cstheme="minorHAnsi"/>
          <w:shd w:val="clear" w:color="auto" w:fill="FFFFFF"/>
        </w:rPr>
        <w:t xml:space="preserve"> </w:t>
      </w:r>
      <w:hyperlink r:id="rId7" w:anchor="/document/16784712?cm=DOCUMENT" w:history="1">
        <w:r w:rsidRPr="001C6912">
          <w:t>ustawy</w:t>
        </w:r>
      </w:hyperlink>
      <w:r>
        <w:rPr>
          <w:rFonts w:cstheme="minorHAnsi"/>
          <w:shd w:val="clear" w:color="auto" w:fill="FFFFFF"/>
        </w:rPr>
        <w:t xml:space="preserve"> </w:t>
      </w:r>
      <w:r w:rsidRPr="00972D18">
        <w:rPr>
          <w:rFonts w:cstheme="minorHAnsi"/>
          <w:shd w:val="clear" w:color="auto" w:fill="FFFFFF"/>
        </w:rPr>
        <w:t>z dnia 14 czerwca 1960 r. Kodeks postępowania administracyjnego (Dz. U. z 20</w:t>
      </w:r>
      <w:r>
        <w:rPr>
          <w:rFonts w:cstheme="minorHAnsi"/>
          <w:shd w:val="clear" w:color="auto" w:fill="FFFFFF"/>
        </w:rPr>
        <w:t>20</w:t>
      </w:r>
      <w:r w:rsidRPr="00972D18">
        <w:rPr>
          <w:rFonts w:cstheme="minorHAnsi"/>
          <w:shd w:val="clear" w:color="auto" w:fill="FFFFFF"/>
        </w:rPr>
        <w:t xml:space="preserve"> r. poz. </w:t>
      </w:r>
      <w:r>
        <w:rPr>
          <w:rFonts w:cstheme="minorHAnsi"/>
          <w:shd w:val="clear" w:color="auto" w:fill="FFFFFF"/>
        </w:rPr>
        <w:t>256, z późn.zm.)</w:t>
      </w:r>
      <w:r>
        <w:rPr>
          <w:rFonts w:cstheme="minorHAnsi"/>
          <w:shd w:val="clear" w:color="auto" w:fill="FFFFFF"/>
        </w:rPr>
        <w:t>, zwanej dalej ,,k.p.a”</w:t>
      </w:r>
      <w:r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</w:t>
      </w:r>
      <w:r w:rsidRPr="00972D18">
        <w:rPr>
          <w:rFonts w:cstheme="minorHAnsi"/>
          <w:shd w:val="clear" w:color="auto" w:fill="FFFFFF"/>
        </w:rPr>
        <w:t>dotyczące wyłączenia pracownika</w:t>
      </w:r>
      <w:r>
        <w:rPr>
          <w:rFonts w:cstheme="minorHAnsi"/>
          <w:shd w:val="clear" w:color="auto" w:fill="FFFFFF"/>
        </w:rPr>
        <w:t>.</w:t>
      </w:r>
    </w:p>
    <w:p w:rsidR="009F50A8" w:rsidRDefault="005373F9" w:rsidP="00D4022F">
      <w:pPr>
        <w:spacing w:after="240"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Należy wskazać, że u</w:t>
      </w:r>
      <w:r w:rsidRPr="000B3C0C">
        <w:rPr>
          <w:rFonts w:eastAsiaTheme="minorHAnsi"/>
        </w:rPr>
        <w:t xml:space="preserve">normowania zawarte w </w:t>
      </w:r>
      <w:hyperlink r:id="rId8" w:anchor="/document/16784712?unitId=art(24)par(1)&amp;cm=DOCUMENT" w:history="1">
        <w:r w:rsidRPr="000B3C0C">
          <w:rPr>
            <w:rFonts w:eastAsiaTheme="minorHAnsi"/>
          </w:rPr>
          <w:t>art. 24 § 1</w:t>
        </w:r>
      </w:hyperlink>
      <w:r w:rsidRPr="000B3C0C">
        <w:rPr>
          <w:rFonts w:eastAsiaTheme="minorHAnsi"/>
        </w:rPr>
        <w:t xml:space="preserve"> i </w:t>
      </w:r>
      <w:hyperlink r:id="rId9" w:anchor="/document/16784712?unitId=art(24)par(3)&amp;cm=DOCUMENT" w:history="1">
        <w:r w:rsidRPr="000B3C0C">
          <w:rPr>
            <w:rFonts w:eastAsiaTheme="minorHAnsi"/>
          </w:rPr>
          <w:t>§ 3</w:t>
        </w:r>
      </w:hyperlink>
      <w:r>
        <w:rPr>
          <w:rFonts w:eastAsiaTheme="minorHAnsi"/>
        </w:rPr>
        <w:t xml:space="preserve"> k.p.a. </w:t>
      </w:r>
      <w:r w:rsidRPr="000B3C0C">
        <w:rPr>
          <w:rFonts w:eastAsiaTheme="minorHAnsi"/>
        </w:rPr>
        <w:t>mają charakter bezwzględnie obowiązujący i w sytuacji, gdy zachodzi uzasadnione podejrzenie co do powiązania członka komisji z podmiotem biorącym udział w konkursie, powinny obligować wójta, jako powołującego komisję konkursową, do odsunięcia takiego człon</w:t>
      </w:r>
      <w:r w:rsidRPr="000B3C0C">
        <w:rPr>
          <w:rFonts w:eastAsiaTheme="minorHAnsi"/>
        </w:rPr>
        <w:t xml:space="preserve">ka komisji konkursowej od wszystkich czynności dokonywanych w postępowaniu ofertowym. Regulacja zawarta w </w:t>
      </w:r>
      <w:hyperlink r:id="rId10" w:anchor="/document/16784712?unitId=art(24)&amp;cm=DOCUMENT" w:history="1">
        <w:r w:rsidRPr="000B3C0C">
          <w:rPr>
            <w:rFonts w:eastAsiaTheme="minorHAnsi"/>
          </w:rPr>
          <w:t>art. 24</w:t>
        </w:r>
      </w:hyperlink>
      <w:r w:rsidRPr="000B3C0C">
        <w:rPr>
          <w:rFonts w:eastAsiaTheme="minorHAnsi"/>
        </w:rPr>
        <w:t xml:space="preserve"> </w:t>
      </w:r>
      <w:r>
        <w:rPr>
          <w:rFonts w:eastAsiaTheme="minorHAnsi"/>
        </w:rPr>
        <w:t>k.p.a.</w:t>
      </w:r>
      <w:r w:rsidRPr="000B3C0C">
        <w:rPr>
          <w:rFonts w:eastAsiaTheme="minorHAnsi"/>
        </w:rPr>
        <w:t xml:space="preserve"> dąży do zachowania bezstronności i obiektywizmu </w:t>
      </w:r>
      <w:r w:rsidRPr="000B3C0C">
        <w:rPr>
          <w:rFonts w:eastAsiaTheme="minorHAnsi"/>
        </w:rPr>
        <w:t xml:space="preserve">osób uczestniczących w całym postępowaniu, we wszystkich jego fazach, zwłaszcza gdy w takim </w:t>
      </w:r>
      <w:r w:rsidRPr="000B3C0C">
        <w:rPr>
          <w:rFonts w:eastAsiaTheme="minorHAnsi"/>
        </w:rPr>
        <w:lastRenderedPageBreak/>
        <w:t xml:space="preserve">postępowaniu występuje wielość podmiotów konkurujących ze sobą w ubieganiu </w:t>
      </w:r>
      <w:r>
        <w:rPr>
          <w:rFonts w:eastAsiaTheme="minorHAnsi"/>
        </w:rPr>
        <w:br/>
      </w:r>
      <w:r w:rsidRPr="000B3C0C">
        <w:rPr>
          <w:rFonts w:eastAsiaTheme="minorHAnsi"/>
        </w:rPr>
        <w:t>się o przyjęcie oferty. Nieprzypadkowo zatem art. 15 ust. 2f ustawy o działalności pożyt</w:t>
      </w:r>
      <w:r w:rsidRPr="000B3C0C">
        <w:rPr>
          <w:rFonts w:eastAsiaTheme="minorHAnsi"/>
        </w:rPr>
        <w:t xml:space="preserve">ku publicznego i o wolontariacie odsyła do przepisów k.p.a. dotyczących wyłączenia pracownika. W wyroku z dnia 19 marca 2014 r. sygn. akt III SA/Wr 71/14 Wojewódzki Sąd Administracyjny we Wrocławiu wskazał, że: </w:t>
      </w:r>
      <w:r w:rsidRPr="000B3C0C">
        <w:rPr>
          <w:rFonts w:eastAsiaTheme="minorHAnsi"/>
          <w:i/>
        </w:rPr>
        <w:t>,,nałożenie na członka komisji konkursowej ob</w:t>
      </w:r>
      <w:r w:rsidRPr="000B3C0C">
        <w:rPr>
          <w:rFonts w:eastAsiaTheme="minorHAnsi"/>
          <w:i/>
        </w:rPr>
        <w:t xml:space="preserve">owiązku podpisania dokumentu, w którym składa </w:t>
      </w:r>
      <w:r w:rsidRPr="000B3C0C">
        <w:rPr>
          <w:rFonts w:eastAsiaTheme="minorHAnsi"/>
          <w:i/>
          <w:iCs/>
        </w:rPr>
        <w:t>oświadczenie</w:t>
      </w:r>
      <w:r w:rsidRPr="000B3C0C">
        <w:rPr>
          <w:rFonts w:eastAsiaTheme="minorHAnsi"/>
          <w:i/>
        </w:rPr>
        <w:t xml:space="preserve"> o swojej bezstronności </w:t>
      </w:r>
      <w:r>
        <w:rPr>
          <w:rFonts w:eastAsiaTheme="minorHAnsi"/>
          <w:i/>
        </w:rPr>
        <w:br/>
      </w:r>
      <w:r w:rsidRPr="000B3C0C">
        <w:rPr>
          <w:rFonts w:eastAsiaTheme="minorHAnsi"/>
          <w:i/>
        </w:rPr>
        <w:t>i zobowiązuje się do udziału w pracach komisji nie znajduje podstawy w przepisach k.p.a. regulujących kwestię wyłączenia pracownika i mających zastosowanie do członków komis</w:t>
      </w:r>
      <w:r w:rsidRPr="000B3C0C">
        <w:rPr>
          <w:rFonts w:eastAsiaTheme="minorHAnsi"/>
          <w:i/>
        </w:rPr>
        <w:t>ji konkursowej oraz w art. 15 ust. 2a-2f u.dz.p.p. regulującym podstawowe zasady powoływania i działania komisji konkursowej.”</w:t>
      </w:r>
      <w:r w:rsidRPr="00510455">
        <w:rPr>
          <w:sz w:val="21"/>
          <w:szCs w:val="21"/>
        </w:rPr>
        <w:t xml:space="preserve"> </w:t>
      </w:r>
      <w:r w:rsidRPr="00510455">
        <w:t xml:space="preserve">Tak więc Rada </w:t>
      </w:r>
      <w:r>
        <w:t xml:space="preserve">Gminy </w:t>
      </w:r>
      <w:r w:rsidRPr="00510455">
        <w:t>nie może ingerować w materię dotyczącą obowiązków członków komisji w tym zakresie, albowiem kwestia ta został</w:t>
      </w:r>
      <w:r w:rsidRPr="00510455">
        <w:t xml:space="preserve">a uregulowana w </w:t>
      </w:r>
      <w:r>
        <w:t>k.p.a</w:t>
      </w:r>
      <w:r w:rsidRPr="00510455">
        <w:t>.</w:t>
      </w:r>
    </w:p>
    <w:p w:rsidR="009F50A8" w:rsidRDefault="005373F9" w:rsidP="00D4022F">
      <w:pPr>
        <w:spacing w:after="240" w:line="360" w:lineRule="auto"/>
        <w:ind w:firstLine="709"/>
        <w:jc w:val="both"/>
        <w:rPr>
          <w:rFonts w:eastAsiaTheme="minorHAnsi"/>
        </w:rPr>
      </w:pPr>
      <w:r w:rsidRPr="000B3C0C">
        <w:t>„</w:t>
      </w:r>
      <w:r w:rsidRPr="000B3C0C">
        <w:rPr>
          <w:i/>
        </w:rPr>
        <w:t>Zgodnie z zasadą legalności (art. 7 Konstytucji RP), organy władzy publicznej działają na podstawie i w granicach prawa. Rada gminy obowiązana jest, zatem przestrzegać zakresu upoważniania ustawowego udzielonego jej przez ustawę w z</w:t>
      </w:r>
      <w:r w:rsidRPr="000B3C0C">
        <w:rPr>
          <w:i/>
        </w:rPr>
        <w:t xml:space="preserve">akresie tworzenia aktów prawa miejscowego, a w ramach udzielonej jej delegacji w tych działaniach nie może wykraczać </w:t>
      </w:r>
      <w:r w:rsidRPr="000B3C0C">
        <w:rPr>
          <w:i/>
        </w:rPr>
        <w:br/>
        <w:t>w materie uregulowana ustawą. (...)."</w:t>
      </w:r>
      <w:r w:rsidRPr="000B3C0C">
        <w:t xml:space="preserve"> (wyrok Wojewódzkiego Sądu Administracyjnego </w:t>
      </w:r>
      <w:r w:rsidRPr="000B3C0C">
        <w:br/>
        <w:t>w Olsztynie z dnia12 stycznia 2016 r. sygn. akt. II SA/</w:t>
      </w:r>
      <w:r w:rsidRPr="000B3C0C">
        <w:t>OI 1269/15).</w:t>
      </w:r>
    </w:p>
    <w:p w:rsidR="000B3C0C" w:rsidRPr="000B3C0C" w:rsidRDefault="005373F9" w:rsidP="00D4022F">
      <w:pPr>
        <w:spacing w:after="240" w:line="360" w:lineRule="auto"/>
        <w:ind w:firstLine="709"/>
        <w:jc w:val="both"/>
        <w:rPr>
          <w:rFonts w:eastAsiaTheme="minorHAnsi"/>
        </w:rPr>
      </w:pPr>
      <w:r w:rsidRPr="000B3C0C">
        <w:t>„</w:t>
      </w:r>
      <w:r w:rsidRPr="000B3C0C">
        <w:rPr>
          <w:i/>
        </w:rPr>
        <w:t xml:space="preserve">W judykaturze przyjmuje się, że tylko istotne naruszenie prawa stanowi podstawę </w:t>
      </w:r>
      <w:r w:rsidRPr="000B3C0C">
        <w:rPr>
          <w:i/>
        </w:rPr>
        <w:br/>
        <w:t xml:space="preserve">do stwierdzenia nieważności uchwały organu gminy, a więc uchybienie prowadzące </w:t>
      </w:r>
      <w:r w:rsidRPr="000B3C0C">
        <w:rPr>
          <w:i/>
        </w:rPr>
        <w:br/>
        <w:t>do skutków, które nie mogą być zaakceptowane w demokratycznym państwie prawnym, k</w:t>
      </w:r>
      <w:r w:rsidRPr="000B3C0C">
        <w:rPr>
          <w:i/>
        </w:rPr>
        <w:t xml:space="preserve">tóre wpływają na treść uchwały lub zarządzenia. Do takich naruszeń zalicza się między innymi naruszenie przepisów </w:t>
      </w:r>
      <w:r w:rsidRPr="000B3C0C">
        <w:rPr>
          <w:i/>
          <w:u w:val="single"/>
        </w:rPr>
        <w:t>wyznaczających kompetencje do wydania aktu lub brak podstawy prawnej</w:t>
      </w:r>
      <w:r w:rsidRPr="000B3C0C">
        <w:rPr>
          <w:i/>
        </w:rPr>
        <w:t xml:space="preserve">, bądź przepisów prawa ustrojowego lub przepisów prawa materialnego przez </w:t>
      </w:r>
      <w:r w:rsidRPr="000B3C0C">
        <w:rPr>
          <w:i/>
        </w:rPr>
        <w:t>wadliwą ich wykładnię oraz przepisów regulujących procedurę podejmowania uchwał, jeżeli na skutek tego naruszenia zapadła uchwała innej treści, niż gdyby naruszenie to nie wystąpiło</w:t>
      </w:r>
      <w:r>
        <w:t>”</w:t>
      </w:r>
      <w:r w:rsidRPr="000B3C0C">
        <w:t xml:space="preserve"> (wyrok Wojewódzkiego Sądu Administracyjnego w Gorzowie Wielkopolskim z dn</w:t>
      </w:r>
      <w:r w:rsidRPr="000B3C0C">
        <w:t>ia 30 maja 2018 r. sygn. akt II SA/Go 271/18).</w:t>
      </w:r>
    </w:p>
    <w:p w:rsidR="00A1675F" w:rsidRPr="0063791A" w:rsidRDefault="005373F9" w:rsidP="00D4022F">
      <w:pPr>
        <w:spacing w:after="240" w:line="360" w:lineRule="auto"/>
        <w:ind w:firstLine="708"/>
        <w:jc w:val="both"/>
      </w:pPr>
      <w:r w:rsidRPr="0063791A">
        <w:t xml:space="preserve">Mając na uwadze powyższe, stwierdzenie nieważności przedmiotowej </w:t>
      </w:r>
      <w:r w:rsidRPr="0063791A">
        <w:rPr>
          <w:bCs/>
        </w:rPr>
        <w:t xml:space="preserve">uchwały </w:t>
      </w:r>
      <w:r w:rsidRPr="0063791A">
        <w:t xml:space="preserve">Rady </w:t>
      </w:r>
      <w:r>
        <w:t>Gminy Prażmów</w:t>
      </w:r>
      <w:r w:rsidRPr="0063791A">
        <w:t>, we wskazanej w petitum części, jest w pełni uzasadnione.</w:t>
      </w:r>
    </w:p>
    <w:p w:rsidR="00A1675F" w:rsidRPr="0063791A" w:rsidRDefault="005373F9" w:rsidP="00D4022F">
      <w:pPr>
        <w:spacing w:after="240" w:line="360" w:lineRule="auto"/>
        <w:ind w:firstLine="708"/>
        <w:jc w:val="both"/>
      </w:pPr>
      <w:r w:rsidRPr="0063791A">
        <w:lastRenderedPageBreak/>
        <w:t xml:space="preserve">Na niniejsze rozstrzygnięcie nadzorcze </w:t>
      </w:r>
      <w:r>
        <w:t>Gminie</w:t>
      </w:r>
      <w:r w:rsidRPr="0063791A">
        <w:t xml:space="preserve"> przysługuje s</w:t>
      </w:r>
      <w:r w:rsidRPr="0063791A">
        <w:t xml:space="preserve">karga do Wojewódzkiego Sądu Administracyjnego w Warszawie w terminie 30 dni od daty jego doręczenia, wnoszona </w:t>
      </w:r>
      <w:r w:rsidRPr="0063791A">
        <w:br/>
        <w:t>za pośrednictwem organu, który skarżone orzeczenie wydał</w:t>
      </w:r>
      <w:r>
        <w:t>.</w:t>
      </w:r>
    </w:p>
    <w:p w:rsidR="00A1675F" w:rsidRPr="0063791A" w:rsidRDefault="005373F9" w:rsidP="00733968">
      <w:pPr>
        <w:spacing w:line="360" w:lineRule="auto"/>
        <w:ind w:firstLine="708"/>
        <w:jc w:val="both"/>
      </w:pPr>
      <w:r w:rsidRPr="0063791A">
        <w:t>Informuję, że rozstrzygnięcie nadzorcze wstrzymuje wykonanie uchwały z mocy prawa, w cz</w:t>
      </w:r>
      <w:r w:rsidRPr="0063791A">
        <w:t>ęści objętej orzeczeniem, z dniem jego doręczenia.</w:t>
      </w:r>
    </w:p>
    <w:p w:rsidR="0082581D" w:rsidRPr="0082581D" w:rsidRDefault="005373F9" w:rsidP="0082581D">
      <w:pPr>
        <w:ind w:firstLine="708"/>
        <w:jc w:val="both"/>
      </w:pPr>
    </w:p>
    <w:p w:rsidR="0082581D" w:rsidRPr="00D56745" w:rsidRDefault="005373F9" w:rsidP="0082581D">
      <w:pPr>
        <w:spacing w:line="276" w:lineRule="auto"/>
        <w:ind w:left="2825" w:firstLine="720"/>
        <w:jc w:val="center"/>
      </w:pPr>
    </w:p>
    <w:p w:rsidR="0082581D" w:rsidRPr="003B0AE4" w:rsidRDefault="005373F9" w:rsidP="0082581D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 w:rsidRPr="003B0AE4">
        <w:rPr>
          <w:i/>
        </w:rPr>
        <w:t>Konstanty Radziwiłł</w:t>
      </w:r>
      <w:bookmarkEnd w:id="2"/>
    </w:p>
    <w:p w:rsidR="0082581D" w:rsidRPr="003B0AE4" w:rsidRDefault="005373F9" w:rsidP="0082581D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 w:rsidRPr="003B0AE4">
        <w:rPr>
          <w:i/>
        </w:rPr>
        <w:t>Wojewoda Mazowiecki</w:t>
      </w:r>
      <w:bookmarkEnd w:id="3"/>
    </w:p>
    <w:p w:rsidR="00FA6BDD" w:rsidRPr="00D56745" w:rsidRDefault="005373F9" w:rsidP="0082581D">
      <w:pPr>
        <w:spacing w:line="276" w:lineRule="auto"/>
        <w:ind w:left="2825" w:firstLine="720"/>
        <w:jc w:val="center"/>
      </w:pPr>
    </w:p>
    <w:p w:rsidR="0082581D" w:rsidRPr="0082581D" w:rsidRDefault="005373F9" w:rsidP="0082581D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82581D">
        <w:rPr>
          <w:sz w:val="20"/>
          <w:szCs w:val="20"/>
        </w:rPr>
        <w:t>/podpisano bezpiecznym podpisem elektronicznym</w:t>
      </w:r>
    </w:p>
    <w:p w:rsidR="0082581D" w:rsidRPr="0082581D" w:rsidRDefault="005373F9" w:rsidP="0082581D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82581D">
        <w:rPr>
          <w:sz w:val="20"/>
          <w:szCs w:val="20"/>
        </w:rPr>
        <w:t>weryfikowanym ważnym kwalifikowanym certyfikatem/</w:t>
      </w:r>
    </w:p>
    <w:sectPr w:rsidR="0082581D" w:rsidRPr="0082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F9"/>
    <w:rsid w:val="0053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2A0E038-8632-496D-B1E6-A0B15D45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uiPriority w:val="22"/>
    <w:qFormat/>
    <w:rsid w:val="00A1675F"/>
    <w:rPr>
      <w:b/>
      <w:bCs/>
    </w:rPr>
  </w:style>
  <w:style w:type="paragraph" w:styleId="NormalnyWeb">
    <w:name w:val="Normal (Web)"/>
    <w:basedOn w:val="Normalny"/>
    <w:uiPriority w:val="99"/>
    <w:unhideWhenUsed/>
    <w:rsid w:val="00A1675F"/>
    <w:pPr>
      <w:spacing w:before="100" w:beforeAutospacing="1" w:after="100" w:afterAutospacing="1"/>
    </w:pPr>
  </w:style>
  <w:style w:type="character" w:customStyle="1" w:styleId="highlight-disabled">
    <w:name w:val="highlight-disabled"/>
    <w:basedOn w:val="Domylnaczcionkaakapitu"/>
    <w:rsid w:val="00A1675F"/>
  </w:style>
  <w:style w:type="paragraph" w:styleId="Nagwek">
    <w:name w:val="header"/>
    <w:basedOn w:val="Normalny"/>
    <w:link w:val="NagwekZnak"/>
    <w:uiPriority w:val="99"/>
    <w:unhideWhenUsed/>
    <w:rsid w:val="00A16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7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6CA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22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3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3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D2AC-FA87-4CB0-A703-7C953855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Anna Kazimierska</cp:lastModifiedBy>
  <cp:revision>2</cp:revision>
  <dcterms:created xsi:type="dcterms:W3CDTF">2021-06-11T09:21:00Z</dcterms:created>
  <dcterms:modified xsi:type="dcterms:W3CDTF">2021-06-11T09:21:00Z</dcterms:modified>
</cp:coreProperties>
</file>