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420"/>
        <w:gridCol w:w="2500"/>
        <w:gridCol w:w="3638"/>
      </w:tblGrid>
      <w:tr w:rsidR="002418C9" w:rsidRPr="00A95417" w:rsidTr="0034596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18C9" w:rsidRPr="00A95417" w:rsidRDefault="00095475" w:rsidP="002078BE">
            <w:pPr>
              <w:jc w:val="right"/>
              <w:rPr>
                <w:rFonts w:ascii="Gulim" w:eastAsia="Gulim" w:hAnsi="Gulim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95417">
              <w:rPr>
                <w:rFonts w:ascii="Gulim" w:eastAsia="Gulim" w:hAnsi="Gulim" w:cs="Times New Roman"/>
                <w:b/>
                <w:sz w:val="24"/>
                <w:szCs w:val="24"/>
              </w:rPr>
              <w:t>Załącznik nr 1 do Uchwały nr 95 RDPP z dnia 20 lutego 2018 r.</w:t>
            </w:r>
          </w:p>
        </w:tc>
      </w:tr>
      <w:tr w:rsidR="00345960" w:rsidRPr="00A95417" w:rsidTr="00095475">
        <w:trPr>
          <w:trHeight w:val="315"/>
        </w:trPr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45960" w:rsidRPr="00A95417" w:rsidRDefault="00345960" w:rsidP="0081626E">
            <w:pPr>
              <w:spacing w:after="120" w:line="240" w:lineRule="auto"/>
              <w:jc w:val="center"/>
              <w:rPr>
                <w:rFonts w:ascii="Gulim" w:eastAsia="Gulim" w:hAnsi="Gulim" w:cs="Times New Roman"/>
                <w:b/>
                <w:bCs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45960" w:rsidRPr="00A95417" w:rsidRDefault="00345960" w:rsidP="0081626E">
            <w:pPr>
              <w:spacing w:after="120" w:line="240" w:lineRule="auto"/>
              <w:jc w:val="center"/>
              <w:rPr>
                <w:rFonts w:ascii="Gulim" w:eastAsia="Gulim" w:hAnsi="Gulim" w:cs="Times New Roman"/>
                <w:b/>
                <w:bCs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b/>
                <w:bCs/>
                <w:sz w:val="20"/>
                <w:szCs w:val="20"/>
              </w:rPr>
              <w:t>Część/</w:t>
            </w:r>
            <w:proofErr w:type="spellStart"/>
            <w:r w:rsidRPr="00A95417">
              <w:rPr>
                <w:rFonts w:ascii="Gulim" w:eastAsia="Gulim" w:hAnsi="Gulim" w:cs="Times New Roman"/>
                <w:b/>
                <w:bCs/>
                <w:sz w:val="20"/>
                <w:szCs w:val="20"/>
              </w:rPr>
              <w:t>rozdz</w:t>
            </w:r>
            <w:proofErr w:type="spellEnd"/>
            <w:r w:rsidRPr="00A95417">
              <w:rPr>
                <w:rFonts w:ascii="Gulim" w:eastAsia="Gulim" w:hAnsi="Gulim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A95417">
              <w:rPr>
                <w:rFonts w:ascii="Gulim" w:eastAsia="Gulim" w:hAnsi="Gulim" w:cs="Times New Roman"/>
                <w:b/>
                <w:bCs/>
                <w:sz w:val="20"/>
                <w:szCs w:val="20"/>
              </w:rPr>
              <w:t>podrozdz</w:t>
            </w:r>
            <w:proofErr w:type="spellEnd"/>
            <w:r w:rsidRPr="00A95417">
              <w:rPr>
                <w:rFonts w:ascii="Gulim" w:eastAsia="Gulim" w:hAnsi="Gulim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75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45960" w:rsidRPr="00A95417" w:rsidRDefault="00345960" w:rsidP="0081626E">
            <w:pPr>
              <w:spacing w:after="120" w:line="240" w:lineRule="auto"/>
              <w:jc w:val="center"/>
              <w:rPr>
                <w:rFonts w:ascii="Gulim" w:eastAsia="Gulim" w:hAnsi="Gulim" w:cs="Times New Roman"/>
                <w:b/>
                <w:bCs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206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45960" w:rsidRPr="00A95417" w:rsidRDefault="00345960" w:rsidP="0081626E">
            <w:pPr>
              <w:spacing w:after="120" w:line="240" w:lineRule="auto"/>
              <w:jc w:val="center"/>
              <w:rPr>
                <w:rFonts w:ascii="Gulim" w:eastAsia="Gulim" w:hAnsi="Gulim" w:cs="Times New Roman"/>
                <w:b/>
                <w:bCs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b/>
                <w:bCs/>
                <w:sz w:val="20"/>
                <w:szCs w:val="20"/>
              </w:rPr>
              <w:t>Uzasadnienie</w:t>
            </w:r>
          </w:p>
        </w:tc>
      </w:tr>
      <w:tr w:rsidR="00345960" w:rsidRPr="00A95417" w:rsidTr="00095475">
        <w:trPr>
          <w:trHeight w:val="300"/>
        </w:trPr>
        <w:tc>
          <w:tcPr>
            <w:tcW w:w="303" w:type="pct"/>
            <w:shd w:val="clear" w:color="auto" w:fill="auto"/>
            <w:hideMark/>
          </w:tcPr>
          <w:p w:rsidR="00345960" w:rsidRPr="00A95417" w:rsidRDefault="00345960" w:rsidP="001D3ACD">
            <w:pPr>
              <w:spacing w:after="120" w:line="240" w:lineRule="auto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1.</w:t>
            </w:r>
          </w:p>
        </w:tc>
        <w:tc>
          <w:tcPr>
            <w:tcW w:w="1159" w:type="pct"/>
            <w:shd w:val="clear" w:color="auto" w:fill="auto"/>
            <w:hideMark/>
          </w:tcPr>
          <w:p w:rsidR="00345960" w:rsidRPr="00A95417" w:rsidRDefault="00345960" w:rsidP="00345960">
            <w:pPr>
              <w:pStyle w:val="rozdzial"/>
              <w:numPr>
                <w:ilvl w:val="0"/>
                <w:numId w:val="2"/>
              </w:numPr>
              <w:spacing w:before="0"/>
              <w:ind w:left="34" w:firstLine="0"/>
              <w:rPr>
                <w:rFonts w:ascii="Gulim" w:eastAsia="Gulim" w:hAnsi="Gulim"/>
                <w:color w:val="auto"/>
                <w:sz w:val="20"/>
                <w:szCs w:val="20"/>
              </w:rPr>
            </w:pPr>
            <w:bookmarkStart w:id="1" w:name="_Toc276589825"/>
            <w:bookmarkStart w:id="2" w:name="_Toc505239452"/>
            <w:r w:rsidRPr="00A95417">
              <w:rPr>
                <w:rFonts w:ascii="Gulim" w:eastAsia="Gulim" w:hAnsi="Gulim"/>
                <w:color w:val="auto"/>
                <w:sz w:val="20"/>
                <w:szCs w:val="20"/>
              </w:rPr>
              <w:t>ŚRODKI FINANSOWE NA REALIZACJĘ ZADAŃ PUBLICZNYCH. CZAS REALIZACJI ZADAŃ</w:t>
            </w:r>
            <w:bookmarkEnd w:id="1"/>
            <w:r w:rsidRPr="00A95417">
              <w:rPr>
                <w:rFonts w:ascii="Gulim" w:eastAsia="Gulim" w:hAnsi="Gulim"/>
                <w:color w:val="auto"/>
                <w:sz w:val="20"/>
                <w:szCs w:val="20"/>
              </w:rPr>
              <w:t>.</w:t>
            </w:r>
            <w:bookmarkEnd w:id="2"/>
          </w:p>
          <w:p w:rsidR="00345960" w:rsidRPr="00A95417" w:rsidRDefault="00345960" w:rsidP="00345960">
            <w:pPr>
              <w:pStyle w:val="rozdzial"/>
              <w:numPr>
                <w:ilvl w:val="0"/>
                <w:numId w:val="0"/>
              </w:numPr>
              <w:spacing w:before="0"/>
              <w:ind w:left="34"/>
              <w:rPr>
                <w:rFonts w:ascii="Gulim" w:eastAsia="Gulim" w:hAnsi="Gulim"/>
                <w:color w:val="auto"/>
                <w:sz w:val="20"/>
                <w:szCs w:val="20"/>
              </w:rPr>
            </w:pPr>
          </w:p>
          <w:p w:rsidR="00345960" w:rsidRPr="00A95417" w:rsidRDefault="00345960" w:rsidP="00345960">
            <w:pPr>
              <w:pStyle w:val="rozdzial"/>
              <w:numPr>
                <w:ilvl w:val="0"/>
                <w:numId w:val="0"/>
              </w:numPr>
              <w:spacing w:before="0"/>
              <w:ind w:left="34"/>
              <w:rPr>
                <w:rFonts w:ascii="Gulim" w:eastAsia="Gulim" w:hAnsi="Gulim"/>
                <w:color w:val="auto"/>
                <w:sz w:val="20"/>
                <w:szCs w:val="20"/>
              </w:rPr>
            </w:pPr>
            <w:r w:rsidRPr="00A95417">
              <w:rPr>
                <w:rFonts w:ascii="Gulim" w:eastAsia="Gulim" w:hAnsi="Gulim"/>
                <w:color w:val="auto"/>
                <w:sz w:val="20"/>
                <w:szCs w:val="20"/>
              </w:rPr>
              <w:t>4. WYSOKOŚĆ WNIOSKOWANEJ DOTACJI</w:t>
            </w:r>
          </w:p>
          <w:p w:rsidR="00345960" w:rsidRPr="00A95417" w:rsidRDefault="00345960" w:rsidP="00345960">
            <w:pPr>
              <w:pStyle w:val="Tekstpodstawowy"/>
              <w:tabs>
                <w:tab w:val="num" w:pos="720"/>
                <w:tab w:val="num" w:pos="1080"/>
              </w:tabs>
              <w:spacing w:after="120"/>
              <w:jc w:val="left"/>
              <w:rPr>
                <w:rFonts w:ascii="Gulim" w:eastAsia="Gulim" w:hAnsi="Gulim"/>
                <w:b w:val="0"/>
                <w:sz w:val="20"/>
                <w:szCs w:val="20"/>
              </w:rPr>
            </w:pPr>
            <w:r w:rsidRPr="00A95417">
              <w:rPr>
                <w:rFonts w:ascii="Gulim" w:eastAsia="Gulim" w:hAnsi="Gulim"/>
                <w:b w:val="0"/>
                <w:sz w:val="20"/>
                <w:szCs w:val="20"/>
              </w:rPr>
              <w:t xml:space="preserve">„W ramach FIO 2018 można ubiegać się o dotację w wysokości </w:t>
            </w:r>
            <w:r w:rsidRPr="00A95417">
              <w:rPr>
                <w:rFonts w:ascii="Gulim" w:eastAsia="Gulim" w:hAnsi="Gulim"/>
                <w:sz w:val="20"/>
                <w:szCs w:val="20"/>
              </w:rPr>
              <w:t>od 20 tys. zł do 400 tys. zł</w:t>
            </w:r>
            <w:r w:rsidRPr="00A95417">
              <w:rPr>
                <w:rFonts w:ascii="Gulim" w:eastAsia="Gulim" w:hAnsi="Gulim"/>
                <w:b w:val="0"/>
                <w:sz w:val="20"/>
                <w:szCs w:val="20"/>
              </w:rPr>
              <w:t>, w tym wysokość dotacji przeznaczonej na realizację w poszczególnych latach może wynosić maksymalnie 200 tys. zł.”</w:t>
            </w:r>
          </w:p>
          <w:p w:rsidR="00345960" w:rsidRPr="00A95417" w:rsidRDefault="00345960" w:rsidP="00345960">
            <w:pPr>
              <w:pStyle w:val="Tekstpodstawowy"/>
              <w:tabs>
                <w:tab w:val="num" w:pos="720"/>
                <w:tab w:val="num" w:pos="1080"/>
              </w:tabs>
              <w:spacing w:after="120"/>
              <w:jc w:val="left"/>
              <w:rPr>
                <w:rFonts w:ascii="Gulim" w:eastAsia="Gulim" w:hAnsi="Gulim"/>
                <w:sz w:val="20"/>
                <w:szCs w:val="20"/>
              </w:rPr>
            </w:pPr>
            <w:r w:rsidRPr="00A95417">
              <w:rPr>
                <w:rFonts w:ascii="Gulim" w:eastAsia="Gulim" w:hAnsi="Gulim"/>
                <w:sz w:val="20"/>
                <w:szCs w:val="20"/>
              </w:rPr>
              <w:t>ORAZ</w:t>
            </w:r>
          </w:p>
          <w:p w:rsidR="00345960" w:rsidRPr="00A95417" w:rsidRDefault="00345960" w:rsidP="00345960">
            <w:pPr>
              <w:pStyle w:val="Tekstpodstawowy"/>
              <w:tabs>
                <w:tab w:val="num" w:pos="720"/>
                <w:tab w:val="num" w:pos="1080"/>
              </w:tabs>
              <w:spacing w:after="120"/>
              <w:jc w:val="left"/>
              <w:rPr>
                <w:rFonts w:ascii="Gulim" w:eastAsia="Gulim" w:hAnsi="Gulim"/>
                <w:sz w:val="20"/>
                <w:szCs w:val="20"/>
              </w:rPr>
            </w:pPr>
            <w:r w:rsidRPr="00A95417">
              <w:rPr>
                <w:rFonts w:ascii="Gulim" w:eastAsia="Gulim" w:hAnsi="Gulim"/>
                <w:sz w:val="20"/>
                <w:szCs w:val="20"/>
              </w:rPr>
              <w:t>Część B – Zasady przyznawania dotacji w Priorytecie 1.</w:t>
            </w:r>
          </w:p>
          <w:p w:rsidR="00345960" w:rsidRPr="00A95417" w:rsidRDefault="00345960" w:rsidP="00345960">
            <w:pPr>
              <w:pStyle w:val="Tekstpodstawowy"/>
              <w:numPr>
                <w:ilvl w:val="0"/>
                <w:numId w:val="9"/>
              </w:numPr>
              <w:tabs>
                <w:tab w:val="num" w:pos="177"/>
              </w:tabs>
              <w:spacing w:after="120"/>
              <w:ind w:left="0" w:firstLine="0"/>
              <w:jc w:val="left"/>
              <w:rPr>
                <w:rFonts w:ascii="Gulim" w:eastAsia="Gulim" w:hAnsi="Gulim"/>
                <w:sz w:val="20"/>
                <w:szCs w:val="20"/>
              </w:rPr>
            </w:pPr>
            <w:r w:rsidRPr="00A95417">
              <w:rPr>
                <w:rFonts w:ascii="Gulim" w:eastAsia="Gulim" w:hAnsi="Gulim"/>
                <w:sz w:val="20"/>
                <w:szCs w:val="20"/>
              </w:rPr>
              <w:t>PRIORYTET 1 – MAŁE INICJATYWY.</w:t>
            </w:r>
          </w:p>
          <w:p w:rsidR="00345960" w:rsidRPr="00A95417" w:rsidRDefault="00345960" w:rsidP="00345960">
            <w:pPr>
              <w:pStyle w:val="Tekstpodstawowy"/>
              <w:tabs>
                <w:tab w:val="num" w:pos="1080"/>
              </w:tabs>
              <w:spacing w:after="120"/>
              <w:jc w:val="left"/>
              <w:rPr>
                <w:rFonts w:ascii="Gulim" w:eastAsia="Gulim" w:hAnsi="Gulim"/>
                <w:sz w:val="20"/>
                <w:szCs w:val="20"/>
              </w:rPr>
            </w:pPr>
            <w:r w:rsidRPr="00A95417">
              <w:rPr>
                <w:rFonts w:ascii="Gulim" w:eastAsia="Gulim" w:hAnsi="Gulim"/>
                <w:sz w:val="20"/>
                <w:szCs w:val="20"/>
              </w:rPr>
              <w:t>2. ŚRODKI FINANSOWE I CZAS REALIZACJI ZADAŃ.</w:t>
            </w:r>
          </w:p>
          <w:p w:rsidR="00345960" w:rsidRPr="00A95417" w:rsidRDefault="00345960" w:rsidP="00345960">
            <w:pPr>
              <w:tabs>
                <w:tab w:val="left" w:pos="1005"/>
              </w:tabs>
              <w:spacing w:after="120" w:line="240" w:lineRule="auto"/>
              <w:rPr>
                <w:rFonts w:ascii="Gulim" w:eastAsia="Gulim" w:hAnsi="Gulim" w:cs="Times New Roman"/>
                <w:b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b/>
                <w:sz w:val="20"/>
                <w:szCs w:val="20"/>
              </w:rPr>
              <w:t>„Wysokość wnioskowanej dotacji</w:t>
            </w:r>
          </w:p>
          <w:p w:rsidR="00345960" w:rsidRDefault="00345960" w:rsidP="00345960">
            <w:pPr>
              <w:spacing w:after="120" w:line="240" w:lineRule="auto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Możliwa maksymalna wysokość wnioskowanej dotacji to: 1 000 000 zł, w tym wysokość dotacji przeznaczonej na realizację zadania w danym roku może wynosić maksymalnie 500 tys. zł.”</w:t>
            </w:r>
          </w:p>
          <w:p w:rsidR="0081626E" w:rsidRPr="00A95417" w:rsidRDefault="0081626E" w:rsidP="00345960">
            <w:pPr>
              <w:spacing w:after="120" w:line="240" w:lineRule="auto"/>
              <w:rPr>
                <w:rFonts w:ascii="Gulim" w:eastAsia="Gulim" w:hAnsi="Gulim" w:cs="Times New Roman"/>
                <w:sz w:val="20"/>
                <w:szCs w:val="20"/>
              </w:rPr>
            </w:pPr>
          </w:p>
        </w:tc>
        <w:tc>
          <w:tcPr>
            <w:tcW w:w="1475" w:type="pct"/>
            <w:shd w:val="clear" w:color="auto" w:fill="auto"/>
            <w:hideMark/>
          </w:tcPr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 xml:space="preserve">Niewskazane jest sztywne określanie wysokości dotacji na dany rok, w tym szczególnie wskazywanie równomiernego podziału dotacji pomiędzy latami, gdy pierwszy rok realizacji projektu wynosi tylko 8 miesięcy, a drugi rok – 12 miesięcy </w:t>
            </w:r>
          </w:p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Ewentualnie należy wskazać podział środków w taki sposób, aby w drugim roku realizacji projektu wysokość dotacji była większa niż w pierwszym roku.</w:t>
            </w:r>
          </w:p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  <w:u w:val="single"/>
              </w:rPr>
            </w:pPr>
          </w:p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</w:p>
        </w:tc>
        <w:tc>
          <w:tcPr>
            <w:tcW w:w="2064" w:type="pct"/>
            <w:shd w:val="clear" w:color="auto" w:fill="auto"/>
            <w:hideMark/>
          </w:tcPr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Ograniczenie wysokości dotacji w danym roku do 200 tys. oznacza, że przy maksymalnej kwocie dotacji 400 tys. zł w przypadku projektu trwającego maksymalną ilość miesięcy – czyli 20 mies. (8 mies. w 2018 r. i 12 mies. w 2019 r.) należałoby planować budżet w taki sposób, że w 8 mies. trwania projektu w 2018 r. powinno być wydanych 200 tys. zł z dotacji raz w 2019 r. w ciągu 12 mies. także 200 tys. zł. To oznacza, że organizacja planując projekt, który miałby trwać 20 mies. będzie musiała tak planować działania, aby ich budżet w poszczególnych latach wynosił maksymalnie równo połowę możliwej dotacji w przypadku projektów dwuletnich - to oznacza, że planując działania organizacja musi brać pod uwagę środki jakimi może dysponować (limit wysokości dotacji na rok), a nie charakter działań i ich intensywność - co powinno mieć przełożenie na budżet projektu, a nie odwrotnie.</w:t>
            </w:r>
          </w:p>
        </w:tc>
      </w:tr>
      <w:tr w:rsidR="00345960" w:rsidRPr="00A95417" w:rsidTr="00095475">
        <w:trPr>
          <w:trHeight w:val="300"/>
        </w:trPr>
        <w:tc>
          <w:tcPr>
            <w:tcW w:w="303" w:type="pct"/>
            <w:shd w:val="clear" w:color="auto" w:fill="auto"/>
            <w:hideMark/>
          </w:tcPr>
          <w:p w:rsidR="00345960" w:rsidRPr="00A95417" w:rsidRDefault="00345960" w:rsidP="001D3ACD">
            <w:pPr>
              <w:spacing w:after="120" w:line="240" w:lineRule="auto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2.</w:t>
            </w:r>
          </w:p>
        </w:tc>
        <w:tc>
          <w:tcPr>
            <w:tcW w:w="1159" w:type="pct"/>
            <w:shd w:val="clear" w:color="auto" w:fill="auto"/>
            <w:hideMark/>
          </w:tcPr>
          <w:p w:rsidR="00345960" w:rsidRPr="00A95417" w:rsidRDefault="00345960" w:rsidP="00345960">
            <w:pPr>
              <w:pStyle w:val="rozdzial"/>
              <w:numPr>
                <w:ilvl w:val="0"/>
                <w:numId w:val="3"/>
              </w:numPr>
              <w:spacing w:before="0"/>
              <w:ind w:left="0" w:firstLine="0"/>
              <w:rPr>
                <w:rFonts w:ascii="Gulim" w:eastAsia="Gulim" w:hAnsi="Gulim"/>
                <w:color w:val="auto"/>
                <w:sz w:val="20"/>
                <w:szCs w:val="20"/>
              </w:rPr>
            </w:pPr>
            <w:r w:rsidRPr="00A95417">
              <w:rPr>
                <w:rFonts w:ascii="Gulim" w:eastAsia="Gulim" w:hAnsi="Gulim"/>
                <w:color w:val="auto"/>
                <w:sz w:val="20"/>
                <w:szCs w:val="20"/>
              </w:rPr>
              <w:t xml:space="preserve">ŚRODKI FINANSOWE NA </w:t>
            </w:r>
            <w:r w:rsidRPr="00A95417">
              <w:rPr>
                <w:rFonts w:ascii="Gulim" w:eastAsia="Gulim" w:hAnsi="Gulim"/>
                <w:color w:val="auto"/>
                <w:sz w:val="20"/>
                <w:szCs w:val="20"/>
              </w:rPr>
              <w:lastRenderedPageBreak/>
              <w:t>REALIZACJĘ ZADAŃ PUBLICZNYCH. CZAS REALIZACJI ZADAŃ.</w:t>
            </w:r>
          </w:p>
          <w:p w:rsidR="00345960" w:rsidRPr="00A95417" w:rsidRDefault="00345960" w:rsidP="00345960">
            <w:pPr>
              <w:spacing w:after="120" w:line="240" w:lineRule="auto"/>
              <w:rPr>
                <w:rFonts w:ascii="Gulim" w:eastAsia="Gulim" w:hAnsi="Gulim" w:cs="Times New Roman"/>
                <w:b/>
                <w:sz w:val="20"/>
                <w:szCs w:val="20"/>
              </w:rPr>
            </w:pPr>
          </w:p>
          <w:p w:rsidR="00345960" w:rsidRPr="00A95417" w:rsidRDefault="00345960" w:rsidP="00345960">
            <w:pPr>
              <w:spacing w:after="120" w:line="240" w:lineRule="auto"/>
              <w:rPr>
                <w:rFonts w:ascii="Gulim" w:eastAsia="Gulim" w:hAnsi="Gulim" w:cs="Times New Roman"/>
                <w:b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b/>
                <w:sz w:val="20"/>
                <w:szCs w:val="20"/>
              </w:rPr>
              <w:t>5. UDZIAŁ ŚRODKÓW WŁASNYCH</w:t>
            </w:r>
          </w:p>
        </w:tc>
        <w:tc>
          <w:tcPr>
            <w:tcW w:w="1475" w:type="pct"/>
            <w:shd w:val="clear" w:color="auto" w:fill="auto"/>
            <w:hideMark/>
          </w:tcPr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lastRenderedPageBreak/>
              <w:t xml:space="preserve">Proponujemy w zakresie kryteriów wyboru ofert </w:t>
            </w:r>
            <w:r w:rsidRPr="00A95417">
              <w:rPr>
                <w:rFonts w:ascii="Gulim" w:eastAsia="Gulim" w:hAnsi="Gulim" w:cs="Times New Roman"/>
                <w:sz w:val="20"/>
                <w:szCs w:val="20"/>
              </w:rPr>
              <w:lastRenderedPageBreak/>
              <w:t>wskazać punktację dotyczącą wniesienia wkładu własnego.</w:t>
            </w:r>
          </w:p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Nie jest jasne jaką funkcję ma pełnić w konkursie możliwość wnoszenia wkładu własnego przez organizacje (założono 100% finansowanie projektów).</w:t>
            </w:r>
          </w:p>
        </w:tc>
        <w:tc>
          <w:tcPr>
            <w:tcW w:w="2064" w:type="pct"/>
            <w:shd w:val="clear" w:color="auto" w:fill="auto"/>
            <w:hideMark/>
          </w:tcPr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lastRenderedPageBreak/>
              <w:t xml:space="preserve">W rozdziale III Regulaminu w pkt. 5 dotyczącym udziału środków </w:t>
            </w:r>
            <w:r w:rsidRPr="00A95417">
              <w:rPr>
                <w:rFonts w:ascii="Gulim" w:eastAsia="Gulim" w:hAnsi="Gulim" w:cs="Times New Roman"/>
                <w:sz w:val="20"/>
                <w:szCs w:val="20"/>
              </w:rPr>
              <w:lastRenderedPageBreak/>
              <w:t xml:space="preserve">finansowych wskazano, że nie jest wymagane wnoszenie wkładu własnego, lecz </w:t>
            </w:r>
            <w:r w:rsidRPr="00A95417">
              <w:rPr>
                <w:rFonts w:ascii="Gulim" w:eastAsia="Gulim" w:hAnsi="Gulim" w:cs="Times New Roman"/>
                <w:b/>
                <w:sz w:val="20"/>
                <w:szCs w:val="20"/>
              </w:rPr>
              <w:t>zalecane jest jego wniesienie (w formie wkładu osobowego bądź rzeczowego).</w:t>
            </w:r>
            <w:r w:rsidRPr="00A95417">
              <w:rPr>
                <w:rFonts w:ascii="Gulim" w:eastAsia="Gulim" w:hAnsi="Gulim" w:cs="Times New Roman"/>
                <w:sz w:val="20"/>
                <w:szCs w:val="20"/>
              </w:rPr>
              <w:t xml:space="preserve"> W związku z tym, by stymulować zaangażowanie organizacji w zakresie wnoszenia wkładu własnego, w tym szczególnie w postaci pracy </w:t>
            </w:r>
            <w:proofErr w:type="spellStart"/>
            <w:r w:rsidRPr="00A95417">
              <w:rPr>
                <w:rFonts w:ascii="Gulim" w:eastAsia="Gulim" w:hAnsi="Gulim" w:cs="Times New Roman"/>
                <w:sz w:val="20"/>
                <w:szCs w:val="20"/>
              </w:rPr>
              <w:t>wolontariackiej</w:t>
            </w:r>
            <w:proofErr w:type="spellEnd"/>
            <w:r w:rsidRPr="00A95417">
              <w:rPr>
                <w:rFonts w:ascii="Gulim" w:eastAsia="Gulim" w:hAnsi="Gulim" w:cs="Times New Roman"/>
                <w:sz w:val="20"/>
                <w:szCs w:val="20"/>
              </w:rPr>
              <w:t>/zaangażowania członków organizacji wskazane jest punktowanie wnoszenia wkładu własnego – np. w zakresie oceny merytorycznej, bądź jako dodatkowe punkty strategiczne (maks. 5 pkt).</w:t>
            </w:r>
            <w:r w:rsidRPr="00A95417">
              <w:rPr>
                <w:rFonts w:ascii="Gulim" w:eastAsia="Gulim" w:hAnsi="Gulim" w:cs="Times New Roman"/>
                <w:sz w:val="20"/>
                <w:szCs w:val="20"/>
              </w:rPr>
              <w:br/>
              <w:t>Założono możliwość wnoszenia wkładu własnego – jednak nie zaplanowano dodatkowego punktowania tych ofert, w przypadku których zaplanowano wniesienie wkładu własnego.</w:t>
            </w:r>
          </w:p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System dodatkowych punktów dot. wkładu własnego wnoszonego przez Oferentów powinien działać stymulująco na organizacje i tym samym przyczyniać się do ich rozwoju w zakresie  finansowania działań organizacji i zapewnienia warunków do ich działalności.</w:t>
            </w:r>
          </w:p>
          <w:p w:rsidR="002418C9" w:rsidRDefault="002418C9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Innym rozwiązaniem jest jasne stwierdzenie, że wkład własny nie wpływa na ocenę wniosku.</w:t>
            </w:r>
          </w:p>
          <w:p w:rsidR="0081626E" w:rsidRPr="00A95417" w:rsidRDefault="0081626E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</w:p>
        </w:tc>
      </w:tr>
      <w:tr w:rsidR="00345960" w:rsidRPr="00A95417" w:rsidTr="00095475">
        <w:trPr>
          <w:trHeight w:val="300"/>
        </w:trPr>
        <w:tc>
          <w:tcPr>
            <w:tcW w:w="303" w:type="pct"/>
            <w:shd w:val="clear" w:color="auto" w:fill="auto"/>
            <w:hideMark/>
          </w:tcPr>
          <w:p w:rsidR="00345960" w:rsidRPr="00A95417" w:rsidRDefault="00345960" w:rsidP="001D3ACD">
            <w:pPr>
              <w:spacing w:after="120" w:line="240" w:lineRule="auto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159" w:type="pct"/>
            <w:shd w:val="clear" w:color="auto" w:fill="auto"/>
            <w:hideMark/>
          </w:tcPr>
          <w:p w:rsidR="00345960" w:rsidRPr="00A95417" w:rsidRDefault="00345960" w:rsidP="001D3ACD">
            <w:pPr>
              <w:spacing w:after="120" w:line="240" w:lineRule="auto"/>
              <w:rPr>
                <w:rFonts w:ascii="Gulim" w:eastAsia="Gulim" w:hAnsi="Gulim" w:cs="Times New Roman"/>
                <w:b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b/>
                <w:sz w:val="20"/>
                <w:szCs w:val="20"/>
              </w:rPr>
              <w:t>III. ŚRODKI FINANSOWE NA REALIZACJĘ ZADAŃ PUBLICZNYCH. CZAS REALIZACJI ZADAŃ.</w:t>
            </w:r>
          </w:p>
          <w:p w:rsidR="00345960" w:rsidRPr="00A95417" w:rsidRDefault="00345960" w:rsidP="001D3ACD">
            <w:pPr>
              <w:spacing w:after="120" w:line="240" w:lineRule="auto"/>
              <w:rPr>
                <w:rFonts w:ascii="Gulim" w:eastAsia="Gulim" w:hAnsi="Gulim" w:cs="Times New Roman"/>
                <w:b/>
                <w:sz w:val="20"/>
                <w:szCs w:val="20"/>
              </w:rPr>
            </w:pPr>
          </w:p>
          <w:p w:rsidR="00345960" w:rsidRPr="00A95417" w:rsidRDefault="00345960" w:rsidP="001D3ACD">
            <w:pPr>
              <w:spacing w:after="120" w:line="240" w:lineRule="auto"/>
              <w:rPr>
                <w:rFonts w:ascii="Gulim" w:eastAsia="Gulim" w:hAnsi="Gulim" w:cs="Times New Roman"/>
                <w:b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6</w:t>
            </w:r>
            <w:r w:rsidRPr="00A95417">
              <w:rPr>
                <w:rFonts w:ascii="Gulim" w:eastAsia="Gulim" w:hAnsi="Gulim" w:cs="Times New Roman"/>
                <w:b/>
                <w:sz w:val="20"/>
                <w:szCs w:val="20"/>
              </w:rPr>
              <w:t>. KOSZTY KWALIFIKOWALNE</w:t>
            </w:r>
          </w:p>
          <w:p w:rsidR="00345960" w:rsidRPr="00A95417" w:rsidRDefault="00345960" w:rsidP="001D3ACD">
            <w:pPr>
              <w:pStyle w:val="Tekstpodstawowywcity"/>
              <w:spacing w:line="240" w:lineRule="auto"/>
              <w:ind w:left="0"/>
              <w:rPr>
                <w:rFonts w:ascii="Gulim" w:eastAsia="Gulim" w:hAnsi="Gulim"/>
                <w:sz w:val="20"/>
                <w:szCs w:val="20"/>
              </w:rPr>
            </w:pPr>
            <w:r w:rsidRPr="00A95417">
              <w:rPr>
                <w:rStyle w:val="Pogrubienie"/>
                <w:rFonts w:ascii="Gulim" w:eastAsia="Gulim" w:hAnsi="Gulim"/>
                <w:sz w:val="20"/>
                <w:szCs w:val="20"/>
              </w:rPr>
              <w:t>Kategoria I.B – Koszty związane z rozwojem instytucjonalnym własnej organizacji</w:t>
            </w:r>
            <w:r w:rsidRPr="00A95417">
              <w:rPr>
                <w:rFonts w:ascii="Gulim" w:eastAsia="Gulim" w:hAnsi="Gulim"/>
                <w:sz w:val="20"/>
                <w:szCs w:val="20"/>
              </w:rPr>
              <w:t xml:space="preserve"> – </w:t>
            </w:r>
            <w:r w:rsidRPr="00A95417">
              <w:rPr>
                <w:rFonts w:ascii="Gulim" w:eastAsia="Gulim" w:hAnsi="Gulim"/>
                <w:b/>
                <w:sz w:val="20"/>
                <w:szCs w:val="20"/>
              </w:rPr>
              <w:t>do</w:t>
            </w:r>
            <w:r w:rsidRPr="00A95417">
              <w:rPr>
                <w:rFonts w:ascii="Gulim" w:eastAsia="Gulim" w:hAnsi="Gulim"/>
                <w:sz w:val="20"/>
                <w:szCs w:val="20"/>
              </w:rPr>
              <w:t xml:space="preserve"> </w:t>
            </w:r>
            <w:r w:rsidRPr="00A95417">
              <w:rPr>
                <w:rFonts w:ascii="Gulim" w:eastAsia="Gulim" w:hAnsi="Gulim"/>
                <w:b/>
                <w:sz w:val="20"/>
                <w:szCs w:val="20"/>
              </w:rPr>
              <w:t>wysokości 20% dotacji.</w:t>
            </w:r>
          </w:p>
          <w:p w:rsidR="00345960" w:rsidRPr="00A95417" w:rsidRDefault="00345960" w:rsidP="001D3ACD">
            <w:pPr>
              <w:spacing w:after="120" w:line="240" w:lineRule="auto"/>
              <w:rPr>
                <w:rFonts w:ascii="Gulim" w:eastAsia="Gulim" w:hAnsi="Gulim" w:cs="Times New Roman"/>
                <w:sz w:val="20"/>
                <w:szCs w:val="20"/>
              </w:rPr>
            </w:pPr>
          </w:p>
          <w:p w:rsidR="00345960" w:rsidRPr="00A95417" w:rsidRDefault="00345960" w:rsidP="001D3ACD">
            <w:pPr>
              <w:spacing w:after="120" w:line="240" w:lineRule="auto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lastRenderedPageBreak/>
              <w:t>„Wszystkie koszty związane z rozwojem instytucjonalnym własnej organizacji muszą być uzasadnione – w ofercie powinno być wskazane, w jakim stopniu dany wydatek przyczynia się do rozwoju organizacji.”</w:t>
            </w:r>
          </w:p>
        </w:tc>
        <w:tc>
          <w:tcPr>
            <w:tcW w:w="1475" w:type="pct"/>
            <w:shd w:val="clear" w:color="auto" w:fill="auto"/>
            <w:hideMark/>
          </w:tcPr>
          <w:p w:rsidR="00345960" w:rsidRPr="00A95417" w:rsidRDefault="00345960" w:rsidP="00DE0318">
            <w:pPr>
              <w:numPr>
                <w:ilvl w:val="0"/>
                <w:numId w:val="4"/>
              </w:numPr>
              <w:spacing w:after="120" w:line="240" w:lineRule="auto"/>
              <w:ind w:left="390" w:hanging="283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lastRenderedPageBreak/>
              <w:t>Uzasadnienie dot. kosztów związanych z rozwojem instytucjonalnym powinno podlegać ocenie na etapie oceny merytorycznej wniosku.</w:t>
            </w:r>
          </w:p>
          <w:p w:rsidR="00345960" w:rsidRDefault="00345960" w:rsidP="00DE0318">
            <w:pPr>
              <w:numPr>
                <w:ilvl w:val="0"/>
                <w:numId w:val="4"/>
              </w:numPr>
              <w:spacing w:after="120" w:line="240" w:lineRule="auto"/>
              <w:ind w:left="390" w:hanging="283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 xml:space="preserve">W Regulaminie powinno być jasno i precyzyjnie określone, czy w przypadku oferty wspólnej  koszty związane z rozwojem </w:t>
            </w:r>
            <w:r w:rsidRPr="00A95417">
              <w:rPr>
                <w:rFonts w:ascii="Gulim" w:eastAsia="Gulim" w:hAnsi="Gulim" w:cs="Times New Roman"/>
                <w:sz w:val="20"/>
                <w:szCs w:val="20"/>
              </w:rPr>
              <w:lastRenderedPageBreak/>
              <w:t>instytucjonalnym (do wysokości limitu 20%) mogą dotyczyć wszystkich organizacji w partnerstwie (składających ofertę wspólną), czy tylko Lidera partnerstwa w przypadku oferty wspólnej.</w:t>
            </w:r>
          </w:p>
          <w:p w:rsidR="0081626E" w:rsidRPr="00A95417" w:rsidRDefault="0081626E" w:rsidP="0081626E">
            <w:pPr>
              <w:spacing w:after="120" w:line="240" w:lineRule="auto"/>
              <w:ind w:left="390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</w:p>
        </w:tc>
        <w:tc>
          <w:tcPr>
            <w:tcW w:w="2064" w:type="pct"/>
            <w:shd w:val="clear" w:color="auto" w:fill="auto"/>
            <w:hideMark/>
          </w:tcPr>
          <w:p w:rsidR="00345960" w:rsidRPr="00A95417" w:rsidRDefault="00345960" w:rsidP="00DE0318">
            <w:pPr>
              <w:numPr>
                <w:ilvl w:val="0"/>
                <w:numId w:val="5"/>
              </w:numPr>
              <w:tabs>
                <w:tab w:val="left" w:pos="317"/>
              </w:tabs>
              <w:spacing w:after="120" w:line="240" w:lineRule="auto"/>
              <w:ind w:left="175" w:hanging="142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lastRenderedPageBreak/>
              <w:t>W związku z wymogiem wskazania przez Wnioskodawcę uzasadnienia wydatków dot. kosztów związanych z rozwojem, instytucjonalnym organizacji informacje te powinny podlegać ocenie merytorycznej.</w:t>
            </w:r>
          </w:p>
          <w:p w:rsidR="00345960" w:rsidRPr="00A95417" w:rsidRDefault="00345960" w:rsidP="00DE0318">
            <w:pPr>
              <w:numPr>
                <w:ilvl w:val="0"/>
                <w:numId w:val="5"/>
              </w:numPr>
              <w:tabs>
                <w:tab w:val="left" w:pos="317"/>
              </w:tabs>
              <w:spacing w:after="120" w:line="240" w:lineRule="auto"/>
              <w:ind w:left="175" w:hanging="142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 xml:space="preserve">Z zapisów Regulaminu nie wynika jasno, czy w przypadku oferty wspólnej (składanej przez podmioty uprawnione) kategoria I.B dotyczy potencjalnie wszystkich Oferentów. W przypadku partnerstwa podmiotów uprawnionych powinna być zapewniona możliwość skorzystania z możliwości </w:t>
            </w:r>
            <w:r w:rsidRPr="00A95417">
              <w:rPr>
                <w:rFonts w:ascii="Gulim" w:eastAsia="Gulim" w:hAnsi="Gulim" w:cs="Times New Roman"/>
                <w:sz w:val="20"/>
                <w:szCs w:val="20"/>
              </w:rPr>
              <w:lastRenderedPageBreak/>
              <w:t>ubiegania się o te środki (w ramach limitu 20% dotacji) przez wszystkich Oferentów składających ofertę wspólną (zasada równości szans w przypadku podmiotów uprawnionych).</w:t>
            </w:r>
          </w:p>
          <w:p w:rsidR="00345960" w:rsidRPr="00A95417" w:rsidRDefault="00345960" w:rsidP="00DE0318">
            <w:pPr>
              <w:spacing w:after="120" w:line="240" w:lineRule="auto"/>
              <w:ind w:left="317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</w:p>
        </w:tc>
      </w:tr>
      <w:tr w:rsidR="00345960" w:rsidRPr="00A95417" w:rsidTr="00095475">
        <w:trPr>
          <w:trHeight w:val="514"/>
        </w:trPr>
        <w:tc>
          <w:tcPr>
            <w:tcW w:w="303" w:type="pct"/>
            <w:shd w:val="clear" w:color="auto" w:fill="auto"/>
            <w:hideMark/>
          </w:tcPr>
          <w:p w:rsidR="00345960" w:rsidRPr="00A95417" w:rsidRDefault="00345960" w:rsidP="001D3ACD">
            <w:pPr>
              <w:spacing w:after="120" w:line="240" w:lineRule="auto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159" w:type="pct"/>
            <w:shd w:val="clear" w:color="auto" w:fill="auto"/>
            <w:hideMark/>
          </w:tcPr>
          <w:p w:rsidR="00345960" w:rsidRPr="00A95417" w:rsidRDefault="00345960" w:rsidP="001D3ACD">
            <w:pPr>
              <w:spacing w:after="120" w:line="240" w:lineRule="auto"/>
              <w:rPr>
                <w:rFonts w:ascii="Gulim" w:eastAsia="Gulim" w:hAnsi="Gulim" w:cs="Times New Roman"/>
                <w:b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b/>
                <w:sz w:val="20"/>
                <w:szCs w:val="20"/>
              </w:rPr>
              <w:t>V. KRYTERIA WYBORU OFERT.</w:t>
            </w:r>
          </w:p>
          <w:p w:rsidR="00345960" w:rsidRPr="00A95417" w:rsidRDefault="00345960" w:rsidP="00345960">
            <w:pPr>
              <w:numPr>
                <w:ilvl w:val="0"/>
                <w:numId w:val="6"/>
              </w:numPr>
              <w:spacing w:after="120" w:line="240" w:lineRule="auto"/>
              <w:ind w:left="0" w:firstLine="0"/>
              <w:rPr>
                <w:rFonts w:ascii="Gulim" w:eastAsia="Gulim" w:hAnsi="Gulim" w:cs="Times New Roman"/>
                <w:b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b/>
                <w:sz w:val="20"/>
                <w:szCs w:val="20"/>
              </w:rPr>
              <w:t>KRYTERIA OGÓLNE</w:t>
            </w:r>
          </w:p>
          <w:p w:rsidR="00345960" w:rsidRPr="00A95417" w:rsidRDefault="00345960" w:rsidP="001D3ACD">
            <w:pPr>
              <w:spacing w:after="120" w:line="240" w:lineRule="auto"/>
              <w:rPr>
                <w:rFonts w:ascii="Gulim" w:eastAsia="Gulim" w:hAnsi="Gulim" w:cs="Times New Roman"/>
                <w:b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b/>
                <w:sz w:val="20"/>
                <w:szCs w:val="20"/>
              </w:rPr>
              <w:t>b) Kryteria merytoryczne oceny ofert – kryterium 4</w:t>
            </w: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. Możliwość realizacji oferty w partnerstwie formalnym, w ramach oferty wspólnej bądź partnerstwie nieformalnym</w:t>
            </w:r>
            <w:r w:rsidRPr="00A95417" w:rsidDel="001E60EC">
              <w:rPr>
                <w:rFonts w:ascii="Gulim" w:eastAsia="Gulim" w:hAnsi="Gulim" w:cs="Times New Roman"/>
                <w:sz w:val="20"/>
                <w:szCs w:val="20"/>
              </w:rPr>
              <w:t xml:space="preserve"> </w:t>
            </w: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z uwzględnieniem doświadczenia jej członków.</w:t>
            </w:r>
          </w:p>
          <w:p w:rsidR="00345960" w:rsidRPr="00A95417" w:rsidRDefault="00345960" w:rsidP="001D3ACD">
            <w:pPr>
              <w:spacing w:after="120" w:line="240" w:lineRule="auto"/>
              <w:rPr>
                <w:rFonts w:ascii="Gulim" w:eastAsia="Gulim" w:hAnsi="Gulim" w:cs="Times New Roman"/>
                <w:sz w:val="20"/>
                <w:szCs w:val="20"/>
              </w:rPr>
            </w:pPr>
          </w:p>
        </w:tc>
        <w:tc>
          <w:tcPr>
            <w:tcW w:w="1475" w:type="pct"/>
            <w:shd w:val="clear" w:color="auto" w:fill="auto"/>
            <w:hideMark/>
          </w:tcPr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Kryterium 4 powinno być uwzględnione w kryteriach strategicznych gdyż nie odnosi się do oceny wszystkich złożonych ofert – a jedynie tych, które uwzględniają partnerstwo bądź są złożone jako oferta wspólna.</w:t>
            </w:r>
          </w:p>
        </w:tc>
        <w:tc>
          <w:tcPr>
            <w:tcW w:w="2064" w:type="pct"/>
            <w:shd w:val="clear" w:color="auto" w:fill="auto"/>
            <w:hideMark/>
          </w:tcPr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Kryterium 4 dotyczy włącznie ofert złożonych w partnerstwie (formalnym bądź nieformalnym) bądź w ramach oferty wspólnej – co nie dotyczy WSZYSTKICH składanych wniosków (nie odnosi się do ofert złożonych przez jednego Oferenta nieuwzględniającego realizacji zadania w jakimkolwiek partnerstwie – co dopuszcza Regulamin konkursu). W związku z tym jako takie powinno być wskazane w kryteriach strategicznych, które odnoszą się do wybranych ofert i punktują te, które spełniają dodatkowe kryterium – w tym wypadku partnerstwa/ oferty wspólnej.</w:t>
            </w:r>
          </w:p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</w:p>
        </w:tc>
      </w:tr>
      <w:tr w:rsidR="00345960" w:rsidRPr="00A95417" w:rsidTr="0081626E">
        <w:trPr>
          <w:trHeight w:val="850"/>
        </w:trPr>
        <w:tc>
          <w:tcPr>
            <w:tcW w:w="303" w:type="pct"/>
            <w:shd w:val="clear" w:color="auto" w:fill="auto"/>
          </w:tcPr>
          <w:p w:rsidR="00345960" w:rsidRPr="00A95417" w:rsidRDefault="00345960" w:rsidP="001D3ACD">
            <w:pPr>
              <w:spacing w:after="120" w:line="240" w:lineRule="auto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5.</w:t>
            </w:r>
          </w:p>
        </w:tc>
        <w:tc>
          <w:tcPr>
            <w:tcW w:w="1159" w:type="pct"/>
            <w:shd w:val="clear" w:color="auto" w:fill="auto"/>
          </w:tcPr>
          <w:p w:rsidR="00345960" w:rsidRPr="00A95417" w:rsidRDefault="00345960" w:rsidP="001D3ACD">
            <w:pPr>
              <w:spacing w:after="120" w:line="240" w:lineRule="auto"/>
              <w:rPr>
                <w:rFonts w:ascii="Gulim" w:eastAsia="Gulim" w:hAnsi="Gulim" w:cs="Times New Roman"/>
                <w:b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b/>
                <w:sz w:val="20"/>
                <w:szCs w:val="20"/>
              </w:rPr>
              <w:t>V. KRYTERIA WYBORU OFERT.</w:t>
            </w:r>
          </w:p>
          <w:p w:rsidR="00345960" w:rsidRPr="00A95417" w:rsidRDefault="00345960" w:rsidP="00345960">
            <w:pPr>
              <w:numPr>
                <w:ilvl w:val="0"/>
                <w:numId w:val="6"/>
              </w:numPr>
              <w:spacing w:after="120" w:line="240" w:lineRule="auto"/>
              <w:rPr>
                <w:rFonts w:ascii="Gulim" w:eastAsia="Gulim" w:hAnsi="Gulim" w:cs="Times New Roman"/>
                <w:b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b/>
                <w:sz w:val="20"/>
                <w:szCs w:val="20"/>
              </w:rPr>
              <w:t>KRYTERIA OGÓLNE</w:t>
            </w:r>
          </w:p>
          <w:p w:rsidR="00345960" w:rsidRPr="00A95417" w:rsidRDefault="00345960" w:rsidP="001D3ACD">
            <w:pPr>
              <w:spacing w:after="120" w:line="240" w:lineRule="auto"/>
              <w:rPr>
                <w:rFonts w:ascii="Gulim" w:eastAsia="Gulim" w:hAnsi="Gulim" w:cs="Times New Roman"/>
                <w:b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b/>
                <w:sz w:val="20"/>
                <w:szCs w:val="20"/>
              </w:rPr>
              <w:t>b) Kryteria merytoryczne oceny ofert – kryterium 5.</w:t>
            </w:r>
            <w:r w:rsidRPr="00A95417">
              <w:rPr>
                <w:rFonts w:ascii="Gulim" w:eastAsia="Gulim" w:hAnsi="Gulim" w:cs="Times New Roman"/>
                <w:sz w:val="20"/>
                <w:szCs w:val="20"/>
              </w:rPr>
              <w:t xml:space="preserve"> Zasadność planowanych kosztów w stosunku do celów, rezultatów i zakresu działań, które obejmuje oferta.</w:t>
            </w:r>
          </w:p>
        </w:tc>
        <w:tc>
          <w:tcPr>
            <w:tcW w:w="1475" w:type="pct"/>
            <w:shd w:val="clear" w:color="auto" w:fill="auto"/>
          </w:tcPr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Należy wprowadzić w zakresie kryterium 5 także ocenę odnoszącą się do:</w:t>
            </w:r>
          </w:p>
          <w:p w:rsidR="00345960" w:rsidRPr="00A95417" w:rsidRDefault="00345960" w:rsidP="00DE0318">
            <w:pPr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kwalifikowalności kosztów;</w:t>
            </w:r>
          </w:p>
          <w:p w:rsidR="00345960" w:rsidRPr="00A95417" w:rsidRDefault="00345960" w:rsidP="00DE0318">
            <w:pPr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wysokości zaproponowanych stawek jednostkowych.</w:t>
            </w:r>
          </w:p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 xml:space="preserve">Wskazane kryterium 5 nie uwzględnia wszystkich niezbędnych aspektów oceny kosztorysu projektu (budżetu), w tym szczególnie pod kątem zapisów Regulaminu konkursu (np. w </w:t>
            </w:r>
            <w:r w:rsidRPr="00A95417">
              <w:rPr>
                <w:rFonts w:ascii="Gulim" w:eastAsia="Gulim" w:hAnsi="Gulim" w:cs="Times New Roman"/>
                <w:sz w:val="20"/>
                <w:szCs w:val="20"/>
              </w:rPr>
              <w:lastRenderedPageBreak/>
              <w:t>odniesieniu do kosztów kwalifikowalnych).</w:t>
            </w:r>
          </w:p>
        </w:tc>
        <w:tc>
          <w:tcPr>
            <w:tcW w:w="2064" w:type="pct"/>
            <w:shd w:val="clear" w:color="auto" w:fill="auto"/>
          </w:tcPr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lastRenderedPageBreak/>
              <w:t>Z zaproponowanego brzmienia zapisu kryterium 5 wynika, że ocenie ma podlegać jedynie zasadność kosztów – czyli czy są niezbędne z perspektywy celów, rezultatów i zaplanowanych działań.</w:t>
            </w:r>
          </w:p>
          <w:p w:rsidR="00345960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 xml:space="preserve">Nie jest jasne kto i na jakim etapie oceny ma weryfikować kosztorys (budżet) projektu pod kątem: a) kwalifikowalności kosztów, jak i b) ich wysokości (czy koszty nie są zawyżone) – ocena w tym zakresie powinna być dokonywana na etapie oceny merytorycznej, tym bardziej, że wysokość budżetu i kwestionowanie wydatki wpływa na konstruowanie listy rankingowej (lista rankingowa uwzględnia projekty, które otrzymały odpowiednią ilość punktów oraz, </w:t>
            </w:r>
            <w:r w:rsidRPr="00A95417">
              <w:rPr>
                <w:rFonts w:ascii="Gulim" w:eastAsia="Gulim" w:hAnsi="Gulim" w:cs="Times New Roman"/>
                <w:sz w:val="20"/>
                <w:szCs w:val="20"/>
              </w:rPr>
              <w:lastRenderedPageBreak/>
              <w:t>których budżety mieszczą się w zakładanej wysokości alokacji środków przeznaczonych na dotacje w Programie).</w:t>
            </w:r>
          </w:p>
          <w:p w:rsidR="0081626E" w:rsidRPr="00A95417" w:rsidRDefault="0081626E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</w:p>
        </w:tc>
      </w:tr>
      <w:tr w:rsidR="00345960" w:rsidRPr="00A95417" w:rsidTr="00095475">
        <w:trPr>
          <w:trHeight w:val="1107"/>
        </w:trPr>
        <w:tc>
          <w:tcPr>
            <w:tcW w:w="303" w:type="pct"/>
            <w:shd w:val="clear" w:color="auto" w:fill="auto"/>
          </w:tcPr>
          <w:p w:rsidR="00345960" w:rsidRPr="00A95417" w:rsidRDefault="00345960" w:rsidP="001D3ACD">
            <w:pPr>
              <w:spacing w:after="120" w:line="240" w:lineRule="auto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159" w:type="pct"/>
            <w:shd w:val="clear" w:color="auto" w:fill="auto"/>
          </w:tcPr>
          <w:p w:rsidR="00345960" w:rsidRPr="00A95417" w:rsidRDefault="00345960" w:rsidP="00345960">
            <w:pPr>
              <w:spacing w:after="120" w:line="240" w:lineRule="auto"/>
              <w:rPr>
                <w:rFonts w:ascii="Gulim" w:eastAsia="Gulim" w:hAnsi="Gulim" w:cs="Times New Roman"/>
                <w:b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b/>
                <w:sz w:val="20"/>
                <w:szCs w:val="20"/>
              </w:rPr>
              <w:t>VI. PROCEDURA OCENY OFERT I PRZYZNAWANIA DOTACJI.</w:t>
            </w:r>
          </w:p>
          <w:p w:rsidR="00345960" w:rsidRPr="00A95417" w:rsidRDefault="00345960" w:rsidP="00345960">
            <w:pPr>
              <w:pStyle w:val="Tekstpodstawowy"/>
              <w:spacing w:after="120"/>
              <w:jc w:val="left"/>
              <w:rPr>
                <w:rFonts w:ascii="Gulim" w:eastAsia="Gulim" w:hAnsi="Gulim"/>
                <w:bCs w:val="0"/>
                <w:color w:val="000000"/>
                <w:sz w:val="20"/>
                <w:szCs w:val="20"/>
              </w:rPr>
            </w:pPr>
            <w:r w:rsidRPr="00A95417">
              <w:rPr>
                <w:rFonts w:ascii="Gulim" w:eastAsia="Gulim" w:hAnsi="Gulim"/>
                <w:sz w:val="20"/>
                <w:szCs w:val="20"/>
              </w:rPr>
              <w:t>3. FORMUŁOWANIE LIST RANKINGOWYCH</w:t>
            </w:r>
          </w:p>
          <w:p w:rsidR="00345960" w:rsidRPr="00A95417" w:rsidRDefault="00345960" w:rsidP="00345960">
            <w:pPr>
              <w:pStyle w:val="Tekstpodstawowy"/>
              <w:spacing w:after="120"/>
              <w:jc w:val="left"/>
              <w:rPr>
                <w:rFonts w:ascii="Gulim" w:eastAsia="Gulim" w:hAnsi="Gulim"/>
                <w:b w:val="0"/>
                <w:bCs w:val="0"/>
                <w:color w:val="000000"/>
                <w:sz w:val="20"/>
                <w:szCs w:val="20"/>
              </w:rPr>
            </w:pPr>
            <w:r w:rsidRPr="00A95417">
              <w:rPr>
                <w:rFonts w:ascii="Gulim" w:eastAsia="Gulim" w:hAnsi="Gulim"/>
                <w:b w:val="0"/>
                <w:bCs w:val="0"/>
                <w:color w:val="000000"/>
                <w:sz w:val="20"/>
                <w:szCs w:val="20"/>
              </w:rPr>
              <w:t>„NIW-CRSO sporządza „listę ofert rezerwowych” spośród ofert na liście rankingowej, które nie znalazły się na liście przyznanych dotacji.”</w:t>
            </w:r>
          </w:p>
          <w:p w:rsidR="00345960" w:rsidRPr="00A95417" w:rsidRDefault="00345960" w:rsidP="001D3ACD">
            <w:pPr>
              <w:spacing w:after="120" w:line="240" w:lineRule="auto"/>
              <w:rPr>
                <w:rFonts w:ascii="Gulim" w:eastAsia="Gulim" w:hAnsi="Gulim" w:cs="Times New Roman"/>
                <w:b/>
                <w:sz w:val="20"/>
                <w:szCs w:val="20"/>
              </w:rPr>
            </w:pPr>
          </w:p>
        </w:tc>
        <w:tc>
          <w:tcPr>
            <w:tcW w:w="1475" w:type="pct"/>
            <w:shd w:val="clear" w:color="auto" w:fill="auto"/>
          </w:tcPr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Należy wskazać w jaki sposób jest sporządzana, tworzona lista ofert rezerwowych – jakie warunki musza być spełnione, aby oferta była zamieszczona na tej liście.</w:t>
            </w:r>
          </w:p>
        </w:tc>
        <w:tc>
          <w:tcPr>
            <w:tcW w:w="2064" w:type="pct"/>
            <w:shd w:val="clear" w:color="auto" w:fill="auto"/>
          </w:tcPr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W Regulaminie nie odniesiono się do informacji w jaki sposób jest tworzona „lista ofert rezerwowych” (wiadomo jedynie, że mają być to organizacje, które nie znalazły się na liście przyznanych dotacji).</w:t>
            </w:r>
          </w:p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Patrząc z perspektywy kilku tysięcy Oferentów, którzy złożą wnioski, spośród których zaledwie kilkuset otrzyma środki ważne jest jasne, jednoznaczne i transparentne formułowanie zapisów odnoszących się do tworzenia listy ofert rezerwowych – tj. takich, które mają dodatkową szansę na otrzymanie środków (w ramach tzw. środków uwolnionych).</w:t>
            </w:r>
          </w:p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</w:p>
        </w:tc>
      </w:tr>
      <w:tr w:rsidR="00345960" w:rsidRPr="00A95417" w:rsidTr="00095475">
        <w:trPr>
          <w:trHeight w:val="300"/>
        </w:trPr>
        <w:tc>
          <w:tcPr>
            <w:tcW w:w="303" w:type="pct"/>
            <w:shd w:val="clear" w:color="auto" w:fill="auto"/>
            <w:hideMark/>
          </w:tcPr>
          <w:p w:rsidR="00345960" w:rsidRPr="00A95417" w:rsidRDefault="00345960" w:rsidP="001D3ACD">
            <w:pPr>
              <w:spacing w:after="120" w:line="240" w:lineRule="auto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7.</w:t>
            </w:r>
          </w:p>
        </w:tc>
        <w:tc>
          <w:tcPr>
            <w:tcW w:w="1159" w:type="pct"/>
            <w:shd w:val="clear" w:color="auto" w:fill="auto"/>
            <w:hideMark/>
          </w:tcPr>
          <w:p w:rsidR="00345960" w:rsidRPr="00A95417" w:rsidRDefault="00345960" w:rsidP="001D3ACD">
            <w:pPr>
              <w:pStyle w:val="czesc"/>
              <w:spacing w:after="120"/>
              <w:rPr>
                <w:rFonts w:ascii="Gulim" w:eastAsia="Gulim" w:hAnsi="Gulim"/>
                <w:color w:val="auto"/>
                <w:sz w:val="20"/>
                <w:szCs w:val="20"/>
              </w:rPr>
            </w:pPr>
            <w:r w:rsidRPr="00A95417">
              <w:rPr>
                <w:rFonts w:ascii="Gulim" w:eastAsia="Gulim" w:hAnsi="Gulim"/>
                <w:color w:val="auto"/>
                <w:sz w:val="20"/>
                <w:szCs w:val="20"/>
              </w:rPr>
              <w:t>CZĘŚĆ B – Zasady przyznawania dotacji w Priorytecie 1.</w:t>
            </w:r>
          </w:p>
          <w:p w:rsidR="00345960" w:rsidRPr="00A95417" w:rsidRDefault="00345960" w:rsidP="00345960">
            <w:pPr>
              <w:pStyle w:val="czesc"/>
              <w:numPr>
                <w:ilvl w:val="0"/>
                <w:numId w:val="8"/>
              </w:numPr>
              <w:tabs>
                <w:tab w:val="left" w:pos="177"/>
              </w:tabs>
              <w:spacing w:after="120"/>
              <w:ind w:left="0" w:firstLine="0"/>
              <w:rPr>
                <w:rFonts w:ascii="Gulim" w:eastAsia="Gulim" w:hAnsi="Gulim"/>
                <w:color w:val="auto"/>
                <w:sz w:val="20"/>
                <w:szCs w:val="20"/>
              </w:rPr>
            </w:pPr>
            <w:r w:rsidRPr="00A95417">
              <w:rPr>
                <w:rFonts w:ascii="Gulim" w:eastAsia="Gulim" w:hAnsi="Gulim"/>
                <w:color w:val="auto"/>
                <w:sz w:val="20"/>
                <w:szCs w:val="20"/>
              </w:rPr>
              <w:t>PRIORYTET 1 – MAŁE INICJATYWY</w:t>
            </w:r>
          </w:p>
          <w:p w:rsidR="00345960" w:rsidRPr="00A95417" w:rsidRDefault="00345960" w:rsidP="001D3ACD">
            <w:pPr>
              <w:pStyle w:val="czesc"/>
              <w:tabs>
                <w:tab w:val="left" w:pos="177"/>
              </w:tabs>
              <w:spacing w:after="120"/>
              <w:rPr>
                <w:rFonts w:ascii="Gulim" w:eastAsia="Gulim" w:hAnsi="Gulim"/>
                <w:color w:val="auto"/>
                <w:sz w:val="20"/>
                <w:szCs w:val="20"/>
              </w:rPr>
            </w:pPr>
            <w:r w:rsidRPr="00A95417">
              <w:rPr>
                <w:rFonts w:ascii="Gulim" w:eastAsia="Gulim" w:hAnsi="Gulim"/>
                <w:color w:val="auto"/>
                <w:sz w:val="20"/>
                <w:szCs w:val="20"/>
              </w:rPr>
              <w:t>2. środki finansowe i czas realizacji zadań</w:t>
            </w:r>
          </w:p>
        </w:tc>
        <w:tc>
          <w:tcPr>
            <w:tcW w:w="1475" w:type="pct"/>
            <w:shd w:val="clear" w:color="auto" w:fill="auto"/>
            <w:hideMark/>
          </w:tcPr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1) Realizacja projektów w ramach Priorytetu 1 odbywająca się w oparciu o Operatorów powinna być zaplanowana w taki sposób, aby na etapie ich wyłaniania (w ramach konkursu ogólnokrajowego, tj. w oparciu o konkurs prowadzony w ramach naboru organizowanego i prowadzonego przez NIW) znana była siatka realizacji terytorialnej projektów prowadzonych przez Operatorów – pokrywająca się z obszarem 16 województw.</w:t>
            </w:r>
          </w:p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 xml:space="preserve">2) Należy wskazać podział alokacji w ramach Priorytetu 1 w odniesieniu do planowanej siatki  Operatorów, którzy mają być wyłonieni. </w:t>
            </w:r>
          </w:p>
        </w:tc>
        <w:tc>
          <w:tcPr>
            <w:tcW w:w="2064" w:type="pct"/>
            <w:shd w:val="clear" w:color="auto" w:fill="auto"/>
            <w:hideMark/>
          </w:tcPr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 xml:space="preserve">1) W Regulaminie należy dookreślić siatkę realizacji projektów </w:t>
            </w:r>
            <w:proofErr w:type="spellStart"/>
            <w:r w:rsidRPr="00A95417">
              <w:rPr>
                <w:rFonts w:ascii="Gulim" w:eastAsia="Gulim" w:hAnsi="Gulim" w:cs="Times New Roman"/>
                <w:sz w:val="20"/>
                <w:szCs w:val="20"/>
              </w:rPr>
              <w:t>regrantingowych</w:t>
            </w:r>
            <w:proofErr w:type="spellEnd"/>
            <w:r w:rsidRPr="00A95417">
              <w:rPr>
                <w:rFonts w:ascii="Gulim" w:eastAsia="Gulim" w:hAnsi="Gulim" w:cs="Times New Roman"/>
                <w:sz w:val="20"/>
                <w:szCs w:val="20"/>
              </w:rPr>
              <w:t xml:space="preserve"> prowadzonych przez Operatorów (w ramach Priorytetu 1). Nie jest bowiem zasadne realizowanie projektu/ów z poziomu Operatora na obszarach większych niż jedno województwo. </w:t>
            </w:r>
          </w:p>
          <w:p w:rsidR="00345960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 xml:space="preserve">Pozostawienie zapisów Regulaminu konkursu bez uszczegółowienia co do obszarów terytorialnych dot. realizacji projektów przez Operatorów wskazuje na </w:t>
            </w:r>
            <w:r w:rsidRPr="00A95417">
              <w:rPr>
                <w:rFonts w:ascii="Gulim" w:eastAsia="Gulim" w:hAnsi="Gulim" w:cs="Times New Roman"/>
                <w:b/>
                <w:sz w:val="20"/>
                <w:szCs w:val="20"/>
              </w:rPr>
              <w:t>brak koncepcji organizatora konkursu (NIW-CRSO) dotyczącej realizacji zadań w ramach Priorytetu 1.</w:t>
            </w:r>
            <w:r w:rsidRPr="00A95417">
              <w:rPr>
                <w:rFonts w:ascii="Gulim" w:eastAsia="Gulim" w:hAnsi="Gulim" w:cs="Times New Roman"/>
                <w:sz w:val="20"/>
                <w:szCs w:val="20"/>
              </w:rPr>
              <w:t xml:space="preserve"> </w:t>
            </w:r>
            <w:r w:rsidRPr="00A95417">
              <w:rPr>
                <w:rFonts w:ascii="Gulim" w:eastAsia="Gulim" w:hAnsi="Gulim" w:cs="Times New Roman"/>
                <w:b/>
                <w:sz w:val="20"/>
                <w:szCs w:val="20"/>
              </w:rPr>
              <w:t>Zapis, który wskazano w projekcie Regulaminu konkursu daje możliwość składania dużych projektów – obejmujących np. kilka województw, a tym samym nie wpływa na tworzenie regularnej, równomiernej sieci Operatorów</w:t>
            </w: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, którzy są blisko korzystających z grantów (tj. małych organizacji i grup nieformalnych). Trudno sobie bowiem wyobrazić, że Operator np. z Warszawy, bądź Torunia będzie przyznawał grant, a wcześniej prowadził bezpośrednie działania animacyjne np. w województwie podkarpackim oddalonym od niego o kilkaset kilometrów.</w:t>
            </w:r>
            <w:r w:rsidRPr="00A95417">
              <w:rPr>
                <w:rFonts w:ascii="Gulim" w:eastAsia="Gulim" w:hAnsi="Gulim" w:cs="Times New Roman"/>
                <w:sz w:val="20"/>
                <w:szCs w:val="20"/>
              </w:rPr>
              <w:br/>
              <w:t xml:space="preserve">2) </w:t>
            </w:r>
            <w:r w:rsidRPr="00A95417">
              <w:rPr>
                <w:rFonts w:ascii="Gulim" w:eastAsia="Gulim" w:hAnsi="Gulim" w:cs="Times New Roman"/>
                <w:b/>
                <w:sz w:val="20"/>
                <w:szCs w:val="20"/>
              </w:rPr>
              <w:t>Podział środków w odniesieniu do sieci Operatorów powinien odnosić się do województw</w:t>
            </w:r>
            <w:r w:rsidRPr="00A95417">
              <w:rPr>
                <w:rFonts w:ascii="Gulim" w:eastAsia="Gulim" w:hAnsi="Gulim" w:cs="Times New Roman"/>
                <w:sz w:val="20"/>
                <w:szCs w:val="20"/>
              </w:rPr>
              <w:t xml:space="preserve"> (co oznaczałoby wyłonienie 16 Operatorów – po jednym na każde województwo). </w:t>
            </w:r>
            <w:r w:rsidRPr="00A95417">
              <w:rPr>
                <w:rFonts w:ascii="Gulim" w:eastAsia="Gulim" w:hAnsi="Gulim" w:cs="Times New Roman"/>
                <w:b/>
                <w:sz w:val="20"/>
                <w:szCs w:val="20"/>
              </w:rPr>
              <w:t>Dzięki temu utworzona byłaby równomierna sieć Operatorów</w:t>
            </w:r>
            <w:r w:rsidRPr="00A95417">
              <w:rPr>
                <w:rFonts w:ascii="Gulim" w:eastAsia="Gulim" w:hAnsi="Gulim" w:cs="Times New Roman"/>
                <w:sz w:val="20"/>
                <w:szCs w:val="20"/>
              </w:rPr>
              <w:t xml:space="preserve">, będących blisko potencjalnych korzystających z grantów, środowisk, które, zgodnie z zapisami Regulaminu konkursu mają być animowane. </w:t>
            </w:r>
            <w:r w:rsidRPr="00A95417">
              <w:rPr>
                <w:rFonts w:ascii="Gulim" w:eastAsia="Gulim" w:hAnsi="Gulim" w:cs="Times New Roman"/>
                <w:b/>
                <w:sz w:val="20"/>
                <w:szCs w:val="20"/>
              </w:rPr>
              <w:t xml:space="preserve">Podział alokacji na każde województwo powinien odnosić się do: </w:t>
            </w: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wielkości województwa (liczba mieszkańców), jak i ilości zarejestrowanych organizacji pozarządowych (co można odnieść do wskaźnika aktywności obywatelskiej) - przy czym wskaźnik ten powinien wpływać na większe alokowanie środków do regionów, w których aktywność ta jest niższa.</w:t>
            </w:r>
          </w:p>
          <w:p w:rsidR="00276E5A" w:rsidRPr="00A95417" w:rsidRDefault="00276E5A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</w:p>
        </w:tc>
      </w:tr>
      <w:tr w:rsidR="00345960" w:rsidRPr="00A95417" w:rsidTr="00095475">
        <w:trPr>
          <w:trHeight w:val="300"/>
        </w:trPr>
        <w:tc>
          <w:tcPr>
            <w:tcW w:w="303" w:type="pct"/>
            <w:shd w:val="clear" w:color="auto" w:fill="auto"/>
            <w:hideMark/>
          </w:tcPr>
          <w:p w:rsidR="00345960" w:rsidRPr="00A95417" w:rsidRDefault="00345960" w:rsidP="001D3ACD">
            <w:pPr>
              <w:spacing w:after="120" w:line="240" w:lineRule="auto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8.</w:t>
            </w:r>
          </w:p>
        </w:tc>
        <w:tc>
          <w:tcPr>
            <w:tcW w:w="1159" w:type="pct"/>
            <w:shd w:val="clear" w:color="auto" w:fill="auto"/>
            <w:hideMark/>
          </w:tcPr>
          <w:p w:rsidR="00345960" w:rsidRPr="00A95417" w:rsidRDefault="00345960" w:rsidP="001D3ACD">
            <w:pPr>
              <w:spacing w:after="120" w:line="240" w:lineRule="auto"/>
              <w:rPr>
                <w:rFonts w:ascii="Gulim" w:eastAsia="Gulim" w:hAnsi="Gulim" w:cs="Times New Roman"/>
                <w:b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b/>
                <w:sz w:val="20"/>
                <w:szCs w:val="20"/>
              </w:rPr>
              <w:t>Część C – Zasady rozliczania dotacji i sprawozdanie</w:t>
            </w:r>
          </w:p>
          <w:p w:rsidR="00345960" w:rsidRPr="00A95417" w:rsidRDefault="00345960" w:rsidP="00345960">
            <w:pPr>
              <w:numPr>
                <w:ilvl w:val="0"/>
                <w:numId w:val="10"/>
              </w:numPr>
              <w:tabs>
                <w:tab w:val="left" w:pos="318"/>
              </w:tabs>
              <w:spacing w:after="120" w:line="240" w:lineRule="auto"/>
              <w:ind w:left="0" w:firstLine="0"/>
              <w:rPr>
                <w:rFonts w:ascii="Gulim" w:eastAsia="Gulim" w:hAnsi="Gulim" w:cs="Times New Roman"/>
                <w:b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b/>
                <w:sz w:val="20"/>
                <w:szCs w:val="20"/>
              </w:rPr>
              <w:t>ZASADY ROZLICZANIA DOTACJI.</w:t>
            </w:r>
          </w:p>
          <w:p w:rsidR="00345960" w:rsidRPr="00A95417" w:rsidRDefault="00345960" w:rsidP="001D3ACD">
            <w:pPr>
              <w:spacing w:after="120" w:line="240" w:lineRule="auto"/>
              <w:rPr>
                <w:rFonts w:ascii="Gulim" w:eastAsia="Gulim" w:hAnsi="Gulim" w:cs="Times New Roman"/>
                <w:b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b/>
                <w:sz w:val="20"/>
                <w:szCs w:val="20"/>
              </w:rPr>
              <w:t>„Rozliczenie dotacji polega na weryfikacji przez NIW-CRSO założonych w ofercie celów, rezultatów i działań. Realizacja założonych w ofercie celów, rezultatów i działań oznacza spełnienie przez Oferenta warunków umowy o dotację.”</w:t>
            </w:r>
          </w:p>
        </w:tc>
        <w:tc>
          <w:tcPr>
            <w:tcW w:w="1475" w:type="pct"/>
            <w:shd w:val="clear" w:color="auto" w:fill="auto"/>
            <w:hideMark/>
          </w:tcPr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b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b/>
                <w:sz w:val="20"/>
                <w:szCs w:val="20"/>
              </w:rPr>
              <w:t>Chcąc rozliczać dotację poprzez weryfikację celów i rezultatów projektu należy już na etapie oceny merytorycznej ofert uwzględniać ocenę poprawności ich konstruowania.</w:t>
            </w:r>
          </w:p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Z zapisu kryterium 3 oceny merytorycznej nie wynika czy i w jakim stopniu ma podlegać ocenie poprawność konstruowania celów i rezultatów zadania – a to na ich podstawie mają być rozliczane projekty.</w:t>
            </w:r>
          </w:p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</w:p>
        </w:tc>
        <w:tc>
          <w:tcPr>
            <w:tcW w:w="2064" w:type="pct"/>
            <w:shd w:val="clear" w:color="auto" w:fill="auto"/>
            <w:hideMark/>
          </w:tcPr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Poprawność konstruowania założonych celów i rezultatów projektu (tj. to czy są realne, konkretne i mierzalne - możliwe do zweryfikowania) powinna podlegać ocenie merytorycznej – tym samym ocena merytoryczna w aspekcie kryterium 3</w:t>
            </w:r>
          </w:p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„Wpływ działań zawartych w ofercie na uczestników, organizacje zaangażowane w realizację oferty oraz inne podmioty będące interesariuszami działań. W tym także trwałość rezultatów działań zawartych w ofercie i jakość środków mających na celu upowszechnienie rezultatów” – powinna jasno odnosić się do aspektów poprawnego konstruowania celów i rezultatów (tj. ich realności i mierzalności – zweryfikowania ich osiągnięcia).</w:t>
            </w:r>
          </w:p>
          <w:p w:rsidR="00345960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Tym samym może dojść do sytuacji, że Oferent, którego projekt uzyskał dofinansowanie może mieć problemy z jego rozliczeniem poprzez to, że nie jest możliwe zweryfikowanie założonych przez niego celów, a szczególnie rezultatów zadania (wykazanie ich osiągnięcia), które wskazują na osiągnięcie zaplanowanej zmiany w obszarze problemowym/obszarze interwencji – tym samym oznaczałoby to uchybienie w sprawozdaniu, a tym samym zgodnie ze wskazanymi w projekcie Regulaminu konsekwencjami uchybień o zwrotem części lub całości przyznanej dotacji.</w:t>
            </w:r>
          </w:p>
          <w:p w:rsidR="00276E5A" w:rsidRPr="00A95417" w:rsidRDefault="00276E5A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</w:p>
        </w:tc>
      </w:tr>
      <w:tr w:rsidR="00345960" w:rsidRPr="00A95417" w:rsidTr="00095475">
        <w:trPr>
          <w:trHeight w:val="300"/>
        </w:trPr>
        <w:tc>
          <w:tcPr>
            <w:tcW w:w="303" w:type="pct"/>
            <w:shd w:val="clear" w:color="auto" w:fill="auto"/>
            <w:hideMark/>
          </w:tcPr>
          <w:p w:rsidR="00345960" w:rsidRPr="00A95417" w:rsidRDefault="00345960" w:rsidP="001D3ACD">
            <w:pPr>
              <w:spacing w:after="120" w:line="240" w:lineRule="auto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9.</w:t>
            </w:r>
          </w:p>
        </w:tc>
        <w:tc>
          <w:tcPr>
            <w:tcW w:w="1159" w:type="pct"/>
            <w:shd w:val="clear" w:color="auto" w:fill="auto"/>
            <w:hideMark/>
          </w:tcPr>
          <w:p w:rsidR="00345960" w:rsidRPr="00A95417" w:rsidRDefault="00345960" w:rsidP="001D3ACD">
            <w:pPr>
              <w:spacing w:after="120" w:line="240" w:lineRule="auto"/>
              <w:ind w:left="360" w:hanging="360"/>
              <w:rPr>
                <w:rFonts w:ascii="Gulim" w:eastAsia="Gulim" w:hAnsi="Gulim" w:cs="Times New Roman"/>
                <w:b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b/>
                <w:sz w:val="20"/>
                <w:szCs w:val="20"/>
              </w:rPr>
              <w:t>V. KRYTERIA WYBORU OFERT</w:t>
            </w:r>
          </w:p>
          <w:p w:rsidR="00345960" w:rsidRPr="00A95417" w:rsidRDefault="00345960" w:rsidP="001D3ACD">
            <w:pPr>
              <w:spacing w:after="120" w:line="240" w:lineRule="auto"/>
              <w:rPr>
                <w:rFonts w:ascii="Gulim" w:eastAsia="Gulim" w:hAnsi="Gulim" w:cs="Times New Roman"/>
                <w:b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b/>
                <w:sz w:val="20"/>
                <w:szCs w:val="20"/>
              </w:rPr>
              <w:t>1. KRYTERIA OGÓLNE</w:t>
            </w:r>
          </w:p>
          <w:p w:rsidR="00345960" w:rsidRPr="00A95417" w:rsidRDefault="00345960" w:rsidP="001D3ACD">
            <w:pPr>
              <w:spacing w:after="120" w:line="240" w:lineRule="auto"/>
              <w:rPr>
                <w:rFonts w:ascii="Gulim" w:eastAsia="Gulim" w:hAnsi="Gulim" w:cs="Times New Roman"/>
                <w:b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b/>
                <w:sz w:val="20"/>
                <w:szCs w:val="20"/>
              </w:rPr>
              <w:t xml:space="preserve">ORAZ </w:t>
            </w:r>
          </w:p>
          <w:p w:rsidR="00345960" w:rsidRPr="00A95417" w:rsidRDefault="00345960" w:rsidP="001D3ACD">
            <w:pPr>
              <w:spacing w:after="120" w:line="240" w:lineRule="auto"/>
              <w:rPr>
                <w:rFonts w:ascii="Gulim" w:eastAsia="Gulim" w:hAnsi="Gulim" w:cs="Times New Roman"/>
                <w:b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b/>
                <w:sz w:val="20"/>
                <w:szCs w:val="20"/>
              </w:rPr>
              <w:t>CZĘŚĆ D – ZAŁĄCZNIKI</w:t>
            </w:r>
          </w:p>
          <w:p w:rsidR="00345960" w:rsidRPr="00A95417" w:rsidRDefault="00345960" w:rsidP="001D3ACD">
            <w:pPr>
              <w:spacing w:after="120" w:line="240" w:lineRule="auto"/>
              <w:rPr>
                <w:rFonts w:ascii="Gulim" w:eastAsia="Gulim" w:hAnsi="Gulim" w:cs="Times New Roman"/>
                <w:b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b/>
                <w:sz w:val="20"/>
                <w:szCs w:val="20"/>
              </w:rPr>
              <w:t>KARTA OCENY MERYTORYCZNEJ</w:t>
            </w:r>
          </w:p>
        </w:tc>
        <w:tc>
          <w:tcPr>
            <w:tcW w:w="1475" w:type="pct"/>
            <w:shd w:val="clear" w:color="auto" w:fill="auto"/>
            <w:hideMark/>
          </w:tcPr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Zaproponowana siatka kryteriów oceny merytorycznej jest zbyt ogólna i częściowo nieprecyzyjna, co przy wskazanych wartościach maksymalnej punktacji w ramach danego kryterium nie wpłynie na spójność ocen dokonywanych przez ekspertów-oceniających oferty.</w:t>
            </w:r>
          </w:p>
        </w:tc>
        <w:tc>
          <w:tcPr>
            <w:tcW w:w="2064" w:type="pct"/>
            <w:shd w:val="clear" w:color="auto" w:fill="auto"/>
            <w:hideMark/>
          </w:tcPr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1) Kryteria oceny powinny być sformułowane jasno i jednoznacznie, tak aby były zrozumiałe zarówno dla oceniających, jak i dla samych Oferentów. Zakres wskazanych kryteriów jest dosyć rozległy i miejscami ogólny – np.</w:t>
            </w:r>
          </w:p>
          <w:p w:rsidR="00345960" w:rsidRPr="00A95417" w:rsidRDefault="00345960" w:rsidP="00DE0318">
            <w:pPr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jakość planu działań (przy czym nie wyjaśniono jak jest rozumiana owa jakość - jakie elementy będą brane pod uwagę przy ocenie jakości planu działań?);</w:t>
            </w:r>
          </w:p>
          <w:p w:rsidR="00345960" w:rsidRPr="00A95417" w:rsidRDefault="00345960" w:rsidP="00DE0318">
            <w:pPr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pkt. 1 i pkt. 3 w kryteriach merytorycznych częściowo pokrywa się – dotyczy to adekwatności oferty [co także odnosi się do zaplanowanych działań] w odniesieniu do celów i potrzeb uczestników [zapis kryterium 1], jak i wpływu działań zawartych w ofercie na uczestników [zapis kryterium 3]</w:t>
            </w:r>
          </w:p>
          <w:p w:rsidR="00345960" w:rsidRPr="00A95417" w:rsidRDefault="00345960" w:rsidP="00DE0318">
            <w:pPr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kryterium 5 odnoszące się do kosztów nie uwzględnia oceny kwalifikowalności wydatków, jak i oceny ich wysokości (realność i adekwatność wysokości stawek jednostkowych) – ocena dot. kwalifikowalności kosztów powinna być uwzględniona w tym kryterium, co odnosi się wprost do zapisów Regulaminu konkursu w części dot. kwalifikowalności wydatków;</w:t>
            </w:r>
          </w:p>
          <w:p w:rsidR="00345960" w:rsidRPr="00A95417" w:rsidRDefault="00345960" w:rsidP="00DE0318">
            <w:pPr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 xml:space="preserve">zapis kryterium 5 („Zasadność planowanych kosztów w stosunku do celów, rezultatów i zakresu działań, które obejmuje oferta”) – daje możliwość przyznania 0 pkt. w przypadku niepoprawnego skonstruowania celów, a szczególnie rezultatów zadania (tj. gdy cele i rezultaty są niemierzalne i niemożliwe do obiektywnego zweryfikowania). </w:t>
            </w:r>
          </w:p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 xml:space="preserve">2) Przy zaproponowanych 5 kryteriach oceny i maksymalnej punktacji w poszczególnych kryteriach (od 15 do 30 pkt.)  należy przygotować siatkę oceny w zakresie każdego z kryteriów, np. </w:t>
            </w:r>
          </w:p>
          <w:p w:rsidR="00345960" w:rsidRPr="00A95417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w kryterium 1: ocena adekwatności oferty w stosunku do celu Programu i celu Priorytetu – maksymalnie 10 pkt.; ocena oferty w stosunku do zidentyfikowanych przez Oferenta potrzeb grupy docelowej (osób i/lub organizacji) – 20 pkt.).</w:t>
            </w:r>
          </w:p>
          <w:p w:rsidR="00345960" w:rsidRDefault="00345960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  <w:r w:rsidRPr="00A95417">
              <w:rPr>
                <w:rFonts w:ascii="Gulim" w:eastAsia="Gulim" w:hAnsi="Gulim" w:cs="Times New Roman"/>
                <w:sz w:val="20"/>
                <w:szCs w:val="20"/>
              </w:rPr>
              <w:t>W przeciwnym wypadku, tak duża możliwa do przyznania ilość punktów w poszczególnych kryteriach będzie powodowała zbyt dużą dowolność i rozbieżności w ocenie ofert dokonywanej przez ekspertów.</w:t>
            </w:r>
          </w:p>
          <w:p w:rsidR="00276E5A" w:rsidRPr="00A95417" w:rsidRDefault="00276E5A" w:rsidP="00DE0318">
            <w:pPr>
              <w:spacing w:after="120" w:line="240" w:lineRule="auto"/>
              <w:jc w:val="both"/>
              <w:rPr>
                <w:rFonts w:ascii="Gulim" w:eastAsia="Gulim" w:hAnsi="Gulim" w:cs="Times New Roman"/>
                <w:sz w:val="20"/>
                <w:szCs w:val="20"/>
              </w:rPr>
            </w:pPr>
          </w:p>
        </w:tc>
      </w:tr>
    </w:tbl>
    <w:p w:rsidR="00FE2AE2" w:rsidRPr="00A95417" w:rsidRDefault="00FE2AE2" w:rsidP="00960DE1">
      <w:pPr>
        <w:spacing w:line="360" w:lineRule="auto"/>
        <w:rPr>
          <w:rFonts w:ascii="Gulim" w:eastAsia="Gulim" w:hAnsi="Gulim" w:cs="Times New Roman"/>
        </w:rPr>
      </w:pPr>
    </w:p>
    <w:sectPr w:rsidR="00FE2AE2" w:rsidRPr="00A95417" w:rsidSect="00B32BF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070" w:rsidRDefault="005A5070" w:rsidP="00B32BF0">
      <w:pPr>
        <w:spacing w:after="0" w:line="240" w:lineRule="auto"/>
      </w:pPr>
      <w:r>
        <w:separator/>
      </w:r>
    </w:p>
  </w:endnote>
  <w:endnote w:type="continuationSeparator" w:id="0">
    <w:p w:rsidR="005A5070" w:rsidRDefault="005A5070" w:rsidP="00B3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382431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32BF0" w:rsidRPr="00A8492C" w:rsidRDefault="00B32BF0" w:rsidP="00A8492C">
        <w:pPr>
          <w:pStyle w:val="Stopka"/>
          <w:jc w:val="center"/>
          <w:rPr>
            <w:sz w:val="16"/>
            <w:szCs w:val="16"/>
          </w:rPr>
        </w:pPr>
        <w:r w:rsidRPr="00A8492C">
          <w:rPr>
            <w:sz w:val="16"/>
            <w:szCs w:val="16"/>
          </w:rPr>
          <w:fldChar w:fldCharType="begin"/>
        </w:r>
        <w:r w:rsidRPr="00A8492C">
          <w:rPr>
            <w:sz w:val="16"/>
            <w:szCs w:val="16"/>
          </w:rPr>
          <w:instrText>PAGE   \* MERGEFORMAT</w:instrText>
        </w:r>
        <w:r w:rsidRPr="00A8492C">
          <w:rPr>
            <w:sz w:val="16"/>
            <w:szCs w:val="16"/>
          </w:rPr>
          <w:fldChar w:fldCharType="separate"/>
        </w:r>
        <w:r w:rsidR="002F0283">
          <w:rPr>
            <w:noProof/>
            <w:sz w:val="16"/>
            <w:szCs w:val="16"/>
          </w:rPr>
          <w:t>7</w:t>
        </w:r>
        <w:r w:rsidRPr="00A8492C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070" w:rsidRDefault="005A5070" w:rsidP="00B32BF0">
      <w:pPr>
        <w:spacing w:after="0" w:line="240" w:lineRule="auto"/>
      </w:pPr>
      <w:r>
        <w:separator/>
      </w:r>
    </w:p>
  </w:footnote>
  <w:footnote w:type="continuationSeparator" w:id="0">
    <w:p w:rsidR="005A5070" w:rsidRDefault="005A5070" w:rsidP="00B32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11D"/>
    <w:multiLevelType w:val="hybridMultilevel"/>
    <w:tmpl w:val="51CC5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B6909"/>
    <w:multiLevelType w:val="hybridMultilevel"/>
    <w:tmpl w:val="5BF43942"/>
    <w:lvl w:ilvl="0" w:tplc="722C6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20DC6"/>
    <w:multiLevelType w:val="hybridMultilevel"/>
    <w:tmpl w:val="98CC6318"/>
    <w:lvl w:ilvl="0" w:tplc="722C65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661A6"/>
    <w:multiLevelType w:val="hybridMultilevel"/>
    <w:tmpl w:val="E99EE344"/>
    <w:lvl w:ilvl="0" w:tplc="722C6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46D5D"/>
    <w:multiLevelType w:val="hybridMultilevel"/>
    <w:tmpl w:val="98CC6318"/>
    <w:lvl w:ilvl="0" w:tplc="722C65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71397"/>
    <w:multiLevelType w:val="hybridMultilevel"/>
    <w:tmpl w:val="15B2A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A4362"/>
    <w:multiLevelType w:val="hybridMultilevel"/>
    <w:tmpl w:val="C186C674"/>
    <w:lvl w:ilvl="0" w:tplc="04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5C655D86"/>
    <w:multiLevelType w:val="hybridMultilevel"/>
    <w:tmpl w:val="47F88A48"/>
    <w:lvl w:ilvl="0" w:tplc="065EC46A">
      <w:start w:val="1"/>
      <w:numFmt w:val="upperRoman"/>
      <w:pStyle w:val="rozdzial"/>
      <w:lvlText w:val="%1."/>
      <w:lvlJc w:val="right"/>
      <w:pPr>
        <w:ind w:left="720" w:hanging="360"/>
      </w:pPr>
      <w:rPr>
        <w:rFonts w:hint="default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05180"/>
    <w:multiLevelType w:val="hybridMultilevel"/>
    <w:tmpl w:val="99F6FF5A"/>
    <w:lvl w:ilvl="0" w:tplc="722C6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D3715"/>
    <w:multiLevelType w:val="hybridMultilevel"/>
    <w:tmpl w:val="29D09B0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6C3C88"/>
    <w:multiLevelType w:val="hybridMultilevel"/>
    <w:tmpl w:val="A6FA3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E2"/>
    <w:rsid w:val="00095475"/>
    <w:rsid w:val="00095E30"/>
    <w:rsid w:val="00114DFB"/>
    <w:rsid w:val="0013192B"/>
    <w:rsid w:val="00182E64"/>
    <w:rsid w:val="00200882"/>
    <w:rsid w:val="00204115"/>
    <w:rsid w:val="002078BE"/>
    <w:rsid w:val="002418C9"/>
    <w:rsid w:val="00276E5A"/>
    <w:rsid w:val="002F0283"/>
    <w:rsid w:val="00345960"/>
    <w:rsid w:val="004A271D"/>
    <w:rsid w:val="005A5070"/>
    <w:rsid w:val="006A20B9"/>
    <w:rsid w:val="00712CFB"/>
    <w:rsid w:val="00724B3D"/>
    <w:rsid w:val="00733F68"/>
    <w:rsid w:val="0081626E"/>
    <w:rsid w:val="00870CD8"/>
    <w:rsid w:val="00960DE1"/>
    <w:rsid w:val="009D628E"/>
    <w:rsid w:val="009F07E7"/>
    <w:rsid w:val="00A8492C"/>
    <w:rsid w:val="00A95417"/>
    <w:rsid w:val="00B10E74"/>
    <w:rsid w:val="00B32BF0"/>
    <w:rsid w:val="00C062CA"/>
    <w:rsid w:val="00C300D0"/>
    <w:rsid w:val="00D132F8"/>
    <w:rsid w:val="00DE0318"/>
    <w:rsid w:val="00FD07A7"/>
    <w:rsid w:val="00FE2AE2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70E94-0F09-454A-B6C1-38574F24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B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459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59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rozdzial">
    <w:name w:val="rozdzial_"/>
    <w:basedOn w:val="Normalny"/>
    <w:qFormat/>
    <w:rsid w:val="00345960"/>
    <w:pPr>
      <w:keepNext/>
      <w:numPr>
        <w:numId w:val="1"/>
      </w:numPr>
      <w:spacing w:before="480" w:after="120" w:line="240" w:lineRule="auto"/>
      <w:outlineLvl w:val="0"/>
    </w:pPr>
    <w:rPr>
      <w:rFonts w:ascii="Cambria" w:eastAsia="Times New Roman" w:hAnsi="Cambria" w:cs="Times New Roman"/>
      <w:b/>
      <w:bCs/>
      <w:color w:val="A6A6A6"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596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5960"/>
    <w:rPr>
      <w:rFonts w:ascii="Calibri" w:eastAsia="Calibri" w:hAnsi="Calibri" w:cs="Times New Roman"/>
    </w:rPr>
  </w:style>
  <w:style w:type="character" w:styleId="Pogrubienie">
    <w:name w:val="Strong"/>
    <w:uiPriority w:val="99"/>
    <w:qFormat/>
    <w:rsid w:val="00345960"/>
    <w:rPr>
      <w:b/>
      <w:bCs/>
    </w:rPr>
  </w:style>
  <w:style w:type="paragraph" w:customStyle="1" w:styleId="czesc">
    <w:name w:val="czesc"/>
    <w:basedOn w:val="Normalny"/>
    <w:qFormat/>
    <w:rsid w:val="00345960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color w:val="4F81BD"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B32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BF0"/>
  </w:style>
  <w:style w:type="paragraph" w:styleId="Stopka">
    <w:name w:val="footer"/>
    <w:basedOn w:val="Normalny"/>
    <w:link w:val="StopkaZnak"/>
    <w:uiPriority w:val="99"/>
    <w:unhideWhenUsed/>
    <w:rsid w:val="00B32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7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2101</Words>
  <Characters>12608</Characters>
  <Application>Microsoft Office Word</Application>
  <DocSecurity>4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Sinica</dc:creator>
  <cp:lastModifiedBy>Wodzyńska Joanna</cp:lastModifiedBy>
  <cp:revision>2</cp:revision>
  <dcterms:created xsi:type="dcterms:W3CDTF">2018-03-26T10:32:00Z</dcterms:created>
  <dcterms:modified xsi:type="dcterms:W3CDTF">2018-03-26T10:32:00Z</dcterms:modified>
</cp:coreProperties>
</file>