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1D" w:rsidRPr="00323038" w:rsidRDefault="00E039D2">
      <w:pPr>
        <w:spacing w:after="266"/>
        <w:ind w:left="1243"/>
        <w:rPr>
          <w:sz w:val="24"/>
          <w:szCs w:val="24"/>
        </w:rPr>
      </w:pPr>
      <w:bookmarkStart w:id="0" w:name="_GoBack"/>
      <w:bookmarkEnd w:id="0"/>
      <w:r>
        <w:t xml:space="preserve">  </w:t>
      </w:r>
      <w:r w:rsidR="00F83F19" w:rsidRPr="00323038">
        <w:rPr>
          <w:noProof/>
        </w:rPr>
        <w:drawing>
          <wp:inline distT="0" distB="0" distL="0" distR="0" wp14:anchorId="6B6B467D" wp14:editId="0D7C0DAB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 w:rsidRPr="00323038">
        <w:tab/>
      </w:r>
      <w:r w:rsidR="00631ABF" w:rsidRPr="00323038">
        <w:tab/>
      </w:r>
      <w:r w:rsidR="00582055" w:rsidRPr="00323038">
        <w:tab/>
        <w:t xml:space="preserve">              </w:t>
      </w:r>
      <w:r w:rsidR="00582055" w:rsidRPr="00323038">
        <w:rPr>
          <w:sz w:val="24"/>
          <w:szCs w:val="24"/>
        </w:rPr>
        <w:t xml:space="preserve">Warszawa, </w:t>
      </w:r>
      <w:r w:rsidR="00582055" w:rsidRPr="00323038">
        <w:rPr>
          <w:i/>
          <w:sz w:val="24"/>
          <w:szCs w:val="24"/>
        </w:rPr>
        <w:t>/elektroniczny znacznik czasu/</w:t>
      </w:r>
    </w:p>
    <w:p w:rsidR="000B641D" w:rsidRPr="00323038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/>
          <w:b/>
          <w:i/>
          <w:color w:val="878887"/>
          <w:sz w:val="24"/>
          <w:szCs w:val="24"/>
        </w:rPr>
      </w:pPr>
      <w:r w:rsidRPr="00323038">
        <w:rPr>
          <w:rFonts w:asciiTheme="minorHAnsi" w:eastAsia="Times New Roman" w:hAnsiTheme="minorHAnsi" w:cs="Times New Roman"/>
          <w:color w:val="181717"/>
          <w:sz w:val="24"/>
          <w:szCs w:val="24"/>
        </w:rPr>
        <w:t>MINISTER DO SPRAW UNII EUROPEJSKIEJ</w:t>
      </w:r>
    </w:p>
    <w:p w:rsidR="00A72014" w:rsidRPr="00323038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  <w:szCs w:val="24"/>
        </w:rPr>
      </w:pPr>
      <w:r w:rsidRPr="00323038">
        <w:rPr>
          <w:b/>
          <w:i/>
          <w:color w:val="878887"/>
          <w:sz w:val="24"/>
          <w:szCs w:val="24"/>
        </w:rPr>
        <w:t>Konrad Szymański</w:t>
      </w:r>
    </w:p>
    <w:p w:rsidR="009B1ED8" w:rsidRPr="00323038" w:rsidRDefault="009B1ED8" w:rsidP="0036308D">
      <w:pPr>
        <w:spacing w:after="0" w:line="240" w:lineRule="auto"/>
        <w:ind w:right="-45"/>
        <w:jc w:val="both"/>
        <w:rPr>
          <w:b/>
          <w:i/>
          <w:color w:val="878887"/>
          <w:sz w:val="24"/>
          <w:szCs w:val="24"/>
        </w:rPr>
      </w:pPr>
    </w:p>
    <w:p w:rsidR="0036308D" w:rsidRPr="00323038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23038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B023D5" w:rsidRPr="00B023D5">
        <w:rPr>
          <w:rFonts w:asciiTheme="minorHAnsi" w:hAnsiTheme="minorHAnsi" w:cs="Times New Roman"/>
          <w:color w:val="auto"/>
          <w:sz w:val="24"/>
          <w:szCs w:val="24"/>
        </w:rPr>
        <w:t>DPUE.920.296.2022.AR</w:t>
      </w:r>
      <w:r w:rsidR="00C83837" w:rsidRPr="00323038">
        <w:rPr>
          <w:rFonts w:asciiTheme="minorHAnsi" w:hAnsiTheme="minorHAnsi" w:cs="Times New Roman"/>
          <w:color w:val="auto"/>
          <w:sz w:val="24"/>
          <w:szCs w:val="24"/>
        </w:rPr>
        <w:t>(2)</w:t>
      </w:r>
    </w:p>
    <w:p w:rsidR="0036308D" w:rsidRPr="00323038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23038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B31523" w:rsidRPr="00B31523">
        <w:rPr>
          <w:rFonts w:asciiTheme="minorHAnsi" w:hAnsiTheme="minorHAnsi" w:cs="Times New Roman"/>
          <w:color w:val="auto"/>
          <w:sz w:val="24"/>
          <w:szCs w:val="24"/>
        </w:rPr>
        <w:t>DGWiŻŚ-1.0210.3.2021</w:t>
      </w:r>
      <w:r w:rsidR="00B31523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650EDA" w:rsidRPr="00323038">
        <w:rPr>
          <w:rFonts w:asciiTheme="minorHAnsi" w:hAnsiTheme="minorHAnsi" w:cs="Times New Roman"/>
          <w:color w:val="auto"/>
          <w:sz w:val="24"/>
          <w:szCs w:val="24"/>
        </w:rPr>
        <w:t xml:space="preserve">z </w:t>
      </w:r>
      <w:r w:rsidR="00B31523">
        <w:rPr>
          <w:rFonts w:asciiTheme="minorHAnsi" w:hAnsiTheme="minorHAnsi" w:cs="Times New Roman"/>
          <w:color w:val="auto"/>
          <w:sz w:val="24"/>
          <w:szCs w:val="24"/>
        </w:rPr>
        <w:t>09.03.2022</w:t>
      </w:r>
      <w:r w:rsidR="0070717E" w:rsidRPr="00323038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>r.</w:t>
      </w:r>
    </w:p>
    <w:p w:rsidR="00BF3DD0" w:rsidRPr="00323038" w:rsidRDefault="0036308D" w:rsidP="00CB4E38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="00B9144F"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</w:p>
    <w:p w:rsidR="00BF3DD0" w:rsidRPr="00323038" w:rsidRDefault="00BF3DD0" w:rsidP="00CB4E38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</w:p>
    <w:p w:rsidR="00BF3DD0" w:rsidRPr="00323038" w:rsidRDefault="00E23D0D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 w:rsidRPr="00323038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D211CD" w:rsidRPr="00323038">
        <w:rPr>
          <w:rFonts w:eastAsia="Times New Roman" w:cs="Times New Roman"/>
          <w:b/>
          <w:color w:val="auto"/>
          <w:sz w:val="24"/>
          <w:szCs w:val="24"/>
        </w:rPr>
        <w:t>Andrzej Adamczyk</w:t>
      </w:r>
      <w:r w:rsidRPr="00323038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</w:p>
    <w:p w:rsidR="00E23D0D" w:rsidRPr="00323038" w:rsidRDefault="00650EDA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 w:rsidRPr="00323038">
        <w:rPr>
          <w:rFonts w:eastAsia="Times New Roman" w:cs="Times New Roman"/>
          <w:b/>
          <w:color w:val="auto"/>
          <w:sz w:val="24"/>
          <w:szCs w:val="24"/>
        </w:rPr>
        <w:t xml:space="preserve">Minister </w:t>
      </w:r>
      <w:r w:rsidR="00D211CD" w:rsidRPr="00323038">
        <w:rPr>
          <w:rFonts w:eastAsia="Times New Roman" w:cs="Times New Roman"/>
          <w:b/>
          <w:color w:val="auto"/>
          <w:sz w:val="24"/>
          <w:szCs w:val="24"/>
        </w:rPr>
        <w:t>Infrastruktury</w:t>
      </w:r>
    </w:p>
    <w:p w:rsidR="00E23D0D" w:rsidRPr="00323038" w:rsidRDefault="00E23D0D" w:rsidP="00E23D0D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:rsidR="00BF3DD0" w:rsidRPr="00323038" w:rsidRDefault="00BF3DD0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E23D0D" w:rsidRPr="00323038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323038">
        <w:rPr>
          <w:rFonts w:eastAsia="Times New Roman" w:cs="Times New Roman"/>
          <w:b/>
          <w:sz w:val="24"/>
          <w:szCs w:val="24"/>
        </w:rPr>
        <w:t>Opinia</w:t>
      </w:r>
    </w:p>
    <w:p w:rsidR="00E23D0D" w:rsidRPr="00323038" w:rsidRDefault="00E23D0D" w:rsidP="00A06ED0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b/>
          <w:sz w:val="24"/>
          <w:szCs w:val="24"/>
        </w:rPr>
      </w:pPr>
      <w:r w:rsidRPr="00323038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="00C83837" w:rsidRPr="00323038">
        <w:rPr>
          <w:rFonts w:eastAsia="Times New Roman" w:cs="Times New Roman"/>
          <w:b/>
          <w:i/>
          <w:iCs/>
          <w:sz w:val="24"/>
          <w:szCs w:val="24"/>
        </w:rPr>
        <w:t xml:space="preserve">projektu </w:t>
      </w:r>
      <w:r w:rsidR="00B31523" w:rsidRPr="00B31523">
        <w:rPr>
          <w:rFonts w:eastAsia="Times New Roman" w:cs="Times New Roman"/>
          <w:b/>
          <w:i/>
          <w:iCs/>
          <w:sz w:val="24"/>
          <w:szCs w:val="24"/>
        </w:rPr>
        <w:t>ustawy o zmianie ustawy o żegludze śródlądowej</w:t>
      </w:r>
      <w:r w:rsidRPr="00323038">
        <w:rPr>
          <w:rFonts w:eastAsia="Times New Roman" w:cs="Times New Roman"/>
          <w:b/>
          <w:i/>
          <w:iCs/>
          <w:sz w:val="24"/>
          <w:szCs w:val="24"/>
        </w:rPr>
        <w:t xml:space="preserve">, </w:t>
      </w:r>
      <w:r w:rsidRPr="00323038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:rsidR="00E23D0D" w:rsidRPr="00323038" w:rsidRDefault="00E23D0D" w:rsidP="00E23D0D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D93A57" w:rsidRPr="00323038" w:rsidRDefault="00D93A57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</w:p>
    <w:p w:rsidR="00E23D0D" w:rsidRPr="00323038" w:rsidRDefault="00E23D0D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323038">
        <w:rPr>
          <w:rFonts w:eastAsia="Times New Roman" w:cs="Times New Roman"/>
          <w:i/>
          <w:color w:val="auto"/>
          <w:sz w:val="24"/>
          <w:szCs w:val="24"/>
        </w:rPr>
        <w:t xml:space="preserve">Szanowny Panie </w:t>
      </w:r>
      <w:r w:rsidR="00A94445" w:rsidRPr="00323038">
        <w:rPr>
          <w:rFonts w:eastAsia="Times New Roman" w:cs="Times New Roman"/>
          <w:i/>
          <w:color w:val="auto"/>
          <w:sz w:val="24"/>
          <w:szCs w:val="24"/>
        </w:rPr>
        <w:t>Ministrze</w:t>
      </w:r>
      <w:r w:rsidRPr="00323038">
        <w:rPr>
          <w:rFonts w:eastAsia="Times New Roman" w:cs="Times New Roman"/>
          <w:i/>
          <w:color w:val="auto"/>
          <w:sz w:val="24"/>
          <w:szCs w:val="24"/>
        </w:rPr>
        <w:t xml:space="preserve">,      </w:t>
      </w:r>
    </w:p>
    <w:p w:rsidR="00B9144F" w:rsidRPr="00323038" w:rsidRDefault="00B9144F" w:rsidP="00E23D0D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B9144F" w:rsidRPr="00323038" w:rsidRDefault="00B9144F" w:rsidP="009B1ED8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323038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Pr="00323038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C83837" w:rsidRPr="00323038">
        <w:rPr>
          <w:rFonts w:eastAsia="Times New Roman" w:cs="Times New Roman"/>
          <w:color w:val="auto"/>
          <w:sz w:val="24"/>
          <w:szCs w:val="24"/>
        </w:rPr>
        <w:t>ustawy</w:t>
      </w:r>
      <w:r w:rsidRPr="00323038">
        <w:rPr>
          <w:rFonts w:eastAsia="Times New Roman" w:cs="Times New Roman"/>
          <w:b/>
          <w:i/>
          <w:color w:val="auto"/>
          <w:sz w:val="24"/>
          <w:szCs w:val="24"/>
        </w:rPr>
        <w:t xml:space="preserve"> </w:t>
      </w:r>
      <w:r w:rsidRPr="00323038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:rsidR="001B2CE3" w:rsidRPr="00810529" w:rsidRDefault="00C83837" w:rsidP="00810529">
      <w:pPr>
        <w:pStyle w:val="Akapitzlist"/>
        <w:numPr>
          <w:ilvl w:val="0"/>
          <w:numId w:val="1"/>
        </w:numPr>
        <w:spacing w:after="120" w:line="240" w:lineRule="auto"/>
        <w:ind w:left="426" w:hanging="56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1B2CE3">
        <w:rPr>
          <w:rFonts w:eastAsia="Times New Roman" w:cs="Times New Roman"/>
          <w:color w:val="auto"/>
          <w:sz w:val="24"/>
          <w:szCs w:val="24"/>
        </w:rPr>
        <w:t xml:space="preserve">Celem projektowanej ustawy jest </w:t>
      </w:r>
      <w:r w:rsidR="0095492C" w:rsidRPr="001B2CE3">
        <w:rPr>
          <w:rFonts w:eastAsia="Times New Roman" w:cs="Times New Roman"/>
          <w:color w:val="auto"/>
          <w:sz w:val="24"/>
          <w:szCs w:val="24"/>
        </w:rPr>
        <w:t>transpozycja</w:t>
      </w:r>
      <w:r w:rsidR="0095492C" w:rsidRPr="001B2CE3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6E632E" w:rsidRPr="001B2CE3">
        <w:rPr>
          <w:rFonts w:eastAsia="Times New Roman" w:cs="Times New Roman"/>
          <w:i/>
          <w:color w:val="auto"/>
          <w:sz w:val="24"/>
          <w:szCs w:val="24"/>
        </w:rPr>
        <w:t>dyrektywy Parlamentu Europejskiego i</w:t>
      </w:r>
      <w:r w:rsidR="004D7C89">
        <w:rPr>
          <w:rFonts w:eastAsia="Times New Roman" w:cs="Times New Roman"/>
          <w:i/>
          <w:color w:val="auto"/>
          <w:sz w:val="24"/>
          <w:szCs w:val="24"/>
        </w:rPr>
        <w:t> </w:t>
      </w:r>
      <w:r w:rsidR="006E632E" w:rsidRPr="001B2CE3">
        <w:rPr>
          <w:rFonts w:eastAsia="Times New Roman" w:cs="Times New Roman"/>
          <w:i/>
          <w:color w:val="auto"/>
          <w:sz w:val="24"/>
          <w:szCs w:val="24"/>
        </w:rPr>
        <w:t>Rady (UE) 2017/2397 w sprawie uznawania kwalifikacji zawodowych w żegludze śródlądowej</w:t>
      </w:r>
      <w:r w:rsidR="006E632E" w:rsidRPr="001B2CE3">
        <w:rPr>
          <w:rFonts w:eastAsia="Times New Roman" w:cs="Times New Roman"/>
          <w:color w:val="auto"/>
          <w:sz w:val="24"/>
          <w:szCs w:val="24"/>
        </w:rPr>
        <w:t>,</w:t>
      </w:r>
      <w:r w:rsidR="006E632E" w:rsidRPr="001B2CE3">
        <w:rPr>
          <w:rFonts w:eastAsia="Times New Roman" w:cs="Times New Roman"/>
          <w:i/>
          <w:color w:val="auto"/>
          <w:sz w:val="24"/>
          <w:szCs w:val="24"/>
        </w:rPr>
        <w:t xml:space="preserve"> dyrektywy delegowanej Komisji (UE) 2020/12 uzupełniającej dyrektywę Parlamentu Europejskiego i Rady (UE) 2017/2397 w odniesieniu do standardów dotyczących: kompetencji oraz odpowiadających im wiedzy i umiejętności, egzaminów praktycznych, zatwierdzania symulatorów oraz stanu zdrowia </w:t>
      </w:r>
      <w:r w:rsidR="006E632E" w:rsidRPr="001B2CE3">
        <w:rPr>
          <w:rFonts w:eastAsia="Times New Roman" w:cs="Times New Roman"/>
          <w:color w:val="auto"/>
          <w:sz w:val="24"/>
          <w:szCs w:val="24"/>
        </w:rPr>
        <w:t xml:space="preserve">oraz </w:t>
      </w:r>
      <w:r w:rsidR="006E632E" w:rsidRPr="001B2CE3">
        <w:rPr>
          <w:rFonts w:eastAsia="Times New Roman" w:cs="Times New Roman"/>
          <w:i/>
          <w:color w:val="auto"/>
          <w:sz w:val="24"/>
          <w:szCs w:val="24"/>
        </w:rPr>
        <w:t>dyrektywy Parlamentu Europejskiego i Rady (UE) 2021/1233 w sprawie zmiany dyrektywy (UE) 2017/2397 w odniesieniu do środków przejściowych dotyczących uznawania świadectw wydanych przez państwa trzecie</w:t>
      </w:r>
      <w:r w:rsidR="006E632E" w:rsidRPr="001B2CE3">
        <w:rPr>
          <w:rFonts w:eastAsia="Times New Roman" w:cs="Times New Roman"/>
          <w:color w:val="auto"/>
          <w:sz w:val="24"/>
          <w:szCs w:val="24"/>
        </w:rPr>
        <w:t xml:space="preserve">. </w:t>
      </w:r>
      <w:r w:rsidR="00F8161E" w:rsidRPr="00810529">
        <w:rPr>
          <w:rFonts w:eastAsia="Times New Roman" w:cs="Times New Roman"/>
          <w:color w:val="auto"/>
          <w:sz w:val="24"/>
          <w:szCs w:val="24"/>
        </w:rPr>
        <w:t>Chciałbym</w:t>
      </w:r>
      <w:r w:rsidR="00790C3D" w:rsidRPr="00810529">
        <w:rPr>
          <w:rFonts w:eastAsia="Times New Roman" w:cs="Times New Roman"/>
          <w:color w:val="auto"/>
          <w:sz w:val="24"/>
          <w:szCs w:val="24"/>
        </w:rPr>
        <w:t xml:space="preserve"> zwrócić uwagę na brak wdrożenia niektórych definicji wynikających z</w:t>
      </w:r>
      <w:r w:rsidR="004D7C89" w:rsidRPr="00810529">
        <w:rPr>
          <w:rFonts w:eastAsia="Times New Roman" w:cs="Times New Roman"/>
          <w:color w:val="auto"/>
          <w:sz w:val="24"/>
          <w:szCs w:val="24"/>
        </w:rPr>
        <w:t> </w:t>
      </w:r>
      <w:r w:rsidR="00790C3D" w:rsidRPr="00810529">
        <w:rPr>
          <w:rFonts w:eastAsia="Times New Roman" w:cs="Times New Roman"/>
          <w:color w:val="auto"/>
          <w:sz w:val="24"/>
          <w:szCs w:val="24"/>
        </w:rPr>
        <w:t>dyrektywy 2017/2397. W dołączonej do projektu ustawy tabeli zgodności brakuje wskazania wdrożenia definicji: kompetencji, żeglarskiej książeczki pracy, dziennika pokładowego, aktywnej żeglarskiej książeczki pracy, żeglugi sezonowej. W sytuacji, w</w:t>
      </w:r>
      <w:r w:rsidR="006F76FB" w:rsidRPr="00810529">
        <w:rPr>
          <w:rFonts w:eastAsia="Times New Roman" w:cs="Times New Roman"/>
          <w:color w:val="auto"/>
          <w:sz w:val="24"/>
          <w:szCs w:val="24"/>
        </w:rPr>
        <w:t> </w:t>
      </w:r>
      <w:r w:rsidR="00790C3D" w:rsidRPr="00810529">
        <w:rPr>
          <w:rFonts w:eastAsia="Times New Roman" w:cs="Times New Roman"/>
          <w:color w:val="auto"/>
          <w:sz w:val="24"/>
          <w:szCs w:val="24"/>
        </w:rPr>
        <w:t xml:space="preserve">której wdrożenie tych definicji można </w:t>
      </w:r>
      <w:r w:rsidR="00FA5992">
        <w:rPr>
          <w:rFonts w:eastAsia="Times New Roman" w:cs="Times New Roman"/>
          <w:color w:val="auto"/>
          <w:sz w:val="24"/>
          <w:szCs w:val="24"/>
        </w:rPr>
        <w:t>wywieźć z innych niż słowniczek</w:t>
      </w:r>
      <w:r w:rsidR="00790C3D" w:rsidRPr="00810529">
        <w:rPr>
          <w:rFonts w:eastAsia="Times New Roman" w:cs="Times New Roman"/>
          <w:color w:val="auto"/>
          <w:sz w:val="24"/>
          <w:szCs w:val="24"/>
        </w:rPr>
        <w:t xml:space="preserve"> przepisów ustawy, powinny one zostać przywołane w tabeli zgodności.  </w:t>
      </w:r>
    </w:p>
    <w:p w:rsidR="001B2CE3" w:rsidRPr="001B2CE3" w:rsidRDefault="00790C3D" w:rsidP="004D7C89">
      <w:pPr>
        <w:pStyle w:val="Akapitzlist"/>
        <w:numPr>
          <w:ilvl w:val="0"/>
          <w:numId w:val="1"/>
        </w:numPr>
        <w:spacing w:after="120" w:line="240" w:lineRule="auto"/>
        <w:ind w:left="426" w:hanging="56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1B2CE3">
        <w:rPr>
          <w:rFonts w:eastAsia="Times New Roman" w:cs="Times New Roman"/>
          <w:color w:val="auto"/>
          <w:sz w:val="24"/>
          <w:szCs w:val="24"/>
        </w:rPr>
        <w:t xml:space="preserve">W art. </w:t>
      </w:r>
      <w:r w:rsidR="002A55E2" w:rsidRPr="001B2CE3">
        <w:rPr>
          <w:rFonts w:eastAsia="Times New Roman" w:cs="Times New Roman"/>
          <w:color w:val="auto"/>
          <w:sz w:val="24"/>
          <w:szCs w:val="24"/>
        </w:rPr>
        <w:t>3 pkt 3 dyrektywa 2017/2397 wprowadza definicję statku, który oznacza statek żeglugi śródlądowej lub statek morski. Definicja statku</w:t>
      </w:r>
      <w:r w:rsidR="00FA5992">
        <w:rPr>
          <w:rFonts w:eastAsia="Times New Roman" w:cs="Times New Roman"/>
          <w:color w:val="auto"/>
          <w:sz w:val="24"/>
          <w:szCs w:val="24"/>
        </w:rPr>
        <w:t>,</w:t>
      </w:r>
      <w:r w:rsidR="002A55E2" w:rsidRPr="001B2CE3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EF62A9" w:rsidRPr="001B2CE3">
        <w:rPr>
          <w:rFonts w:eastAsia="Times New Roman" w:cs="Times New Roman"/>
          <w:color w:val="auto"/>
          <w:sz w:val="24"/>
          <w:szCs w:val="24"/>
        </w:rPr>
        <w:t>określona</w:t>
      </w:r>
      <w:r w:rsidR="002A55E2" w:rsidRPr="001B2CE3">
        <w:rPr>
          <w:rFonts w:eastAsia="Times New Roman" w:cs="Times New Roman"/>
          <w:color w:val="auto"/>
          <w:sz w:val="24"/>
          <w:szCs w:val="24"/>
        </w:rPr>
        <w:t xml:space="preserve"> w art. 6 ust.</w:t>
      </w:r>
      <w:r w:rsidR="00EF62A9" w:rsidRPr="001B2CE3">
        <w:rPr>
          <w:rFonts w:eastAsia="Times New Roman" w:cs="Times New Roman"/>
          <w:color w:val="auto"/>
          <w:sz w:val="24"/>
          <w:szCs w:val="24"/>
        </w:rPr>
        <w:t xml:space="preserve"> 1 </w:t>
      </w:r>
      <w:r w:rsidR="00EF62A9" w:rsidRPr="009D2A88">
        <w:rPr>
          <w:rFonts w:eastAsia="Times New Roman" w:cs="Times New Roman"/>
          <w:i/>
          <w:color w:val="auto"/>
          <w:sz w:val="24"/>
          <w:szCs w:val="24"/>
        </w:rPr>
        <w:t>ustawy o</w:t>
      </w:r>
      <w:r w:rsidR="004D7C89" w:rsidRPr="009D2A88">
        <w:rPr>
          <w:rFonts w:eastAsia="Times New Roman" w:cs="Times New Roman"/>
          <w:i/>
          <w:color w:val="auto"/>
          <w:sz w:val="24"/>
          <w:szCs w:val="24"/>
        </w:rPr>
        <w:t> </w:t>
      </w:r>
      <w:r w:rsidR="00EF62A9" w:rsidRPr="009D2A88">
        <w:rPr>
          <w:rFonts w:eastAsia="Times New Roman" w:cs="Times New Roman"/>
          <w:i/>
          <w:color w:val="auto"/>
          <w:sz w:val="24"/>
          <w:szCs w:val="24"/>
        </w:rPr>
        <w:t>żegludze śródlądowej</w:t>
      </w:r>
      <w:r w:rsidR="00FA5992">
        <w:rPr>
          <w:rFonts w:eastAsia="Times New Roman" w:cs="Times New Roman"/>
          <w:color w:val="auto"/>
          <w:sz w:val="24"/>
          <w:szCs w:val="24"/>
        </w:rPr>
        <w:t xml:space="preserve"> w obecnym brzmieniu,</w:t>
      </w:r>
      <w:r w:rsidR="00EF62A9" w:rsidRPr="001B2CE3">
        <w:rPr>
          <w:rFonts w:eastAsia="Times New Roman" w:cs="Times New Roman"/>
          <w:color w:val="auto"/>
          <w:sz w:val="24"/>
          <w:szCs w:val="24"/>
        </w:rPr>
        <w:t xml:space="preserve"> nie obejmuje jednak statku morskiego. Rozważenia wymaga zatem uzupełnienie tej definicji.</w:t>
      </w:r>
    </w:p>
    <w:p w:rsidR="001B2CE3" w:rsidRPr="009D2A88" w:rsidRDefault="00EF62A9" w:rsidP="006F76FB">
      <w:pPr>
        <w:pStyle w:val="Akapitzlist"/>
        <w:numPr>
          <w:ilvl w:val="0"/>
          <w:numId w:val="1"/>
        </w:numPr>
        <w:spacing w:after="120" w:line="240" w:lineRule="auto"/>
        <w:ind w:left="426" w:hanging="56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1B2CE3">
        <w:rPr>
          <w:rFonts w:eastAsia="Times New Roman" w:cs="Times New Roman"/>
          <w:color w:val="auto"/>
          <w:sz w:val="24"/>
          <w:szCs w:val="24"/>
        </w:rPr>
        <w:t>W art.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 xml:space="preserve"> 8 </w:t>
      </w:r>
      <w:r w:rsidR="00895A40" w:rsidRPr="001B2CE3">
        <w:rPr>
          <w:rFonts w:eastAsia="Times New Roman" w:cs="Times New Roman"/>
          <w:color w:val="auto"/>
          <w:sz w:val="24"/>
          <w:szCs w:val="24"/>
        </w:rPr>
        <w:t xml:space="preserve">ust. 1 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 xml:space="preserve">dyrektywy </w:t>
      </w:r>
      <w:r w:rsidR="00895A40" w:rsidRPr="001B2CE3">
        <w:rPr>
          <w:rFonts w:eastAsia="Times New Roman" w:cs="Times New Roman"/>
          <w:color w:val="auto"/>
          <w:sz w:val="24"/>
          <w:szCs w:val="24"/>
        </w:rPr>
        <w:t xml:space="preserve">2017/2397 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>określone zostały kryteria klasyfikacji śródlądowych dróg wodnych o charakterze morskim. W dołączonej do projektu ustawy tabeli zgodności wskazano</w:t>
      </w:r>
      <w:r w:rsidR="00F30313">
        <w:rPr>
          <w:rFonts w:eastAsia="Times New Roman" w:cs="Times New Roman"/>
          <w:color w:val="auto"/>
          <w:sz w:val="24"/>
          <w:szCs w:val="24"/>
        </w:rPr>
        <w:t xml:space="preserve">, że przepis ten jest wdrożony </w:t>
      </w:r>
      <w:r w:rsidR="00176232" w:rsidRPr="00514838">
        <w:rPr>
          <w:rFonts w:eastAsia="Times New Roman" w:cs="Times New Roman"/>
          <w:i/>
          <w:color w:val="auto"/>
          <w:sz w:val="24"/>
          <w:szCs w:val="24"/>
        </w:rPr>
        <w:t>rozporządzenie</w:t>
      </w:r>
      <w:r w:rsidR="00F30313">
        <w:rPr>
          <w:rFonts w:eastAsia="Times New Roman" w:cs="Times New Roman"/>
          <w:i/>
          <w:color w:val="auto"/>
          <w:sz w:val="24"/>
          <w:szCs w:val="24"/>
        </w:rPr>
        <w:t>m</w:t>
      </w:r>
      <w:r w:rsidR="00176232" w:rsidRPr="00514838">
        <w:rPr>
          <w:rFonts w:eastAsia="Times New Roman" w:cs="Times New Roman"/>
          <w:i/>
          <w:color w:val="auto"/>
          <w:sz w:val="24"/>
          <w:szCs w:val="24"/>
        </w:rPr>
        <w:t xml:space="preserve"> Rady Ministrów w sprawie granic między śródlądowymi wodami powierzchniowymi a morskimi wodami </w:t>
      </w:r>
      <w:r w:rsidR="00176232" w:rsidRPr="00514838">
        <w:rPr>
          <w:rFonts w:eastAsia="Times New Roman" w:cs="Times New Roman"/>
          <w:i/>
          <w:color w:val="auto"/>
          <w:sz w:val="24"/>
          <w:szCs w:val="24"/>
        </w:rPr>
        <w:lastRenderedPageBreak/>
        <w:t>wewnętrznymi i wodami morza terytorialnego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 xml:space="preserve">, </w:t>
      </w:r>
      <w:r w:rsidR="00F30313" w:rsidRPr="001B2CE3">
        <w:rPr>
          <w:rFonts w:eastAsia="Times New Roman" w:cs="Times New Roman"/>
          <w:color w:val="auto"/>
          <w:sz w:val="24"/>
          <w:szCs w:val="24"/>
        </w:rPr>
        <w:t>wydan</w:t>
      </w:r>
      <w:r w:rsidR="00F30313">
        <w:rPr>
          <w:rFonts w:eastAsia="Times New Roman" w:cs="Times New Roman"/>
          <w:color w:val="auto"/>
          <w:sz w:val="24"/>
          <w:szCs w:val="24"/>
        </w:rPr>
        <w:t>ym</w:t>
      </w:r>
      <w:r w:rsidR="00F30313" w:rsidRPr="001B2CE3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 xml:space="preserve">na podstawie art. 18 </w:t>
      </w:r>
      <w:r w:rsidR="00176232" w:rsidRPr="00514838">
        <w:rPr>
          <w:rFonts w:eastAsia="Times New Roman" w:cs="Times New Roman"/>
          <w:i/>
          <w:color w:val="auto"/>
          <w:sz w:val="24"/>
          <w:szCs w:val="24"/>
        </w:rPr>
        <w:t>ustawy – Prawo wodne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 xml:space="preserve">. W tym kontekście chciałbym wskazać na brak </w:t>
      </w:r>
      <w:r w:rsidR="00514838">
        <w:rPr>
          <w:rFonts w:eastAsia="Times New Roman" w:cs="Times New Roman"/>
          <w:color w:val="auto"/>
          <w:sz w:val="24"/>
          <w:szCs w:val="24"/>
        </w:rPr>
        <w:t xml:space="preserve">prawidłowej 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 xml:space="preserve">transpozycji  przywołanego </w:t>
      </w:r>
      <w:r w:rsidR="00895A40" w:rsidRPr="001B2CE3">
        <w:rPr>
          <w:rFonts w:eastAsia="Times New Roman" w:cs="Times New Roman"/>
          <w:color w:val="auto"/>
          <w:sz w:val="24"/>
          <w:szCs w:val="24"/>
        </w:rPr>
        <w:t>przepisu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895A40" w:rsidRPr="001B2CE3">
        <w:rPr>
          <w:rFonts w:eastAsia="Times New Roman" w:cs="Times New Roman"/>
          <w:color w:val="auto"/>
          <w:sz w:val="24"/>
          <w:szCs w:val="24"/>
        </w:rPr>
        <w:t>dyrektywy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>, ponieważ wskazane</w:t>
      </w:r>
      <w:r w:rsidR="00F30313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 xml:space="preserve"> rozporządzenie Rady Ministrów nie odnosi się w ogóle do kwestii </w:t>
      </w:r>
      <w:r w:rsidR="00514838" w:rsidRPr="001B2CE3">
        <w:rPr>
          <w:rFonts w:eastAsia="Times New Roman" w:cs="Times New Roman"/>
          <w:color w:val="auto"/>
          <w:sz w:val="24"/>
          <w:szCs w:val="24"/>
        </w:rPr>
        <w:t>dró</w:t>
      </w:r>
      <w:r w:rsidR="00514838">
        <w:rPr>
          <w:rFonts w:eastAsia="Times New Roman" w:cs="Times New Roman"/>
          <w:color w:val="auto"/>
          <w:sz w:val="24"/>
          <w:szCs w:val="24"/>
        </w:rPr>
        <w:t>g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 xml:space="preserve"> wodnych o charakterze morskim, a reguluje granice między śródlądowymi wodami powierzchniowymi a morskimi wodami wewnętrznymi i</w:t>
      </w:r>
      <w:r w:rsidR="004D7C89">
        <w:rPr>
          <w:rFonts w:eastAsia="Times New Roman" w:cs="Times New Roman"/>
          <w:color w:val="auto"/>
          <w:sz w:val="24"/>
          <w:szCs w:val="24"/>
        </w:rPr>
        <w:t> </w:t>
      </w:r>
      <w:r w:rsidR="00176232" w:rsidRPr="001B2CE3">
        <w:rPr>
          <w:rFonts w:eastAsia="Times New Roman" w:cs="Times New Roman"/>
          <w:color w:val="auto"/>
          <w:sz w:val="24"/>
          <w:szCs w:val="24"/>
        </w:rPr>
        <w:t>wodami morza terytorialnego.</w:t>
      </w:r>
      <w:r w:rsidR="00895A40" w:rsidRPr="001B2CE3">
        <w:rPr>
          <w:rFonts w:eastAsia="Times New Roman" w:cs="Times New Roman"/>
          <w:color w:val="auto"/>
          <w:sz w:val="24"/>
          <w:szCs w:val="24"/>
        </w:rPr>
        <w:t xml:space="preserve"> Wyjaśnienia wymaga również sposób powiadamiania Komisji Europejskiej o zakwalifikowaniu określonego odcinka śródlądowej</w:t>
      </w:r>
      <w:r w:rsidR="00514838">
        <w:rPr>
          <w:rFonts w:eastAsia="Times New Roman" w:cs="Times New Roman"/>
          <w:color w:val="auto"/>
          <w:sz w:val="24"/>
          <w:szCs w:val="24"/>
        </w:rPr>
        <w:t xml:space="preserve"> jako</w:t>
      </w:r>
      <w:r w:rsidR="00895A40" w:rsidRPr="001B2CE3">
        <w:rPr>
          <w:rFonts w:eastAsia="Times New Roman" w:cs="Times New Roman"/>
          <w:color w:val="auto"/>
          <w:sz w:val="24"/>
          <w:szCs w:val="24"/>
        </w:rPr>
        <w:t xml:space="preserve"> drogi </w:t>
      </w:r>
      <w:r w:rsidR="00895A40" w:rsidRPr="009D2A88">
        <w:rPr>
          <w:rFonts w:eastAsia="Times New Roman" w:cs="Times New Roman"/>
          <w:color w:val="auto"/>
          <w:sz w:val="24"/>
          <w:szCs w:val="24"/>
        </w:rPr>
        <w:t>wodnej o charakterze morski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>m</w:t>
      </w:r>
      <w:r w:rsidR="00895A40" w:rsidRPr="009D2A88">
        <w:rPr>
          <w:rFonts w:eastAsia="Times New Roman" w:cs="Times New Roman"/>
          <w:color w:val="auto"/>
          <w:sz w:val="24"/>
          <w:szCs w:val="24"/>
        </w:rPr>
        <w:t xml:space="preserve">, zgodnie z art. 8 ust. 2 dyrektywy 2017/2397. </w:t>
      </w:r>
    </w:p>
    <w:p w:rsidR="006F76FB" w:rsidRPr="009D2A88" w:rsidRDefault="00D8008B" w:rsidP="009D2A88">
      <w:pPr>
        <w:pStyle w:val="Akapitzlist"/>
        <w:numPr>
          <w:ilvl w:val="0"/>
          <w:numId w:val="1"/>
        </w:numPr>
        <w:spacing w:after="120" w:line="240" w:lineRule="auto"/>
        <w:ind w:left="426" w:hanging="56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D2A88">
        <w:rPr>
          <w:rFonts w:eastAsia="Times New Roman" w:cs="Times New Roman"/>
          <w:color w:val="auto"/>
          <w:sz w:val="24"/>
          <w:szCs w:val="24"/>
        </w:rPr>
        <w:t xml:space="preserve">Chciałbym zwrócić uwagę na niekompletne wdrożenie art. 15 </w:t>
      </w:r>
      <w:r w:rsidR="006F76FB">
        <w:rPr>
          <w:rFonts w:eastAsia="Times New Roman" w:cs="Times New Roman"/>
          <w:color w:val="auto"/>
          <w:sz w:val="24"/>
          <w:szCs w:val="24"/>
        </w:rPr>
        <w:t xml:space="preserve">dyrektywy </w:t>
      </w:r>
      <w:r w:rsidR="006F76FB" w:rsidRPr="0040390A">
        <w:rPr>
          <w:rFonts w:eastAsia="Times New Roman" w:cs="Times New Roman"/>
          <w:color w:val="auto"/>
          <w:sz w:val="24"/>
          <w:szCs w:val="24"/>
        </w:rPr>
        <w:t>2017/2397</w:t>
      </w:r>
      <w:r w:rsidR="006F76FB">
        <w:rPr>
          <w:rFonts w:eastAsia="Times New Roman" w:cs="Times New Roman"/>
          <w:color w:val="auto"/>
          <w:sz w:val="24"/>
          <w:szCs w:val="24"/>
        </w:rPr>
        <w:t>. Zgodnie z tym przepisem w</w:t>
      </w:r>
      <w:r w:rsidR="006F76FB" w:rsidRPr="009D2A88">
        <w:rPr>
          <w:rFonts w:eastAsia="Times New Roman" w:cs="Times New Roman"/>
          <w:color w:val="auto"/>
          <w:sz w:val="24"/>
          <w:szCs w:val="24"/>
        </w:rPr>
        <w:t xml:space="preserve"> przypadku</w:t>
      </w:r>
      <w:r w:rsidR="00FA5992">
        <w:rPr>
          <w:rFonts w:eastAsia="Times New Roman" w:cs="Times New Roman"/>
          <w:color w:val="auto"/>
          <w:sz w:val="24"/>
          <w:szCs w:val="24"/>
        </w:rPr>
        <w:t>,</w:t>
      </w:r>
      <w:r w:rsidR="006F76FB" w:rsidRPr="009D2A88">
        <w:rPr>
          <w:rFonts w:eastAsia="Times New Roman" w:cs="Times New Roman"/>
          <w:color w:val="auto"/>
          <w:sz w:val="24"/>
          <w:szCs w:val="24"/>
        </w:rPr>
        <w:t xml:space="preserve"> gdy państwo członkowskie stwierdzi, że</w:t>
      </w:r>
      <w:r w:rsidR="00FA5992">
        <w:rPr>
          <w:rFonts w:eastAsia="Times New Roman" w:cs="Times New Roman"/>
          <w:color w:val="auto"/>
          <w:sz w:val="24"/>
          <w:szCs w:val="24"/>
        </w:rPr>
        <w:t> </w:t>
      </w:r>
      <w:r w:rsidR="006F76FB" w:rsidRPr="009D2A88">
        <w:rPr>
          <w:rFonts w:eastAsia="Times New Roman" w:cs="Times New Roman"/>
          <w:color w:val="auto"/>
          <w:sz w:val="24"/>
          <w:szCs w:val="24"/>
        </w:rPr>
        <w:t xml:space="preserve">świadectwo kwalifikacji wydane przez właściwy organ w innym państwie członkowskim nie spełnia warunków określonych w </w:t>
      </w:r>
      <w:r w:rsidR="00FA5992">
        <w:rPr>
          <w:rFonts w:eastAsia="Times New Roman" w:cs="Times New Roman"/>
          <w:color w:val="auto"/>
          <w:sz w:val="24"/>
          <w:szCs w:val="24"/>
        </w:rPr>
        <w:t>tej</w:t>
      </w:r>
      <w:r w:rsidR="006F76FB" w:rsidRPr="009D2A88">
        <w:rPr>
          <w:rFonts w:eastAsia="Times New Roman" w:cs="Times New Roman"/>
          <w:color w:val="auto"/>
          <w:sz w:val="24"/>
          <w:szCs w:val="24"/>
        </w:rPr>
        <w:t xml:space="preserve"> dyrektywie, lub w przypadku gdy</w:t>
      </w:r>
      <w:r w:rsidR="00FA5992">
        <w:rPr>
          <w:rFonts w:eastAsia="Times New Roman" w:cs="Times New Roman"/>
          <w:color w:val="auto"/>
          <w:sz w:val="24"/>
          <w:szCs w:val="24"/>
        </w:rPr>
        <w:t> </w:t>
      </w:r>
      <w:r w:rsidR="006F76FB" w:rsidRPr="009D2A88">
        <w:rPr>
          <w:rFonts w:eastAsia="Times New Roman" w:cs="Times New Roman"/>
          <w:color w:val="auto"/>
          <w:sz w:val="24"/>
          <w:szCs w:val="24"/>
        </w:rPr>
        <w:t>istnieją względy bezpieczeństwa lub porządku publicznego, właściwy organ zwraca się do organu wydającego,</w:t>
      </w:r>
      <w:r w:rsidR="006F76FB" w:rsidRPr="006F76FB">
        <w:t xml:space="preserve"> </w:t>
      </w:r>
      <w:r w:rsidR="006F76FB" w:rsidRPr="006F76FB">
        <w:rPr>
          <w:rFonts w:eastAsia="Times New Roman" w:cs="Times New Roman"/>
          <w:color w:val="auto"/>
          <w:sz w:val="24"/>
          <w:szCs w:val="24"/>
        </w:rPr>
        <w:t>aby rozważył zawieszenie tego świadectwa kwalifikacji</w:t>
      </w:r>
      <w:r w:rsidR="006F76FB">
        <w:rPr>
          <w:rFonts w:eastAsia="Times New Roman" w:cs="Times New Roman"/>
          <w:color w:val="auto"/>
          <w:sz w:val="24"/>
          <w:szCs w:val="24"/>
        </w:rPr>
        <w:t>. W</w:t>
      </w:r>
      <w:r w:rsidR="00FA5992">
        <w:rPr>
          <w:rFonts w:eastAsia="Times New Roman" w:cs="Times New Roman"/>
          <w:color w:val="auto"/>
          <w:sz w:val="24"/>
          <w:szCs w:val="24"/>
        </w:rPr>
        <w:t> </w:t>
      </w:r>
      <w:r w:rsidR="00FB209C">
        <w:rPr>
          <w:rFonts w:eastAsia="Times New Roman" w:cs="Times New Roman"/>
          <w:color w:val="auto"/>
          <w:sz w:val="24"/>
          <w:szCs w:val="24"/>
        </w:rPr>
        <w:t>projektowanym</w:t>
      </w:r>
      <w:r w:rsidR="006F76FB">
        <w:rPr>
          <w:rFonts w:eastAsia="Times New Roman" w:cs="Times New Roman"/>
          <w:color w:val="auto"/>
          <w:sz w:val="24"/>
          <w:szCs w:val="24"/>
        </w:rPr>
        <w:t xml:space="preserve"> art. </w:t>
      </w:r>
      <w:r w:rsidR="00FB209C">
        <w:rPr>
          <w:rFonts w:eastAsia="Times New Roman" w:cs="Times New Roman"/>
          <w:color w:val="auto"/>
          <w:sz w:val="24"/>
          <w:szCs w:val="24"/>
        </w:rPr>
        <w:t>36g ust. 3 brakuje wskazania kryterium bezpieczeństwa lub</w:t>
      </w:r>
      <w:r w:rsidR="00FA5992">
        <w:rPr>
          <w:rFonts w:eastAsia="Times New Roman" w:cs="Times New Roman"/>
          <w:color w:val="auto"/>
          <w:sz w:val="24"/>
          <w:szCs w:val="24"/>
        </w:rPr>
        <w:t> </w:t>
      </w:r>
      <w:r w:rsidR="00FB209C">
        <w:rPr>
          <w:rFonts w:eastAsia="Times New Roman" w:cs="Times New Roman"/>
          <w:color w:val="auto"/>
          <w:sz w:val="24"/>
          <w:szCs w:val="24"/>
        </w:rPr>
        <w:t xml:space="preserve">porządku publicznego </w:t>
      </w:r>
      <w:r w:rsidR="00FB209C" w:rsidRPr="00473DEB">
        <w:rPr>
          <w:rFonts w:eastAsia="Times New Roman" w:cs="Times New Roman"/>
          <w:color w:val="auto"/>
          <w:sz w:val="24"/>
          <w:szCs w:val="24"/>
        </w:rPr>
        <w:t xml:space="preserve">jako podstawy do </w:t>
      </w:r>
      <w:r w:rsidR="004E439F">
        <w:rPr>
          <w:rFonts w:eastAsia="Times New Roman" w:cs="Times New Roman"/>
          <w:color w:val="auto"/>
          <w:sz w:val="24"/>
          <w:szCs w:val="24"/>
        </w:rPr>
        <w:t>wystąpienia z wnioskiem do właściwego organu państwa członkowskiego, wydającego świadectwo kwalifikacji, o zawieszenie tego świadectwa</w:t>
      </w:r>
      <w:r w:rsidR="00FB209C">
        <w:rPr>
          <w:rFonts w:eastAsia="Times New Roman" w:cs="Times New Roman"/>
          <w:color w:val="auto"/>
          <w:sz w:val="24"/>
          <w:szCs w:val="24"/>
        </w:rPr>
        <w:t>. W</w:t>
      </w:r>
      <w:r w:rsidR="00FA5992">
        <w:rPr>
          <w:rFonts w:eastAsia="Times New Roman" w:cs="Times New Roman"/>
          <w:color w:val="auto"/>
          <w:sz w:val="24"/>
          <w:szCs w:val="24"/>
        </w:rPr>
        <w:t> </w:t>
      </w:r>
      <w:r w:rsidR="00FB209C">
        <w:rPr>
          <w:rFonts w:eastAsia="Times New Roman" w:cs="Times New Roman"/>
          <w:color w:val="auto"/>
          <w:sz w:val="24"/>
          <w:szCs w:val="24"/>
        </w:rPr>
        <w:t>związku z tym projektowany przepis ustawy wymaga uzupełnienia.</w:t>
      </w:r>
    </w:p>
    <w:p w:rsidR="004D7C89" w:rsidRDefault="00895A40" w:rsidP="009D2A88">
      <w:pPr>
        <w:pStyle w:val="Akapitzlist"/>
        <w:numPr>
          <w:ilvl w:val="0"/>
          <w:numId w:val="1"/>
        </w:numPr>
        <w:spacing w:after="120" w:line="240" w:lineRule="auto"/>
        <w:ind w:left="426" w:hanging="56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D2A88">
        <w:rPr>
          <w:rFonts w:eastAsia="Times New Roman" w:cs="Times New Roman"/>
          <w:color w:val="auto"/>
          <w:sz w:val="24"/>
          <w:szCs w:val="24"/>
        </w:rPr>
        <w:t xml:space="preserve">Celem projektowanej ustawy, zgodnie z dodawanym odnośnikiem, jest również wdrożenie </w:t>
      </w:r>
      <w:r w:rsidRPr="009D2A88">
        <w:rPr>
          <w:rFonts w:eastAsia="Times New Roman" w:cs="Times New Roman"/>
          <w:i/>
          <w:color w:val="auto"/>
          <w:sz w:val="24"/>
          <w:szCs w:val="24"/>
        </w:rPr>
        <w:t>dyrektywy delegowanej Komisji (UE) 2020/12 uzupełniającej dyrektywę Parlamentu Europejskiego i Rady (UE) 2017/2397 w odniesieniu do standardów dotyczących: kompetencji oraz odpowiadających im wiedzy i umiejętności, egzaminów praktycznych, zatwierdzania symulatorów oraz stanu zdrowia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. W tym 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>kontekście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 należy wskazać, 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>ż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e </w:t>
      </w:r>
      <w:r w:rsidR="00403F31" w:rsidRPr="009D2A88">
        <w:rPr>
          <w:rFonts w:eastAsia="Times New Roman" w:cs="Times New Roman"/>
          <w:color w:val="auto"/>
          <w:sz w:val="24"/>
          <w:szCs w:val="24"/>
        </w:rPr>
        <w:t xml:space="preserve">do projektu ustawy </w:t>
      </w:r>
      <w:r w:rsidRPr="009D2A88">
        <w:rPr>
          <w:rFonts w:eastAsia="Times New Roman" w:cs="Times New Roman"/>
          <w:color w:val="auto"/>
          <w:sz w:val="24"/>
          <w:szCs w:val="24"/>
        </w:rPr>
        <w:t>nie dołączon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>o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1B7D3C" w:rsidRPr="009D2A88">
        <w:rPr>
          <w:rFonts w:eastAsia="Times New Roman" w:cs="Times New Roman"/>
          <w:color w:val="auto"/>
          <w:sz w:val="24"/>
          <w:szCs w:val="24"/>
        </w:rPr>
        <w:t xml:space="preserve">jednak </w:t>
      </w:r>
      <w:r w:rsidRPr="009D2A88">
        <w:rPr>
          <w:rFonts w:eastAsia="Times New Roman" w:cs="Times New Roman"/>
          <w:color w:val="auto"/>
          <w:sz w:val="24"/>
          <w:szCs w:val="24"/>
        </w:rPr>
        <w:t>tabeli zgodności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 xml:space="preserve"> wskazującej</w:t>
      </w:r>
      <w:r w:rsidR="00F30313" w:rsidRPr="009D2A88">
        <w:rPr>
          <w:rFonts w:eastAsia="Times New Roman" w:cs="Times New Roman"/>
          <w:color w:val="auto"/>
          <w:sz w:val="24"/>
          <w:szCs w:val="24"/>
        </w:rPr>
        <w:t>,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 xml:space="preserve"> które przepisy tej dyrektywy 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 xml:space="preserve">zostały wdrożone w 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>odpowiadając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>ych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 xml:space="preserve"> im przepis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>ach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 xml:space="preserve"> projektowanej ustawy. W  projektowanej ustawie, projektodawca w doniesieniu do</w:t>
      </w:r>
      <w:r w:rsidR="000E2783">
        <w:rPr>
          <w:rFonts w:eastAsia="Times New Roman" w:cs="Times New Roman"/>
          <w:color w:val="auto"/>
          <w:sz w:val="24"/>
          <w:szCs w:val="24"/>
        </w:rPr>
        <w:t> 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>wymagań dla symulatorów (projektowany art. 36k</w:t>
      </w:r>
      <w:r w:rsidR="00A85499" w:rsidRPr="009D2A88">
        <w:rPr>
          <w:rFonts w:eastAsia="Times New Roman" w:cs="Times New Roman"/>
          <w:color w:val="auto"/>
          <w:sz w:val="24"/>
          <w:szCs w:val="24"/>
        </w:rPr>
        <w:t xml:space="preserve"> – załącznik </w:t>
      </w:r>
      <w:r w:rsidR="00093E85" w:rsidRPr="009D2A88">
        <w:rPr>
          <w:rFonts w:eastAsia="Times New Roman" w:cs="Times New Roman"/>
          <w:color w:val="auto"/>
          <w:sz w:val="24"/>
          <w:szCs w:val="24"/>
        </w:rPr>
        <w:t>III do dyrektywy 2020/12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 xml:space="preserve">) oraz oceny stanu zdrowa </w:t>
      </w:r>
      <w:r w:rsidR="00A85499" w:rsidRPr="009D2A88">
        <w:rPr>
          <w:rFonts w:eastAsia="Times New Roman" w:cs="Times New Roman"/>
          <w:color w:val="auto"/>
          <w:sz w:val="24"/>
          <w:szCs w:val="24"/>
        </w:rPr>
        <w:t xml:space="preserve">(projektowany art. 36b </w:t>
      </w:r>
      <w:r w:rsidR="00093E85" w:rsidRPr="009D2A88">
        <w:rPr>
          <w:rFonts w:eastAsia="Times New Roman" w:cs="Times New Roman"/>
          <w:color w:val="auto"/>
          <w:sz w:val="24"/>
          <w:szCs w:val="24"/>
        </w:rPr>
        <w:t xml:space="preserve">– załącznik IV do dyrektywy 2020/12) </w:t>
      </w:r>
      <w:r w:rsidR="00A85499" w:rsidRPr="009D2A88">
        <w:rPr>
          <w:rFonts w:eastAsia="Times New Roman" w:cs="Times New Roman"/>
          <w:color w:val="auto"/>
          <w:sz w:val="24"/>
          <w:szCs w:val="24"/>
        </w:rPr>
        <w:t>odwołuje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 xml:space="preserve"> się bezpośrednio do przepisu kompetencyjnego dla Komisji Europejskiej do</w:t>
      </w:r>
      <w:r w:rsidR="00FA5992">
        <w:rPr>
          <w:rFonts w:eastAsia="Times New Roman" w:cs="Times New Roman"/>
          <w:color w:val="auto"/>
          <w:sz w:val="24"/>
          <w:szCs w:val="24"/>
        </w:rPr>
        <w:t> 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>wydania aktu delegowanego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>, wynikającego z dyrektywy 2017/2397</w:t>
      </w:r>
      <w:r w:rsidR="00A85499" w:rsidRPr="009D2A88">
        <w:rPr>
          <w:rFonts w:eastAsia="Times New Roman" w:cs="Times New Roman"/>
          <w:color w:val="auto"/>
          <w:sz w:val="24"/>
          <w:szCs w:val="24"/>
        </w:rPr>
        <w:t>.</w:t>
      </w:r>
      <w:r w:rsidR="00093E85" w:rsidRPr="009D2A88">
        <w:rPr>
          <w:rFonts w:eastAsia="Times New Roman" w:cs="Times New Roman"/>
          <w:color w:val="auto"/>
          <w:sz w:val="24"/>
          <w:szCs w:val="24"/>
        </w:rPr>
        <w:t xml:space="preserve"> </w:t>
      </w:r>
    </w:p>
    <w:p w:rsidR="004D7C89" w:rsidRDefault="00093E85" w:rsidP="009D2A88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D2A88">
        <w:rPr>
          <w:rFonts w:eastAsia="Times New Roman" w:cs="Times New Roman"/>
          <w:color w:val="auto"/>
          <w:sz w:val="24"/>
          <w:szCs w:val="24"/>
        </w:rPr>
        <w:t>Dyrektywa delegowana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 xml:space="preserve"> (2020/12)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 został</w:t>
      </w:r>
      <w:r w:rsidR="00403F31" w:rsidRPr="009D2A88">
        <w:rPr>
          <w:rFonts w:eastAsia="Times New Roman" w:cs="Times New Roman"/>
          <w:color w:val="auto"/>
          <w:sz w:val="24"/>
          <w:szCs w:val="24"/>
        </w:rPr>
        <w:t>a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 przyjęta i zgodnie z jej artykułem 5 ust. 1 powinna zostać transponowana do prawa krajowego. Sam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>ego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 odwołani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>a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 do przepisu kompetencyjnego d</w:t>
      </w:r>
      <w:r w:rsidR="00FA5992">
        <w:rPr>
          <w:rFonts w:eastAsia="Times New Roman" w:cs="Times New Roman"/>
          <w:color w:val="auto"/>
          <w:sz w:val="24"/>
          <w:szCs w:val="24"/>
        </w:rPr>
        <w:t>o wydania dyrektywy delegowanej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 w takiej sytuacji nie można uznać za prawidłowe wdrożenie dyrektywy 2020/12. </w:t>
      </w:r>
    </w:p>
    <w:p w:rsidR="004D7C89" w:rsidRDefault="00093E85" w:rsidP="009D2A88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D2A88">
        <w:rPr>
          <w:rFonts w:eastAsia="Times New Roman" w:cs="Times New Roman"/>
          <w:color w:val="auto"/>
          <w:sz w:val="24"/>
          <w:szCs w:val="24"/>
        </w:rPr>
        <w:t xml:space="preserve">Ponadto w projekcie ustawy </w:t>
      </w:r>
      <w:r w:rsidR="00D8008B" w:rsidRPr="009D2A88">
        <w:rPr>
          <w:rFonts w:eastAsia="Times New Roman" w:cs="Times New Roman"/>
          <w:color w:val="auto"/>
          <w:sz w:val="24"/>
          <w:szCs w:val="24"/>
        </w:rPr>
        <w:t>pominięto wdrożenie</w:t>
      </w:r>
      <w:r w:rsidR="00A85499" w:rsidRPr="009D2A8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9D2A88">
        <w:rPr>
          <w:rFonts w:eastAsia="Times New Roman" w:cs="Times New Roman"/>
          <w:color w:val="auto"/>
          <w:sz w:val="24"/>
          <w:szCs w:val="24"/>
        </w:rPr>
        <w:t>uregulowanych w dyrektywie 2020/12 standardów kompetencji (załącznik I</w:t>
      </w:r>
      <w:r w:rsidR="004D7C89">
        <w:rPr>
          <w:rFonts w:eastAsia="Times New Roman" w:cs="Times New Roman"/>
          <w:color w:val="auto"/>
          <w:sz w:val="24"/>
          <w:szCs w:val="24"/>
        </w:rPr>
        <w:t> </w:t>
      </w:r>
      <w:r w:rsidRPr="009D2A88">
        <w:rPr>
          <w:rFonts w:eastAsia="Times New Roman" w:cs="Times New Roman"/>
          <w:color w:val="auto"/>
          <w:sz w:val="24"/>
          <w:szCs w:val="24"/>
        </w:rPr>
        <w:t>do dyrektywy) oraz standardów dotyczących egzaminów praktycznych</w:t>
      </w:r>
      <w:r w:rsidR="00A85499" w:rsidRPr="009D2A8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9D2A88">
        <w:rPr>
          <w:rFonts w:eastAsia="Times New Roman" w:cs="Times New Roman"/>
          <w:color w:val="auto"/>
          <w:sz w:val="24"/>
          <w:szCs w:val="24"/>
        </w:rPr>
        <w:t>(załącznik I</w:t>
      </w:r>
      <w:r w:rsidR="001B2CE3" w:rsidRPr="009D2A88">
        <w:rPr>
          <w:rFonts w:eastAsia="Times New Roman" w:cs="Times New Roman"/>
          <w:color w:val="auto"/>
          <w:sz w:val="24"/>
          <w:szCs w:val="24"/>
        </w:rPr>
        <w:t>I</w:t>
      </w:r>
      <w:r w:rsidR="004D7C89">
        <w:rPr>
          <w:rFonts w:eastAsia="Times New Roman" w:cs="Times New Roman"/>
          <w:color w:val="auto"/>
          <w:sz w:val="24"/>
          <w:szCs w:val="24"/>
        </w:rPr>
        <w:t> </w:t>
      </w:r>
      <w:r w:rsidRPr="009D2A88">
        <w:rPr>
          <w:rFonts w:eastAsia="Times New Roman" w:cs="Times New Roman"/>
          <w:color w:val="auto"/>
          <w:sz w:val="24"/>
          <w:szCs w:val="24"/>
        </w:rPr>
        <w:t>do</w:t>
      </w:r>
      <w:r w:rsidR="004D7C89">
        <w:rPr>
          <w:rFonts w:eastAsia="Times New Roman" w:cs="Times New Roman"/>
          <w:color w:val="auto"/>
          <w:sz w:val="24"/>
          <w:szCs w:val="24"/>
        </w:rPr>
        <w:t> </w:t>
      </w:r>
      <w:r w:rsidRPr="009D2A88">
        <w:rPr>
          <w:rFonts w:eastAsia="Times New Roman" w:cs="Times New Roman"/>
          <w:color w:val="auto"/>
          <w:sz w:val="24"/>
          <w:szCs w:val="24"/>
        </w:rPr>
        <w:t>dyrektywy).</w:t>
      </w:r>
      <w:r w:rsidR="00235D65" w:rsidRPr="009D2A8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9D2A88">
        <w:rPr>
          <w:rFonts w:eastAsia="Times New Roman" w:cs="Times New Roman"/>
          <w:color w:val="auto"/>
          <w:sz w:val="24"/>
          <w:szCs w:val="24"/>
        </w:rPr>
        <w:t>Mając powyższe na względ</w:t>
      </w:r>
      <w:r w:rsidR="00F277C1" w:rsidRPr="009D2A88">
        <w:rPr>
          <w:rFonts w:eastAsia="Times New Roman" w:cs="Times New Roman"/>
          <w:color w:val="auto"/>
          <w:sz w:val="24"/>
          <w:szCs w:val="24"/>
        </w:rPr>
        <w:t>z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ie wyjaśnienia wymaga sposób wdrożenia 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>dyrektywy 2020/12</w:t>
      </w:r>
      <w:r w:rsidR="00F277C1" w:rsidRPr="009D2A88">
        <w:rPr>
          <w:rFonts w:eastAsia="Times New Roman" w:cs="Times New Roman"/>
          <w:color w:val="auto"/>
          <w:sz w:val="24"/>
          <w:szCs w:val="24"/>
        </w:rPr>
        <w:t xml:space="preserve">, rozważenia wymaga 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 xml:space="preserve">również </w:t>
      </w:r>
      <w:r w:rsidR="00F277C1" w:rsidRPr="009D2A88">
        <w:rPr>
          <w:rFonts w:eastAsia="Times New Roman" w:cs="Times New Roman"/>
          <w:color w:val="auto"/>
          <w:sz w:val="24"/>
          <w:szCs w:val="24"/>
        </w:rPr>
        <w:t xml:space="preserve">uzupełnienie projektu 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 xml:space="preserve">ustawy </w:t>
      </w:r>
      <w:r w:rsidR="00F277C1" w:rsidRPr="009D2A88">
        <w:rPr>
          <w:rFonts w:eastAsia="Times New Roman" w:cs="Times New Roman"/>
          <w:color w:val="auto"/>
          <w:sz w:val="24"/>
          <w:szCs w:val="24"/>
        </w:rPr>
        <w:t>o</w:t>
      </w:r>
      <w:r w:rsidR="004D7C89">
        <w:rPr>
          <w:rFonts w:eastAsia="Times New Roman" w:cs="Times New Roman"/>
          <w:color w:val="auto"/>
          <w:sz w:val="24"/>
          <w:szCs w:val="24"/>
        </w:rPr>
        <w:t> </w:t>
      </w:r>
      <w:r w:rsidR="00F277C1" w:rsidRPr="009D2A88">
        <w:rPr>
          <w:rFonts w:eastAsia="Times New Roman" w:cs="Times New Roman"/>
          <w:color w:val="auto"/>
          <w:sz w:val="24"/>
          <w:szCs w:val="24"/>
        </w:rPr>
        <w:t>delegacje ustawowe do wydania aktów wykonawczych, które będą wdrażały odpowied</w:t>
      </w:r>
      <w:r w:rsidR="00FA5992">
        <w:rPr>
          <w:rFonts w:eastAsia="Times New Roman" w:cs="Times New Roman"/>
          <w:color w:val="auto"/>
          <w:sz w:val="24"/>
          <w:szCs w:val="24"/>
        </w:rPr>
        <w:t>nie</w:t>
      </w:r>
      <w:r w:rsidR="00F277C1" w:rsidRPr="009D2A88">
        <w:rPr>
          <w:rFonts w:eastAsia="Times New Roman" w:cs="Times New Roman"/>
          <w:color w:val="auto"/>
          <w:sz w:val="24"/>
          <w:szCs w:val="24"/>
        </w:rPr>
        <w:t xml:space="preserve"> załączniki dyrektywy 2020/12. </w:t>
      </w:r>
    </w:p>
    <w:p w:rsidR="004D7C89" w:rsidRDefault="00F277C1" w:rsidP="009D2A88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D2A88">
        <w:rPr>
          <w:rFonts w:eastAsia="Times New Roman" w:cs="Times New Roman"/>
          <w:color w:val="auto"/>
          <w:sz w:val="24"/>
          <w:szCs w:val="24"/>
        </w:rPr>
        <w:t>Konieczne</w:t>
      </w:r>
      <w:r w:rsidR="00093E85" w:rsidRPr="009D2A8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9D2A88">
        <w:rPr>
          <w:rFonts w:eastAsia="Times New Roman" w:cs="Times New Roman"/>
          <w:color w:val="auto"/>
          <w:sz w:val="24"/>
          <w:szCs w:val="24"/>
        </w:rPr>
        <w:t xml:space="preserve">jest również opracowanie tabeli zgodności. </w:t>
      </w:r>
      <w:r w:rsidR="004D7C89" w:rsidRPr="004D7C89">
        <w:t xml:space="preserve"> </w:t>
      </w:r>
      <w:r w:rsidR="004D7C89">
        <w:rPr>
          <w:rFonts w:eastAsia="Times New Roman" w:cs="Times New Roman"/>
          <w:color w:val="auto"/>
          <w:sz w:val="24"/>
          <w:szCs w:val="24"/>
        </w:rPr>
        <w:t>Z</w:t>
      </w:r>
      <w:r w:rsidR="004D7C89" w:rsidRPr="009D2A88">
        <w:rPr>
          <w:rFonts w:eastAsia="Times New Roman" w:cs="Times New Roman"/>
          <w:color w:val="auto"/>
          <w:sz w:val="24"/>
          <w:szCs w:val="24"/>
        </w:rPr>
        <w:t xml:space="preserve">godnie z </w:t>
      </w:r>
      <w:r w:rsidR="004D7C89">
        <w:rPr>
          <w:rFonts w:eastAsia="Times New Roman"/>
          <w:color w:val="auto"/>
          <w:sz w:val="24"/>
          <w:szCs w:val="24"/>
        </w:rPr>
        <w:t>§</w:t>
      </w:r>
      <w:r w:rsidR="004D7C89">
        <w:rPr>
          <w:rFonts w:eastAsia="Times New Roman" w:cs="Times New Roman"/>
          <w:color w:val="auto"/>
          <w:sz w:val="24"/>
          <w:szCs w:val="24"/>
        </w:rPr>
        <w:t xml:space="preserve"> 30 </w:t>
      </w:r>
      <w:r w:rsidR="004D7C89" w:rsidRPr="004D7C89">
        <w:rPr>
          <w:rFonts w:eastAsia="Times New Roman" w:cs="Times New Roman"/>
          <w:color w:val="auto"/>
          <w:sz w:val="24"/>
          <w:szCs w:val="24"/>
        </w:rPr>
        <w:t>Uchwał</w:t>
      </w:r>
      <w:r w:rsidR="004D7C89">
        <w:rPr>
          <w:rFonts w:eastAsia="Times New Roman" w:cs="Times New Roman"/>
          <w:color w:val="auto"/>
          <w:sz w:val="24"/>
          <w:szCs w:val="24"/>
        </w:rPr>
        <w:t>y</w:t>
      </w:r>
      <w:r w:rsidR="004D7C89" w:rsidRPr="004D7C89">
        <w:rPr>
          <w:rFonts w:eastAsia="Times New Roman" w:cs="Times New Roman"/>
          <w:color w:val="auto"/>
          <w:sz w:val="24"/>
          <w:szCs w:val="24"/>
        </w:rPr>
        <w:t xml:space="preserve"> Rady Ministrów </w:t>
      </w:r>
      <w:r w:rsidR="004D7C89">
        <w:rPr>
          <w:rFonts w:eastAsia="Times New Roman" w:cs="Times New Roman"/>
          <w:color w:val="auto"/>
          <w:sz w:val="24"/>
          <w:szCs w:val="24"/>
        </w:rPr>
        <w:t xml:space="preserve">- </w:t>
      </w:r>
      <w:r w:rsidR="004D7C89" w:rsidRPr="004D7C89">
        <w:rPr>
          <w:rFonts w:eastAsia="Times New Roman" w:cs="Times New Roman"/>
          <w:color w:val="auto"/>
          <w:sz w:val="24"/>
          <w:szCs w:val="24"/>
        </w:rPr>
        <w:t>Regulamin pracy Rady Ministrów</w:t>
      </w:r>
      <w:r w:rsidR="004D7C89" w:rsidRPr="009D2A88">
        <w:rPr>
          <w:rFonts w:eastAsia="Times New Roman" w:cs="Times New Roman"/>
          <w:color w:val="auto"/>
          <w:sz w:val="24"/>
          <w:szCs w:val="24"/>
        </w:rPr>
        <w:t xml:space="preserve">, </w:t>
      </w:r>
      <w:r w:rsidR="004D7C89">
        <w:rPr>
          <w:rFonts w:eastAsia="Times New Roman" w:cs="Times New Roman"/>
          <w:color w:val="auto"/>
          <w:sz w:val="24"/>
          <w:szCs w:val="24"/>
        </w:rPr>
        <w:t xml:space="preserve">do projektu ustawy wdrażającej prawo Unii Europejskiej dołącza się </w:t>
      </w:r>
      <w:r w:rsidR="004D7C89" w:rsidRPr="004D7C89">
        <w:rPr>
          <w:rFonts w:eastAsia="Times New Roman" w:cs="Times New Roman"/>
          <w:color w:val="auto"/>
          <w:sz w:val="24"/>
          <w:szCs w:val="24"/>
        </w:rPr>
        <w:t>tabelaryczne zestawienie przepisów dyrektywy lub dyrektyw, których wdrożenie jest celem projektu, oraz projektowanych przepisów prawa polskiego</w:t>
      </w:r>
      <w:r w:rsidR="004D7C89">
        <w:rPr>
          <w:rFonts w:eastAsia="Times New Roman" w:cs="Times New Roman"/>
          <w:color w:val="auto"/>
          <w:sz w:val="24"/>
          <w:szCs w:val="24"/>
        </w:rPr>
        <w:t xml:space="preserve">. </w:t>
      </w:r>
      <w:r w:rsidR="004D7C89" w:rsidRPr="009D2A88">
        <w:rPr>
          <w:rFonts w:eastAsia="Times New Roman" w:cs="Times New Roman"/>
          <w:color w:val="auto"/>
          <w:sz w:val="24"/>
          <w:szCs w:val="24"/>
        </w:rPr>
        <w:t xml:space="preserve">Tabelaryczne zestawienie powinno być uzupełnione o informację umożliwiającą, obok weryfikacji kompletności wdrożenia przepisów prawa UE, również identyfikację </w:t>
      </w:r>
      <w:r w:rsidR="004D7C89" w:rsidRPr="009D2A88">
        <w:rPr>
          <w:rFonts w:eastAsia="Times New Roman" w:cs="Times New Roman"/>
          <w:color w:val="auto"/>
          <w:sz w:val="24"/>
          <w:szCs w:val="24"/>
        </w:rPr>
        <w:lastRenderedPageBreak/>
        <w:t xml:space="preserve">przepisów, których przyjęcie nie jest wymagane przez prawo UE (tzw. odwrócona tabela zbieżności). </w:t>
      </w:r>
    </w:p>
    <w:p w:rsidR="00697708" w:rsidRPr="009D2A88" w:rsidRDefault="00F277C1" w:rsidP="009D2A88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D2A88">
        <w:rPr>
          <w:rFonts w:eastAsia="Times New Roman" w:cs="Times New Roman"/>
          <w:color w:val="auto"/>
          <w:sz w:val="24"/>
          <w:szCs w:val="24"/>
        </w:rPr>
        <w:t>Przypominam</w:t>
      </w:r>
      <w:r w:rsidR="004D7C89" w:rsidRPr="009D2A88">
        <w:rPr>
          <w:rFonts w:eastAsia="Times New Roman" w:cs="Times New Roman"/>
          <w:color w:val="auto"/>
          <w:sz w:val="24"/>
          <w:szCs w:val="24"/>
        </w:rPr>
        <w:t xml:space="preserve"> również</w:t>
      </w:r>
      <w:r w:rsidRPr="009D2A88">
        <w:rPr>
          <w:rFonts w:eastAsia="Times New Roman" w:cs="Times New Roman"/>
          <w:color w:val="auto"/>
          <w:sz w:val="24"/>
          <w:szCs w:val="24"/>
        </w:rPr>
        <w:t>, że</w:t>
      </w:r>
      <w:r w:rsidR="00514838" w:rsidRPr="009D2A8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9D2A88">
        <w:rPr>
          <w:rFonts w:eastAsia="Times New Roman" w:cs="Times New Roman"/>
          <w:color w:val="auto"/>
          <w:sz w:val="24"/>
          <w:szCs w:val="24"/>
        </w:rPr>
        <w:t>notyfikacji kompletnej transpozycji dyrektywy w Bazie Notyfikacji Krajowych Środków Wykonawczych (obecnie Baza Themis/Directives) towarzyszyć musi jednoznaczne wskazanie przepisów wdrażających poszczególne przepisy dyrektywy (tabela zgodności). Na obowiązek dołączania takich informacji wskazuje Komisja Europejska powołując się na wyrok Trybunału Sprawiedliwości UE z</w:t>
      </w:r>
      <w:r w:rsidR="004D7C89">
        <w:rPr>
          <w:rFonts w:eastAsia="Times New Roman" w:cs="Times New Roman"/>
          <w:color w:val="auto"/>
          <w:sz w:val="24"/>
          <w:szCs w:val="24"/>
        </w:rPr>
        <w:t> </w:t>
      </w:r>
      <w:r w:rsidRPr="009D2A88">
        <w:rPr>
          <w:rFonts w:eastAsia="Times New Roman" w:cs="Times New Roman"/>
          <w:color w:val="auto"/>
          <w:sz w:val="24"/>
          <w:szCs w:val="24"/>
        </w:rPr>
        <w:t>dnia 8 lipca 2019 r. w sprawie C-543/17 Komisja/Belgia.</w:t>
      </w:r>
    </w:p>
    <w:p w:rsidR="001B2CE3" w:rsidRPr="00697708" w:rsidRDefault="001B2CE3" w:rsidP="004D7C89">
      <w:pPr>
        <w:pStyle w:val="Akapitzlist"/>
        <w:numPr>
          <w:ilvl w:val="0"/>
          <w:numId w:val="1"/>
        </w:numPr>
        <w:spacing w:before="120" w:after="120" w:line="240" w:lineRule="auto"/>
        <w:ind w:left="426" w:hanging="56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697708">
        <w:rPr>
          <w:rFonts w:eastAsia="Times New Roman" w:cs="Times New Roman"/>
          <w:color w:val="auto"/>
          <w:sz w:val="24"/>
          <w:szCs w:val="24"/>
        </w:rPr>
        <w:t xml:space="preserve">W projektowanej ustawie, w art. </w:t>
      </w:r>
      <w:r w:rsidR="00697708" w:rsidRPr="00697708">
        <w:rPr>
          <w:rFonts w:eastAsia="Times New Roman" w:cs="Times New Roman"/>
          <w:color w:val="auto"/>
          <w:sz w:val="24"/>
          <w:szCs w:val="24"/>
        </w:rPr>
        <w:t xml:space="preserve">1 pkt 1, projektodawca aktualizuje odnośnik do tytułu </w:t>
      </w:r>
      <w:r w:rsidR="00697708" w:rsidRPr="00697708">
        <w:rPr>
          <w:rFonts w:eastAsia="Times New Roman" w:cs="Times New Roman"/>
          <w:i/>
          <w:color w:val="auto"/>
          <w:sz w:val="24"/>
          <w:szCs w:val="24"/>
        </w:rPr>
        <w:t>ustawy dnia 21 grudnia 2000 r. o żegludze śródlądowej</w:t>
      </w:r>
      <w:r w:rsidR="00697708" w:rsidRPr="00697708">
        <w:rPr>
          <w:rFonts w:eastAsia="Times New Roman" w:cs="Times New Roman"/>
          <w:color w:val="auto"/>
          <w:sz w:val="24"/>
          <w:szCs w:val="24"/>
        </w:rPr>
        <w:t>, w jej obecnym brzmieniu. Wskazać należy, że głów</w:t>
      </w:r>
      <w:r w:rsidR="00FA5992">
        <w:rPr>
          <w:rFonts w:eastAsia="Times New Roman" w:cs="Times New Roman"/>
          <w:color w:val="auto"/>
          <w:sz w:val="24"/>
          <w:szCs w:val="24"/>
        </w:rPr>
        <w:t>nym aktem wdrażającym dyrektywy</w:t>
      </w:r>
      <w:r w:rsidR="00697708" w:rsidRPr="00697708">
        <w:rPr>
          <w:rFonts w:eastAsia="Times New Roman" w:cs="Times New Roman"/>
          <w:color w:val="auto"/>
          <w:sz w:val="24"/>
          <w:szCs w:val="24"/>
        </w:rPr>
        <w:t xml:space="preserve"> wymie</w:t>
      </w:r>
      <w:r w:rsidR="00FA5992">
        <w:rPr>
          <w:rFonts w:eastAsia="Times New Roman" w:cs="Times New Roman"/>
          <w:color w:val="auto"/>
          <w:sz w:val="24"/>
          <w:szCs w:val="24"/>
        </w:rPr>
        <w:t>nione w pkt 1 niniejszej opinii</w:t>
      </w:r>
      <w:r w:rsidR="00697708" w:rsidRPr="00697708">
        <w:rPr>
          <w:rFonts w:eastAsia="Times New Roman" w:cs="Times New Roman"/>
          <w:color w:val="auto"/>
          <w:sz w:val="24"/>
          <w:szCs w:val="24"/>
        </w:rPr>
        <w:t xml:space="preserve"> jest projektowana ustawa o zmianie ustawy o żegludze śródlądowej. W</w:t>
      </w:r>
      <w:r w:rsidR="004D7C89">
        <w:rPr>
          <w:rFonts w:eastAsia="Times New Roman" w:cs="Times New Roman"/>
          <w:color w:val="auto"/>
          <w:sz w:val="24"/>
          <w:szCs w:val="24"/>
        </w:rPr>
        <w:t> </w:t>
      </w:r>
      <w:r w:rsidR="00697708" w:rsidRPr="00697708">
        <w:rPr>
          <w:rFonts w:eastAsia="Times New Roman" w:cs="Times New Roman"/>
          <w:color w:val="auto"/>
          <w:sz w:val="24"/>
          <w:szCs w:val="24"/>
        </w:rPr>
        <w:t>związku z powyższym należy uzupełnić odnośnik do tytułu projektowanej ustawy zmieniającej informujący</w:t>
      </w:r>
      <w:r w:rsidR="00697708">
        <w:rPr>
          <w:rFonts w:eastAsia="Times New Roman" w:cs="Times New Roman"/>
          <w:color w:val="auto"/>
          <w:sz w:val="24"/>
          <w:szCs w:val="24"/>
        </w:rPr>
        <w:t>, że ustawa w zakresie swojej regulacji wdraża dyrektywy</w:t>
      </w:r>
      <w:r w:rsidR="00E841B2" w:rsidRPr="00697708">
        <w:rPr>
          <w:rFonts w:eastAsia="Times New Roman" w:cs="Times New Roman"/>
          <w:color w:val="auto"/>
          <w:sz w:val="24"/>
          <w:szCs w:val="24"/>
        </w:rPr>
        <w:t xml:space="preserve">. </w:t>
      </w:r>
    </w:p>
    <w:p w:rsidR="00D8008B" w:rsidRDefault="00536BC4" w:rsidP="004D7C89">
      <w:pPr>
        <w:pStyle w:val="Akapitzlist"/>
        <w:numPr>
          <w:ilvl w:val="0"/>
          <w:numId w:val="1"/>
        </w:numPr>
        <w:spacing w:before="120" w:after="120" w:line="240" w:lineRule="auto"/>
        <w:ind w:left="426" w:hanging="56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Z</w:t>
      </w:r>
      <w:r w:rsidR="00D8008B">
        <w:rPr>
          <w:rFonts w:eastAsia="Times New Roman" w:cs="Times New Roman"/>
          <w:color w:val="auto"/>
          <w:sz w:val="24"/>
          <w:szCs w:val="24"/>
        </w:rPr>
        <w:t xml:space="preserve"> projektowanej </w:t>
      </w:r>
      <w:r>
        <w:rPr>
          <w:rFonts w:eastAsia="Times New Roman" w:cs="Times New Roman"/>
          <w:color w:val="auto"/>
          <w:sz w:val="24"/>
          <w:szCs w:val="24"/>
        </w:rPr>
        <w:t>ustawy</w:t>
      </w:r>
      <w:r w:rsidR="00D8008B">
        <w:rPr>
          <w:rFonts w:eastAsia="Times New Roman" w:cs="Times New Roman"/>
          <w:color w:val="auto"/>
          <w:sz w:val="24"/>
          <w:szCs w:val="24"/>
        </w:rPr>
        <w:t xml:space="preserve"> oraz z dołączonej do projektu ustawy tabeli </w:t>
      </w:r>
      <w:r w:rsidR="009A12D1">
        <w:rPr>
          <w:rFonts w:eastAsia="Times New Roman" w:cs="Times New Roman"/>
          <w:color w:val="auto"/>
          <w:sz w:val="24"/>
          <w:szCs w:val="24"/>
        </w:rPr>
        <w:t xml:space="preserve">zgodności </w:t>
      </w:r>
      <w:r w:rsidR="00D8008B">
        <w:rPr>
          <w:rFonts w:eastAsia="Times New Roman" w:cs="Times New Roman"/>
          <w:color w:val="auto"/>
          <w:sz w:val="24"/>
          <w:szCs w:val="24"/>
        </w:rPr>
        <w:t>wynika, że część przepisów dyrektywy zostanie wdrożona w aktach wykonawczych.</w:t>
      </w:r>
      <w:r>
        <w:rPr>
          <w:rFonts w:eastAsia="Times New Roman" w:cs="Times New Roman"/>
          <w:color w:val="auto"/>
          <w:sz w:val="24"/>
          <w:szCs w:val="24"/>
        </w:rPr>
        <w:t xml:space="preserve"> W dołączonej do projektu ustawy tabeli z</w:t>
      </w:r>
      <w:r w:rsidR="009A12D1">
        <w:rPr>
          <w:rFonts w:eastAsia="Times New Roman" w:cs="Times New Roman"/>
          <w:color w:val="auto"/>
          <w:sz w:val="24"/>
          <w:szCs w:val="24"/>
        </w:rPr>
        <w:t>godności</w:t>
      </w:r>
      <w:r>
        <w:rPr>
          <w:rFonts w:eastAsia="Times New Roman" w:cs="Times New Roman"/>
          <w:color w:val="auto"/>
          <w:sz w:val="24"/>
          <w:szCs w:val="24"/>
        </w:rPr>
        <w:t xml:space="preserve"> nie wskazano jednak tytułów projektowanych rozporządzeń ani treści ich przepisów, które wdrażałyby odpowiednie przepisy dyrektywy. </w:t>
      </w:r>
      <w:r w:rsidR="009A12D1">
        <w:rPr>
          <w:rFonts w:eastAsia="Times New Roman" w:cs="Times New Roman"/>
          <w:color w:val="auto"/>
          <w:sz w:val="24"/>
          <w:szCs w:val="24"/>
        </w:rPr>
        <w:t>Brak przywołania brzmienia projektowanych przepisów aktów wykonawczych utrudnia analizę kompletności i prawidłowości transpozycji dyrektywy. W związku z</w:t>
      </w:r>
      <w:r w:rsidR="004D7C89">
        <w:rPr>
          <w:rFonts w:eastAsia="Times New Roman" w:cs="Times New Roman"/>
          <w:color w:val="auto"/>
          <w:sz w:val="24"/>
          <w:szCs w:val="24"/>
        </w:rPr>
        <w:t> </w:t>
      </w:r>
      <w:r w:rsidR="009A12D1">
        <w:rPr>
          <w:rFonts w:eastAsia="Times New Roman" w:cs="Times New Roman"/>
          <w:color w:val="auto"/>
          <w:sz w:val="24"/>
          <w:szCs w:val="24"/>
        </w:rPr>
        <w:t>powyższym tabela zgodności wymaga uzupełnienia.</w:t>
      </w:r>
    </w:p>
    <w:p w:rsidR="00697708" w:rsidRDefault="00323038" w:rsidP="004D7C89">
      <w:pPr>
        <w:pStyle w:val="Akapitzlist"/>
        <w:numPr>
          <w:ilvl w:val="0"/>
          <w:numId w:val="1"/>
        </w:numPr>
        <w:spacing w:before="120" w:after="120" w:line="240" w:lineRule="auto"/>
        <w:ind w:left="426" w:hanging="56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1B2CE3">
        <w:rPr>
          <w:rFonts w:eastAsia="Times New Roman" w:cs="Times New Roman"/>
          <w:color w:val="auto"/>
          <w:sz w:val="24"/>
          <w:szCs w:val="24"/>
        </w:rPr>
        <w:t xml:space="preserve">Niezależnie od powyższych uwag, w związku z upływem </w:t>
      </w:r>
      <w:r w:rsidR="00D8008B" w:rsidRPr="00D8008B">
        <w:rPr>
          <w:rFonts w:eastAsia="Times New Roman" w:cs="Times New Roman"/>
          <w:color w:val="auto"/>
          <w:sz w:val="24"/>
          <w:szCs w:val="24"/>
        </w:rPr>
        <w:t xml:space="preserve">17 stycznia 2022 r. </w:t>
      </w:r>
      <w:r w:rsidRPr="001B2CE3">
        <w:rPr>
          <w:rFonts w:eastAsia="Times New Roman" w:cs="Times New Roman"/>
          <w:color w:val="auto"/>
          <w:sz w:val="24"/>
          <w:szCs w:val="24"/>
        </w:rPr>
        <w:t xml:space="preserve">terminu transpozycji </w:t>
      </w:r>
      <w:r w:rsidR="001B2CE3" w:rsidRPr="00697708">
        <w:rPr>
          <w:rFonts w:eastAsia="Times New Roman" w:cs="Times New Roman"/>
          <w:color w:val="auto"/>
          <w:sz w:val="24"/>
          <w:szCs w:val="24"/>
        </w:rPr>
        <w:t>dyrektywy Parlamentu Europejskiego</w:t>
      </w:r>
      <w:r w:rsidR="001B2CE3" w:rsidRPr="001B2CE3">
        <w:rPr>
          <w:rFonts w:eastAsia="Times New Roman" w:cs="Times New Roman"/>
          <w:i/>
          <w:color w:val="auto"/>
          <w:sz w:val="24"/>
          <w:szCs w:val="24"/>
        </w:rPr>
        <w:t xml:space="preserve"> i Rady (UE) 2017/2397 w sprawie uznawania kwalifikacji zawodowych w żegludze śródlądowej</w:t>
      </w:r>
      <w:r w:rsidR="001B2CE3" w:rsidRPr="001B2CE3">
        <w:rPr>
          <w:rFonts w:eastAsia="Times New Roman" w:cs="Times New Roman"/>
          <w:color w:val="auto"/>
          <w:sz w:val="24"/>
          <w:szCs w:val="24"/>
        </w:rPr>
        <w:t>,</w:t>
      </w:r>
      <w:r w:rsidR="001B2CE3" w:rsidRPr="001B2CE3">
        <w:rPr>
          <w:rFonts w:eastAsia="Times New Roman" w:cs="Times New Roman"/>
          <w:i/>
          <w:color w:val="auto"/>
          <w:sz w:val="24"/>
          <w:szCs w:val="24"/>
        </w:rPr>
        <w:t xml:space="preserve"> dyrektywy delegowanej Komisji (UE) 2020/12 uzupełniającej dyrektywę Parlamentu Europejskiego i Rady (UE) 2017/2397 w odniesieniu do standardów dotyczących: kompetencji oraz odpowiadających im wiedzy i umiejętności, egzaminów praktycznych, zatwierdzania symulatorów oraz stanu zdrowia </w:t>
      </w:r>
      <w:r w:rsidR="001B2CE3" w:rsidRPr="001B2CE3">
        <w:rPr>
          <w:rFonts w:eastAsia="Times New Roman" w:cs="Times New Roman"/>
          <w:color w:val="auto"/>
          <w:sz w:val="24"/>
          <w:szCs w:val="24"/>
        </w:rPr>
        <w:t xml:space="preserve">oraz </w:t>
      </w:r>
      <w:r w:rsidR="001B2CE3" w:rsidRPr="001B2CE3">
        <w:rPr>
          <w:rFonts w:eastAsia="Times New Roman" w:cs="Times New Roman"/>
          <w:i/>
          <w:color w:val="auto"/>
          <w:sz w:val="24"/>
          <w:szCs w:val="24"/>
        </w:rPr>
        <w:t>dyrektywy Parlamentu Europejskiego i Rady (UE) 2021/1233 w sprawie zmiany dyrektywy (UE) 2017/2397 w odniesieniu do środków przejściowych dotyczących uznawania świadectw wydanych przez państwa trzecie</w:t>
      </w:r>
      <w:r w:rsidR="001B2CE3" w:rsidRPr="001B2CE3">
        <w:rPr>
          <w:rFonts w:eastAsia="Times New Roman" w:cs="Times New Roman"/>
          <w:color w:val="auto"/>
          <w:sz w:val="24"/>
          <w:szCs w:val="24"/>
        </w:rPr>
        <w:t xml:space="preserve"> oraz</w:t>
      </w:r>
      <w:r w:rsidR="00FA5992">
        <w:rPr>
          <w:rFonts w:eastAsia="Times New Roman" w:cs="Times New Roman"/>
          <w:color w:val="auto"/>
          <w:sz w:val="24"/>
          <w:szCs w:val="24"/>
        </w:rPr>
        <w:t> </w:t>
      </w:r>
      <w:r w:rsidR="001B2CE3" w:rsidRPr="001B2CE3">
        <w:rPr>
          <w:rFonts w:eastAsia="Times New Roman" w:cs="Times New Roman"/>
          <w:color w:val="auto"/>
          <w:sz w:val="24"/>
          <w:szCs w:val="24"/>
        </w:rPr>
        <w:t>wszczęciem przez Komisję Europejską post</w:t>
      </w:r>
      <w:r w:rsidR="00514838">
        <w:rPr>
          <w:rFonts w:eastAsia="Times New Roman" w:cs="Times New Roman"/>
          <w:color w:val="auto"/>
          <w:sz w:val="24"/>
          <w:szCs w:val="24"/>
        </w:rPr>
        <w:t>ę</w:t>
      </w:r>
      <w:r w:rsidR="001B2CE3" w:rsidRPr="001B2CE3">
        <w:rPr>
          <w:rFonts w:eastAsia="Times New Roman" w:cs="Times New Roman"/>
          <w:color w:val="auto"/>
          <w:sz w:val="24"/>
          <w:szCs w:val="24"/>
        </w:rPr>
        <w:t>powania formalnego w związku z</w:t>
      </w:r>
      <w:r w:rsidR="00FA5992">
        <w:rPr>
          <w:rFonts w:eastAsia="Times New Roman" w:cs="Times New Roman"/>
          <w:color w:val="auto"/>
          <w:sz w:val="24"/>
          <w:szCs w:val="24"/>
        </w:rPr>
        <w:t> </w:t>
      </w:r>
      <w:r w:rsidR="001B2CE3" w:rsidRPr="001B2CE3">
        <w:rPr>
          <w:rFonts w:eastAsia="Times New Roman" w:cs="Times New Roman"/>
          <w:color w:val="auto"/>
          <w:sz w:val="24"/>
          <w:szCs w:val="24"/>
        </w:rPr>
        <w:t xml:space="preserve">brakiem powiadomienia o środkach przyjętych w celu ich transpozycji </w:t>
      </w:r>
      <w:r w:rsidRPr="001B2CE3">
        <w:rPr>
          <w:rFonts w:eastAsia="Times New Roman" w:cs="Times New Roman"/>
          <w:color w:val="auto"/>
          <w:sz w:val="24"/>
          <w:szCs w:val="24"/>
        </w:rPr>
        <w:t>zwracam uwagę na</w:t>
      </w:r>
      <w:r w:rsidR="004D7C89">
        <w:rPr>
          <w:rFonts w:eastAsia="Times New Roman" w:cs="Times New Roman"/>
          <w:color w:val="auto"/>
          <w:sz w:val="24"/>
          <w:szCs w:val="24"/>
        </w:rPr>
        <w:t> </w:t>
      </w:r>
      <w:r w:rsidRPr="001B2CE3">
        <w:rPr>
          <w:rFonts w:eastAsia="Times New Roman" w:cs="Times New Roman"/>
          <w:color w:val="auto"/>
          <w:sz w:val="24"/>
          <w:szCs w:val="24"/>
        </w:rPr>
        <w:t>konieczność pilnego prowadzenia prac nad projektem ustawy.</w:t>
      </w:r>
    </w:p>
    <w:p w:rsidR="001B2CE3" w:rsidRPr="00697708" w:rsidRDefault="001B2CE3" w:rsidP="004D7C89">
      <w:pPr>
        <w:pStyle w:val="Akapitzlist"/>
        <w:numPr>
          <w:ilvl w:val="0"/>
          <w:numId w:val="1"/>
        </w:numPr>
        <w:spacing w:before="120" w:after="120" w:line="240" w:lineRule="auto"/>
        <w:ind w:left="426" w:hanging="56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697708">
        <w:rPr>
          <w:rFonts w:eastAsia="Times New Roman" w:cs="Times New Roman"/>
          <w:color w:val="auto"/>
          <w:sz w:val="24"/>
          <w:szCs w:val="24"/>
        </w:rPr>
        <w:t xml:space="preserve">Szczegółowe uwagi do dołączonej do projektowanej ustawy tabeli zgodności </w:t>
      </w:r>
      <w:r w:rsidR="00396090" w:rsidRPr="00697708">
        <w:rPr>
          <w:rFonts w:eastAsia="Times New Roman" w:cs="Times New Roman"/>
          <w:color w:val="auto"/>
          <w:sz w:val="24"/>
          <w:szCs w:val="24"/>
        </w:rPr>
        <w:t>zostaną</w:t>
      </w:r>
      <w:r w:rsidRPr="00697708">
        <w:rPr>
          <w:rFonts w:eastAsia="Times New Roman" w:cs="Times New Roman"/>
          <w:color w:val="auto"/>
          <w:sz w:val="24"/>
          <w:szCs w:val="24"/>
        </w:rPr>
        <w:t xml:space="preserve"> przekazane </w:t>
      </w:r>
      <w:r w:rsidR="00697708">
        <w:rPr>
          <w:rFonts w:eastAsia="Times New Roman" w:cs="Times New Roman"/>
          <w:color w:val="auto"/>
          <w:sz w:val="24"/>
          <w:szCs w:val="24"/>
        </w:rPr>
        <w:t>Ministerstw</w:t>
      </w:r>
      <w:r w:rsidR="00810529">
        <w:rPr>
          <w:rFonts w:eastAsia="Times New Roman" w:cs="Times New Roman"/>
          <w:color w:val="auto"/>
          <w:sz w:val="24"/>
          <w:szCs w:val="24"/>
        </w:rPr>
        <w:t>u</w:t>
      </w:r>
      <w:r w:rsidR="00697708">
        <w:rPr>
          <w:rFonts w:eastAsia="Times New Roman" w:cs="Times New Roman"/>
          <w:color w:val="auto"/>
          <w:sz w:val="24"/>
          <w:szCs w:val="24"/>
        </w:rPr>
        <w:t xml:space="preserve"> Infrastruktury </w:t>
      </w:r>
      <w:r w:rsidRPr="00697708">
        <w:rPr>
          <w:rFonts w:eastAsia="Times New Roman" w:cs="Times New Roman"/>
          <w:color w:val="auto"/>
          <w:sz w:val="24"/>
          <w:szCs w:val="24"/>
        </w:rPr>
        <w:t>w trybie roboczym.</w:t>
      </w:r>
    </w:p>
    <w:p w:rsidR="00403924" w:rsidRPr="00323038" w:rsidRDefault="00403924" w:rsidP="009B1ED8">
      <w:pPr>
        <w:spacing w:after="120" w:line="240" w:lineRule="auto"/>
        <w:ind w:left="-426" w:firstLine="284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:rsidR="00B9144F" w:rsidRPr="00323038" w:rsidRDefault="00B9144F" w:rsidP="00E841B2">
      <w:pPr>
        <w:spacing w:after="120" w:line="240" w:lineRule="auto"/>
        <w:ind w:left="-284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323038">
        <w:rPr>
          <w:rFonts w:eastAsia="Times New Roman" w:cs="Times New Roman"/>
          <w:b/>
          <w:color w:val="auto"/>
          <w:sz w:val="24"/>
          <w:szCs w:val="24"/>
        </w:rPr>
        <w:t xml:space="preserve">Projekt </w:t>
      </w:r>
      <w:r w:rsidR="00E841B2" w:rsidRPr="00323038">
        <w:rPr>
          <w:rFonts w:eastAsia="Times New Roman" w:cs="Times New Roman"/>
          <w:b/>
          <w:color w:val="auto"/>
          <w:sz w:val="24"/>
          <w:szCs w:val="24"/>
        </w:rPr>
        <w:t>ustawy, z zastrzeżeniem uwag zgłoszonych w niniejszej opinii, jest zgodny</w:t>
      </w:r>
      <w:r w:rsidRPr="00323038">
        <w:rPr>
          <w:rFonts w:eastAsia="Times New Roman" w:cs="Times New Roman"/>
          <w:b/>
          <w:color w:val="auto"/>
          <w:sz w:val="24"/>
          <w:szCs w:val="24"/>
        </w:rPr>
        <w:t xml:space="preserve"> z prawem Unii Europejskiej.</w:t>
      </w:r>
    </w:p>
    <w:p w:rsidR="00A06ED0" w:rsidRPr="00323038" w:rsidRDefault="00A06ED0" w:rsidP="00A06ED0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Cs w:val="24"/>
          <w:lang w:eastAsia="en-US"/>
        </w:rPr>
      </w:pPr>
      <w:r w:rsidRPr="00323038">
        <w:rPr>
          <w:rFonts w:asciiTheme="minorHAnsi" w:eastAsiaTheme="minorHAnsi" w:hAnsiTheme="minorHAnsi"/>
          <w:i/>
          <w:szCs w:val="24"/>
          <w:lang w:eastAsia="en-US"/>
        </w:rPr>
        <w:t>Z poważaniem</w:t>
      </w:r>
    </w:p>
    <w:p w:rsidR="00A06ED0" w:rsidRPr="00323038" w:rsidRDefault="00A06ED0" w:rsidP="00A06ED0">
      <w:pPr>
        <w:spacing w:after="0" w:line="360" w:lineRule="auto"/>
        <w:ind w:left="3544"/>
        <w:jc w:val="center"/>
        <w:rPr>
          <w:sz w:val="24"/>
          <w:szCs w:val="24"/>
        </w:rPr>
      </w:pPr>
      <w:r w:rsidRPr="00323038">
        <w:rPr>
          <w:sz w:val="24"/>
          <w:szCs w:val="24"/>
        </w:rPr>
        <w:t>Konrad Szymański</w:t>
      </w:r>
    </w:p>
    <w:p w:rsidR="00A06ED0" w:rsidRPr="00323038" w:rsidRDefault="00A06ED0" w:rsidP="00A06ED0">
      <w:pPr>
        <w:spacing w:after="0" w:line="360" w:lineRule="auto"/>
        <w:ind w:left="3544"/>
        <w:jc w:val="center"/>
        <w:rPr>
          <w:sz w:val="24"/>
          <w:szCs w:val="24"/>
        </w:rPr>
      </w:pPr>
      <w:r w:rsidRPr="00323038">
        <w:rPr>
          <w:sz w:val="24"/>
          <w:szCs w:val="24"/>
        </w:rPr>
        <w:t>Minister do Spraw Unii Europejskiej</w:t>
      </w:r>
    </w:p>
    <w:p w:rsidR="00B9144F" w:rsidRPr="00BF3DD0" w:rsidRDefault="00A06ED0" w:rsidP="009D2A88">
      <w:pPr>
        <w:spacing w:after="0" w:line="360" w:lineRule="auto"/>
        <w:ind w:left="3544"/>
        <w:jc w:val="center"/>
        <w:rPr>
          <w:rFonts w:asciiTheme="minorHAnsi" w:hAnsiTheme="minorHAnsi"/>
          <w:i/>
          <w:iCs/>
          <w:sz w:val="24"/>
          <w:szCs w:val="24"/>
        </w:rPr>
      </w:pPr>
      <w:r w:rsidRPr="00323038">
        <w:rPr>
          <w:i/>
          <w:sz w:val="24"/>
          <w:szCs w:val="24"/>
        </w:rPr>
        <w:t>/podpisano kwalifikowanym podpisem elektronicznym/</w:t>
      </w:r>
    </w:p>
    <w:p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p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sectPr w:rsidR="00B268D2" w:rsidSect="00B023D5">
      <w:headerReference w:type="default" r:id="rId9"/>
      <w:footerReference w:type="default" r:id="rId10"/>
      <w:pgSz w:w="11906" w:h="16838"/>
      <w:pgMar w:top="674" w:right="1440" w:bottom="1276" w:left="144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4D6" w:rsidRDefault="004C44D6" w:rsidP="00884D92">
      <w:pPr>
        <w:spacing w:after="0" w:line="240" w:lineRule="auto"/>
      </w:pPr>
      <w:r>
        <w:separator/>
      </w:r>
    </w:p>
  </w:endnote>
  <w:endnote w:type="continuationSeparator" w:id="0">
    <w:p w:rsidR="004C44D6" w:rsidRDefault="004C44D6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0561971"/>
      <w:docPartObj>
        <w:docPartGallery w:val="Page Numbers (Bottom of Page)"/>
        <w:docPartUnique/>
      </w:docPartObj>
    </w:sdtPr>
    <w:sdtEndPr/>
    <w:sdtContent>
      <w:p w:rsidR="00B023D5" w:rsidRDefault="00B023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439">
          <w:rPr>
            <w:noProof/>
          </w:rPr>
          <w:t>2</w:t>
        </w:r>
        <w:r>
          <w:fldChar w:fldCharType="end"/>
        </w:r>
      </w:p>
    </w:sdtContent>
  </w:sdt>
  <w:p w:rsidR="00B023D5" w:rsidRDefault="00B023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4D6" w:rsidRDefault="004C44D6" w:rsidP="00884D92">
      <w:pPr>
        <w:spacing w:after="0" w:line="240" w:lineRule="auto"/>
      </w:pPr>
      <w:r>
        <w:separator/>
      </w:r>
    </w:p>
  </w:footnote>
  <w:footnote w:type="continuationSeparator" w:id="0">
    <w:p w:rsidR="004C44D6" w:rsidRDefault="004C44D6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C3D44"/>
    <w:multiLevelType w:val="hybridMultilevel"/>
    <w:tmpl w:val="70889D3C"/>
    <w:lvl w:ilvl="0" w:tplc="70D638E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9194F"/>
    <w:multiLevelType w:val="hybridMultilevel"/>
    <w:tmpl w:val="ABF8DBB4"/>
    <w:lvl w:ilvl="0" w:tplc="231650B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10D56"/>
    <w:rsid w:val="0002710A"/>
    <w:rsid w:val="000377A0"/>
    <w:rsid w:val="00044ED8"/>
    <w:rsid w:val="00046101"/>
    <w:rsid w:val="00093E85"/>
    <w:rsid w:val="000962FC"/>
    <w:rsid w:val="000A799C"/>
    <w:rsid w:val="000B641D"/>
    <w:rsid w:val="000B7445"/>
    <w:rsid w:val="000E2783"/>
    <w:rsid w:val="001320A7"/>
    <w:rsid w:val="00176232"/>
    <w:rsid w:val="00177D55"/>
    <w:rsid w:val="001B2CE3"/>
    <w:rsid w:val="001B7D3C"/>
    <w:rsid w:val="001E3DB4"/>
    <w:rsid w:val="00235D65"/>
    <w:rsid w:val="00240171"/>
    <w:rsid w:val="00251063"/>
    <w:rsid w:val="0027082C"/>
    <w:rsid w:val="0029337C"/>
    <w:rsid w:val="002A55E2"/>
    <w:rsid w:val="002A7CF4"/>
    <w:rsid w:val="002C256D"/>
    <w:rsid w:val="002F4B4F"/>
    <w:rsid w:val="00321435"/>
    <w:rsid w:val="00323038"/>
    <w:rsid w:val="00341021"/>
    <w:rsid w:val="0036308D"/>
    <w:rsid w:val="00364F62"/>
    <w:rsid w:val="00396090"/>
    <w:rsid w:val="003B70E6"/>
    <w:rsid w:val="00403924"/>
    <w:rsid w:val="00403F31"/>
    <w:rsid w:val="00427A5C"/>
    <w:rsid w:val="00432F78"/>
    <w:rsid w:val="00473DEB"/>
    <w:rsid w:val="00476217"/>
    <w:rsid w:val="004C44D6"/>
    <w:rsid w:val="004D7C89"/>
    <w:rsid w:val="004E439F"/>
    <w:rsid w:val="00514838"/>
    <w:rsid w:val="00536BC4"/>
    <w:rsid w:val="005617F0"/>
    <w:rsid w:val="00582055"/>
    <w:rsid w:val="00584D5D"/>
    <w:rsid w:val="005B0E75"/>
    <w:rsid w:val="005B41A3"/>
    <w:rsid w:val="005E783E"/>
    <w:rsid w:val="005F2EC7"/>
    <w:rsid w:val="0060554A"/>
    <w:rsid w:val="00631ABF"/>
    <w:rsid w:val="00650EDA"/>
    <w:rsid w:val="00697708"/>
    <w:rsid w:val="006E3C33"/>
    <w:rsid w:val="006E632E"/>
    <w:rsid w:val="006F76FB"/>
    <w:rsid w:val="0070717E"/>
    <w:rsid w:val="00754221"/>
    <w:rsid w:val="00790C3D"/>
    <w:rsid w:val="007B51D7"/>
    <w:rsid w:val="00810529"/>
    <w:rsid w:val="0086668D"/>
    <w:rsid w:val="00884D92"/>
    <w:rsid w:val="00895A40"/>
    <w:rsid w:val="00923439"/>
    <w:rsid w:val="009275C7"/>
    <w:rsid w:val="0095492C"/>
    <w:rsid w:val="0095520A"/>
    <w:rsid w:val="0096349E"/>
    <w:rsid w:val="00996089"/>
    <w:rsid w:val="009A12D1"/>
    <w:rsid w:val="009B1ED8"/>
    <w:rsid w:val="009D2A88"/>
    <w:rsid w:val="00A06ED0"/>
    <w:rsid w:val="00A60782"/>
    <w:rsid w:val="00A72014"/>
    <w:rsid w:val="00A7293D"/>
    <w:rsid w:val="00A85499"/>
    <w:rsid w:val="00A90330"/>
    <w:rsid w:val="00A94445"/>
    <w:rsid w:val="00B023D5"/>
    <w:rsid w:val="00B12C87"/>
    <w:rsid w:val="00B16EED"/>
    <w:rsid w:val="00B268D2"/>
    <w:rsid w:val="00B31523"/>
    <w:rsid w:val="00B55A8E"/>
    <w:rsid w:val="00B9144F"/>
    <w:rsid w:val="00BB358F"/>
    <w:rsid w:val="00BC20BD"/>
    <w:rsid w:val="00BD2E1E"/>
    <w:rsid w:val="00BF3DD0"/>
    <w:rsid w:val="00C02B19"/>
    <w:rsid w:val="00C226DB"/>
    <w:rsid w:val="00C26D76"/>
    <w:rsid w:val="00C83837"/>
    <w:rsid w:val="00C84CA0"/>
    <w:rsid w:val="00C84FC5"/>
    <w:rsid w:val="00C9361B"/>
    <w:rsid w:val="00CB4E38"/>
    <w:rsid w:val="00CC223B"/>
    <w:rsid w:val="00D041C9"/>
    <w:rsid w:val="00D211CD"/>
    <w:rsid w:val="00D41BFF"/>
    <w:rsid w:val="00D61199"/>
    <w:rsid w:val="00D6409C"/>
    <w:rsid w:val="00D8008B"/>
    <w:rsid w:val="00D93A57"/>
    <w:rsid w:val="00D9476B"/>
    <w:rsid w:val="00D95938"/>
    <w:rsid w:val="00DA79F0"/>
    <w:rsid w:val="00DD1C5F"/>
    <w:rsid w:val="00DE0BBD"/>
    <w:rsid w:val="00E039D2"/>
    <w:rsid w:val="00E13AD7"/>
    <w:rsid w:val="00E23D0D"/>
    <w:rsid w:val="00E34EE9"/>
    <w:rsid w:val="00E5078F"/>
    <w:rsid w:val="00E841B2"/>
    <w:rsid w:val="00E944DE"/>
    <w:rsid w:val="00EB404A"/>
    <w:rsid w:val="00EC3A43"/>
    <w:rsid w:val="00ED1491"/>
    <w:rsid w:val="00EF62A9"/>
    <w:rsid w:val="00F277C1"/>
    <w:rsid w:val="00F30313"/>
    <w:rsid w:val="00F51E7E"/>
    <w:rsid w:val="00F703F3"/>
    <w:rsid w:val="00F8161E"/>
    <w:rsid w:val="00F83F19"/>
    <w:rsid w:val="00F94A9B"/>
    <w:rsid w:val="00FA5992"/>
    <w:rsid w:val="00FA6F38"/>
    <w:rsid w:val="00FB209C"/>
    <w:rsid w:val="00FD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13634C5-272C-4696-8708-2900C6B7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EC3A4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61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61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610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61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610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B5EFE-5BD8-4BFD-B678-43E8E647B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Ratkowska Aneta</dc:creator>
  <cp:lastModifiedBy>Marczak-Redecka Joanna</cp:lastModifiedBy>
  <cp:revision>2</cp:revision>
  <cp:lastPrinted>2020-03-11T08:16:00Z</cp:lastPrinted>
  <dcterms:created xsi:type="dcterms:W3CDTF">2022-09-15T07:03:00Z</dcterms:created>
  <dcterms:modified xsi:type="dcterms:W3CDTF">2022-09-15T07:03:00Z</dcterms:modified>
</cp:coreProperties>
</file>