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3EC408B0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B5382A">
        <w:rPr>
          <w:rFonts w:ascii="Arial" w:hAnsi="Arial" w:cs="Arial"/>
          <w:b/>
          <w:bCs/>
          <w:szCs w:val="24"/>
        </w:rPr>
        <w:t>4</w:t>
      </w:r>
      <w:r w:rsidR="0094004E">
        <w:rPr>
          <w:rFonts w:ascii="Arial" w:hAnsi="Arial" w:cs="Arial"/>
          <w:b/>
          <w:bCs/>
          <w:szCs w:val="24"/>
        </w:rPr>
        <w:t>a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77777777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77777777" w:rsidR="008D4B6C" w:rsidRPr="00B5382A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18"/>
          <w:szCs w:val="18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„Ekspertyza określająca utrzymanie właściwego stanu siedliska chronionych gatunków roślin” finansowanego ze środków Narodowego Funduszu Ochrony Środowiska i Gospodarki Wodnej.</w:t>
      </w:r>
    </w:p>
    <w:p w14:paraId="36D6886A" w14:textId="77777777" w:rsidR="00B92B70" w:rsidRPr="00B5382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7A07B544" w:rsidR="001070F1" w:rsidRPr="006235E6" w:rsidRDefault="00256B2B" w:rsidP="006235E6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235E6">
        <w:rPr>
          <w:rFonts w:ascii="Arial" w:hAnsi="Arial" w:cs="Arial"/>
          <w:sz w:val="22"/>
          <w:szCs w:val="22"/>
        </w:rPr>
        <w:t>Zamawiający zleca a Wy</w:t>
      </w:r>
      <w:r w:rsidR="009B4A3B" w:rsidRPr="006235E6">
        <w:rPr>
          <w:rFonts w:ascii="Arial" w:hAnsi="Arial" w:cs="Arial"/>
          <w:sz w:val="22"/>
          <w:szCs w:val="22"/>
        </w:rPr>
        <w:t xml:space="preserve">konawca zobowiązuje się </w:t>
      </w:r>
      <w:r w:rsidR="009C5D33" w:rsidRPr="006235E6">
        <w:rPr>
          <w:rFonts w:ascii="Arial" w:hAnsi="Arial" w:cs="Arial"/>
          <w:sz w:val="22"/>
          <w:szCs w:val="22"/>
          <w:lang w:eastAsia="pl-PL"/>
        </w:rPr>
        <w:t>wykonać</w:t>
      </w:r>
      <w:r w:rsidR="00802B1F" w:rsidRPr="006235E6">
        <w:rPr>
          <w:rFonts w:ascii="Arial" w:hAnsi="Arial" w:cs="Arial"/>
          <w:sz w:val="22"/>
          <w:szCs w:val="22"/>
        </w:rPr>
        <w:t xml:space="preserve"> </w:t>
      </w:r>
      <w:r w:rsidR="006235E6" w:rsidRPr="006235E6">
        <w:rPr>
          <w:rFonts w:ascii="Arial" w:hAnsi="Arial" w:cs="Arial"/>
          <w:sz w:val="22"/>
          <w:szCs w:val="22"/>
        </w:rPr>
        <w:t>usługa polegają</w:t>
      </w:r>
      <w:r w:rsidR="006235E6">
        <w:rPr>
          <w:rFonts w:ascii="Arial" w:hAnsi="Arial" w:cs="Arial"/>
          <w:sz w:val="22"/>
          <w:szCs w:val="22"/>
        </w:rPr>
        <w:t>cą</w:t>
      </w:r>
      <w:r w:rsidR="006235E6" w:rsidRPr="006235E6">
        <w:rPr>
          <w:rFonts w:ascii="Arial" w:hAnsi="Arial" w:cs="Arial"/>
          <w:sz w:val="22"/>
          <w:szCs w:val="22"/>
        </w:rPr>
        <w:t xml:space="preserve"> na wykonaniu prac na potrzeby opracowania ekspertyzy określającej wpływ działań Nadleśnictwa Rozwadów przeprowadzonych na terenie zlokalizowanym w m. Kotowa Wola, gm. Zaleszany, powiat stalowowolski, woj. podkarpackie, na osiągnięcie lub utrzymanie właściwego stanu ochrony gatunków chronionych roślin – mieczyka dachówkowatego (Gladiolus imbricatus) oraz bobrka trójlistkowego (Menyanthes trifoliata) oraz wskazującej ewentualną konieczność podjęcia działań naprawczych i ich zakres.</w:t>
      </w:r>
    </w:p>
    <w:p w14:paraId="42B06A01" w14:textId="0A758403" w:rsidR="00561AEB" w:rsidRPr="00B5382A" w:rsidRDefault="00256B2B" w:rsidP="006235E6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1C2B8E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5382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5382A">
        <w:rPr>
          <w:rFonts w:ascii="Arial" w:hAnsi="Arial" w:cs="Arial"/>
          <w:sz w:val="22"/>
          <w:szCs w:val="22"/>
        </w:rPr>
        <w:t>załącznikiem nr 1</w:t>
      </w:r>
      <w:r w:rsidR="006235E6">
        <w:rPr>
          <w:rFonts w:ascii="Arial" w:hAnsi="Arial" w:cs="Arial"/>
          <w:sz w:val="22"/>
          <w:szCs w:val="22"/>
        </w:rPr>
        <w:t>a</w:t>
      </w:r>
      <w:r w:rsidR="0063726B" w:rsidRPr="00B5382A">
        <w:rPr>
          <w:rFonts w:ascii="Arial" w:hAnsi="Arial" w:cs="Arial"/>
          <w:sz w:val="22"/>
          <w:szCs w:val="22"/>
        </w:rPr>
        <w:t xml:space="preserve"> do zapytania ofertowego - </w:t>
      </w:r>
      <w:r w:rsidR="0077705A" w:rsidRPr="00B5382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5382A">
        <w:rPr>
          <w:rFonts w:ascii="Arial" w:hAnsi="Arial" w:cs="Arial"/>
          <w:sz w:val="22"/>
          <w:szCs w:val="22"/>
        </w:rPr>
        <w:t>a</w:t>
      </w:r>
      <w:r w:rsidR="001C2B8E">
        <w:rPr>
          <w:rFonts w:ascii="Arial" w:hAnsi="Arial" w:cs="Arial"/>
          <w:sz w:val="22"/>
          <w:szCs w:val="22"/>
        </w:rPr>
        <w:t xml:space="preserve"> cz</w:t>
      </w:r>
      <w:r w:rsidR="002C517B">
        <w:rPr>
          <w:rFonts w:ascii="Arial" w:hAnsi="Arial" w:cs="Arial"/>
          <w:sz w:val="22"/>
          <w:szCs w:val="22"/>
        </w:rPr>
        <w:t>ęści</w:t>
      </w:r>
      <w:r w:rsidR="001C2B8E">
        <w:rPr>
          <w:rFonts w:ascii="Arial" w:hAnsi="Arial" w:cs="Arial"/>
          <w:sz w:val="22"/>
          <w:szCs w:val="22"/>
        </w:rPr>
        <w:t xml:space="preserve"> I </w:t>
      </w:r>
      <w:r w:rsidRPr="00B5382A">
        <w:rPr>
          <w:rFonts w:ascii="Arial" w:hAnsi="Arial" w:cs="Arial"/>
          <w:sz w:val="22"/>
          <w:szCs w:val="22"/>
        </w:rPr>
        <w:t>oraz aktami prawnymi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5382A">
        <w:rPr>
          <w:rFonts w:ascii="Arial" w:hAnsi="Arial" w:cs="Arial"/>
          <w:sz w:val="22"/>
          <w:szCs w:val="22"/>
        </w:rPr>
        <w:t>umowy</w:t>
      </w:r>
      <w:r w:rsidR="00561AEB" w:rsidRPr="00B5382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59E413F7" w14:textId="6CA946A1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ramach realizacji przedmiotu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wymagana będzie co najmniej jedna wizja terenowa.</w:t>
      </w:r>
    </w:p>
    <w:p w14:paraId="1DDEC83E" w14:textId="77777777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>Wykonawca jest zobowiązany poinformować Zamawiającego o planowanej dacie wizji terenowej co najmniej 10 dni przed tą datą.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mowa w § </w:t>
      </w:r>
      <w:r w:rsidR="006012B7" w:rsidRPr="00B5382A">
        <w:rPr>
          <w:rFonts w:ascii="Arial" w:hAnsi="Arial" w:cs="Arial"/>
          <w:sz w:val="22"/>
          <w:szCs w:val="22"/>
        </w:rPr>
        <w:t>7</w:t>
      </w:r>
      <w:r w:rsidRPr="00B5382A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77777777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współpracy z Wykonawcą przy wykonywaniu Umowy, w tym przekazywania 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5ED0871A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B5382A">
        <w:rPr>
          <w:rFonts w:ascii="Arial" w:hAnsi="Arial" w:cs="Arial"/>
          <w:bCs/>
          <w:sz w:val="22"/>
          <w:szCs w:val="22"/>
        </w:rPr>
        <w:t>września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przedmiot </w:t>
      </w:r>
      <w:r w:rsidR="005D3201" w:rsidRPr="00B5382A">
        <w:rPr>
          <w:rFonts w:ascii="Arial" w:hAnsi="Arial" w:cs="Arial"/>
          <w:bCs/>
          <w:sz w:val="22"/>
          <w:szCs w:val="22"/>
        </w:rPr>
        <w:lastRenderedPageBreak/>
        <w:t>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23357C90" w:rsidR="00C23914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2 dni roboczych przekaże Zamawiającemu przedmiot umowy w </w:t>
      </w:r>
      <w:r w:rsidR="000E6E51" w:rsidRPr="00B5382A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tekstowe) wraz z 3 egzemplarzami w wersji elektronicznej (CD/DVD).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3C42886A" w14:textId="7E821730" w:rsidR="006012B7" w:rsidRPr="00966F98" w:rsidRDefault="006012B7" w:rsidP="0063726B">
      <w:pPr>
        <w:pStyle w:val="Akapitzlist"/>
        <w:numPr>
          <w:ilvl w:val="2"/>
          <w:numId w:val="26"/>
        </w:numPr>
        <w:tabs>
          <w:tab w:val="clear" w:pos="144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Opracowanie tekstowe (na stronie tytułowej) i nośnik elektroniczny CD/DVD (co najmniej na opakowaniu), należy oznakować logotypami: Narodowego Funduszu Ochrony Środowiska i Gospodarki Wodnej, Generalnej Dyrekcji Ochrony Środowiska 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7A5746B9" w14:textId="660226DA" w:rsidR="00966F98" w:rsidRDefault="008D4B6C" w:rsidP="001C2B8E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49C7903E" w14:textId="77777777" w:rsidR="001C2B8E" w:rsidRPr="001C2B8E" w:rsidRDefault="001C2B8E" w:rsidP="0094004E">
      <w:pPr>
        <w:tabs>
          <w:tab w:val="left" w:pos="142"/>
        </w:tabs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2C2696BF" w14:textId="09220CF2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24CC8521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złote/ych</w:t>
      </w:r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4692AB5E" w14:textId="77777777" w:rsidR="0094004E" w:rsidRPr="00B5382A" w:rsidRDefault="0094004E" w:rsidP="009400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2F034A5C" w14:textId="4E6C2AD0" w:rsidR="00970CC9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3A24B9D0" w14:textId="77777777" w:rsidR="0094004E" w:rsidRDefault="0094004E" w:rsidP="009400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476CA50A" w14:textId="77777777" w:rsidR="0094004E" w:rsidRDefault="0094004E" w:rsidP="009400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6450EA4" w14:textId="77777777" w:rsidR="0094004E" w:rsidRPr="00966F98" w:rsidRDefault="0094004E" w:rsidP="009400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ci i formy utworu oraz jego rzetelnego </w:t>
      </w:r>
      <w:r w:rsidRPr="00B5382A">
        <w:rPr>
          <w:rFonts w:ascii="Arial" w:hAnsi="Arial" w:cs="Arial"/>
          <w:sz w:val="22"/>
          <w:szCs w:val="22"/>
        </w:rPr>
        <w:lastRenderedPageBreak/>
        <w:t>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77777777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127A89FD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794B3C3F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FDDBF3A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564522FD" w14:textId="77777777" w:rsidR="0094004E" w:rsidRPr="0094004E" w:rsidRDefault="0094004E" w:rsidP="0094004E">
      <w:pPr>
        <w:widowControl w:val="0"/>
        <w:tabs>
          <w:tab w:val="num" w:pos="284"/>
        </w:tabs>
        <w:autoSpaceDE w:val="0"/>
        <w:spacing w:before="0" w:line="360" w:lineRule="auto"/>
        <w:ind w:right="-2"/>
        <w:jc w:val="left"/>
        <w:rPr>
          <w:rFonts w:ascii="Arial" w:hAnsi="Arial" w:cs="Arial"/>
          <w:sz w:val="22"/>
          <w:szCs w:val="22"/>
        </w:rPr>
      </w:pP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2AB655FE" w14:textId="7DD1CC86" w:rsidR="00966F98" w:rsidRDefault="00B92B70" w:rsidP="0094004E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3D1C06E8" w14:textId="77777777" w:rsidR="0094004E" w:rsidRPr="0094004E" w:rsidRDefault="0094004E" w:rsidP="0094004E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94004E">
        <w:tc>
          <w:tcPr>
            <w:tcW w:w="4541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531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</w:tbl>
    <w:bookmarkEnd w:id="0"/>
    <w:p w14:paraId="0835A8C1" w14:textId="3B96496A" w:rsidR="00270E8F" w:rsidRPr="0094004E" w:rsidRDefault="0094004E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sectPr w:rsidR="00270E8F" w:rsidRPr="0094004E" w:rsidSect="0094004E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993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3FCE5972" w:rsidR="00B67914" w:rsidRPr="00256B2B" w:rsidRDefault="008D4B6C" w:rsidP="00256B2B">
    <w:pPr>
      <w:pStyle w:val="Nagwek"/>
    </w:pPr>
    <w:r>
      <w:rPr>
        <w:noProof/>
      </w:rPr>
      <w:t xml:space="preserve">   </w:t>
    </w:r>
    <w:r w:rsidR="0063726B">
      <w:rPr>
        <w:noProof/>
      </w:rPr>
      <w:drawing>
        <wp:inline distT="0" distB="0" distL="0" distR="0" wp14:anchorId="6A4A3F28" wp14:editId="6FB77EC1">
          <wp:extent cx="2863742" cy="970280"/>
          <wp:effectExtent l="0" t="0" r="0" b="0"/>
          <wp:docPr id="1854872851" name="Grafika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8E314D" w:rsidRPr="00F836C2">
      <w:rPr>
        <w:noProof/>
      </w:rPr>
      <w:drawing>
        <wp:inline distT="0" distB="0" distL="0" distR="0" wp14:anchorId="704E890C" wp14:editId="75B5C82C">
          <wp:extent cx="990600" cy="933450"/>
          <wp:effectExtent l="0" t="0" r="0" b="0"/>
          <wp:docPr id="1631533899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E314D" w:rsidRPr="00F836C2">
      <w:rPr>
        <w:noProof/>
      </w:rPr>
      <w:drawing>
        <wp:inline distT="0" distB="0" distL="0" distR="0" wp14:anchorId="0FEC9191" wp14:editId="78FA76BA">
          <wp:extent cx="990600" cy="933450"/>
          <wp:effectExtent l="0" t="0" r="0" b="0"/>
          <wp:docPr id="1752601780" name="Obraz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logoty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5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3"/>
  </w:num>
  <w:num w:numId="16" w16cid:durableId="719326847">
    <w:abstractNumId w:val="36"/>
  </w:num>
  <w:num w:numId="17" w16cid:durableId="1043209333">
    <w:abstractNumId w:val="24"/>
  </w:num>
  <w:num w:numId="18" w16cid:durableId="1669166604">
    <w:abstractNumId w:val="15"/>
  </w:num>
  <w:num w:numId="19" w16cid:durableId="3368446">
    <w:abstractNumId w:val="27"/>
  </w:num>
  <w:num w:numId="20" w16cid:durableId="2131508909">
    <w:abstractNumId w:val="19"/>
  </w:num>
  <w:num w:numId="21" w16cid:durableId="1082722778">
    <w:abstractNumId w:val="26"/>
  </w:num>
  <w:num w:numId="22" w16cid:durableId="690300969">
    <w:abstractNumId w:val="30"/>
  </w:num>
  <w:num w:numId="23" w16cid:durableId="2046713821">
    <w:abstractNumId w:val="22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4"/>
  </w:num>
  <w:num w:numId="27" w16cid:durableId="1054819375">
    <w:abstractNumId w:val="20"/>
  </w:num>
  <w:num w:numId="28" w16cid:durableId="186529540">
    <w:abstractNumId w:val="35"/>
  </w:num>
  <w:num w:numId="29" w16cid:durableId="1570381922">
    <w:abstractNumId w:val="12"/>
  </w:num>
  <w:num w:numId="30" w16cid:durableId="2078933557">
    <w:abstractNumId w:val="21"/>
  </w:num>
  <w:num w:numId="31" w16cid:durableId="1535531740">
    <w:abstractNumId w:val="28"/>
  </w:num>
  <w:num w:numId="32" w16cid:durableId="1955557844">
    <w:abstractNumId w:val="29"/>
  </w:num>
  <w:num w:numId="33" w16cid:durableId="502203010">
    <w:abstractNumId w:val="32"/>
  </w:num>
  <w:num w:numId="34" w16cid:durableId="128090095">
    <w:abstractNumId w:val="16"/>
  </w:num>
  <w:num w:numId="35" w16cid:durableId="749615177">
    <w:abstractNumId w:val="23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71DB"/>
    <w:rsid w:val="00131A13"/>
    <w:rsid w:val="00134661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2B8E"/>
    <w:rsid w:val="001C3714"/>
    <w:rsid w:val="001D0F30"/>
    <w:rsid w:val="001D271D"/>
    <w:rsid w:val="001D3791"/>
    <w:rsid w:val="001D74ED"/>
    <w:rsid w:val="001D7A58"/>
    <w:rsid w:val="001E2DCB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517B"/>
    <w:rsid w:val="002C665C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4AD9"/>
    <w:rsid w:val="003874D3"/>
    <w:rsid w:val="003A1662"/>
    <w:rsid w:val="003A47AC"/>
    <w:rsid w:val="003A562F"/>
    <w:rsid w:val="003A6097"/>
    <w:rsid w:val="003A72FF"/>
    <w:rsid w:val="003A766D"/>
    <w:rsid w:val="003B11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264F6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235E6"/>
    <w:rsid w:val="006319BA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2643"/>
    <w:rsid w:val="006B7054"/>
    <w:rsid w:val="006D11C3"/>
    <w:rsid w:val="006D320C"/>
    <w:rsid w:val="006D560B"/>
    <w:rsid w:val="006E2189"/>
    <w:rsid w:val="006E2626"/>
    <w:rsid w:val="006E3BC1"/>
    <w:rsid w:val="00700D49"/>
    <w:rsid w:val="00702733"/>
    <w:rsid w:val="00704A91"/>
    <w:rsid w:val="00706163"/>
    <w:rsid w:val="00706DF0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26AE0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091"/>
    <w:rsid w:val="0093471F"/>
    <w:rsid w:val="0094004E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5030"/>
    <w:rsid w:val="00A3111D"/>
    <w:rsid w:val="00A31C17"/>
    <w:rsid w:val="00A32E88"/>
    <w:rsid w:val="00A340A8"/>
    <w:rsid w:val="00A45B07"/>
    <w:rsid w:val="00A46D51"/>
    <w:rsid w:val="00A575B8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9C0"/>
    <w:rsid w:val="00E44CE8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4F3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20F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19776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5</cp:revision>
  <cp:lastPrinted>2024-05-09T11:46:00Z</cp:lastPrinted>
  <dcterms:created xsi:type="dcterms:W3CDTF">2024-07-05T08:33:00Z</dcterms:created>
  <dcterms:modified xsi:type="dcterms:W3CDTF">2024-07-08T09:00:00Z</dcterms:modified>
</cp:coreProperties>
</file>