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83" w:rsidRDefault="008D4683" w:rsidP="008D4683">
      <w:pPr>
        <w:pStyle w:val="Nagwekspisutreci"/>
      </w:pPr>
    </w:p>
    <w:p w:rsidR="008D4683" w:rsidRDefault="008D4683" w:rsidP="008D4683">
      <w:pPr>
        <w:pStyle w:val="Nagwekspisutreci"/>
      </w:pPr>
    </w:p>
    <w:p w:rsidR="008D4683" w:rsidRDefault="008D4683" w:rsidP="008D4683">
      <w:pPr>
        <w:pStyle w:val="Nagwekspisutreci"/>
      </w:pPr>
      <w:r>
        <w:rPr>
          <w:noProof/>
        </w:rPr>
        <w:drawing>
          <wp:anchor distT="0" distB="0" distL="114300" distR="114300" simplePos="0" relativeHeight="251658240" behindDoc="1" locked="0" layoutInCell="1" allowOverlap="1">
            <wp:simplePos x="0" y="0"/>
            <wp:positionH relativeFrom="column">
              <wp:posOffset>2471420</wp:posOffset>
            </wp:positionH>
            <wp:positionV relativeFrom="paragraph">
              <wp:posOffset>208280</wp:posOffset>
            </wp:positionV>
            <wp:extent cx="755650" cy="751840"/>
            <wp:effectExtent l="0" t="0" r="6350" b="0"/>
            <wp:wrapTight wrapText="bothSides">
              <wp:wrapPolygon edited="0">
                <wp:start x="0" y="0"/>
                <wp:lineTo x="0" y="20797"/>
                <wp:lineTo x="21237" y="20797"/>
                <wp:lineTo x="2123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1840"/>
                    </a:xfrm>
                    <a:prstGeom prst="rect">
                      <a:avLst/>
                    </a:prstGeom>
                    <a:noFill/>
                  </pic:spPr>
                </pic:pic>
              </a:graphicData>
            </a:graphic>
            <wp14:sizeRelH relativeFrom="page">
              <wp14:pctWidth>0</wp14:pctWidth>
            </wp14:sizeRelH>
            <wp14:sizeRelV relativeFrom="page">
              <wp14:pctHeight>0</wp14:pctHeight>
            </wp14:sizeRelV>
          </wp:anchor>
        </w:drawing>
      </w:r>
    </w:p>
    <w:p w:rsidR="008D4683" w:rsidRDefault="008D4683" w:rsidP="008D4683">
      <w:pPr>
        <w:pStyle w:val="Nagwekspisutreci"/>
      </w:pPr>
    </w:p>
    <w:p w:rsidR="008D4683" w:rsidRDefault="008D4683" w:rsidP="008D4683">
      <w:pPr>
        <w:pStyle w:val="Nagwekspisutreci"/>
      </w:pPr>
    </w:p>
    <w:p w:rsidR="008D4683" w:rsidRDefault="008D4683" w:rsidP="008D4683">
      <w:pPr>
        <w:pStyle w:val="Nagwekspisutreci"/>
      </w:pPr>
    </w:p>
    <w:p w:rsidR="008D4683" w:rsidRDefault="008D4683" w:rsidP="008D4683">
      <w:pPr>
        <w:pStyle w:val="Nagwekspisutreci"/>
      </w:pPr>
    </w:p>
    <w:p w:rsidR="008D4683" w:rsidRDefault="008D4683" w:rsidP="008D4683">
      <w:pPr>
        <w:pStyle w:val="Nagwekspisutreci"/>
      </w:pPr>
    </w:p>
    <w:p w:rsidR="008D4683" w:rsidRDefault="008D4683" w:rsidP="008D4683">
      <w:pPr>
        <w:pStyle w:val="Nagwekspisutreci"/>
      </w:pPr>
    </w:p>
    <w:p w:rsidR="008D4683" w:rsidRDefault="008D4683" w:rsidP="008D4683">
      <w:pPr>
        <w:rPr>
          <w:lang w:eastAsia="pl-PL"/>
        </w:rPr>
      </w:pPr>
    </w:p>
    <w:p w:rsidR="008D4683" w:rsidRDefault="008D4683" w:rsidP="008D4683">
      <w:pPr>
        <w:suppressAutoHyphens/>
        <w:spacing w:after="120" w:line="240" w:lineRule="auto"/>
        <w:jc w:val="center"/>
        <w:rPr>
          <w:rFonts w:ascii="Times New Roman" w:eastAsia="Times New Roman" w:hAnsi="Times New Roman"/>
          <w:b/>
          <w:color w:val="000000"/>
          <w:sz w:val="36"/>
          <w:szCs w:val="36"/>
          <w:lang w:eastAsia="pl-PL"/>
        </w:rPr>
      </w:pPr>
      <w:r>
        <w:rPr>
          <w:rFonts w:ascii="Times New Roman" w:eastAsia="Times New Roman" w:hAnsi="Times New Roman"/>
          <w:b/>
          <w:color w:val="000000"/>
          <w:sz w:val="36"/>
          <w:szCs w:val="36"/>
          <w:lang w:eastAsia="pl-PL"/>
        </w:rPr>
        <w:t>SPRAWOZDANIE</w:t>
      </w:r>
    </w:p>
    <w:p w:rsidR="008D4683" w:rsidRDefault="008D4683" w:rsidP="008D4683">
      <w:pPr>
        <w:suppressAutoHyphens/>
        <w:spacing w:after="120" w:line="240" w:lineRule="auto"/>
        <w:jc w:val="center"/>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center"/>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center"/>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center"/>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center"/>
        <w:rPr>
          <w:rFonts w:ascii="Times New Roman" w:eastAsia="Times New Roman" w:hAnsi="Times New Roman"/>
          <w:b/>
          <w:color w:val="000000"/>
          <w:sz w:val="20"/>
          <w:szCs w:val="24"/>
          <w:lang w:eastAsia="pl-PL"/>
        </w:rPr>
      </w:pPr>
      <w:r>
        <w:rPr>
          <w:rFonts w:ascii="Times New Roman" w:eastAsia="Times New Roman" w:hAnsi="Times New Roman"/>
          <w:b/>
          <w:color w:val="000000"/>
          <w:sz w:val="20"/>
          <w:szCs w:val="24"/>
          <w:lang w:eastAsia="pl-PL"/>
        </w:rPr>
        <w:t>Z DZIAŁALNOŚCI RADY DO SPRAW UCHODŹCÓW ZA 2019 r.</w:t>
      </w: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Default="008D4683" w:rsidP="008D4683">
      <w:pPr>
        <w:suppressAutoHyphens/>
        <w:spacing w:after="120" w:line="240" w:lineRule="auto"/>
        <w:jc w:val="both"/>
        <w:rPr>
          <w:rFonts w:ascii="Times New Roman" w:eastAsia="Times New Roman" w:hAnsi="Times New Roman"/>
          <w:b/>
          <w:color w:val="000000"/>
          <w:sz w:val="20"/>
          <w:szCs w:val="24"/>
          <w:lang w:eastAsia="pl-PL"/>
        </w:rPr>
      </w:pPr>
    </w:p>
    <w:p w:rsidR="008D4683" w:rsidRPr="00B6659D" w:rsidRDefault="008D4683" w:rsidP="008D4683">
      <w:pPr>
        <w:suppressAutoHyphens/>
        <w:spacing w:after="120" w:line="240" w:lineRule="auto"/>
        <w:jc w:val="center"/>
        <w:rPr>
          <w:rFonts w:ascii="Times New Roman" w:eastAsia="Times New Roman" w:hAnsi="Times New Roman"/>
          <w:b/>
          <w:sz w:val="20"/>
          <w:szCs w:val="24"/>
          <w:lang w:eastAsia="pl-PL"/>
        </w:rPr>
      </w:pPr>
      <w:r w:rsidRPr="00B6659D">
        <w:rPr>
          <w:rFonts w:ascii="Times New Roman" w:eastAsia="Times New Roman" w:hAnsi="Times New Roman"/>
          <w:b/>
          <w:sz w:val="20"/>
          <w:szCs w:val="24"/>
          <w:lang w:eastAsia="pl-PL"/>
        </w:rPr>
        <w:t>Warszawa, maj 2020 r.</w:t>
      </w:r>
    </w:p>
    <w:p w:rsidR="00860933" w:rsidRDefault="00860933" w:rsidP="008D4683">
      <w:pPr>
        <w:suppressAutoHyphens/>
        <w:spacing w:after="120" w:line="240" w:lineRule="auto"/>
        <w:jc w:val="center"/>
        <w:rPr>
          <w:rFonts w:ascii="Times New Roman" w:eastAsia="Times New Roman" w:hAnsi="Times New Roman"/>
          <w:b/>
          <w:color w:val="FF0000"/>
          <w:sz w:val="20"/>
          <w:szCs w:val="24"/>
          <w:lang w:eastAsia="pl-PL"/>
        </w:rPr>
      </w:pPr>
    </w:p>
    <w:p w:rsidR="00860933" w:rsidRPr="00230BCE" w:rsidRDefault="00B6659D" w:rsidP="00B6659D">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INFORMACJE OGÓLNE</w:t>
      </w:r>
    </w:p>
    <w:p w:rsidR="00230BCE" w:rsidRPr="00230BCE" w:rsidRDefault="00230BCE" w:rsidP="00230BCE">
      <w:pPr>
        <w:ind w:left="360"/>
        <w:rPr>
          <w:rFonts w:ascii="Times New Roman" w:hAnsi="Times New Roman"/>
          <w:sz w:val="24"/>
          <w:szCs w:val="24"/>
        </w:rPr>
      </w:pPr>
    </w:p>
    <w:p w:rsidR="00230BCE" w:rsidRPr="00F137D2" w:rsidRDefault="00230BCE" w:rsidP="00230BCE">
      <w:pPr>
        <w:spacing w:after="0" w:line="360" w:lineRule="auto"/>
        <w:jc w:val="both"/>
        <w:rPr>
          <w:rFonts w:ascii="Times New Roman" w:hAnsi="Times New Roman"/>
          <w:sz w:val="24"/>
          <w:szCs w:val="24"/>
        </w:rPr>
      </w:pPr>
      <w:r w:rsidRPr="00F137D2">
        <w:rPr>
          <w:rFonts w:ascii="Times New Roman" w:hAnsi="Times New Roman"/>
          <w:sz w:val="24"/>
          <w:szCs w:val="24"/>
        </w:rPr>
        <w:t xml:space="preserve">Rada do Spraw Uchodźców jest organem administracji publicznej, działającym na podstawie ustawy z dnia 13 czerwca 2003 r. o udzielaniu cudzoziemcom ochrony na terytorium Rzeczypospolitej Polskiej (Dz. U. z 2019 r. poz. 1666). </w:t>
      </w:r>
    </w:p>
    <w:p w:rsidR="00230BCE" w:rsidRPr="00F137D2" w:rsidRDefault="00230BCE" w:rsidP="00230BCE">
      <w:pPr>
        <w:spacing w:after="120" w:line="360" w:lineRule="auto"/>
        <w:jc w:val="both"/>
        <w:rPr>
          <w:rFonts w:ascii="Times New Roman" w:hAnsi="Times New Roman"/>
          <w:sz w:val="24"/>
          <w:szCs w:val="24"/>
        </w:rPr>
      </w:pPr>
      <w:r w:rsidRPr="00F137D2">
        <w:rPr>
          <w:rFonts w:ascii="Times New Roman" w:hAnsi="Times New Roman"/>
          <w:sz w:val="24"/>
          <w:szCs w:val="24"/>
        </w:rPr>
        <w:tab/>
        <w:t>Z</w:t>
      </w:r>
      <w:r w:rsidR="0001723D" w:rsidRPr="00F137D2">
        <w:rPr>
          <w:rFonts w:ascii="Times New Roman" w:hAnsi="Times New Roman"/>
          <w:sz w:val="24"/>
          <w:szCs w:val="24"/>
        </w:rPr>
        <w:t xml:space="preserve">godnie z </w:t>
      </w:r>
      <w:r w:rsidRPr="00F137D2">
        <w:rPr>
          <w:rFonts w:ascii="Times New Roman" w:hAnsi="Times New Roman"/>
          <w:sz w:val="24"/>
          <w:szCs w:val="24"/>
        </w:rPr>
        <w:t xml:space="preserve">art. 89p ust. 1 - 4 </w:t>
      </w:r>
      <w:proofErr w:type="spellStart"/>
      <w:r w:rsidRPr="00F137D2">
        <w:rPr>
          <w:rFonts w:ascii="Times New Roman" w:hAnsi="Times New Roman"/>
          <w:sz w:val="24"/>
          <w:szCs w:val="24"/>
        </w:rPr>
        <w:t>u.o.o</w:t>
      </w:r>
      <w:proofErr w:type="spellEnd"/>
      <w:r w:rsidRPr="00F137D2">
        <w:rPr>
          <w:rFonts w:ascii="Times New Roman" w:hAnsi="Times New Roman"/>
          <w:sz w:val="24"/>
          <w:szCs w:val="24"/>
        </w:rPr>
        <w:t xml:space="preserve">., </w:t>
      </w:r>
      <w:r w:rsidR="0001723D" w:rsidRPr="00F137D2">
        <w:rPr>
          <w:rFonts w:ascii="Times New Roman" w:hAnsi="Times New Roman"/>
          <w:sz w:val="24"/>
          <w:szCs w:val="24"/>
        </w:rPr>
        <w:t>do zadań Rady należy:</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 xml:space="preserve">rozpatrywanie </w:t>
      </w:r>
      <w:proofErr w:type="spellStart"/>
      <w:r w:rsidRPr="00F137D2">
        <w:rPr>
          <w:rFonts w:ascii="Times New Roman" w:hAnsi="Times New Roman"/>
          <w:sz w:val="24"/>
          <w:szCs w:val="24"/>
        </w:rPr>
        <w:t>odwołań</w:t>
      </w:r>
      <w:proofErr w:type="spellEnd"/>
      <w:r w:rsidRPr="00F137D2">
        <w:rPr>
          <w:rFonts w:ascii="Times New Roman" w:hAnsi="Times New Roman"/>
          <w:sz w:val="24"/>
          <w:szCs w:val="24"/>
        </w:rPr>
        <w:t xml:space="preserve"> od decyzji i zażaleń na postanowienia Szefa Urzędu do Spraw Cudzoziemców, wydawanych na podstawie działu II </w:t>
      </w:r>
      <w:proofErr w:type="spellStart"/>
      <w:r w:rsidRPr="00F137D2">
        <w:rPr>
          <w:rFonts w:ascii="Times New Roman" w:hAnsi="Times New Roman"/>
          <w:sz w:val="24"/>
          <w:szCs w:val="24"/>
        </w:rPr>
        <w:t>u.o.o</w:t>
      </w:r>
      <w:proofErr w:type="spellEnd"/>
      <w:r w:rsidRPr="00F137D2">
        <w:rPr>
          <w:rFonts w:ascii="Times New Roman" w:hAnsi="Times New Roman"/>
          <w:sz w:val="24"/>
          <w:szCs w:val="24"/>
        </w:rPr>
        <w:t>. (z wyjątkiem orzeczeń dotyczących nieodpłatnej pomocy prawnej oraz spraw pomocy dla osób ubiegających się o udzielenie ochrony międzynarodowej);</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 xml:space="preserve">orzekanie w sprawach wznowienia postępowania, uchylenia, zmiany lub stwierdzenia nieważności wydanych przez siebie decyzji i postanowień; </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dokonywanie analiz orzecznictwa w zakresie spraw o nadanie lub pozbawienie statusu uchodźcy;</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gromadzenie informacji o krajach pochodzenia cudzoziemców;</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współprac</w:t>
      </w:r>
      <w:r w:rsidR="0001723D" w:rsidRPr="00F137D2">
        <w:rPr>
          <w:rFonts w:ascii="Times New Roman" w:hAnsi="Times New Roman"/>
          <w:sz w:val="24"/>
          <w:szCs w:val="24"/>
        </w:rPr>
        <w:t>a</w:t>
      </w:r>
      <w:r w:rsidRPr="00F137D2">
        <w:rPr>
          <w:rFonts w:ascii="Times New Roman" w:hAnsi="Times New Roman"/>
          <w:sz w:val="24"/>
          <w:szCs w:val="24"/>
        </w:rPr>
        <w:t xml:space="preserve"> z organami oraz instytucjami krajowymi i zagranicznymi w zakresie pro</w:t>
      </w:r>
      <w:r w:rsidR="00EF4CCA" w:rsidRPr="00F137D2">
        <w:rPr>
          <w:rFonts w:ascii="Times New Roman" w:hAnsi="Times New Roman"/>
          <w:sz w:val="24"/>
          <w:szCs w:val="24"/>
        </w:rPr>
        <w:t>blematyki migracji i uchodźstwa.</w:t>
      </w:r>
    </w:p>
    <w:p w:rsidR="00860933" w:rsidRPr="00F137D2" w:rsidRDefault="00860933" w:rsidP="00860933">
      <w:pPr>
        <w:rPr>
          <w:rFonts w:ascii="Times New Roman" w:hAnsi="Times New Roman"/>
          <w:sz w:val="24"/>
          <w:szCs w:val="24"/>
        </w:rPr>
      </w:pPr>
    </w:p>
    <w:p w:rsidR="00B6659D" w:rsidRPr="00F137D2" w:rsidRDefault="00B6659D" w:rsidP="00B6659D">
      <w:pPr>
        <w:pStyle w:val="Akapitzlist"/>
        <w:numPr>
          <w:ilvl w:val="0"/>
          <w:numId w:val="4"/>
        </w:numPr>
        <w:rPr>
          <w:rFonts w:ascii="Times New Roman" w:hAnsi="Times New Roman" w:cs="Times New Roman"/>
          <w:sz w:val="24"/>
          <w:szCs w:val="24"/>
          <w:lang w:eastAsia="pl-PL"/>
        </w:rPr>
      </w:pPr>
      <w:r w:rsidRPr="00F137D2">
        <w:rPr>
          <w:rFonts w:ascii="Times New Roman" w:hAnsi="Times New Roman" w:cs="Times New Roman"/>
          <w:sz w:val="24"/>
          <w:szCs w:val="24"/>
          <w:lang w:eastAsia="pl-PL"/>
        </w:rPr>
        <w:t>SKŁAD RADY</w:t>
      </w:r>
    </w:p>
    <w:p w:rsidR="00650925" w:rsidRPr="00F137D2" w:rsidRDefault="00650925" w:rsidP="00650925">
      <w:pPr>
        <w:pStyle w:val="Akapitzlist"/>
        <w:ind w:left="1440"/>
        <w:rPr>
          <w:rFonts w:ascii="Times New Roman" w:hAnsi="Times New Roman" w:cs="Times New Roman"/>
          <w:sz w:val="24"/>
          <w:szCs w:val="24"/>
          <w:lang w:eastAsia="pl-PL"/>
        </w:rPr>
      </w:pPr>
    </w:p>
    <w:p w:rsidR="00860933" w:rsidRPr="00F137D2" w:rsidRDefault="00860933" w:rsidP="0001723D">
      <w:pPr>
        <w:spacing w:after="0" w:line="360" w:lineRule="auto"/>
        <w:jc w:val="both"/>
        <w:rPr>
          <w:rFonts w:ascii="Times New Roman" w:hAnsi="Times New Roman"/>
          <w:sz w:val="24"/>
          <w:szCs w:val="24"/>
          <w:lang w:eastAsia="pl-PL"/>
        </w:rPr>
      </w:pPr>
      <w:r w:rsidRPr="00F137D2">
        <w:rPr>
          <w:rFonts w:ascii="Times New Roman" w:hAnsi="Times New Roman"/>
          <w:sz w:val="24"/>
          <w:szCs w:val="24"/>
          <w:lang w:eastAsia="pl-PL"/>
        </w:rPr>
        <w:t>Zgodnie z art. 89r ust. 1 ustawy o udzielaniu cudzoziemcom ochrony na terytorium Rzeczypospolitej Polskiej kadencja Rady trwa pięć lat. Na rok 2019 przypadł</w:t>
      </w:r>
      <w:r w:rsidR="00230BCE" w:rsidRPr="00F137D2">
        <w:rPr>
          <w:rFonts w:ascii="Times New Roman" w:hAnsi="Times New Roman"/>
          <w:sz w:val="24"/>
          <w:szCs w:val="24"/>
          <w:lang w:eastAsia="pl-PL"/>
        </w:rPr>
        <w:t>o zakończenie prac Rady IV kadencji.</w:t>
      </w:r>
      <w:r w:rsidRPr="00F137D2">
        <w:rPr>
          <w:rFonts w:ascii="Times New Roman" w:hAnsi="Times New Roman"/>
          <w:sz w:val="24"/>
          <w:szCs w:val="24"/>
          <w:lang w:eastAsia="pl-PL"/>
        </w:rPr>
        <w:t xml:space="preserve"> Rada do Spraw Uchodźców V kadencji została powołana w dniu </w:t>
      </w:r>
      <w:r w:rsidR="00544B8C">
        <w:rPr>
          <w:rFonts w:ascii="Times New Roman" w:hAnsi="Times New Roman"/>
          <w:sz w:val="24"/>
          <w:szCs w:val="24"/>
          <w:lang w:eastAsia="pl-PL"/>
        </w:rPr>
        <w:br/>
      </w:r>
      <w:r w:rsidRPr="00F137D2">
        <w:rPr>
          <w:rFonts w:ascii="Times New Roman" w:hAnsi="Times New Roman"/>
          <w:sz w:val="24"/>
          <w:szCs w:val="24"/>
          <w:lang w:eastAsia="pl-PL"/>
        </w:rPr>
        <w:t xml:space="preserve">26 lutego 2019 roku. </w:t>
      </w:r>
    </w:p>
    <w:p w:rsidR="00F0589E" w:rsidRPr="00F137D2" w:rsidRDefault="00F0589E" w:rsidP="0001723D">
      <w:pPr>
        <w:spacing w:after="0" w:line="360" w:lineRule="auto"/>
        <w:jc w:val="both"/>
        <w:rPr>
          <w:rFonts w:ascii="Times New Roman" w:hAnsi="Times New Roman"/>
          <w:sz w:val="24"/>
          <w:szCs w:val="24"/>
          <w:lang w:eastAsia="pl-PL"/>
        </w:rPr>
      </w:pPr>
    </w:p>
    <w:p w:rsidR="00860933" w:rsidRDefault="00230BCE" w:rsidP="00860933">
      <w:pPr>
        <w:spacing w:after="0" w:line="360" w:lineRule="auto"/>
        <w:rPr>
          <w:rFonts w:ascii="Times New Roman" w:eastAsia="Times New Roman" w:hAnsi="Times New Roman"/>
          <w:bCs/>
          <w:sz w:val="24"/>
          <w:szCs w:val="24"/>
          <w:u w:val="single"/>
          <w:lang w:eastAsia="pl-PL"/>
        </w:rPr>
      </w:pPr>
      <w:r w:rsidRPr="00F137D2">
        <w:rPr>
          <w:rFonts w:ascii="Times New Roman" w:eastAsia="Times New Roman" w:hAnsi="Times New Roman"/>
          <w:bCs/>
          <w:sz w:val="24"/>
          <w:szCs w:val="24"/>
          <w:u w:val="single"/>
          <w:lang w:eastAsia="pl-PL"/>
        </w:rPr>
        <w:t xml:space="preserve">W skład </w:t>
      </w:r>
      <w:r w:rsidR="00860933" w:rsidRPr="00F137D2">
        <w:rPr>
          <w:rFonts w:ascii="Times New Roman" w:eastAsia="Times New Roman" w:hAnsi="Times New Roman"/>
          <w:bCs/>
          <w:sz w:val="24"/>
          <w:szCs w:val="24"/>
          <w:u w:val="single"/>
          <w:lang w:eastAsia="pl-PL"/>
        </w:rPr>
        <w:t>Rady IV kadencji</w:t>
      </w:r>
      <w:r w:rsidRPr="00F137D2">
        <w:rPr>
          <w:rFonts w:ascii="Times New Roman" w:eastAsia="Times New Roman" w:hAnsi="Times New Roman"/>
          <w:bCs/>
          <w:sz w:val="24"/>
          <w:szCs w:val="24"/>
          <w:u w:val="single"/>
          <w:lang w:eastAsia="pl-PL"/>
        </w:rPr>
        <w:t xml:space="preserve"> wchodzili</w:t>
      </w:r>
      <w:r w:rsidR="00860933" w:rsidRPr="00F137D2">
        <w:rPr>
          <w:rFonts w:ascii="Times New Roman" w:eastAsia="Times New Roman" w:hAnsi="Times New Roman"/>
          <w:bCs/>
          <w:sz w:val="24"/>
          <w:szCs w:val="24"/>
          <w:u w:val="single"/>
          <w:lang w:eastAsia="pl-PL"/>
        </w:rPr>
        <w:t>:</w:t>
      </w:r>
    </w:p>
    <w:p w:rsidR="00F137D2" w:rsidRPr="00F137D2" w:rsidRDefault="00F137D2" w:rsidP="00860933">
      <w:pPr>
        <w:spacing w:after="0" w:line="360" w:lineRule="auto"/>
        <w:rPr>
          <w:rFonts w:ascii="Times New Roman" w:eastAsia="Times New Roman" w:hAnsi="Times New Roman"/>
          <w:bCs/>
          <w:sz w:val="24"/>
          <w:szCs w:val="24"/>
          <w:u w:val="single"/>
          <w:lang w:eastAsia="pl-PL"/>
        </w:rPr>
      </w:pP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Paweł D</w:t>
      </w:r>
      <w:r w:rsidR="00BE2FE0" w:rsidRPr="00F137D2">
        <w:rPr>
          <w:rFonts w:ascii="Times New Roman" w:eastAsia="Times New Roman" w:hAnsi="Times New Roman"/>
          <w:bCs/>
          <w:sz w:val="24"/>
          <w:szCs w:val="24"/>
          <w:lang w:eastAsia="pl-PL"/>
        </w:rPr>
        <w:t>ąbrowski</w:t>
      </w:r>
      <w:r w:rsidRPr="00F137D2">
        <w:rPr>
          <w:rFonts w:ascii="Times New Roman" w:eastAsia="Times New Roman" w:hAnsi="Times New Roman"/>
          <w:bCs/>
          <w:sz w:val="24"/>
          <w:szCs w:val="24"/>
          <w:lang w:eastAsia="pl-PL"/>
        </w:rPr>
        <w:t xml:space="preserve"> </w:t>
      </w:r>
      <w:r w:rsidRPr="00F137D2">
        <w:rPr>
          <w:rFonts w:ascii="Times New Roman" w:eastAsia="Times New Roman" w:hAnsi="Times New Roman"/>
          <w:sz w:val="24"/>
          <w:szCs w:val="24"/>
          <w:lang w:eastAsia="pl-PL"/>
        </w:rPr>
        <w:t>(przewodniczący)</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Jolanta Z</w:t>
      </w:r>
      <w:r w:rsidR="00BE2FE0" w:rsidRPr="00F137D2">
        <w:rPr>
          <w:rFonts w:ascii="Times New Roman" w:eastAsia="Times New Roman" w:hAnsi="Times New Roman"/>
          <w:bCs/>
          <w:sz w:val="24"/>
          <w:szCs w:val="24"/>
          <w:lang w:eastAsia="pl-PL"/>
        </w:rPr>
        <w:t>aborska</w:t>
      </w:r>
      <w:r w:rsidRPr="00F137D2">
        <w:rPr>
          <w:rFonts w:ascii="Times New Roman" w:eastAsia="Times New Roman" w:hAnsi="Times New Roman"/>
          <w:sz w:val="24"/>
          <w:szCs w:val="24"/>
          <w:lang w:eastAsia="pl-PL"/>
        </w:rPr>
        <w:t xml:space="preserve"> (wiceprzewodnicząca)</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Hanka B</w:t>
      </w:r>
      <w:r w:rsidR="00BE2FE0" w:rsidRPr="00F137D2">
        <w:rPr>
          <w:rFonts w:ascii="Times New Roman" w:eastAsia="Times New Roman" w:hAnsi="Times New Roman"/>
          <w:bCs/>
          <w:sz w:val="24"/>
          <w:szCs w:val="24"/>
          <w:lang w:eastAsia="pl-PL"/>
        </w:rPr>
        <w:t>abińska</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Jerzy B</w:t>
      </w:r>
      <w:r w:rsidR="00BE2FE0" w:rsidRPr="00F137D2">
        <w:rPr>
          <w:rFonts w:ascii="Times New Roman" w:eastAsia="Times New Roman" w:hAnsi="Times New Roman"/>
          <w:bCs/>
          <w:sz w:val="24"/>
          <w:szCs w:val="24"/>
          <w:lang w:eastAsia="pl-PL"/>
        </w:rPr>
        <w:t>yczkowski</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sz w:val="24"/>
          <w:szCs w:val="24"/>
          <w:lang w:eastAsia="pl-PL"/>
        </w:rPr>
        <w:lastRenderedPageBreak/>
        <w:t xml:space="preserve">Grzegorz </w:t>
      </w:r>
      <w:r w:rsidRPr="00F137D2">
        <w:rPr>
          <w:rFonts w:ascii="Times New Roman" w:eastAsia="Times New Roman" w:hAnsi="Times New Roman"/>
          <w:bCs/>
          <w:sz w:val="24"/>
          <w:szCs w:val="24"/>
          <w:lang w:eastAsia="pl-PL"/>
        </w:rPr>
        <w:t>D</w:t>
      </w:r>
      <w:r w:rsidR="00BE2FE0" w:rsidRPr="00F137D2">
        <w:rPr>
          <w:rFonts w:ascii="Times New Roman" w:eastAsia="Times New Roman" w:hAnsi="Times New Roman"/>
          <w:bCs/>
          <w:sz w:val="24"/>
          <w:szCs w:val="24"/>
          <w:lang w:eastAsia="pl-PL"/>
        </w:rPr>
        <w:t>ostatni</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Paweł H</w:t>
      </w:r>
      <w:r w:rsidR="00BE2FE0" w:rsidRPr="00F137D2">
        <w:rPr>
          <w:rFonts w:ascii="Times New Roman" w:eastAsia="Times New Roman" w:hAnsi="Times New Roman"/>
          <w:bCs/>
          <w:sz w:val="24"/>
          <w:szCs w:val="24"/>
          <w:lang w:eastAsia="pl-PL"/>
        </w:rPr>
        <w:t>ut</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Jacek J</w:t>
      </w:r>
      <w:r w:rsidR="00BE2FE0" w:rsidRPr="00F137D2">
        <w:rPr>
          <w:rFonts w:ascii="Times New Roman" w:eastAsia="Times New Roman" w:hAnsi="Times New Roman"/>
          <w:bCs/>
          <w:sz w:val="24"/>
          <w:szCs w:val="24"/>
          <w:lang w:eastAsia="pl-PL"/>
        </w:rPr>
        <w:t>agielski</w:t>
      </w:r>
      <w:r w:rsidRPr="00F137D2">
        <w:rPr>
          <w:rFonts w:ascii="Times New Roman" w:eastAsia="Times New Roman" w:hAnsi="Times New Roman"/>
          <w:sz w:val="24"/>
          <w:szCs w:val="24"/>
          <w:lang w:eastAsia="pl-PL"/>
        </w:rPr>
        <w:t xml:space="preserve"> </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Jakub J</w:t>
      </w:r>
      <w:r w:rsidR="00BE2FE0" w:rsidRPr="00F137D2">
        <w:rPr>
          <w:rFonts w:ascii="Times New Roman" w:eastAsia="Times New Roman" w:hAnsi="Times New Roman"/>
          <w:bCs/>
          <w:sz w:val="24"/>
          <w:szCs w:val="24"/>
          <w:lang w:eastAsia="pl-PL"/>
        </w:rPr>
        <w:t>amka</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Michał Andrzej K</w:t>
      </w:r>
      <w:r w:rsidR="00BE2FE0" w:rsidRPr="00F137D2">
        <w:rPr>
          <w:rFonts w:ascii="Times New Roman" w:eastAsia="Times New Roman" w:hAnsi="Times New Roman"/>
          <w:bCs/>
          <w:sz w:val="24"/>
          <w:szCs w:val="24"/>
          <w:lang w:eastAsia="pl-PL"/>
        </w:rPr>
        <w:t>owalski</w:t>
      </w:r>
      <w:r w:rsidRPr="00F137D2">
        <w:rPr>
          <w:rFonts w:ascii="Times New Roman" w:eastAsia="Times New Roman" w:hAnsi="Times New Roman"/>
          <w:sz w:val="24"/>
          <w:szCs w:val="24"/>
          <w:lang w:eastAsia="pl-PL"/>
        </w:rPr>
        <w:t xml:space="preserve"> </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Sławomir P</w:t>
      </w:r>
      <w:r w:rsidR="00BE2FE0" w:rsidRPr="00F137D2">
        <w:rPr>
          <w:rFonts w:ascii="Times New Roman" w:eastAsia="Times New Roman" w:hAnsi="Times New Roman"/>
          <w:bCs/>
          <w:sz w:val="24"/>
          <w:szCs w:val="24"/>
          <w:lang w:eastAsia="pl-PL"/>
        </w:rPr>
        <w:t>yl</w:t>
      </w:r>
    </w:p>
    <w:p w:rsidR="00860933" w:rsidRPr="00F137D2" w:rsidRDefault="00860933" w:rsidP="00860933">
      <w:pPr>
        <w:spacing w:after="0" w:line="360" w:lineRule="auto"/>
        <w:rPr>
          <w:rFonts w:ascii="Times New Roman" w:eastAsia="Times New Roman" w:hAnsi="Times New Roman"/>
          <w:sz w:val="24"/>
          <w:szCs w:val="24"/>
          <w:lang w:eastAsia="pl-PL"/>
        </w:rPr>
      </w:pPr>
      <w:r w:rsidRPr="00F137D2">
        <w:rPr>
          <w:rFonts w:ascii="Times New Roman" w:eastAsia="Times New Roman" w:hAnsi="Times New Roman"/>
          <w:bCs/>
          <w:sz w:val="24"/>
          <w:szCs w:val="24"/>
          <w:lang w:eastAsia="pl-PL"/>
        </w:rPr>
        <w:t>Marek R</w:t>
      </w:r>
      <w:r w:rsidR="00BE2FE0" w:rsidRPr="00F137D2">
        <w:rPr>
          <w:rFonts w:ascii="Times New Roman" w:eastAsia="Times New Roman" w:hAnsi="Times New Roman"/>
          <w:bCs/>
          <w:sz w:val="24"/>
          <w:szCs w:val="24"/>
          <w:lang w:eastAsia="pl-PL"/>
        </w:rPr>
        <w:t>edźko</w:t>
      </w:r>
    </w:p>
    <w:p w:rsidR="00860933" w:rsidRPr="00F137D2" w:rsidRDefault="00860933" w:rsidP="00860933">
      <w:pPr>
        <w:spacing w:after="0" w:line="360" w:lineRule="auto"/>
        <w:rPr>
          <w:rFonts w:ascii="Times New Roman" w:eastAsia="Times New Roman" w:hAnsi="Times New Roman"/>
          <w:bCs/>
          <w:sz w:val="24"/>
          <w:szCs w:val="24"/>
          <w:lang w:eastAsia="pl-PL"/>
        </w:rPr>
      </w:pPr>
      <w:r w:rsidRPr="00F137D2">
        <w:rPr>
          <w:rFonts w:ascii="Times New Roman" w:eastAsia="Times New Roman" w:hAnsi="Times New Roman"/>
          <w:bCs/>
          <w:sz w:val="24"/>
          <w:szCs w:val="24"/>
          <w:lang w:eastAsia="pl-PL"/>
        </w:rPr>
        <w:t>Tadeusz Ż</w:t>
      </w:r>
      <w:r w:rsidR="00BE2FE0" w:rsidRPr="00F137D2">
        <w:rPr>
          <w:rFonts w:ascii="Times New Roman" w:eastAsia="Times New Roman" w:hAnsi="Times New Roman"/>
          <w:bCs/>
          <w:sz w:val="24"/>
          <w:szCs w:val="24"/>
          <w:lang w:eastAsia="pl-PL"/>
        </w:rPr>
        <w:t>yliński</w:t>
      </w:r>
    </w:p>
    <w:p w:rsidR="00230BCE" w:rsidRPr="00F137D2" w:rsidRDefault="00230BCE" w:rsidP="00860933">
      <w:pPr>
        <w:spacing w:after="0" w:line="360" w:lineRule="auto"/>
        <w:rPr>
          <w:rFonts w:ascii="Times New Roman" w:eastAsia="Times New Roman" w:hAnsi="Times New Roman"/>
          <w:sz w:val="24"/>
          <w:szCs w:val="24"/>
          <w:lang w:eastAsia="pl-PL"/>
        </w:rPr>
      </w:pPr>
    </w:p>
    <w:p w:rsidR="00860933" w:rsidRPr="00F137D2" w:rsidRDefault="00230BCE" w:rsidP="00860933">
      <w:pPr>
        <w:spacing w:after="0" w:line="360" w:lineRule="auto"/>
        <w:rPr>
          <w:rFonts w:ascii="Times New Roman" w:hAnsi="Times New Roman"/>
          <w:sz w:val="24"/>
          <w:szCs w:val="24"/>
          <w:u w:val="single"/>
          <w:lang w:eastAsia="pl-PL"/>
        </w:rPr>
      </w:pPr>
      <w:r w:rsidRPr="00F137D2">
        <w:rPr>
          <w:rFonts w:ascii="Times New Roman" w:hAnsi="Times New Roman"/>
          <w:bCs/>
          <w:sz w:val="24"/>
          <w:szCs w:val="24"/>
          <w:u w:val="single"/>
          <w:lang w:eastAsia="pl-PL"/>
        </w:rPr>
        <w:t>W s</w:t>
      </w:r>
      <w:r w:rsidR="00860933" w:rsidRPr="00F137D2">
        <w:rPr>
          <w:rFonts w:ascii="Times New Roman" w:hAnsi="Times New Roman"/>
          <w:bCs/>
          <w:sz w:val="24"/>
          <w:szCs w:val="24"/>
          <w:u w:val="single"/>
          <w:lang w:eastAsia="pl-PL"/>
        </w:rPr>
        <w:t>kład Rady V kadencji</w:t>
      </w:r>
      <w:r w:rsidRPr="00F137D2">
        <w:rPr>
          <w:rFonts w:ascii="Times New Roman" w:hAnsi="Times New Roman"/>
          <w:bCs/>
          <w:sz w:val="24"/>
          <w:szCs w:val="24"/>
          <w:u w:val="single"/>
          <w:lang w:eastAsia="pl-PL"/>
        </w:rPr>
        <w:t xml:space="preserve"> weszli</w:t>
      </w:r>
      <w:r w:rsidR="00860933" w:rsidRPr="00F137D2">
        <w:rPr>
          <w:rFonts w:ascii="Times New Roman" w:hAnsi="Times New Roman"/>
          <w:bCs/>
          <w:sz w:val="24"/>
          <w:szCs w:val="24"/>
          <w:u w:val="single"/>
          <w:lang w:eastAsia="pl-PL"/>
        </w:rPr>
        <w:t>:</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 </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Grzegorz D</w:t>
      </w:r>
      <w:r w:rsidR="00BE2FE0" w:rsidRPr="00F137D2">
        <w:rPr>
          <w:rFonts w:ascii="Times New Roman" w:hAnsi="Times New Roman"/>
          <w:bCs/>
          <w:sz w:val="24"/>
          <w:szCs w:val="24"/>
          <w:lang w:eastAsia="pl-PL"/>
        </w:rPr>
        <w:t>ostatni</w:t>
      </w:r>
      <w:r w:rsidRPr="00F137D2">
        <w:rPr>
          <w:rFonts w:ascii="Times New Roman" w:hAnsi="Times New Roman"/>
          <w:bCs/>
          <w:sz w:val="24"/>
          <w:szCs w:val="24"/>
          <w:lang w:eastAsia="pl-PL"/>
        </w:rPr>
        <w:t>  (przewodniczący)</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Jolanta Z</w:t>
      </w:r>
      <w:r w:rsidR="00BE2FE0" w:rsidRPr="00F137D2">
        <w:rPr>
          <w:rFonts w:ascii="Times New Roman" w:hAnsi="Times New Roman"/>
          <w:bCs/>
          <w:sz w:val="24"/>
          <w:szCs w:val="24"/>
          <w:lang w:eastAsia="pl-PL"/>
        </w:rPr>
        <w:t>aborska</w:t>
      </w:r>
      <w:r w:rsidRPr="00F137D2">
        <w:rPr>
          <w:rFonts w:ascii="Times New Roman" w:hAnsi="Times New Roman"/>
          <w:bCs/>
          <w:sz w:val="24"/>
          <w:szCs w:val="24"/>
          <w:lang w:eastAsia="pl-PL"/>
        </w:rPr>
        <w:t xml:space="preserve"> (wiceprzewodnicząca)</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 xml:space="preserve">Ewa </w:t>
      </w:r>
      <w:proofErr w:type="spellStart"/>
      <w:r w:rsidRPr="00F137D2">
        <w:rPr>
          <w:rFonts w:ascii="Times New Roman" w:hAnsi="Times New Roman"/>
          <w:bCs/>
          <w:sz w:val="24"/>
          <w:szCs w:val="24"/>
          <w:lang w:eastAsia="pl-PL"/>
        </w:rPr>
        <w:t>C</w:t>
      </w:r>
      <w:r w:rsidR="00BE2FE0" w:rsidRPr="00F137D2">
        <w:rPr>
          <w:rFonts w:ascii="Times New Roman" w:hAnsi="Times New Roman"/>
          <w:bCs/>
          <w:sz w:val="24"/>
          <w:szCs w:val="24"/>
          <w:lang w:eastAsia="pl-PL"/>
        </w:rPr>
        <w:t>oll</w:t>
      </w:r>
      <w:proofErr w:type="spellEnd"/>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Kacper H</w:t>
      </w:r>
      <w:r w:rsidR="00BE2FE0" w:rsidRPr="00F137D2">
        <w:rPr>
          <w:rFonts w:ascii="Times New Roman" w:hAnsi="Times New Roman"/>
          <w:bCs/>
          <w:sz w:val="24"/>
          <w:szCs w:val="24"/>
          <w:lang w:eastAsia="pl-PL"/>
        </w:rPr>
        <w:t>alski</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Jakub J</w:t>
      </w:r>
      <w:r w:rsidR="00BE2FE0" w:rsidRPr="00F137D2">
        <w:rPr>
          <w:rFonts w:ascii="Times New Roman" w:hAnsi="Times New Roman"/>
          <w:bCs/>
          <w:sz w:val="24"/>
          <w:szCs w:val="24"/>
          <w:lang w:eastAsia="pl-PL"/>
        </w:rPr>
        <w:t>amka</w:t>
      </w:r>
    </w:p>
    <w:p w:rsidR="00230BCE" w:rsidRPr="00F137D2" w:rsidRDefault="00230BCE" w:rsidP="00230BCE">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Marta K</w:t>
      </w:r>
      <w:r w:rsidR="00BE2FE0" w:rsidRPr="00F137D2">
        <w:rPr>
          <w:rFonts w:ascii="Times New Roman" w:hAnsi="Times New Roman"/>
          <w:bCs/>
          <w:sz w:val="24"/>
          <w:szCs w:val="24"/>
          <w:lang w:eastAsia="pl-PL"/>
        </w:rPr>
        <w:t>aczmarska</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Przemysław M</w:t>
      </w:r>
      <w:r w:rsidR="00BE2FE0" w:rsidRPr="00F137D2">
        <w:rPr>
          <w:rFonts w:ascii="Times New Roman" w:hAnsi="Times New Roman"/>
          <w:bCs/>
          <w:sz w:val="24"/>
          <w:szCs w:val="24"/>
          <w:lang w:eastAsia="pl-PL"/>
        </w:rPr>
        <w:t>yszakowski</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Sławomir P</w:t>
      </w:r>
      <w:r w:rsidR="00BE2FE0" w:rsidRPr="00F137D2">
        <w:rPr>
          <w:rFonts w:ascii="Times New Roman" w:hAnsi="Times New Roman"/>
          <w:bCs/>
          <w:sz w:val="24"/>
          <w:szCs w:val="24"/>
          <w:lang w:eastAsia="pl-PL"/>
        </w:rPr>
        <w:t>yl</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Marek R</w:t>
      </w:r>
      <w:r w:rsidR="00BE2FE0" w:rsidRPr="00F137D2">
        <w:rPr>
          <w:rFonts w:ascii="Times New Roman" w:hAnsi="Times New Roman"/>
          <w:bCs/>
          <w:sz w:val="24"/>
          <w:szCs w:val="24"/>
          <w:lang w:eastAsia="pl-PL"/>
        </w:rPr>
        <w:t>edźko</w:t>
      </w:r>
    </w:p>
    <w:p w:rsidR="00860933" w:rsidRPr="00F137D2" w:rsidRDefault="00860933" w:rsidP="00860933">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Rafał Ś</w:t>
      </w:r>
      <w:r w:rsidR="00BE2FE0" w:rsidRPr="00F137D2">
        <w:rPr>
          <w:rFonts w:ascii="Times New Roman" w:hAnsi="Times New Roman"/>
          <w:bCs/>
          <w:sz w:val="24"/>
          <w:szCs w:val="24"/>
          <w:lang w:eastAsia="pl-PL"/>
        </w:rPr>
        <w:t>wić</w:t>
      </w:r>
    </w:p>
    <w:p w:rsidR="00230BCE" w:rsidRPr="00F137D2" w:rsidRDefault="00860933" w:rsidP="00230BCE">
      <w:pPr>
        <w:spacing w:after="0" w:line="360" w:lineRule="auto"/>
        <w:rPr>
          <w:rFonts w:ascii="Times New Roman" w:hAnsi="Times New Roman"/>
          <w:bCs/>
          <w:sz w:val="24"/>
          <w:szCs w:val="24"/>
          <w:lang w:eastAsia="pl-PL"/>
        </w:rPr>
      </w:pPr>
      <w:r w:rsidRPr="00F137D2">
        <w:rPr>
          <w:rFonts w:ascii="Times New Roman" w:hAnsi="Times New Roman"/>
          <w:bCs/>
          <w:sz w:val="24"/>
          <w:szCs w:val="24"/>
          <w:lang w:eastAsia="pl-PL"/>
        </w:rPr>
        <w:t>Radosław W</w:t>
      </w:r>
      <w:r w:rsidR="00BE2FE0" w:rsidRPr="00F137D2">
        <w:rPr>
          <w:rFonts w:ascii="Times New Roman" w:hAnsi="Times New Roman"/>
          <w:bCs/>
          <w:sz w:val="24"/>
          <w:szCs w:val="24"/>
          <w:lang w:eastAsia="pl-PL"/>
        </w:rPr>
        <w:t>awrzyniak</w:t>
      </w:r>
      <w:r w:rsidRPr="00F137D2">
        <w:rPr>
          <w:rFonts w:ascii="Times New Roman" w:hAnsi="Times New Roman"/>
          <w:bCs/>
          <w:sz w:val="24"/>
          <w:szCs w:val="24"/>
          <w:lang w:eastAsia="pl-PL"/>
        </w:rPr>
        <w:br/>
      </w:r>
      <w:r w:rsidR="00230BCE" w:rsidRPr="00F137D2">
        <w:rPr>
          <w:rFonts w:ascii="Times New Roman" w:hAnsi="Times New Roman"/>
          <w:bCs/>
          <w:sz w:val="24"/>
          <w:szCs w:val="24"/>
          <w:lang w:eastAsia="pl-PL"/>
        </w:rPr>
        <w:t>Aleksandra Z</w:t>
      </w:r>
      <w:r w:rsidR="00BE2FE0" w:rsidRPr="00F137D2">
        <w:rPr>
          <w:rFonts w:ascii="Times New Roman" w:hAnsi="Times New Roman"/>
          <w:bCs/>
          <w:sz w:val="24"/>
          <w:szCs w:val="24"/>
          <w:lang w:eastAsia="pl-PL"/>
        </w:rPr>
        <w:t>iuzia</w:t>
      </w:r>
    </w:p>
    <w:p w:rsidR="00367AE2" w:rsidRPr="00F137D2" w:rsidRDefault="00367AE2" w:rsidP="00860933">
      <w:pPr>
        <w:spacing w:after="0" w:line="360" w:lineRule="auto"/>
        <w:rPr>
          <w:rFonts w:ascii="Times New Roman" w:hAnsi="Times New Roman"/>
          <w:sz w:val="24"/>
          <w:szCs w:val="24"/>
          <w:lang w:eastAsia="pl-PL"/>
        </w:rPr>
      </w:pPr>
    </w:p>
    <w:p w:rsidR="00230BCE" w:rsidRDefault="00B6659D" w:rsidP="00B6659D">
      <w:pPr>
        <w:pStyle w:val="Akapitzlist"/>
        <w:numPr>
          <w:ilvl w:val="0"/>
          <w:numId w:val="4"/>
        </w:numPr>
        <w:rPr>
          <w:rFonts w:ascii="Times New Roman" w:hAnsi="Times New Roman" w:cs="Times New Roman"/>
          <w:sz w:val="24"/>
          <w:szCs w:val="24"/>
        </w:rPr>
      </w:pPr>
      <w:r w:rsidRPr="00F137D2">
        <w:rPr>
          <w:rFonts w:ascii="Times New Roman" w:hAnsi="Times New Roman" w:cs="Times New Roman"/>
          <w:sz w:val="24"/>
          <w:szCs w:val="24"/>
        </w:rPr>
        <w:t>POSIEDZENIA RADY</w:t>
      </w:r>
    </w:p>
    <w:p w:rsidR="005E2EC0" w:rsidRPr="00F137D2" w:rsidRDefault="005E2EC0" w:rsidP="005E2EC0">
      <w:pPr>
        <w:pStyle w:val="Akapitzlist"/>
        <w:ind w:left="1440"/>
        <w:rPr>
          <w:rFonts w:ascii="Times New Roman" w:hAnsi="Times New Roman" w:cs="Times New Roman"/>
          <w:sz w:val="24"/>
          <w:szCs w:val="24"/>
        </w:rPr>
      </w:pPr>
    </w:p>
    <w:p w:rsidR="00230BCE" w:rsidRPr="00F137D2" w:rsidRDefault="00230BCE" w:rsidP="003059EA">
      <w:pPr>
        <w:spacing w:line="360" w:lineRule="auto"/>
        <w:jc w:val="both"/>
        <w:rPr>
          <w:rFonts w:ascii="Times New Roman" w:eastAsiaTheme="minorHAnsi" w:hAnsi="Times New Roman"/>
          <w:sz w:val="24"/>
          <w:szCs w:val="24"/>
        </w:rPr>
      </w:pPr>
      <w:r w:rsidRPr="00F137D2">
        <w:rPr>
          <w:rFonts w:ascii="Times New Roman" w:hAnsi="Times New Roman"/>
          <w:sz w:val="24"/>
          <w:szCs w:val="24"/>
        </w:rPr>
        <w:t>W roku 2019 członkowie Rady wzięli udział w 56</w:t>
      </w:r>
      <w:r w:rsidR="009C6BD0" w:rsidRPr="00F137D2">
        <w:rPr>
          <w:rFonts w:ascii="Times New Roman" w:hAnsi="Times New Roman"/>
          <w:sz w:val="24"/>
          <w:szCs w:val="24"/>
        </w:rPr>
        <w:t>1</w:t>
      </w:r>
      <w:r w:rsidRPr="00F137D2">
        <w:rPr>
          <w:rFonts w:ascii="Times New Roman" w:hAnsi="Times New Roman"/>
          <w:sz w:val="24"/>
          <w:szCs w:val="24"/>
        </w:rPr>
        <w:t xml:space="preserve"> posiedzeniach składów orzekających</w:t>
      </w:r>
      <w:r w:rsidR="00544B8C">
        <w:rPr>
          <w:rFonts w:ascii="Times New Roman" w:hAnsi="Times New Roman"/>
          <w:sz w:val="24"/>
          <w:szCs w:val="24"/>
        </w:rPr>
        <w:br/>
      </w:r>
      <w:r w:rsidRPr="00F137D2">
        <w:rPr>
          <w:rFonts w:ascii="Times New Roman" w:hAnsi="Times New Roman"/>
          <w:sz w:val="24"/>
          <w:szCs w:val="24"/>
        </w:rPr>
        <w:t xml:space="preserve">i w </w:t>
      </w:r>
      <w:r w:rsidR="00650925" w:rsidRPr="00F137D2">
        <w:rPr>
          <w:rFonts w:ascii="Times New Roman" w:hAnsi="Times New Roman"/>
          <w:sz w:val="24"/>
          <w:szCs w:val="24"/>
        </w:rPr>
        <w:t>196</w:t>
      </w:r>
      <w:r w:rsidRPr="00F137D2">
        <w:rPr>
          <w:rFonts w:ascii="Times New Roman" w:hAnsi="Times New Roman"/>
          <w:sz w:val="24"/>
          <w:szCs w:val="24"/>
        </w:rPr>
        <w:t xml:space="preserve"> rozprawach przed Wojewódzkim Sądem Administracyjnym i Naczelnym Sądem Administracyjnym. Odbyło się 7 posiedzeń plenarnych Rady.</w:t>
      </w:r>
    </w:p>
    <w:tbl>
      <w:tblPr>
        <w:tblW w:w="3560" w:type="dxa"/>
        <w:tblInd w:w="55" w:type="dxa"/>
        <w:tblCellMar>
          <w:left w:w="70" w:type="dxa"/>
          <w:right w:w="70" w:type="dxa"/>
        </w:tblCellMar>
        <w:tblLook w:val="04A0" w:firstRow="1" w:lastRow="0" w:firstColumn="1" w:lastColumn="0" w:noHBand="0" w:noVBand="1"/>
      </w:tblPr>
      <w:tblGrid>
        <w:gridCol w:w="2120"/>
        <w:gridCol w:w="1440"/>
      </w:tblGrid>
      <w:tr w:rsidR="009C6BD0" w:rsidRPr="00F137D2" w:rsidTr="00F0589E">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center"/>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Posiedzenie sądowe</w:t>
            </w:r>
          </w:p>
        </w:tc>
        <w:tc>
          <w:tcPr>
            <w:tcW w:w="1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center"/>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Liczba</w:t>
            </w:r>
          </w:p>
        </w:tc>
      </w:tr>
      <w:tr w:rsidR="009C6BD0" w:rsidRPr="00F137D2" w:rsidTr="00F0589E">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NSA</w:t>
            </w:r>
          </w:p>
        </w:tc>
        <w:tc>
          <w:tcPr>
            <w:tcW w:w="144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47</w:t>
            </w:r>
          </w:p>
        </w:tc>
      </w:tr>
      <w:tr w:rsidR="009C6BD0" w:rsidRPr="00F137D2" w:rsidTr="00F0589E">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WSA</w:t>
            </w:r>
          </w:p>
        </w:tc>
        <w:tc>
          <w:tcPr>
            <w:tcW w:w="144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149</w:t>
            </w:r>
          </w:p>
        </w:tc>
      </w:tr>
      <w:tr w:rsidR="009C6BD0" w:rsidRPr="00F137D2" w:rsidTr="00F0589E">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1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196</w:t>
            </w:r>
          </w:p>
        </w:tc>
      </w:tr>
    </w:tbl>
    <w:p w:rsidR="009C6BD0" w:rsidRPr="00F137D2" w:rsidRDefault="009C6BD0" w:rsidP="009C6BD0">
      <w:pPr>
        <w:rPr>
          <w:rFonts w:ascii="Times New Roman" w:hAnsi="Times New Roman"/>
          <w:sz w:val="24"/>
          <w:szCs w:val="24"/>
        </w:rPr>
      </w:pPr>
    </w:p>
    <w:tbl>
      <w:tblPr>
        <w:tblW w:w="5080" w:type="dxa"/>
        <w:tblInd w:w="55" w:type="dxa"/>
        <w:tblCellMar>
          <w:left w:w="70" w:type="dxa"/>
          <w:right w:w="70" w:type="dxa"/>
        </w:tblCellMar>
        <w:tblLook w:val="04A0" w:firstRow="1" w:lastRow="0" w:firstColumn="1" w:lastColumn="0" w:noHBand="0" w:noVBand="1"/>
      </w:tblPr>
      <w:tblGrid>
        <w:gridCol w:w="2160"/>
        <w:gridCol w:w="2920"/>
      </w:tblGrid>
      <w:tr w:rsidR="009C6BD0" w:rsidRPr="00F137D2" w:rsidTr="00F0589E">
        <w:trPr>
          <w:trHeight w:val="300"/>
        </w:trPr>
        <w:tc>
          <w:tcPr>
            <w:tcW w:w="21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lastRenderedPageBreak/>
              <w:t>Posiedzenia Rady</w:t>
            </w:r>
          </w:p>
        </w:tc>
        <w:tc>
          <w:tcPr>
            <w:tcW w:w="2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Liczba składów orzekających</w:t>
            </w:r>
          </w:p>
        </w:tc>
      </w:tr>
      <w:tr w:rsidR="009C6BD0" w:rsidRPr="00F137D2" w:rsidTr="00F0589E">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1-os. skład Rady</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56</w:t>
            </w:r>
          </w:p>
        </w:tc>
      </w:tr>
      <w:tr w:rsidR="009C6BD0" w:rsidRPr="00F137D2" w:rsidTr="00F0589E">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3-os. skład Rady</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505</w:t>
            </w:r>
          </w:p>
        </w:tc>
      </w:tr>
      <w:tr w:rsidR="009C6BD0" w:rsidRPr="00F137D2" w:rsidTr="00F0589E">
        <w:trPr>
          <w:trHeight w:val="28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posiedzenie plenarne</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r>
      <w:tr w:rsidR="009C6BD0" w:rsidRPr="00F137D2" w:rsidTr="00F0589E">
        <w:trPr>
          <w:trHeight w:val="300"/>
        </w:trPr>
        <w:tc>
          <w:tcPr>
            <w:tcW w:w="21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2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568</w:t>
            </w:r>
          </w:p>
        </w:tc>
      </w:tr>
    </w:tbl>
    <w:p w:rsidR="00230BCE" w:rsidRPr="00F137D2" w:rsidRDefault="00230BCE" w:rsidP="00230BCE">
      <w:pPr>
        <w:pStyle w:val="Akapitzlist"/>
        <w:ind w:left="1440"/>
        <w:rPr>
          <w:rFonts w:ascii="Times New Roman" w:hAnsi="Times New Roman" w:cs="Times New Roman"/>
          <w:sz w:val="24"/>
          <w:szCs w:val="24"/>
        </w:rPr>
      </w:pPr>
    </w:p>
    <w:p w:rsidR="00860933" w:rsidRPr="00F137D2" w:rsidRDefault="000E7E3F" w:rsidP="003059EA">
      <w:pPr>
        <w:spacing w:line="360" w:lineRule="auto"/>
        <w:rPr>
          <w:rFonts w:ascii="Times New Roman" w:hAnsi="Times New Roman"/>
          <w:sz w:val="24"/>
          <w:szCs w:val="24"/>
          <w:u w:val="single"/>
        </w:rPr>
      </w:pPr>
      <w:r w:rsidRPr="00F137D2">
        <w:rPr>
          <w:rFonts w:ascii="Times New Roman" w:hAnsi="Times New Roman"/>
          <w:sz w:val="24"/>
          <w:szCs w:val="24"/>
          <w:u w:val="single"/>
        </w:rPr>
        <w:t>S</w:t>
      </w:r>
      <w:r w:rsidR="00860933" w:rsidRPr="00F137D2">
        <w:rPr>
          <w:rFonts w:ascii="Times New Roman" w:hAnsi="Times New Roman"/>
          <w:sz w:val="24"/>
          <w:szCs w:val="24"/>
          <w:u w:val="single"/>
        </w:rPr>
        <w:t>p</w:t>
      </w:r>
      <w:r w:rsidRPr="00F137D2">
        <w:rPr>
          <w:rFonts w:ascii="Times New Roman" w:hAnsi="Times New Roman"/>
          <w:sz w:val="24"/>
          <w:szCs w:val="24"/>
          <w:u w:val="single"/>
        </w:rPr>
        <w:t>rawy omawiane na posiedzeniach</w:t>
      </w:r>
    </w:p>
    <w:p w:rsidR="000E7E3F" w:rsidRPr="00F137D2" w:rsidRDefault="000E7E3F" w:rsidP="003059EA">
      <w:pPr>
        <w:spacing w:line="360" w:lineRule="auto"/>
        <w:jc w:val="both"/>
        <w:rPr>
          <w:rFonts w:ascii="Times New Roman" w:hAnsi="Times New Roman"/>
          <w:sz w:val="24"/>
          <w:szCs w:val="24"/>
        </w:rPr>
      </w:pPr>
      <w:r w:rsidRPr="00F137D2">
        <w:rPr>
          <w:rFonts w:ascii="Times New Roman" w:hAnsi="Times New Roman"/>
          <w:sz w:val="24"/>
          <w:szCs w:val="24"/>
        </w:rPr>
        <w:t xml:space="preserve">W pierwszym półroczu 2019 r. tematy podejmowane na posiedzeniach plenarnych Rady, pomijając zagadnienia związane z orzecznictwem Rady i sądów administracyjnych, dotyczyły spraw związanych z zakończeniem prac IV kadencji, w szczególności weryfikacji spraw niezakończonych i przyjęcia kryteriów wyboru spraw priorytetowych do zakończenia przed upływem kadencji. Natomiast w pierwszych miesiącach V kadencji Rady omawiano zasady funkcjonowania Rady. </w:t>
      </w:r>
      <w:r w:rsidR="0001723D" w:rsidRPr="00F137D2">
        <w:rPr>
          <w:rFonts w:ascii="Times New Roman" w:hAnsi="Times New Roman"/>
          <w:sz w:val="24"/>
          <w:szCs w:val="24"/>
        </w:rPr>
        <w:t xml:space="preserve">W drugim półroczu omawiano bieżące zagadnienia związane </w:t>
      </w:r>
      <w:r w:rsidR="00544B8C">
        <w:rPr>
          <w:rFonts w:ascii="Times New Roman" w:hAnsi="Times New Roman"/>
          <w:sz w:val="24"/>
          <w:szCs w:val="24"/>
        </w:rPr>
        <w:br/>
      </w:r>
      <w:r w:rsidR="0001723D" w:rsidRPr="00F137D2">
        <w:rPr>
          <w:rFonts w:ascii="Times New Roman" w:hAnsi="Times New Roman"/>
          <w:sz w:val="24"/>
          <w:szCs w:val="24"/>
        </w:rPr>
        <w:t>z funkcjonowaniem Rady</w:t>
      </w:r>
      <w:r w:rsidR="00650925" w:rsidRPr="00F137D2">
        <w:rPr>
          <w:rFonts w:ascii="Times New Roman" w:hAnsi="Times New Roman"/>
          <w:sz w:val="24"/>
          <w:szCs w:val="24"/>
        </w:rPr>
        <w:t xml:space="preserve">, </w:t>
      </w:r>
      <w:r w:rsidR="001D6E69" w:rsidRPr="00F137D2">
        <w:rPr>
          <w:rFonts w:ascii="Times New Roman" w:hAnsi="Times New Roman"/>
          <w:sz w:val="24"/>
          <w:szCs w:val="24"/>
        </w:rPr>
        <w:t xml:space="preserve">zastanawiano się nad sposobami usprawnienia prac Rady, </w:t>
      </w:r>
      <w:r w:rsidR="00EF4CCA" w:rsidRPr="00F137D2">
        <w:rPr>
          <w:rFonts w:ascii="Times New Roman" w:hAnsi="Times New Roman"/>
          <w:sz w:val="24"/>
          <w:szCs w:val="24"/>
        </w:rPr>
        <w:t xml:space="preserve">rozważano </w:t>
      </w:r>
      <w:r w:rsidR="00650925" w:rsidRPr="00F137D2">
        <w:rPr>
          <w:rFonts w:ascii="Times New Roman" w:hAnsi="Times New Roman"/>
          <w:sz w:val="24"/>
          <w:szCs w:val="24"/>
        </w:rPr>
        <w:t xml:space="preserve">m.in. konieczność </w:t>
      </w:r>
      <w:r w:rsidR="001D6E69" w:rsidRPr="00F137D2">
        <w:rPr>
          <w:rFonts w:ascii="Times New Roman" w:hAnsi="Times New Roman"/>
          <w:sz w:val="24"/>
          <w:szCs w:val="24"/>
        </w:rPr>
        <w:t>zmiany rozporządzeń dotyczących funkcjonowania Rady.</w:t>
      </w:r>
    </w:p>
    <w:p w:rsidR="00C02CD0" w:rsidRPr="00F137D2" w:rsidRDefault="000E7E3F" w:rsidP="003059EA">
      <w:pPr>
        <w:spacing w:line="360" w:lineRule="auto"/>
        <w:jc w:val="both"/>
        <w:rPr>
          <w:rFonts w:ascii="Times New Roman" w:hAnsi="Times New Roman"/>
          <w:sz w:val="24"/>
          <w:szCs w:val="24"/>
          <w:u w:val="single"/>
        </w:rPr>
      </w:pPr>
      <w:r w:rsidRPr="00F137D2">
        <w:rPr>
          <w:rFonts w:ascii="Times New Roman" w:hAnsi="Times New Roman"/>
          <w:sz w:val="24"/>
          <w:szCs w:val="24"/>
          <w:u w:val="single"/>
        </w:rPr>
        <w:t>Uchwały Rady</w:t>
      </w:r>
      <w:r w:rsidR="00860933" w:rsidRPr="00F137D2">
        <w:rPr>
          <w:rFonts w:ascii="Times New Roman" w:hAnsi="Times New Roman"/>
          <w:sz w:val="24"/>
          <w:szCs w:val="24"/>
          <w:u w:val="single"/>
        </w:rPr>
        <w:t xml:space="preserve"> </w:t>
      </w:r>
      <w:r w:rsidR="00C02CD0" w:rsidRPr="00F137D2">
        <w:rPr>
          <w:rFonts w:ascii="Times New Roman" w:hAnsi="Times New Roman"/>
          <w:sz w:val="24"/>
          <w:szCs w:val="24"/>
          <w:u w:val="single"/>
        </w:rPr>
        <w:t xml:space="preserve"> </w:t>
      </w:r>
    </w:p>
    <w:p w:rsidR="00C02CD0" w:rsidRPr="00F137D2" w:rsidRDefault="00C02CD0" w:rsidP="003059EA">
      <w:pPr>
        <w:spacing w:line="360" w:lineRule="auto"/>
        <w:jc w:val="both"/>
        <w:rPr>
          <w:rFonts w:ascii="Times New Roman" w:hAnsi="Times New Roman"/>
          <w:b/>
          <w:sz w:val="24"/>
          <w:szCs w:val="24"/>
        </w:rPr>
      </w:pPr>
      <w:r w:rsidRPr="00F137D2">
        <w:rPr>
          <w:rFonts w:ascii="Times New Roman" w:hAnsi="Times New Roman"/>
          <w:sz w:val="24"/>
          <w:szCs w:val="24"/>
        </w:rPr>
        <w:t>W 2019 r. w dniu 30 września</w:t>
      </w:r>
      <w:r w:rsidRPr="00F137D2">
        <w:rPr>
          <w:rFonts w:ascii="Times New Roman" w:hAnsi="Times New Roman"/>
          <w:b/>
          <w:sz w:val="24"/>
          <w:szCs w:val="24"/>
        </w:rPr>
        <w:t xml:space="preserve"> </w:t>
      </w:r>
      <w:r w:rsidRPr="00F137D2">
        <w:rPr>
          <w:rFonts w:ascii="Times New Roman" w:hAnsi="Times New Roman"/>
          <w:sz w:val="24"/>
          <w:szCs w:val="24"/>
        </w:rPr>
        <w:t>Rada na podstawie § 16 ust. 1 i 2 Regulaminu czynności wewnętrznych Rady do Spraw Uchodźców, stanowiącego załącznik do rozporządzenia Prezesa Rady Ministrów z dnia 9 grudnia 2008 r. w sprawie statutu organizacyjnego i regulaminu czynności wewnętrznych Rady do Spraw Uchodźców (Dz. U. poz. 1469) podjęła uchwałę nr</w:t>
      </w:r>
      <w:r w:rsidR="00EF4CCA" w:rsidRPr="00F137D2">
        <w:rPr>
          <w:rFonts w:ascii="Times New Roman" w:hAnsi="Times New Roman"/>
          <w:sz w:val="24"/>
          <w:szCs w:val="24"/>
        </w:rPr>
        <w:t xml:space="preserve"> </w:t>
      </w:r>
      <w:r w:rsidRPr="00F137D2">
        <w:rPr>
          <w:rFonts w:ascii="Times New Roman" w:hAnsi="Times New Roman"/>
          <w:sz w:val="24"/>
          <w:szCs w:val="24"/>
        </w:rPr>
        <w:t xml:space="preserve">1/2019 </w:t>
      </w:r>
      <w:r w:rsidRPr="00F137D2">
        <w:rPr>
          <w:rFonts w:ascii="Times New Roman" w:hAnsi="Times New Roman"/>
          <w:i/>
          <w:sz w:val="24"/>
          <w:szCs w:val="24"/>
        </w:rPr>
        <w:t>w sprawie zmiany formy powiadamiania członków Rady do Spraw Uchodźców o posiedzeniach plenarnych Rady</w:t>
      </w:r>
      <w:r w:rsidR="001D6E69" w:rsidRPr="00F137D2">
        <w:rPr>
          <w:rFonts w:ascii="Times New Roman" w:hAnsi="Times New Roman"/>
          <w:i/>
          <w:sz w:val="24"/>
          <w:szCs w:val="24"/>
        </w:rPr>
        <w:t>.</w:t>
      </w:r>
    </w:p>
    <w:p w:rsidR="00C02CD0" w:rsidRPr="00F137D2" w:rsidRDefault="00C02CD0" w:rsidP="003059EA">
      <w:pPr>
        <w:spacing w:line="360" w:lineRule="auto"/>
        <w:jc w:val="both"/>
        <w:rPr>
          <w:rFonts w:ascii="Times New Roman" w:hAnsi="Times New Roman"/>
          <w:sz w:val="24"/>
          <w:szCs w:val="24"/>
        </w:rPr>
      </w:pPr>
      <w:r w:rsidRPr="00F137D2">
        <w:rPr>
          <w:rFonts w:ascii="Times New Roman" w:hAnsi="Times New Roman"/>
          <w:sz w:val="24"/>
          <w:szCs w:val="24"/>
        </w:rPr>
        <w:t>Rada, na mocy tej uchwały, uznała zawiadomienie pisemne w formie elektronicznej za równoważne z zawiadomieniem na piśmie członków Rady o terminie, miejscu i projekcie porządku dziennego posiedzenia plenarnego. Rozwiązanie takie ma na celu uproszczenie procedury zwoływania posiedzeń, jak też włączenie się w proekologiczne działania administracji.</w:t>
      </w:r>
    </w:p>
    <w:p w:rsidR="000E7E3F" w:rsidRDefault="000E7E3F" w:rsidP="003059EA">
      <w:pPr>
        <w:spacing w:line="360" w:lineRule="auto"/>
        <w:rPr>
          <w:rFonts w:ascii="Times New Roman" w:hAnsi="Times New Roman"/>
          <w:sz w:val="24"/>
          <w:szCs w:val="24"/>
        </w:rPr>
      </w:pPr>
    </w:p>
    <w:p w:rsidR="005E2EC0" w:rsidRDefault="005E2EC0" w:rsidP="003059EA">
      <w:pPr>
        <w:spacing w:line="360" w:lineRule="auto"/>
        <w:rPr>
          <w:rFonts w:ascii="Times New Roman" w:hAnsi="Times New Roman"/>
          <w:sz w:val="24"/>
          <w:szCs w:val="24"/>
        </w:rPr>
      </w:pPr>
    </w:p>
    <w:p w:rsidR="00367AE2" w:rsidRDefault="00367AE2" w:rsidP="003059EA">
      <w:pPr>
        <w:spacing w:line="360" w:lineRule="auto"/>
        <w:rPr>
          <w:rFonts w:ascii="Times New Roman" w:hAnsi="Times New Roman"/>
          <w:sz w:val="24"/>
          <w:szCs w:val="24"/>
        </w:rPr>
      </w:pPr>
    </w:p>
    <w:p w:rsidR="00367AE2" w:rsidRPr="00F137D2" w:rsidRDefault="00367AE2" w:rsidP="003059EA">
      <w:pPr>
        <w:spacing w:line="360" w:lineRule="auto"/>
        <w:rPr>
          <w:rFonts w:ascii="Times New Roman" w:hAnsi="Times New Roman"/>
          <w:sz w:val="24"/>
          <w:szCs w:val="24"/>
        </w:rPr>
      </w:pPr>
    </w:p>
    <w:p w:rsidR="00860933" w:rsidRPr="00F137D2" w:rsidRDefault="000E7E3F" w:rsidP="003059EA">
      <w:pPr>
        <w:spacing w:line="360" w:lineRule="auto"/>
        <w:rPr>
          <w:rFonts w:ascii="Times New Roman" w:hAnsi="Times New Roman"/>
          <w:sz w:val="24"/>
          <w:szCs w:val="24"/>
          <w:u w:val="single"/>
        </w:rPr>
      </w:pPr>
      <w:r w:rsidRPr="00F137D2">
        <w:rPr>
          <w:rFonts w:ascii="Times New Roman" w:hAnsi="Times New Roman"/>
          <w:sz w:val="24"/>
          <w:szCs w:val="24"/>
          <w:u w:val="single"/>
        </w:rPr>
        <w:lastRenderedPageBreak/>
        <w:t>W</w:t>
      </w:r>
      <w:r w:rsidR="00860933" w:rsidRPr="00F137D2">
        <w:rPr>
          <w:rFonts w:ascii="Times New Roman" w:hAnsi="Times New Roman"/>
          <w:sz w:val="24"/>
          <w:szCs w:val="24"/>
          <w:u w:val="single"/>
        </w:rPr>
        <w:t>spółpraca</w:t>
      </w:r>
      <w:r w:rsidRPr="00F137D2">
        <w:rPr>
          <w:rFonts w:ascii="Times New Roman" w:hAnsi="Times New Roman"/>
          <w:sz w:val="24"/>
          <w:szCs w:val="24"/>
          <w:u w:val="single"/>
        </w:rPr>
        <w:t xml:space="preserve"> Rady krajowa i międzynarodowa</w:t>
      </w:r>
    </w:p>
    <w:p w:rsidR="003B2346" w:rsidRDefault="003B2346" w:rsidP="00367AE2">
      <w:pPr>
        <w:spacing w:after="120" w:line="360" w:lineRule="auto"/>
        <w:jc w:val="both"/>
        <w:rPr>
          <w:rFonts w:ascii="Times New Roman" w:hAnsi="Times New Roman"/>
          <w:color w:val="000000"/>
          <w:sz w:val="24"/>
          <w:szCs w:val="24"/>
        </w:rPr>
      </w:pPr>
      <w:r w:rsidRPr="00F137D2">
        <w:rPr>
          <w:rFonts w:ascii="Times New Roman" w:hAnsi="Times New Roman"/>
          <w:sz w:val="24"/>
          <w:szCs w:val="24"/>
        </w:rPr>
        <w:t>W 2019 r. w ramach współpracy z Naczelnym Sądem Administracyjnym</w:t>
      </w:r>
      <w:r w:rsidR="00953CC0" w:rsidRPr="00F137D2">
        <w:rPr>
          <w:rFonts w:ascii="Times New Roman" w:hAnsi="Times New Roman"/>
          <w:sz w:val="24"/>
          <w:szCs w:val="24"/>
        </w:rPr>
        <w:t>, podobnie jak w latach ubiegłych,</w:t>
      </w:r>
      <w:r w:rsidRPr="00F137D2">
        <w:rPr>
          <w:rFonts w:ascii="Times New Roman" w:hAnsi="Times New Roman"/>
          <w:sz w:val="24"/>
          <w:szCs w:val="24"/>
        </w:rPr>
        <w:t xml:space="preserve"> przyjmowani byli przez członków Rady </w:t>
      </w:r>
      <w:r w:rsidRPr="00F137D2">
        <w:rPr>
          <w:rFonts w:ascii="Times New Roman" w:hAnsi="Times New Roman"/>
          <w:color w:val="000000"/>
          <w:sz w:val="24"/>
          <w:szCs w:val="24"/>
        </w:rPr>
        <w:t xml:space="preserve">cudzoziemcy odbywający staże w NSA </w:t>
      </w:r>
      <w:r w:rsidR="00544B8C">
        <w:rPr>
          <w:rFonts w:ascii="Times New Roman" w:hAnsi="Times New Roman"/>
          <w:color w:val="000000"/>
          <w:sz w:val="24"/>
          <w:szCs w:val="24"/>
        </w:rPr>
        <w:br/>
      </w:r>
      <w:r w:rsidRPr="00F137D2">
        <w:rPr>
          <w:rFonts w:ascii="Times New Roman" w:hAnsi="Times New Roman"/>
          <w:color w:val="000000"/>
          <w:sz w:val="24"/>
          <w:szCs w:val="24"/>
        </w:rPr>
        <w:t>w ramach Programu Wymiany Sędziów Europejskiej Sieci Kształcenia Kadr Wymiaru Sprawiedliwości.</w:t>
      </w:r>
      <w:r w:rsidR="00953CC0" w:rsidRPr="00F137D2">
        <w:rPr>
          <w:rFonts w:ascii="Times New Roman" w:hAnsi="Times New Roman"/>
          <w:color w:val="000000"/>
          <w:sz w:val="24"/>
          <w:szCs w:val="24"/>
        </w:rPr>
        <w:t xml:space="preserve"> Celem spotkań było przedstawienie pracy Rady jako organu odwoławczego w procedurze o udzielenie ochrony międzynarodowej.</w:t>
      </w:r>
    </w:p>
    <w:p w:rsidR="00EF4CCA" w:rsidRPr="00F137D2" w:rsidRDefault="00650925" w:rsidP="00367AE2">
      <w:pPr>
        <w:spacing w:after="120" w:line="360" w:lineRule="auto"/>
        <w:jc w:val="both"/>
        <w:rPr>
          <w:rFonts w:ascii="Times New Roman" w:hAnsi="Times New Roman"/>
          <w:sz w:val="24"/>
          <w:szCs w:val="24"/>
        </w:rPr>
      </w:pPr>
      <w:r w:rsidRPr="00F137D2">
        <w:rPr>
          <w:rFonts w:ascii="Times New Roman" w:hAnsi="Times New Roman"/>
          <w:sz w:val="24"/>
          <w:szCs w:val="24"/>
        </w:rPr>
        <w:t xml:space="preserve">W dniach 15-16 listopada br. członkowie Rady udali się do Białej Podlaskiej. W ramach wyjazdu zapoznali się z warunkami pobytu w Ośrodku dla osób ubiegających się o ochronę międzynarodową Urzędu do Spraw Cudzoziemców, gdzie odbyli również szkolenie z technik prowadzenia przesłuchań obcokrajowców. Ponadto odbyli spotkanie w Strzeżonym Ośrodku dla Cudzoziemców Straży Granicznej Białej Podlaskiej, a także na przejściu granicznym </w:t>
      </w:r>
      <w:r w:rsidR="00544B8C">
        <w:rPr>
          <w:rFonts w:ascii="Times New Roman" w:hAnsi="Times New Roman"/>
          <w:sz w:val="24"/>
          <w:szCs w:val="24"/>
        </w:rPr>
        <w:br/>
      </w:r>
      <w:r w:rsidRPr="00F137D2">
        <w:rPr>
          <w:rFonts w:ascii="Times New Roman" w:hAnsi="Times New Roman"/>
          <w:sz w:val="24"/>
          <w:szCs w:val="24"/>
        </w:rPr>
        <w:t>w Terespolu, gdzie zapoznali się</w:t>
      </w:r>
      <w:r w:rsidR="00EF4CCA" w:rsidRPr="00F137D2">
        <w:rPr>
          <w:rFonts w:ascii="Times New Roman" w:hAnsi="Times New Roman"/>
          <w:sz w:val="24"/>
          <w:szCs w:val="24"/>
        </w:rPr>
        <w:t xml:space="preserve"> z przebiegiem tam procedury składania wniosków statusowych przez cudzoziemców. </w:t>
      </w:r>
    </w:p>
    <w:p w:rsidR="0001723D" w:rsidRDefault="0001723D" w:rsidP="00367AE2">
      <w:pPr>
        <w:spacing w:after="240" w:line="360" w:lineRule="auto"/>
        <w:contextualSpacing/>
        <w:jc w:val="both"/>
        <w:rPr>
          <w:rFonts w:ascii="Times New Roman" w:eastAsia="MS Mincho" w:hAnsi="Times New Roman"/>
          <w:sz w:val="24"/>
          <w:szCs w:val="24"/>
          <w:lang w:eastAsia="en-GB"/>
        </w:rPr>
      </w:pPr>
      <w:r w:rsidRPr="00F137D2">
        <w:rPr>
          <w:rFonts w:ascii="Times New Roman" w:eastAsia="MS Mincho" w:hAnsi="Times New Roman"/>
          <w:sz w:val="24"/>
          <w:szCs w:val="24"/>
          <w:lang w:eastAsia="en-GB"/>
        </w:rPr>
        <w:t xml:space="preserve">Pani </w:t>
      </w:r>
      <w:r w:rsidR="00705C36">
        <w:rPr>
          <w:rFonts w:ascii="Times New Roman" w:eastAsia="MS Mincho" w:hAnsi="Times New Roman"/>
          <w:sz w:val="24"/>
          <w:szCs w:val="24"/>
          <w:lang w:eastAsia="en-GB"/>
        </w:rPr>
        <w:t>M</w:t>
      </w:r>
      <w:r w:rsidRPr="00F137D2">
        <w:rPr>
          <w:rFonts w:ascii="Times New Roman" w:eastAsia="MS Mincho" w:hAnsi="Times New Roman"/>
          <w:sz w:val="24"/>
          <w:szCs w:val="24"/>
          <w:lang w:eastAsia="en-GB"/>
        </w:rPr>
        <w:t>arta Kaczmarska oraz dodatkowo Pan Grzegorz Dostani</w:t>
      </w:r>
      <w:r w:rsidRPr="00F137D2">
        <w:rPr>
          <w:rFonts w:ascii="Times New Roman" w:eastAsia="Times New Roman" w:hAnsi="Times New Roman"/>
          <w:sz w:val="24"/>
          <w:szCs w:val="24"/>
        </w:rPr>
        <w:t xml:space="preserve"> zostali wyznaczeni </w:t>
      </w:r>
      <w:r w:rsidR="009C53ED">
        <w:rPr>
          <w:rFonts w:ascii="Times New Roman" w:eastAsia="Times New Roman" w:hAnsi="Times New Roman"/>
          <w:sz w:val="24"/>
          <w:szCs w:val="24"/>
        </w:rPr>
        <w:t xml:space="preserve">jako </w:t>
      </w:r>
      <w:r w:rsidRPr="00F137D2">
        <w:rPr>
          <w:rFonts w:ascii="Times New Roman" w:eastAsia="Times New Roman" w:hAnsi="Times New Roman"/>
          <w:sz w:val="24"/>
          <w:szCs w:val="24"/>
        </w:rPr>
        <w:t>przedstaw</w:t>
      </w:r>
      <w:r w:rsidR="009C53ED">
        <w:rPr>
          <w:rFonts w:ascii="Times New Roman" w:eastAsia="Times New Roman" w:hAnsi="Times New Roman"/>
          <w:sz w:val="24"/>
          <w:szCs w:val="24"/>
        </w:rPr>
        <w:t>iciele</w:t>
      </w:r>
      <w:r w:rsidRPr="00F137D2">
        <w:rPr>
          <w:rFonts w:ascii="Times New Roman" w:eastAsia="Times New Roman" w:hAnsi="Times New Roman"/>
          <w:sz w:val="24"/>
          <w:szCs w:val="24"/>
        </w:rPr>
        <w:t xml:space="preserve"> Rady do Spraw Uchodźców w </w:t>
      </w:r>
      <w:r w:rsidRPr="00F137D2">
        <w:rPr>
          <w:rFonts w:ascii="Times New Roman" w:eastAsia="MS Mincho" w:hAnsi="Times New Roman"/>
          <w:sz w:val="24"/>
          <w:szCs w:val="24"/>
        </w:rPr>
        <w:t xml:space="preserve">Zespole ds. Europejskiego Trybunału Praw Człowieka, działającym przy </w:t>
      </w:r>
      <w:r w:rsidRPr="00F137D2">
        <w:rPr>
          <w:rFonts w:ascii="Times New Roman" w:eastAsia="MS Mincho" w:hAnsi="Times New Roman"/>
          <w:sz w:val="24"/>
          <w:szCs w:val="24"/>
          <w:lang w:eastAsia="en-GB"/>
        </w:rPr>
        <w:t>Pełnomocniku MSZ ds. koordynacji wykonywania wyroków Europejskiego Trybunału Praw Człowieka.</w:t>
      </w:r>
    </w:p>
    <w:p w:rsidR="00446621" w:rsidRPr="00F137D2" w:rsidRDefault="00EF4CCA" w:rsidP="00367AE2">
      <w:pPr>
        <w:spacing w:before="120" w:after="0" w:line="360" w:lineRule="auto"/>
        <w:jc w:val="both"/>
        <w:rPr>
          <w:rFonts w:ascii="Times New Roman" w:hAnsi="Times New Roman"/>
          <w:sz w:val="24"/>
          <w:szCs w:val="24"/>
        </w:rPr>
      </w:pPr>
      <w:r w:rsidRPr="00F137D2">
        <w:rPr>
          <w:rFonts w:ascii="Times New Roman" w:hAnsi="Times New Roman"/>
          <w:sz w:val="24"/>
          <w:szCs w:val="24"/>
        </w:rPr>
        <w:t xml:space="preserve">Ponadto, członkowie Rady uczestniczyli w wielu innych spotkaniach, konferencjach </w:t>
      </w:r>
      <w:r w:rsidR="00F137D2" w:rsidRPr="00F137D2">
        <w:rPr>
          <w:rFonts w:ascii="Times New Roman" w:hAnsi="Times New Roman"/>
          <w:sz w:val="24"/>
          <w:szCs w:val="24"/>
        </w:rPr>
        <w:br/>
      </w:r>
      <w:r w:rsidRPr="00F137D2">
        <w:rPr>
          <w:rFonts w:ascii="Times New Roman" w:hAnsi="Times New Roman"/>
          <w:sz w:val="24"/>
          <w:szCs w:val="24"/>
        </w:rPr>
        <w:t xml:space="preserve">i naradach, m.in. w </w:t>
      </w:r>
      <w:r w:rsidR="00446621" w:rsidRPr="00F137D2">
        <w:rPr>
          <w:rFonts w:ascii="Times New Roman" w:hAnsi="Times New Roman"/>
          <w:sz w:val="24"/>
          <w:szCs w:val="24"/>
        </w:rPr>
        <w:t>konferencj</w:t>
      </w:r>
      <w:r w:rsidRPr="00F137D2">
        <w:rPr>
          <w:rFonts w:ascii="Times New Roman" w:hAnsi="Times New Roman"/>
          <w:sz w:val="24"/>
          <w:szCs w:val="24"/>
        </w:rPr>
        <w:t>i</w:t>
      </w:r>
      <w:r w:rsidR="00446621" w:rsidRPr="00F137D2">
        <w:rPr>
          <w:rFonts w:ascii="Times New Roman" w:hAnsi="Times New Roman"/>
          <w:sz w:val="24"/>
          <w:szCs w:val="24"/>
        </w:rPr>
        <w:t xml:space="preserve"> zorganizowan</w:t>
      </w:r>
      <w:r w:rsidRPr="00F137D2">
        <w:rPr>
          <w:rFonts w:ascii="Times New Roman" w:hAnsi="Times New Roman"/>
          <w:sz w:val="24"/>
          <w:szCs w:val="24"/>
        </w:rPr>
        <w:t>ej</w:t>
      </w:r>
      <w:r w:rsidR="00446621" w:rsidRPr="00F137D2">
        <w:rPr>
          <w:rFonts w:ascii="Times New Roman" w:hAnsi="Times New Roman"/>
          <w:sz w:val="24"/>
          <w:szCs w:val="24"/>
        </w:rPr>
        <w:t xml:space="preserve"> przez Helsińską Fundację Praw Człowieka „Adwokaci na granicy” poświęcon</w:t>
      </w:r>
      <w:r w:rsidRPr="00F137D2">
        <w:rPr>
          <w:rFonts w:ascii="Times New Roman" w:hAnsi="Times New Roman"/>
          <w:sz w:val="24"/>
          <w:szCs w:val="24"/>
        </w:rPr>
        <w:t>ej</w:t>
      </w:r>
      <w:r w:rsidR="00446621" w:rsidRPr="00F137D2">
        <w:rPr>
          <w:rFonts w:ascii="Times New Roman" w:hAnsi="Times New Roman"/>
          <w:sz w:val="24"/>
          <w:szCs w:val="24"/>
        </w:rPr>
        <w:t xml:space="preserve"> sytuacji cudzoziemców ubiegających się o ochronę na wschodnich granicach Polski i planowanych zmianach przepisów</w:t>
      </w:r>
      <w:r w:rsidR="00705C36">
        <w:rPr>
          <w:rFonts w:ascii="Times New Roman" w:hAnsi="Times New Roman"/>
          <w:sz w:val="24"/>
          <w:szCs w:val="24"/>
        </w:rPr>
        <w:t xml:space="preserve"> (k</w:t>
      </w:r>
      <w:r w:rsidR="00446621" w:rsidRPr="00F137D2">
        <w:rPr>
          <w:rFonts w:ascii="Times New Roman" w:hAnsi="Times New Roman"/>
          <w:sz w:val="24"/>
          <w:szCs w:val="24"/>
        </w:rPr>
        <w:t xml:space="preserve">onferencja odbyła się </w:t>
      </w:r>
      <w:r w:rsidR="00F137D2" w:rsidRPr="00F137D2">
        <w:rPr>
          <w:rFonts w:ascii="Times New Roman" w:hAnsi="Times New Roman"/>
          <w:sz w:val="24"/>
          <w:szCs w:val="24"/>
        </w:rPr>
        <w:br/>
      </w:r>
      <w:r w:rsidR="00446621" w:rsidRPr="00F137D2">
        <w:rPr>
          <w:rFonts w:ascii="Times New Roman" w:hAnsi="Times New Roman"/>
          <w:sz w:val="24"/>
          <w:szCs w:val="24"/>
        </w:rPr>
        <w:t xml:space="preserve">w </w:t>
      </w:r>
      <w:r w:rsidRPr="00F137D2">
        <w:rPr>
          <w:rFonts w:ascii="Times New Roman" w:hAnsi="Times New Roman"/>
          <w:sz w:val="24"/>
          <w:szCs w:val="24"/>
        </w:rPr>
        <w:t>Warszawie 15 kwietnia 2019 roku</w:t>
      </w:r>
      <w:r w:rsidR="00705C36">
        <w:rPr>
          <w:rFonts w:ascii="Times New Roman" w:hAnsi="Times New Roman"/>
          <w:sz w:val="24"/>
          <w:szCs w:val="24"/>
        </w:rPr>
        <w:t>)</w:t>
      </w:r>
      <w:r w:rsidRPr="00F137D2">
        <w:rPr>
          <w:rFonts w:ascii="Times New Roman" w:hAnsi="Times New Roman"/>
          <w:sz w:val="24"/>
          <w:szCs w:val="24"/>
        </w:rPr>
        <w:t xml:space="preserve">, czy w </w:t>
      </w:r>
      <w:r w:rsidR="00446621" w:rsidRPr="00F137D2">
        <w:rPr>
          <w:rFonts w:ascii="Times New Roman" w:hAnsi="Times New Roman"/>
          <w:sz w:val="24"/>
          <w:szCs w:val="24"/>
        </w:rPr>
        <w:t>XIII Seminarium Warszawski</w:t>
      </w:r>
      <w:r w:rsidRPr="00F137D2">
        <w:rPr>
          <w:rFonts w:ascii="Times New Roman" w:hAnsi="Times New Roman"/>
          <w:sz w:val="24"/>
          <w:szCs w:val="24"/>
        </w:rPr>
        <w:t xml:space="preserve">m </w:t>
      </w:r>
      <w:r w:rsidR="00446621" w:rsidRPr="00F137D2">
        <w:rPr>
          <w:rFonts w:ascii="Times New Roman" w:hAnsi="Times New Roman"/>
          <w:i/>
          <w:iCs/>
          <w:sz w:val="24"/>
          <w:szCs w:val="24"/>
        </w:rPr>
        <w:t xml:space="preserve">Prawa dziecka </w:t>
      </w:r>
      <w:r w:rsidR="00F137D2" w:rsidRPr="00F137D2">
        <w:rPr>
          <w:rFonts w:ascii="Times New Roman" w:hAnsi="Times New Roman"/>
          <w:i/>
          <w:iCs/>
          <w:sz w:val="24"/>
          <w:szCs w:val="24"/>
        </w:rPr>
        <w:br/>
      </w:r>
      <w:r w:rsidR="00446621" w:rsidRPr="00F137D2">
        <w:rPr>
          <w:rFonts w:ascii="Times New Roman" w:hAnsi="Times New Roman"/>
          <w:i/>
          <w:iCs/>
          <w:sz w:val="24"/>
          <w:szCs w:val="24"/>
        </w:rPr>
        <w:t xml:space="preserve">w świetle Europejskiej Konwencji Praw Człowieka, </w:t>
      </w:r>
      <w:r w:rsidR="00446621" w:rsidRPr="00F137D2">
        <w:rPr>
          <w:rFonts w:ascii="Times New Roman" w:hAnsi="Times New Roman"/>
          <w:sz w:val="24"/>
          <w:szCs w:val="24"/>
        </w:rPr>
        <w:t>które odbyło się</w:t>
      </w:r>
      <w:r w:rsidR="00446621" w:rsidRPr="00F137D2">
        <w:rPr>
          <w:rFonts w:ascii="Times New Roman" w:hAnsi="Times New Roman"/>
          <w:i/>
          <w:iCs/>
          <w:sz w:val="24"/>
          <w:szCs w:val="24"/>
        </w:rPr>
        <w:t xml:space="preserve"> </w:t>
      </w:r>
      <w:r w:rsidR="00446621" w:rsidRPr="00F137D2">
        <w:rPr>
          <w:rFonts w:ascii="Times New Roman" w:hAnsi="Times New Roman"/>
          <w:sz w:val="24"/>
          <w:szCs w:val="24"/>
        </w:rPr>
        <w:t xml:space="preserve">19 listopada 2019 r. </w:t>
      </w:r>
    </w:p>
    <w:p w:rsidR="00C02CD0" w:rsidRPr="003059EA" w:rsidRDefault="00C02CD0" w:rsidP="003059EA">
      <w:pPr>
        <w:rPr>
          <w:rFonts w:ascii="Times New Roman" w:hAnsi="Times New Roman"/>
          <w:sz w:val="24"/>
          <w:szCs w:val="24"/>
        </w:rPr>
      </w:pPr>
    </w:p>
    <w:p w:rsidR="00C02CD0" w:rsidRPr="00F137D2" w:rsidRDefault="00B6659D" w:rsidP="00B6659D">
      <w:pPr>
        <w:pStyle w:val="Akapitzlist"/>
        <w:numPr>
          <w:ilvl w:val="0"/>
          <w:numId w:val="4"/>
        </w:numPr>
        <w:rPr>
          <w:rFonts w:ascii="Times New Roman" w:hAnsi="Times New Roman" w:cs="Times New Roman"/>
          <w:sz w:val="24"/>
          <w:szCs w:val="24"/>
        </w:rPr>
      </w:pPr>
      <w:r w:rsidRPr="00F137D2">
        <w:rPr>
          <w:rFonts w:ascii="Times New Roman" w:hAnsi="Times New Roman" w:cs="Times New Roman"/>
          <w:sz w:val="24"/>
          <w:szCs w:val="24"/>
        </w:rPr>
        <w:t>OBSŁUGA RADY PRZEZ KPRM</w:t>
      </w:r>
    </w:p>
    <w:p w:rsidR="00C02CD0" w:rsidRPr="00F137D2" w:rsidRDefault="00C02CD0" w:rsidP="00C02CD0">
      <w:pPr>
        <w:pStyle w:val="Akapitzlist"/>
        <w:ind w:left="1440"/>
        <w:rPr>
          <w:rFonts w:ascii="Times New Roman" w:hAnsi="Times New Roman" w:cs="Times New Roman"/>
          <w:sz w:val="24"/>
          <w:szCs w:val="24"/>
        </w:rPr>
      </w:pPr>
    </w:p>
    <w:p w:rsidR="00C02CD0" w:rsidRPr="00F137D2" w:rsidRDefault="00C02CD0" w:rsidP="00C02CD0">
      <w:pPr>
        <w:spacing w:after="0" w:line="360" w:lineRule="auto"/>
        <w:jc w:val="both"/>
        <w:rPr>
          <w:rFonts w:ascii="Times New Roman" w:hAnsi="Times New Roman"/>
          <w:sz w:val="24"/>
          <w:szCs w:val="24"/>
        </w:rPr>
      </w:pPr>
      <w:r w:rsidRPr="00F137D2">
        <w:rPr>
          <w:rFonts w:ascii="Times New Roman" w:hAnsi="Times New Roman"/>
          <w:sz w:val="24"/>
          <w:szCs w:val="24"/>
        </w:rPr>
        <w:t xml:space="preserve">Zgodnie z art. 89zb ust. 1 </w:t>
      </w:r>
      <w:proofErr w:type="spellStart"/>
      <w:r w:rsidRPr="00F137D2">
        <w:rPr>
          <w:rFonts w:ascii="Times New Roman" w:hAnsi="Times New Roman"/>
          <w:sz w:val="24"/>
          <w:szCs w:val="24"/>
        </w:rPr>
        <w:t>u.o.o</w:t>
      </w:r>
      <w:proofErr w:type="spellEnd"/>
      <w:r w:rsidRPr="00F137D2">
        <w:rPr>
          <w:rFonts w:ascii="Times New Roman" w:hAnsi="Times New Roman"/>
          <w:sz w:val="24"/>
          <w:szCs w:val="24"/>
        </w:rPr>
        <w:t>. obsługę administracyjną i kancelaryjną Rady zapewnia Kancelaria Prezesa Rady Ministrów. Z</w:t>
      </w:r>
      <w:r w:rsidRPr="00F137D2">
        <w:rPr>
          <w:rFonts w:ascii="Times New Roman" w:hAnsi="Times New Roman"/>
          <w:sz w:val="24"/>
          <w:szCs w:val="24"/>
          <w:lang w:eastAsia="pl-PL"/>
        </w:rPr>
        <w:t xml:space="preserve">adania związane z obsługą Rady do Spraw Uchodźców realizowane były w Departamencie Społeczeństwa Obywatelskiego. Stan zatrudnienia </w:t>
      </w:r>
      <w:r w:rsidR="00544B8C">
        <w:rPr>
          <w:rFonts w:ascii="Times New Roman" w:hAnsi="Times New Roman"/>
          <w:sz w:val="24"/>
          <w:szCs w:val="24"/>
          <w:lang w:eastAsia="pl-PL"/>
        </w:rPr>
        <w:br/>
      </w:r>
      <w:r w:rsidRPr="00F137D2">
        <w:rPr>
          <w:rFonts w:ascii="Times New Roman" w:hAnsi="Times New Roman"/>
          <w:sz w:val="24"/>
          <w:szCs w:val="24"/>
          <w:lang w:eastAsia="pl-PL"/>
        </w:rPr>
        <w:t>w Wydziale Obsługi Rady do Spraw Uchodźców wynosił na koniec roku dziewięć</w:t>
      </w:r>
      <w:r w:rsidRPr="00F137D2">
        <w:rPr>
          <w:rFonts w:ascii="Times New Roman" w:hAnsi="Times New Roman"/>
          <w:color w:val="FF0000"/>
          <w:sz w:val="24"/>
          <w:szCs w:val="24"/>
          <w:lang w:eastAsia="pl-PL"/>
        </w:rPr>
        <w:t xml:space="preserve"> </w:t>
      </w:r>
      <w:r w:rsidRPr="00F137D2">
        <w:rPr>
          <w:rFonts w:ascii="Times New Roman" w:hAnsi="Times New Roman"/>
          <w:sz w:val="24"/>
          <w:szCs w:val="24"/>
          <w:lang w:eastAsia="pl-PL"/>
        </w:rPr>
        <w:t>osób</w:t>
      </w:r>
      <w:r w:rsidR="00BE2FE0" w:rsidRPr="00F137D2">
        <w:rPr>
          <w:rFonts w:ascii="Times New Roman" w:hAnsi="Times New Roman"/>
          <w:sz w:val="24"/>
          <w:szCs w:val="24"/>
          <w:lang w:eastAsia="pl-PL"/>
        </w:rPr>
        <w:t xml:space="preserve"> </w:t>
      </w:r>
      <w:r w:rsidR="00544B8C">
        <w:rPr>
          <w:rFonts w:ascii="Times New Roman" w:hAnsi="Times New Roman"/>
          <w:sz w:val="24"/>
          <w:szCs w:val="24"/>
          <w:lang w:eastAsia="pl-PL"/>
        </w:rPr>
        <w:br/>
      </w:r>
      <w:r w:rsidR="00BE2FE0" w:rsidRPr="00F137D2">
        <w:rPr>
          <w:rFonts w:ascii="Times New Roman" w:hAnsi="Times New Roman"/>
          <w:sz w:val="24"/>
          <w:szCs w:val="24"/>
          <w:lang w:eastAsia="pl-PL"/>
        </w:rPr>
        <w:t>(o jedną mniej niż w latach ubiegłych)</w:t>
      </w:r>
      <w:r w:rsidRPr="00F137D2">
        <w:rPr>
          <w:rFonts w:ascii="Times New Roman" w:hAnsi="Times New Roman"/>
          <w:sz w:val="24"/>
          <w:szCs w:val="24"/>
          <w:lang w:eastAsia="pl-PL"/>
        </w:rPr>
        <w:t xml:space="preserve">. </w:t>
      </w:r>
      <w:r w:rsidR="00F137D2" w:rsidRPr="00F137D2">
        <w:rPr>
          <w:rFonts w:ascii="Times New Roman" w:hAnsi="Times New Roman"/>
          <w:sz w:val="24"/>
          <w:szCs w:val="24"/>
          <w:lang w:eastAsia="pl-PL"/>
        </w:rPr>
        <w:t xml:space="preserve">Zmniejszenie stanu osobowego </w:t>
      </w:r>
      <w:r w:rsidR="00E56A12">
        <w:rPr>
          <w:rFonts w:ascii="Times New Roman" w:hAnsi="Times New Roman"/>
          <w:sz w:val="24"/>
          <w:szCs w:val="24"/>
          <w:lang w:eastAsia="pl-PL"/>
        </w:rPr>
        <w:t xml:space="preserve">Wydziału negatywnie odbiło się </w:t>
      </w:r>
      <w:bookmarkStart w:id="0" w:name="_GoBack"/>
      <w:bookmarkEnd w:id="0"/>
      <w:r w:rsidR="00F137D2" w:rsidRPr="00F137D2">
        <w:rPr>
          <w:rFonts w:ascii="Times New Roman" w:hAnsi="Times New Roman"/>
          <w:sz w:val="24"/>
          <w:szCs w:val="24"/>
          <w:lang w:eastAsia="pl-PL"/>
        </w:rPr>
        <w:t xml:space="preserve">na wykonywaniu zadań przez Radę i utrudniło jej realizację ustawowych </w:t>
      </w:r>
      <w:r w:rsidR="00F137D2" w:rsidRPr="00F137D2">
        <w:rPr>
          <w:rFonts w:ascii="Times New Roman" w:hAnsi="Times New Roman"/>
          <w:sz w:val="24"/>
          <w:szCs w:val="24"/>
          <w:lang w:eastAsia="pl-PL"/>
        </w:rPr>
        <w:lastRenderedPageBreak/>
        <w:t xml:space="preserve">obowiązków. </w:t>
      </w:r>
      <w:r w:rsidR="00544B8C">
        <w:rPr>
          <w:rFonts w:ascii="Times New Roman" w:hAnsi="Times New Roman"/>
          <w:sz w:val="24"/>
          <w:szCs w:val="24"/>
          <w:lang w:eastAsia="pl-PL"/>
        </w:rPr>
        <w:br/>
      </w:r>
      <w:r w:rsidR="00F137D2" w:rsidRPr="00F137D2">
        <w:rPr>
          <w:rFonts w:ascii="Times New Roman" w:hAnsi="Times New Roman"/>
          <w:sz w:val="24"/>
          <w:szCs w:val="24"/>
          <w:lang w:eastAsia="pl-PL"/>
        </w:rPr>
        <w:t>W ocenie Rady było to działanie niezrozumiałe.</w:t>
      </w:r>
    </w:p>
    <w:p w:rsidR="00C02CD0" w:rsidRPr="00F137D2" w:rsidRDefault="00C02CD0" w:rsidP="00BE2FE0">
      <w:pPr>
        <w:spacing w:after="240" w:line="360" w:lineRule="auto"/>
        <w:jc w:val="both"/>
        <w:rPr>
          <w:rFonts w:ascii="Times New Roman" w:hAnsi="Times New Roman"/>
          <w:sz w:val="24"/>
          <w:szCs w:val="24"/>
          <w:lang w:eastAsia="pl-PL"/>
        </w:rPr>
      </w:pPr>
      <w:r w:rsidRPr="00F137D2">
        <w:rPr>
          <w:rFonts w:ascii="Times New Roman" w:hAnsi="Times New Roman"/>
          <w:sz w:val="24"/>
          <w:szCs w:val="24"/>
          <w:lang w:eastAsia="pl-PL"/>
        </w:rPr>
        <w:t xml:space="preserve">W </w:t>
      </w:r>
      <w:r w:rsidR="00BE2FE0" w:rsidRPr="00F137D2">
        <w:rPr>
          <w:rFonts w:ascii="Times New Roman" w:hAnsi="Times New Roman"/>
          <w:sz w:val="24"/>
          <w:szCs w:val="24"/>
          <w:lang w:eastAsia="pl-PL"/>
        </w:rPr>
        <w:t xml:space="preserve">ramach obowiązków pracownicy Wydziału zapewniali </w:t>
      </w:r>
      <w:r w:rsidRPr="00F137D2">
        <w:rPr>
          <w:rFonts w:ascii="Times New Roman" w:hAnsi="Times New Roman"/>
          <w:sz w:val="24"/>
          <w:szCs w:val="24"/>
          <w:lang w:eastAsia="pl-PL"/>
        </w:rPr>
        <w:t xml:space="preserve">obsługę posiedzeń plenarnych,  posiedzeń składów orzekających oraz udziału </w:t>
      </w:r>
      <w:r w:rsidR="00BE2FE0" w:rsidRPr="00F137D2">
        <w:rPr>
          <w:rFonts w:ascii="Times New Roman" w:hAnsi="Times New Roman"/>
          <w:sz w:val="24"/>
          <w:szCs w:val="24"/>
          <w:lang w:eastAsia="pl-PL"/>
        </w:rPr>
        <w:t xml:space="preserve">członków Rady </w:t>
      </w:r>
      <w:r w:rsidRPr="00F137D2">
        <w:rPr>
          <w:rFonts w:ascii="Times New Roman" w:hAnsi="Times New Roman"/>
          <w:sz w:val="24"/>
          <w:szCs w:val="24"/>
          <w:lang w:eastAsia="pl-PL"/>
        </w:rPr>
        <w:t xml:space="preserve">w rozprawach przed WSA </w:t>
      </w:r>
      <w:r w:rsidRPr="00F137D2">
        <w:rPr>
          <w:rFonts w:ascii="Times New Roman" w:hAnsi="Times New Roman"/>
          <w:sz w:val="24"/>
          <w:szCs w:val="24"/>
          <w:lang w:eastAsia="pl-PL"/>
        </w:rPr>
        <w:br/>
        <w:t xml:space="preserve">w Warszawie i Naczelnym Sądem Administracyjnym. </w:t>
      </w:r>
    </w:p>
    <w:p w:rsidR="00C02CD0" w:rsidRPr="00F137D2" w:rsidRDefault="00C02CD0" w:rsidP="00BE2FE0">
      <w:pPr>
        <w:spacing w:after="0" w:line="360" w:lineRule="auto"/>
        <w:jc w:val="both"/>
        <w:rPr>
          <w:rFonts w:ascii="Times New Roman" w:hAnsi="Times New Roman"/>
          <w:sz w:val="24"/>
          <w:szCs w:val="24"/>
          <w:lang w:eastAsia="pl-PL"/>
        </w:rPr>
      </w:pPr>
      <w:r w:rsidRPr="00F137D2">
        <w:rPr>
          <w:rFonts w:ascii="Times New Roman" w:hAnsi="Times New Roman"/>
          <w:sz w:val="24"/>
          <w:szCs w:val="24"/>
          <w:lang w:eastAsia="pl-PL"/>
        </w:rPr>
        <w:t xml:space="preserve">W związku z toczącymi się przed Radą postępowaniami, pracownicy Wydziału prowadzili wstępne postępowania przygotowawcze i związaną z tym etapem postępowania korespondencję. </w:t>
      </w:r>
      <w:r w:rsidRPr="00F137D2">
        <w:rPr>
          <w:rFonts w:ascii="Times New Roman" w:hAnsi="Times New Roman"/>
          <w:sz w:val="24"/>
          <w:szCs w:val="24"/>
          <w:lang w:eastAsia="pl-PL"/>
        </w:rPr>
        <w:br/>
        <w:t xml:space="preserve">Ponadto, pracownicy Wydziału zapewniali obsługę przesłuchań jako protokolanci i tłumacze (w 2019 r. Rada wydała 21 postanowień o przeprowadzeniu dowodu z przesłuchania), a także dokonywali tłumaczeń części dokumentów obcojęzycznych dopuszczonych jako dowody </w:t>
      </w:r>
      <w:r w:rsidR="00544B8C">
        <w:rPr>
          <w:rFonts w:ascii="Times New Roman" w:hAnsi="Times New Roman"/>
          <w:sz w:val="24"/>
          <w:szCs w:val="24"/>
          <w:lang w:eastAsia="pl-PL"/>
        </w:rPr>
        <w:br/>
      </w:r>
      <w:r w:rsidRPr="00F137D2">
        <w:rPr>
          <w:rFonts w:ascii="Times New Roman" w:hAnsi="Times New Roman"/>
          <w:sz w:val="24"/>
          <w:szCs w:val="24"/>
          <w:lang w:eastAsia="pl-PL"/>
        </w:rPr>
        <w:t xml:space="preserve">w postępowaniu. </w:t>
      </w:r>
    </w:p>
    <w:p w:rsidR="00C02CD0" w:rsidRPr="00F137D2" w:rsidRDefault="00C02CD0" w:rsidP="00BE2FE0">
      <w:pPr>
        <w:spacing w:after="240" w:line="360" w:lineRule="auto"/>
        <w:jc w:val="both"/>
        <w:rPr>
          <w:rFonts w:ascii="Times New Roman" w:hAnsi="Times New Roman"/>
          <w:sz w:val="24"/>
          <w:szCs w:val="24"/>
          <w:lang w:eastAsia="pl-PL"/>
        </w:rPr>
      </w:pPr>
      <w:r w:rsidRPr="00F137D2">
        <w:rPr>
          <w:rFonts w:ascii="Times New Roman" w:hAnsi="Times New Roman"/>
          <w:sz w:val="24"/>
          <w:szCs w:val="24"/>
          <w:lang w:eastAsia="pl-PL"/>
        </w:rPr>
        <w:t>Pracownicy Wydziału obsługującego Radę wykonują rozbudowane czynności kancelaryjno</w:t>
      </w:r>
      <w:r w:rsidRPr="00F137D2">
        <w:rPr>
          <w:rFonts w:ascii="Times New Roman" w:hAnsi="Times New Roman"/>
          <w:sz w:val="24"/>
          <w:szCs w:val="24"/>
          <w:lang w:eastAsia="pl-PL"/>
        </w:rPr>
        <w:br/>
        <w:t>– rejestracyjne, w szczególności wprowadzają dane dotyczące postępowań administracyjnych</w:t>
      </w:r>
      <w:r w:rsidRPr="00F137D2">
        <w:rPr>
          <w:rFonts w:ascii="Times New Roman" w:hAnsi="Times New Roman"/>
          <w:sz w:val="24"/>
          <w:szCs w:val="24"/>
          <w:lang w:eastAsia="pl-PL"/>
        </w:rPr>
        <w:br/>
        <w:t xml:space="preserve">i </w:t>
      </w:r>
      <w:proofErr w:type="spellStart"/>
      <w:r w:rsidRPr="00F137D2">
        <w:rPr>
          <w:rFonts w:ascii="Times New Roman" w:hAnsi="Times New Roman"/>
          <w:sz w:val="24"/>
          <w:szCs w:val="24"/>
          <w:lang w:eastAsia="pl-PL"/>
        </w:rPr>
        <w:t>sądowoadministracyjnych</w:t>
      </w:r>
      <w:proofErr w:type="spellEnd"/>
      <w:r w:rsidRPr="00F137D2">
        <w:rPr>
          <w:rFonts w:ascii="Times New Roman" w:hAnsi="Times New Roman"/>
          <w:sz w:val="24"/>
          <w:szCs w:val="24"/>
          <w:lang w:eastAsia="pl-PL"/>
        </w:rPr>
        <w:t xml:space="preserve"> do stosownych rejestrów</w:t>
      </w:r>
      <w:r w:rsidR="00EB3D92" w:rsidRPr="00F137D2">
        <w:rPr>
          <w:rFonts w:ascii="Times New Roman" w:hAnsi="Times New Roman"/>
          <w:sz w:val="24"/>
          <w:szCs w:val="24"/>
          <w:lang w:eastAsia="pl-PL"/>
        </w:rPr>
        <w:t>, co należy do ustawowych zadań Rady</w:t>
      </w:r>
      <w:r w:rsidR="00BE2FE0" w:rsidRPr="00F137D2">
        <w:rPr>
          <w:rFonts w:ascii="Times New Roman" w:hAnsi="Times New Roman"/>
          <w:sz w:val="24"/>
          <w:szCs w:val="24"/>
          <w:lang w:eastAsia="pl-PL"/>
        </w:rPr>
        <w:t>.</w:t>
      </w:r>
    </w:p>
    <w:p w:rsidR="00C02CD0" w:rsidRPr="00F137D2" w:rsidRDefault="00C02CD0" w:rsidP="00BE2FE0">
      <w:pPr>
        <w:spacing w:after="240" w:line="360" w:lineRule="auto"/>
        <w:jc w:val="both"/>
        <w:rPr>
          <w:rFonts w:ascii="Times New Roman" w:hAnsi="Times New Roman"/>
          <w:color w:val="FF0000"/>
          <w:sz w:val="24"/>
          <w:szCs w:val="24"/>
          <w:lang w:eastAsia="pl-PL"/>
        </w:rPr>
      </w:pPr>
      <w:r w:rsidRPr="00F137D2">
        <w:rPr>
          <w:rFonts w:ascii="Times New Roman" w:hAnsi="Times New Roman"/>
          <w:sz w:val="24"/>
          <w:szCs w:val="24"/>
          <w:lang w:eastAsia="pl-PL"/>
        </w:rPr>
        <w:t>Finansowanie Rady jest zapewniane w ramach budżetu KPRM. W 2019 r.</w:t>
      </w:r>
      <w:r w:rsidR="00EB3D92" w:rsidRPr="00F137D2">
        <w:rPr>
          <w:rFonts w:ascii="Times New Roman" w:hAnsi="Times New Roman"/>
          <w:sz w:val="24"/>
          <w:szCs w:val="24"/>
          <w:lang w:eastAsia="pl-PL"/>
        </w:rPr>
        <w:t>, tak jak w latach poprzednich,</w:t>
      </w:r>
      <w:r w:rsidRPr="00F137D2">
        <w:rPr>
          <w:rFonts w:ascii="Times New Roman" w:hAnsi="Times New Roman"/>
          <w:sz w:val="24"/>
          <w:szCs w:val="24"/>
          <w:lang w:eastAsia="pl-PL"/>
        </w:rPr>
        <w:t xml:space="preserve"> Rada dysponowała budżetem w wysokości 680 tys. zł.</w:t>
      </w:r>
      <w:r w:rsidRPr="00F137D2">
        <w:rPr>
          <w:rFonts w:ascii="Times New Roman" w:hAnsi="Times New Roman"/>
          <w:color w:val="FF0000"/>
          <w:sz w:val="24"/>
          <w:szCs w:val="24"/>
          <w:lang w:eastAsia="pl-PL"/>
        </w:rPr>
        <w:t xml:space="preserve"> </w:t>
      </w:r>
    </w:p>
    <w:p w:rsidR="00C02CD0" w:rsidRPr="00F137D2" w:rsidRDefault="00C02CD0" w:rsidP="00C02CD0">
      <w:pPr>
        <w:rPr>
          <w:rFonts w:ascii="Times New Roman" w:hAnsi="Times New Roman"/>
          <w:sz w:val="24"/>
          <w:szCs w:val="24"/>
        </w:rPr>
      </w:pPr>
    </w:p>
    <w:p w:rsidR="001C4C0E" w:rsidRPr="00F137D2" w:rsidRDefault="00B6659D" w:rsidP="00B6659D">
      <w:pPr>
        <w:pStyle w:val="Akapitzlist"/>
        <w:numPr>
          <w:ilvl w:val="0"/>
          <w:numId w:val="4"/>
        </w:numPr>
        <w:rPr>
          <w:rFonts w:ascii="Times New Roman" w:hAnsi="Times New Roman" w:cs="Times New Roman"/>
          <w:sz w:val="24"/>
          <w:szCs w:val="24"/>
        </w:rPr>
      </w:pPr>
      <w:r w:rsidRPr="00F137D2">
        <w:rPr>
          <w:rFonts w:ascii="Times New Roman" w:hAnsi="Times New Roman" w:cs="Times New Roman"/>
          <w:sz w:val="24"/>
          <w:szCs w:val="24"/>
        </w:rPr>
        <w:t>STATYSTYKI</w:t>
      </w:r>
    </w:p>
    <w:p w:rsidR="009F60CB" w:rsidRPr="00F137D2" w:rsidRDefault="009F60CB" w:rsidP="001C4C0E">
      <w:pPr>
        <w:rPr>
          <w:rFonts w:ascii="Times New Roman" w:hAnsi="Times New Roman"/>
          <w:sz w:val="24"/>
          <w:szCs w:val="24"/>
        </w:rPr>
      </w:pPr>
    </w:p>
    <w:p w:rsidR="00F137D2" w:rsidRPr="00F137D2" w:rsidRDefault="00F137D2" w:rsidP="00F137D2">
      <w:pPr>
        <w:spacing w:line="360" w:lineRule="auto"/>
        <w:jc w:val="both"/>
        <w:rPr>
          <w:rFonts w:ascii="Times New Roman" w:hAnsi="Times New Roman"/>
          <w:sz w:val="24"/>
          <w:szCs w:val="24"/>
        </w:rPr>
      </w:pPr>
      <w:r w:rsidRPr="00F137D2">
        <w:rPr>
          <w:rFonts w:ascii="Times New Roman" w:hAnsi="Times New Roman"/>
          <w:sz w:val="24"/>
          <w:szCs w:val="24"/>
        </w:rPr>
        <w:t xml:space="preserve">W 2019 do Rady wpłynęło 786 </w:t>
      </w:r>
      <w:proofErr w:type="spellStart"/>
      <w:r w:rsidRPr="00F137D2">
        <w:rPr>
          <w:rFonts w:ascii="Times New Roman" w:hAnsi="Times New Roman"/>
          <w:sz w:val="24"/>
          <w:szCs w:val="24"/>
        </w:rPr>
        <w:t>odwołań</w:t>
      </w:r>
      <w:proofErr w:type="spellEnd"/>
      <w:r w:rsidRPr="00F137D2">
        <w:rPr>
          <w:rFonts w:ascii="Times New Roman" w:hAnsi="Times New Roman"/>
          <w:sz w:val="24"/>
          <w:szCs w:val="24"/>
        </w:rPr>
        <w:t xml:space="preserve">, 11 zażaleń (w tym na postanowienia </w:t>
      </w:r>
      <w:proofErr w:type="spellStart"/>
      <w:r w:rsidRPr="00F137D2">
        <w:rPr>
          <w:rFonts w:ascii="Times New Roman" w:hAnsi="Times New Roman"/>
          <w:sz w:val="24"/>
          <w:szCs w:val="24"/>
        </w:rPr>
        <w:t>UdsC</w:t>
      </w:r>
      <w:proofErr w:type="spellEnd"/>
      <w:r w:rsidRPr="00F137D2">
        <w:rPr>
          <w:rFonts w:ascii="Times New Roman" w:hAnsi="Times New Roman"/>
          <w:sz w:val="24"/>
          <w:szCs w:val="24"/>
        </w:rPr>
        <w:t xml:space="preserve"> – 9, </w:t>
      </w:r>
      <w:r w:rsidR="00544B8C">
        <w:rPr>
          <w:rFonts w:ascii="Times New Roman" w:hAnsi="Times New Roman"/>
          <w:sz w:val="24"/>
          <w:szCs w:val="24"/>
        </w:rPr>
        <w:br/>
      </w:r>
      <w:r w:rsidRPr="00F137D2">
        <w:rPr>
          <w:rFonts w:ascii="Times New Roman" w:hAnsi="Times New Roman"/>
          <w:sz w:val="24"/>
          <w:szCs w:val="24"/>
        </w:rPr>
        <w:t xml:space="preserve">na postanowienia </w:t>
      </w:r>
      <w:proofErr w:type="spellStart"/>
      <w:r w:rsidRPr="00F137D2">
        <w:rPr>
          <w:rFonts w:ascii="Times New Roman" w:hAnsi="Times New Roman"/>
          <w:sz w:val="24"/>
          <w:szCs w:val="24"/>
        </w:rPr>
        <w:t>RdU</w:t>
      </w:r>
      <w:proofErr w:type="spellEnd"/>
      <w:r w:rsidRPr="00F137D2">
        <w:rPr>
          <w:rFonts w:ascii="Times New Roman" w:hAnsi="Times New Roman"/>
          <w:sz w:val="24"/>
          <w:szCs w:val="24"/>
        </w:rPr>
        <w:t xml:space="preserve"> – 2) oraz 291 skarg na decyzje Rady skierowane do WSA, na które składy Rady opracowały odpowiedzi. W 2018 r. zostało wniesionych odpowiednio 946 </w:t>
      </w:r>
      <w:proofErr w:type="spellStart"/>
      <w:r w:rsidRPr="00F137D2">
        <w:rPr>
          <w:rFonts w:ascii="Times New Roman" w:hAnsi="Times New Roman"/>
          <w:sz w:val="24"/>
          <w:szCs w:val="24"/>
        </w:rPr>
        <w:t>odwołań</w:t>
      </w:r>
      <w:proofErr w:type="spellEnd"/>
      <w:r w:rsidRPr="00F137D2">
        <w:rPr>
          <w:rFonts w:ascii="Times New Roman" w:hAnsi="Times New Roman"/>
          <w:sz w:val="24"/>
          <w:szCs w:val="24"/>
        </w:rPr>
        <w:t>, 16 zażaleń i 317 skarg.</w:t>
      </w:r>
      <w:r w:rsidRPr="00F137D2">
        <w:rPr>
          <w:rFonts w:ascii="Times New Roman" w:hAnsi="Times New Roman"/>
          <w:color w:val="FF0000"/>
          <w:sz w:val="24"/>
          <w:szCs w:val="24"/>
        </w:rPr>
        <w:t xml:space="preserve"> </w:t>
      </w:r>
      <w:r w:rsidRPr="00F137D2">
        <w:rPr>
          <w:rFonts w:ascii="Times New Roman" w:hAnsi="Times New Roman"/>
          <w:sz w:val="24"/>
          <w:szCs w:val="24"/>
        </w:rPr>
        <w:t xml:space="preserve">Porównanie tych lat wskazuje na nieznaczny spadek zarówno liczby </w:t>
      </w:r>
      <w:proofErr w:type="spellStart"/>
      <w:r w:rsidRPr="00F137D2">
        <w:rPr>
          <w:rFonts w:ascii="Times New Roman" w:hAnsi="Times New Roman"/>
          <w:sz w:val="24"/>
          <w:szCs w:val="24"/>
        </w:rPr>
        <w:t>odwołań</w:t>
      </w:r>
      <w:proofErr w:type="spellEnd"/>
      <w:r w:rsidRPr="00F137D2">
        <w:rPr>
          <w:rFonts w:ascii="Times New Roman" w:hAnsi="Times New Roman"/>
          <w:sz w:val="24"/>
          <w:szCs w:val="24"/>
        </w:rPr>
        <w:t xml:space="preserve"> jak i liczby skarg. Najczęściej, tak jak w roku ubiegłym, odwołania wnosili obywatele Federacji Rosyjskiej i Ukrainy. </w:t>
      </w:r>
    </w:p>
    <w:p w:rsidR="009F60CB" w:rsidRPr="00F137D2" w:rsidRDefault="00F137D2" w:rsidP="009F60CB">
      <w:pPr>
        <w:spacing w:line="360" w:lineRule="auto"/>
        <w:jc w:val="both"/>
        <w:rPr>
          <w:rFonts w:ascii="Times New Roman" w:hAnsi="Times New Roman"/>
          <w:sz w:val="24"/>
          <w:szCs w:val="24"/>
        </w:rPr>
      </w:pPr>
      <w:r w:rsidRPr="00F137D2">
        <w:rPr>
          <w:rFonts w:ascii="Times New Roman" w:hAnsi="Times New Roman"/>
          <w:sz w:val="24"/>
          <w:szCs w:val="24"/>
        </w:rPr>
        <w:t>R</w:t>
      </w:r>
      <w:r w:rsidR="009F60CB" w:rsidRPr="00F137D2">
        <w:rPr>
          <w:rFonts w:ascii="Times New Roman" w:hAnsi="Times New Roman"/>
          <w:sz w:val="24"/>
          <w:szCs w:val="24"/>
        </w:rPr>
        <w:t>ada wydała w 2019 r. 8</w:t>
      </w:r>
      <w:r w:rsidR="00F0589E" w:rsidRPr="00F137D2">
        <w:rPr>
          <w:rFonts w:ascii="Times New Roman" w:hAnsi="Times New Roman"/>
          <w:sz w:val="24"/>
          <w:szCs w:val="24"/>
        </w:rPr>
        <w:t>22</w:t>
      </w:r>
      <w:r w:rsidR="009F60CB" w:rsidRPr="00F137D2">
        <w:rPr>
          <w:rFonts w:ascii="Times New Roman" w:hAnsi="Times New Roman"/>
          <w:sz w:val="24"/>
          <w:szCs w:val="24"/>
        </w:rPr>
        <w:t xml:space="preserve"> decyzji, 7</w:t>
      </w:r>
      <w:r w:rsidR="00F0589E" w:rsidRPr="00F137D2">
        <w:rPr>
          <w:rFonts w:ascii="Times New Roman" w:hAnsi="Times New Roman"/>
          <w:sz w:val="24"/>
          <w:szCs w:val="24"/>
        </w:rPr>
        <w:t>0</w:t>
      </w:r>
      <w:r w:rsidR="009F60CB" w:rsidRPr="00F137D2">
        <w:rPr>
          <w:rFonts w:ascii="Times New Roman" w:hAnsi="Times New Roman"/>
          <w:sz w:val="24"/>
          <w:szCs w:val="24"/>
        </w:rPr>
        <w:t xml:space="preserve"> postanowień, 21 postanowień o przesłuchaniu, sporządziła 304 odpowiedzi na skargi do WSA, 34 odpowiedzi na skargi kasacyjne oraz złożyła jedną skargę kasacyjną. </w:t>
      </w:r>
    </w:p>
    <w:p w:rsidR="009F60CB" w:rsidRPr="00F137D2" w:rsidRDefault="009F60CB" w:rsidP="009F60CB">
      <w:pPr>
        <w:spacing w:line="360" w:lineRule="auto"/>
        <w:jc w:val="both"/>
        <w:rPr>
          <w:rFonts w:ascii="Times New Roman" w:hAnsi="Times New Roman"/>
          <w:sz w:val="24"/>
          <w:szCs w:val="24"/>
        </w:rPr>
      </w:pPr>
      <w:r w:rsidRPr="00F137D2">
        <w:rPr>
          <w:rFonts w:ascii="Times New Roman" w:hAnsi="Times New Roman"/>
          <w:sz w:val="24"/>
          <w:szCs w:val="24"/>
        </w:rPr>
        <w:t xml:space="preserve">W 2019 r. Rada udzieliła ochrony w 7 sprawach (nadanie statusu uchodźcy – 2, udzielenie ochrony uzupełniającej – 4, udzielenie pobytu tolerowanego - 1). Ponadto wydała 48 decyzji </w:t>
      </w:r>
      <w:r w:rsidRPr="00F137D2">
        <w:rPr>
          <w:rFonts w:ascii="Times New Roman" w:hAnsi="Times New Roman"/>
          <w:sz w:val="24"/>
          <w:szCs w:val="24"/>
        </w:rPr>
        <w:lastRenderedPageBreak/>
        <w:t xml:space="preserve">utrzymujących w mocy decyzje o pozbawieniu ochrony uzupełniającej oraz 6 decyzji utrzymujących w mocy decyzje o pozbawieniu statusu uchodźcy. </w:t>
      </w:r>
    </w:p>
    <w:p w:rsidR="00F137D2" w:rsidRPr="00F137D2" w:rsidRDefault="00F137D2" w:rsidP="00F137D2">
      <w:pPr>
        <w:spacing w:after="0" w:line="360" w:lineRule="auto"/>
        <w:jc w:val="both"/>
        <w:rPr>
          <w:rFonts w:ascii="Times New Roman" w:hAnsi="Times New Roman"/>
          <w:sz w:val="24"/>
          <w:szCs w:val="24"/>
        </w:rPr>
      </w:pPr>
      <w:r w:rsidRPr="00F137D2">
        <w:rPr>
          <w:rFonts w:ascii="Times New Roman" w:hAnsi="Times New Roman"/>
          <w:sz w:val="24"/>
          <w:szCs w:val="24"/>
        </w:rPr>
        <w:t>Pewne kategorie spraw były rozpatrywane priorytetowo. Do takich należały w 2019 roku przed wszystkim:</w:t>
      </w:r>
    </w:p>
    <w:p w:rsidR="00F137D2" w:rsidRPr="00F137D2" w:rsidRDefault="00F137D2" w:rsidP="00F137D2">
      <w:pPr>
        <w:numPr>
          <w:ilvl w:val="0"/>
          <w:numId w:val="5"/>
        </w:numPr>
        <w:spacing w:after="0" w:line="360" w:lineRule="auto"/>
        <w:contextualSpacing/>
        <w:jc w:val="both"/>
        <w:rPr>
          <w:rFonts w:ascii="Times New Roman" w:eastAsiaTheme="minorHAnsi" w:hAnsi="Times New Roman"/>
          <w:sz w:val="24"/>
          <w:szCs w:val="24"/>
        </w:rPr>
      </w:pPr>
      <w:r w:rsidRPr="00F137D2">
        <w:rPr>
          <w:rFonts w:ascii="Times New Roman" w:eastAsiaTheme="minorHAnsi" w:hAnsi="Times New Roman"/>
          <w:sz w:val="24"/>
          <w:szCs w:val="24"/>
        </w:rPr>
        <w:t>131 postępowań dotyczących cudzoziemców umieszczonych w Strzeżonych Ośrodkach dla Cudzoziemców (w tym w aresztach przy SOC),</w:t>
      </w:r>
    </w:p>
    <w:p w:rsidR="00F137D2" w:rsidRPr="00F137D2" w:rsidRDefault="00F137D2" w:rsidP="00F137D2">
      <w:pPr>
        <w:numPr>
          <w:ilvl w:val="0"/>
          <w:numId w:val="5"/>
        </w:numPr>
        <w:spacing w:after="0" w:line="360" w:lineRule="auto"/>
        <w:contextualSpacing/>
        <w:jc w:val="both"/>
        <w:rPr>
          <w:rFonts w:ascii="Times New Roman" w:eastAsiaTheme="minorHAnsi" w:hAnsi="Times New Roman"/>
          <w:sz w:val="24"/>
          <w:szCs w:val="24"/>
        </w:rPr>
      </w:pPr>
      <w:r w:rsidRPr="00F137D2">
        <w:rPr>
          <w:rFonts w:ascii="Times New Roman" w:eastAsiaTheme="minorHAnsi" w:hAnsi="Times New Roman"/>
          <w:sz w:val="24"/>
          <w:szCs w:val="24"/>
        </w:rPr>
        <w:t>20 postępowań w trybie przyspieszonym, które rozpatrywane były w składzie jednoosobowym,</w:t>
      </w:r>
    </w:p>
    <w:p w:rsidR="00F137D2" w:rsidRPr="00F137D2" w:rsidRDefault="00F137D2" w:rsidP="00F137D2">
      <w:pPr>
        <w:numPr>
          <w:ilvl w:val="0"/>
          <w:numId w:val="5"/>
        </w:numPr>
        <w:spacing w:after="0" w:line="360" w:lineRule="auto"/>
        <w:contextualSpacing/>
        <w:jc w:val="both"/>
        <w:rPr>
          <w:rFonts w:ascii="Times New Roman" w:eastAsiaTheme="minorHAnsi" w:hAnsi="Times New Roman"/>
          <w:sz w:val="24"/>
          <w:szCs w:val="24"/>
        </w:rPr>
      </w:pPr>
      <w:r w:rsidRPr="00F137D2">
        <w:rPr>
          <w:rFonts w:ascii="Times New Roman" w:eastAsiaTheme="minorHAnsi" w:hAnsi="Times New Roman"/>
          <w:sz w:val="24"/>
          <w:szCs w:val="24"/>
        </w:rPr>
        <w:t xml:space="preserve">12 postępowań dotyczących </w:t>
      </w:r>
      <w:proofErr w:type="spellStart"/>
      <w:r w:rsidRPr="00F137D2">
        <w:rPr>
          <w:rFonts w:ascii="Times New Roman" w:eastAsiaTheme="minorHAnsi" w:hAnsi="Times New Roman"/>
          <w:sz w:val="24"/>
          <w:szCs w:val="24"/>
        </w:rPr>
        <w:t>odwołań</w:t>
      </w:r>
      <w:proofErr w:type="spellEnd"/>
      <w:r w:rsidRPr="00F137D2">
        <w:rPr>
          <w:rFonts w:ascii="Times New Roman" w:eastAsiaTheme="minorHAnsi" w:hAnsi="Times New Roman"/>
          <w:sz w:val="24"/>
          <w:szCs w:val="24"/>
        </w:rPr>
        <w:t xml:space="preserve"> od decyzji o przekazaniu do innego państwa na mocy rozporządzenia Parlamentu Europejskiego i Rady (UE) nr 604/2013 z dnia </w:t>
      </w:r>
      <w:r w:rsidR="00544B8C">
        <w:rPr>
          <w:rFonts w:ascii="Times New Roman" w:eastAsiaTheme="minorHAnsi" w:hAnsi="Times New Roman"/>
          <w:sz w:val="24"/>
          <w:szCs w:val="24"/>
        </w:rPr>
        <w:br/>
      </w:r>
      <w:r w:rsidRPr="00F137D2">
        <w:rPr>
          <w:rFonts w:ascii="Times New Roman" w:eastAsiaTheme="minorHAnsi" w:hAnsi="Times New Roman"/>
          <w:sz w:val="24"/>
          <w:szCs w:val="24"/>
        </w:rPr>
        <w:t>26 czerwca 2013 r. w sprawie ustanowienia kryteriów i mechanizmów ustalania państwa członkowskiego odpowiedzialnego za rozpatrzenie wniosku o udzielenie ochrony międzynarodowej złożonego</w:t>
      </w:r>
      <w:r w:rsidR="009F6A5B">
        <w:rPr>
          <w:rFonts w:ascii="Times New Roman" w:eastAsiaTheme="minorHAnsi" w:hAnsi="Times New Roman"/>
          <w:sz w:val="24"/>
          <w:szCs w:val="24"/>
        </w:rPr>
        <w:t xml:space="preserve"> </w:t>
      </w:r>
      <w:r w:rsidRPr="00F137D2">
        <w:rPr>
          <w:rFonts w:ascii="Times New Roman" w:eastAsiaTheme="minorHAnsi" w:hAnsi="Times New Roman"/>
          <w:sz w:val="24"/>
          <w:szCs w:val="24"/>
        </w:rPr>
        <w:t>w jednym z państw członkowskich przez obywatela państwa trzeciego lub bezpaństwowca (Dz. Urz. UE L 180 z 29.06.2013).</w:t>
      </w:r>
    </w:p>
    <w:tbl>
      <w:tblPr>
        <w:tblW w:w="9356" w:type="dxa"/>
        <w:tblInd w:w="-142" w:type="dxa"/>
        <w:tblLook w:val="04A0" w:firstRow="1" w:lastRow="0" w:firstColumn="1" w:lastColumn="0" w:noHBand="0" w:noVBand="1"/>
      </w:tblPr>
      <w:tblGrid>
        <w:gridCol w:w="9356"/>
      </w:tblGrid>
      <w:tr w:rsidR="001C4C0E" w:rsidRPr="00F137D2" w:rsidTr="001C4C0E">
        <w:trPr>
          <w:trHeight w:val="524"/>
        </w:trPr>
        <w:tc>
          <w:tcPr>
            <w:tcW w:w="9356" w:type="dxa"/>
            <w:shd w:val="clear" w:color="auto" w:fill="auto"/>
          </w:tcPr>
          <w:p w:rsidR="00650925" w:rsidRPr="00F137D2" w:rsidRDefault="00650925" w:rsidP="00F137D2">
            <w:pPr>
              <w:spacing w:after="0" w:line="360" w:lineRule="auto"/>
              <w:jc w:val="both"/>
              <w:rPr>
                <w:rFonts w:ascii="Times New Roman" w:hAnsi="Times New Roman"/>
                <w:b/>
                <w:sz w:val="24"/>
                <w:szCs w:val="24"/>
              </w:rPr>
            </w:pPr>
          </w:p>
        </w:tc>
      </w:tr>
    </w:tbl>
    <w:p w:rsidR="009F60CB" w:rsidRPr="00F137D2" w:rsidRDefault="009F60CB" w:rsidP="001C4C0E">
      <w:pPr>
        <w:rPr>
          <w:rFonts w:ascii="Times New Roman" w:hAnsi="Times New Roman"/>
          <w:sz w:val="24"/>
          <w:szCs w:val="24"/>
        </w:rPr>
      </w:pPr>
      <w:r w:rsidRPr="00F137D2">
        <w:rPr>
          <w:rFonts w:ascii="Times New Roman" w:hAnsi="Times New Roman"/>
          <w:sz w:val="24"/>
          <w:szCs w:val="24"/>
        </w:rPr>
        <w:t>Szczegółowe statystyki za 2019 r. przedstawiają się następująco:</w:t>
      </w:r>
    </w:p>
    <w:p w:rsidR="00F0589E" w:rsidRPr="00F137D2" w:rsidRDefault="00F0589E" w:rsidP="001C4C0E">
      <w:pPr>
        <w:rPr>
          <w:rFonts w:ascii="Times New Roman" w:hAnsi="Times New Roman"/>
          <w:sz w:val="24"/>
          <w:szCs w:val="24"/>
        </w:rPr>
      </w:pPr>
    </w:p>
    <w:p w:rsidR="00F0589E" w:rsidRPr="00F137D2" w:rsidRDefault="00953CC0" w:rsidP="00F0589E">
      <w:pPr>
        <w:rPr>
          <w:rFonts w:ascii="Times New Roman" w:hAnsi="Times New Roman"/>
          <w:sz w:val="24"/>
          <w:szCs w:val="24"/>
        </w:rPr>
      </w:pPr>
      <w:r w:rsidRPr="00F137D2">
        <w:rPr>
          <w:rFonts w:ascii="Times New Roman" w:hAnsi="Times New Roman"/>
          <w:sz w:val="24"/>
          <w:szCs w:val="24"/>
        </w:rPr>
        <w:t xml:space="preserve">Wpływ </w:t>
      </w:r>
      <w:proofErr w:type="spellStart"/>
      <w:r w:rsidRPr="00F137D2">
        <w:rPr>
          <w:rFonts w:ascii="Times New Roman" w:hAnsi="Times New Roman"/>
          <w:sz w:val="24"/>
          <w:szCs w:val="24"/>
        </w:rPr>
        <w:t>odwołań</w:t>
      </w:r>
      <w:proofErr w:type="spellEnd"/>
      <w:r w:rsidRPr="00F137D2">
        <w:rPr>
          <w:rFonts w:ascii="Times New Roman" w:hAnsi="Times New Roman"/>
          <w:sz w:val="24"/>
          <w:szCs w:val="24"/>
        </w:rPr>
        <w:t xml:space="preserve"> z podziałem na kraje pochodzenia:</w:t>
      </w:r>
    </w:p>
    <w:tbl>
      <w:tblPr>
        <w:tblW w:w="5140" w:type="dxa"/>
        <w:tblInd w:w="55" w:type="dxa"/>
        <w:tblCellMar>
          <w:left w:w="70" w:type="dxa"/>
          <w:right w:w="70" w:type="dxa"/>
        </w:tblCellMar>
        <w:tblLook w:val="04A0" w:firstRow="1" w:lastRow="0" w:firstColumn="1" w:lastColumn="0" w:noHBand="0" w:noVBand="1"/>
      </w:tblPr>
      <w:tblGrid>
        <w:gridCol w:w="1920"/>
        <w:gridCol w:w="1720"/>
        <w:gridCol w:w="1500"/>
      </w:tblGrid>
      <w:tr w:rsidR="00F0589E" w:rsidRPr="00F137D2" w:rsidTr="00F0589E">
        <w:trPr>
          <w:trHeight w:val="300"/>
        </w:trPr>
        <w:tc>
          <w:tcPr>
            <w:tcW w:w="1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Kraj pochodzenia</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wpływ odwołania</w:t>
            </w:r>
          </w:p>
        </w:tc>
        <w:tc>
          <w:tcPr>
            <w:tcW w:w="15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Nieokreślone</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Afganistan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Algieria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Angola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Armenia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17</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17</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Azerbejdżan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Bangladesz</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Bezpaństwowiec</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Białoruś</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15</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15</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Burkina Faso</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Burundi</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Chiny</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Egipt</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Etiopia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Finlandia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Gambia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Ghana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Grecja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lastRenderedPageBreak/>
              <w:t>Gruzja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16</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16</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Gwinea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Indie</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Irak</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Iran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14</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14</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Jordania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Kazachstan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8</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8</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Kirgistan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13</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Kongo</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Libia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Macedonia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Maroko</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Mołdawia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Mongolia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Nigeria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Pakistan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15</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15</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Rosja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345</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345</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Senegal</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Sierra Leone</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Słowenia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Sri Lanka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Sudan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Syria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Szwecja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Tadżykistan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27</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27</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Tunezja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Turcja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Turkmenistan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Uganda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Ukraina</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176</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176</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Uzbekistan</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Wietnam</w:t>
            </w:r>
          </w:p>
        </w:tc>
        <w:tc>
          <w:tcPr>
            <w:tcW w:w="172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20</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20</w:t>
            </w:r>
          </w:p>
        </w:tc>
      </w:tr>
      <w:tr w:rsidR="00F0589E" w:rsidRPr="00F137D2" w:rsidTr="00F0589E">
        <w:trPr>
          <w:trHeight w:val="300"/>
        </w:trPr>
        <w:tc>
          <w:tcPr>
            <w:tcW w:w="1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786</w:t>
            </w:r>
          </w:p>
        </w:tc>
        <w:tc>
          <w:tcPr>
            <w:tcW w:w="15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786</w:t>
            </w:r>
          </w:p>
        </w:tc>
      </w:tr>
    </w:tbl>
    <w:p w:rsidR="00F0589E" w:rsidRPr="00F137D2" w:rsidRDefault="00F0589E" w:rsidP="001C4C0E">
      <w:pPr>
        <w:rPr>
          <w:rFonts w:ascii="Times New Roman" w:hAnsi="Times New Roman"/>
          <w:sz w:val="24"/>
          <w:szCs w:val="24"/>
        </w:rPr>
      </w:pPr>
    </w:p>
    <w:p w:rsidR="009C6BD0" w:rsidRPr="00F137D2" w:rsidRDefault="00953CC0" w:rsidP="009C6BD0">
      <w:pPr>
        <w:rPr>
          <w:rFonts w:ascii="Times New Roman" w:hAnsi="Times New Roman"/>
          <w:sz w:val="24"/>
          <w:szCs w:val="24"/>
        </w:rPr>
      </w:pPr>
      <w:r w:rsidRPr="00F137D2">
        <w:rPr>
          <w:rFonts w:ascii="Times New Roman" w:hAnsi="Times New Roman"/>
          <w:sz w:val="24"/>
          <w:szCs w:val="24"/>
        </w:rPr>
        <w:t>Rodzaje zażaleń z podziałem na kraj pochodzenia:</w:t>
      </w:r>
    </w:p>
    <w:tbl>
      <w:tblPr>
        <w:tblW w:w="9007" w:type="dxa"/>
        <w:tblInd w:w="55" w:type="dxa"/>
        <w:tblCellMar>
          <w:left w:w="70" w:type="dxa"/>
          <w:right w:w="70" w:type="dxa"/>
        </w:tblCellMar>
        <w:tblLook w:val="04A0" w:firstRow="1" w:lastRow="0" w:firstColumn="1" w:lastColumn="0" w:noHBand="0" w:noVBand="1"/>
      </w:tblPr>
      <w:tblGrid>
        <w:gridCol w:w="1608"/>
        <w:gridCol w:w="1167"/>
        <w:gridCol w:w="1418"/>
        <w:gridCol w:w="850"/>
        <w:gridCol w:w="875"/>
        <w:gridCol w:w="975"/>
        <w:gridCol w:w="1066"/>
        <w:gridCol w:w="1048"/>
      </w:tblGrid>
      <w:tr w:rsidR="00367AE2" w:rsidRPr="00F137D2" w:rsidTr="00367AE2">
        <w:trPr>
          <w:trHeight w:val="300"/>
        </w:trPr>
        <w:tc>
          <w:tcPr>
            <w:tcW w:w="160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zażalenie</w:t>
            </w:r>
          </w:p>
        </w:tc>
        <w:tc>
          <w:tcPr>
            <w:tcW w:w="11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Armenia</w:t>
            </w:r>
          </w:p>
        </w:tc>
        <w:tc>
          <w:tcPr>
            <w:tcW w:w="141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Azerbejdżan</w:t>
            </w:r>
          </w:p>
        </w:tc>
        <w:tc>
          <w:tcPr>
            <w:tcW w:w="85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Liban</w:t>
            </w:r>
          </w:p>
        </w:tc>
        <w:tc>
          <w:tcPr>
            <w:tcW w:w="87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Rosja</w:t>
            </w:r>
          </w:p>
        </w:tc>
        <w:tc>
          <w:tcPr>
            <w:tcW w:w="97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Ukraina</w:t>
            </w:r>
          </w:p>
        </w:tc>
        <w:tc>
          <w:tcPr>
            <w:tcW w:w="106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Wietnam</w:t>
            </w:r>
          </w:p>
        </w:tc>
        <w:tc>
          <w:tcPr>
            <w:tcW w:w="10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367AE2" w:rsidRDefault="009C6BD0" w:rsidP="00F0589E">
            <w:pPr>
              <w:spacing w:after="0" w:line="240" w:lineRule="auto"/>
              <w:rPr>
                <w:rFonts w:ascii="Times New Roman" w:eastAsia="Times New Roman" w:hAnsi="Times New Roman"/>
                <w:b/>
                <w:bCs/>
                <w:color w:val="000000"/>
                <w:lang w:eastAsia="pl-PL"/>
              </w:rPr>
            </w:pPr>
            <w:r w:rsidRPr="00367AE2">
              <w:rPr>
                <w:rFonts w:ascii="Times New Roman" w:eastAsia="Times New Roman" w:hAnsi="Times New Roman"/>
                <w:b/>
                <w:bCs/>
                <w:color w:val="000000"/>
                <w:lang w:eastAsia="pl-PL"/>
              </w:rPr>
              <w:t>Suma końcowa</w:t>
            </w:r>
          </w:p>
        </w:tc>
      </w:tr>
      <w:tr w:rsidR="0001723D" w:rsidRPr="00F137D2" w:rsidTr="00367AE2">
        <w:trPr>
          <w:trHeight w:val="300"/>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xml:space="preserve">zażalenie na post. </w:t>
            </w:r>
            <w:proofErr w:type="spellStart"/>
            <w:r w:rsidRPr="00F137D2">
              <w:rPr>
                <w:rFonts w:ascii="Times New Roman" w:eastAsia="Times New Roman" w:hAnsi="Times New Roman"/>
                <w:color w:val="000000"/>
                <w:sz w:val="24"/>
                <w:szCs w:val="24"/>
                <w:lang w:eastAsia="pl-PL"/>
              </w:rPr>
              <w:t>RdU</w:t>
            </w:r>
            <w:proofErr w:type="spellEnd"/>
          </w:p>
        </w:tc>
        <w:tc>
          <w:tcPr>
            <w:tcW w:w="116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87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97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066"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048"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01723D" w:rsidRPr="00F137D2" w:rsidTr="00367AE2">
        <w:trPr>
          <w:trHeight w:val="300"/>
        </w:trPr>
        <w:tc>
          <w:tcPr>
            <w:tcW w:w="1608"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zażalenie na post. UDSC</w:t>
            </w:r>
          </w:p>
        </w:tc>
        <w:tc>
          <w:tcPr>
            <w:tcW w:w="116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418"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850"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87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97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066"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048"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9</w:t>
            </w:r>
          </w:p>
        </w:tc>
      </w:tr>
      <w:tr w:rsidR="00367AE2" w:rsidRPr="00F137D2" w:rsidTr="00367AE2">
        <w:trPr>
          <w:trHeight w:val="300"/>
        </w:trPr>
        <w:tc>
          <w:tcPr>
            <w:tcW w:w="160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11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3</w:t>
            </w:r>
          </w:p>
        </w:tc>
        <w:tc>
          <w:tcPr>
            <w:tcW w:w="141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85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87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4</w:t>
            </w:r>
          </w:p>
        </w:tc>
        <w:tc>
          <w:tcPr>
            <w:tcW w:w="97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106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10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11</w:t>
            </w:r>
          </w:p>
        </w:tc>
      </w:tr>
    </w:tbl>
    <w:p w:rsidR="009C6BD0" w:rsidRPr="00F137D2" w:rsidRDefault="009C6BD0" w:rsidP="009C6BD0">
      <w:pPr>
        <w:rPr>
          <w:rFonts w:ascii="Times New Roman" w:hAnsi="Times New Roman"/>
          <w:sz w:val="24"/>
          <w:szCs w:val="24"/>
        </w:rPr>
      </w:pPr>
    </w:p>
    <w:p w:rsidR="00953CC0" w:rsidRPr="00F137D2" w:rsidRDefault="00953CC0" w:rsidP="009C6BD0">
      <w:pPr>
        <w:rPr>
          <w:rFonts w:ascii="Times New Roman" w:hAnsi="Times New Roman"/>
          <w:sz w:val="24"/>
          <w:szCs w:val="24"/>
        </w:rPr>
      </w:pPr>
      <w:r w:rsidRPr="00F137D2">
        <w:rPr>
          <w:rFonts w:ascii="Times New Roman" w:hAnsi="Times New Roman"/>
          <w:sz w:val="24"/>
          <w:szCs w:val="24"/>
        </w:rPr>
        <w:lastRenderedPageBreak/>
        <w:t>Inne wnioski z podziałem na kraj pochodzenia:</w:t>
      </w:r>
    </w:p>
    <w:tbl>
      <w:tblPr>
        <w:tblW w:w="9605" w:type="dxa"/>
        <w:tblInd w:w="-5" w:type="dxa"/>
        <w:tblCellMar>
          <w:left w:w="70" w:type="dxa"/>
          <w:right w:w="70" w:type="dxa"/>
        </w:tblCellMar>
        <w:tblLook w:val="04A0" w:firstRow="1" w:lastRow="0" w:firstColumn="1" w:lastColumn="0" w:noHBand="0" w:noVBand="1"/>
      </w:tblPr>
      <w:tblGrid>
        <w:gridCol w:w="5907"/>
        <w:gridCol w:w="1167"/>
        <w:gridCol w:w="742"/>
        <w:gridCol w:w="994"/>
        <w:gridCol w:w="1047"/>
      </w:tblGrid>
      <w:tr w:rsidR="009C6BD0" w:rsidRPr="00F137D2" w:rsidTr="009C6BD0">
        <w:trPr>
          <w:trHeight w:val="300"/>
        </w:trPr>
        <w:tc>
          <w:tcPr>
            <w:tcW w:w="59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Wnioski</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Mołdawia</w:t>
            </w:r>
          </w:p>
        </w:tc>
        <w:tc>
          <w:tcPr>
            <w:tcW w:w="74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Rosja</w:t>
            </w:r>
          </w:p>
        </w:tc>
        <w:tc>
          <w:tcPr>
            <w:tcW w:w="85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Ukraina</w:t>
            </w:r>
          </w:p>
        </w:tc>
        <w:tc>
          <w:tcPr>
            <w:tcW w:w="96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r>
      <w:tr w:rsidR="009C6BD0" w:rsidRPr="00F137D2" w:rsidTr="009C6BD0">
        <w:trPr>
          <w:trHeight w:val="300"/>
        </w:trPr>
        <w:tc>
          <w:tcPr>
            <w:tcW w:w="5907"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wniosek o ponowne rozpatrzenie sprawy</w:t>
            </w:r>
          </w:p>
        </w:tc>
        <w:tc>
          <w:tcPr>
            <w:tcW w:w="1134"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742"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85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6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9C6BD0" w:rsidRPr="00F137D2" w:rsidTr="009C6BD0">
        <w:trPr>
          <w:trHeight w:val="300"/>
        </w:trPr>
        <w:tc>
          <w:tcPr>
            <w:tcW w:w="5907"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wniosek o przywrócenie terminu do wniesienia odwołania (brak odwołania)</w:t>
            </w:r>
          </w:p>
        </w:tc>
        <w:tc>
          <w:tcPr>
            <w:tcW w:w="1134"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742"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85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6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9C6BD0" w:rsidRPr="00F137D2" w:rsidTr="009C6BD0">
        <w:trPr>
          <w:trHeight w:val="300"/>
        </w:trPr>
        <w:tc>
          <w:tcPr>
            <w:tcW w:w="5907"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wniosek o wstrzymanie wykonania decyzji do RDU</w:t>
            </w:r>
          </w:p>
        </w:tc>
        <w:tc>
          <w:tcPr>
            <w:tcW w:w="1134"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742"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c>
          <w:tcPr>
            <w:tcW w:w="85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6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w:t>
            </w:r>
          </w:p>
        </w:tc>
      </w:tr>
      <w:tr w:rsidR="009C6BD0" w:rsidRPr="00F137D2" w:rsidTr="009C6BD0">
        <w:trPr>
          <w:trHeight w:val="300"/>
        </w:trPr>
        <w:tc>
          <w:tcPr>
            <w:tcW w:w="5907"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wniosek o wznowienie postępowania</w:t>
            </w:r>
          </w:p>
        </w:tc>
        <w:tc>
          <w:tcPr>
            <w:tcW w:w="1134"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742"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85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6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9C6BD0" w:rsidRPr="00F137D2" w:rsidTr="009C6BD0">
        <w:trPr>
          <w:trHeight w:val="300"/>
        </w:trPr>
        <w:tc>
          <w:tcPr>
            <w:tcW w:w="5907"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wniosek o zawieszenie postępowania</w:t>
            </w:r>
          </w:p>
        </w:tc>
        <w:tc>
          <w:tcPr>
            <w:tcW w:w="1134"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742"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85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6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9C6BD0" w:rsidRPr="00F137D2" w:rsidTr="009C6BD0">
        <w:trPr>
          <w:trHeight w:val="300"/>
        </w:trPr>
        <w:tc>
          <w:tcPr>
            <w:tcW w:w="5907"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wniosek o zmianę/uchylenie decyzji</w:t>
            </w:r>
          </w:p>
        </w:tc>
        <w:tc>
          <w:tcPr>
            <w:tcW w:w="1134"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742"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857"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65" w:type="dxa"/>
            <w:tcBorders>
              <w:top w:val="nil"/>
              <w:left w:val="nil"/>
              <w:bottom w:val="single" w:sz="4" w:space="0" w:color="auto"/>
              <w:right w:val="single" w:sz="4" w:space="0" w:color="auto"/>
            </w:tcBorders>
            <w:shd w:val="clear" w:color="auto" w:fill="auto"/>
            <w:noWrap/>
            <w:vAlign w:val="bottom"/>
            <w:hideMark/>
          </w:tcPr>
          <w:p w:rsidR="009C6BD0" w:rsidRPr="00F137D2" w:rsidRDefault="009C6BD0"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9C6BD0" w:rsidRPr="00F137D2" w:rsidTr="009C6BD0">
        <w:trPr>
          <w:trHeight w:val="300"/>
        </w:trPr>
        <w:tc>
          <w:tcPr>
            <w:tcW w:w="59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74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11</w:t>
            </w:r>
          </w:p>
        </w:tc>
        <w:tc>
          <w:tcPr>
            <w:tcW w:w="85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96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13</w:t>
            </w:r>
          </w:p>
        </w:tc>
      </w:tr>
    </w:tbl>
    <w:p w:rsidR="009C6BD0" w:rsidRDefault="009C6BD0" w:rsidP="009C6BD0">
      <w:pPr>
        <w:rPr>
          <w:rFonts w:ascii="Times New Roman" w:hAnsi="Times New Roman"/>
          <w:sz w:val="24"/>
          <w:szCs w:val="24"/>
        </w:rPr>
      </w:pPr>
    </w:p>
    <w:p w:rsidR="00367AE2" w:rsidRDefault="00367AE2" w:rsidP="009C6BD0">
      <w:pPr>
        <w:rPr>
          <w:rFonts w:ascii="Times New Roman" w:hAnsi="Times New Roman"/>
          <w:sz w:val="24"/>
          <w:szCs w:val="24"/>
        </w:rPr>
      </w:pPr>
      <w:r>
        <w:rPr>
          <w:rFonts w:ascii="Times New Roman" w:hAnsi="Times New Roman"/>
          <w:sz w:val="24"/>
          <w:szCs w:val="24"/>
        </w:rPr>
        <w:t>Rodzaje orzeczeń Rady z podziałem na kraje pochodzenia:</w:t>
      </w:r>
    </w:p>
    <w:tbl>
      <w:tblPr>
        <w:tblW w:w="9721" w:type="dxa"/>
        <w:tblInd w:w="55" w:type="dxa"/>
        <w:tblCellMar>
          <w:left w:w="70" w:type="dxa"/>
          <w:right w:w="70" w:type="dxa"/>
        </w:tblCellMar>
        <w:tblLook w:val="04A0" w:firstRow="1" w:lastRow="0" w:firstColumn="1" w:lastColumn="0" w:noHBand="0" w:noVBand="1"/>
      </w:tblPr>
      <w:tblGrid>
        <w:gridCol w:w="1641"/>
        <w:gridCol w:w="709"/>
        <w:gridCol w:w="992"/>
        <w:gridCol w:w="567"/>
        <w:gridCol w:w="851"/>
        <w:gridCol w:w="850"/>
        <w:gridCol w:w="851"/>
        <w:gridCol w:w="567"/>
        <w:gridCol w:w="567"/>
        <w:gridCol w:w="567"/>
        <w:gridCol w:w="709"/>
        <w:gridCol w:w="850"/>
      </w:tblGrid>
      <w:tr w:rsidR="00367AE2" w:rsidTr="00367AE2">
        <w:trPr>
          <w:trHeight w:val="3840"/>
        </w:trPr>
        <w:tc>
          <w:tcPr>
            <w:tcW w:w="164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Kraj pochodzenia</w:t>
            </w:r>
          </w:p>
        </w:tc>
        <w:tc>
          <w:tcPr>
            <w:tcW w:w="709"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Uchylenie zaskarżonej decyzji i nadanie statusu uchodźcy</w:t>
            </w:r>
          </w:p>
        </w:tc>
        <w:tc>
          <w:tcPr>
            <w:tcW w:w="992"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Uchylenie zaskarżonej decyzji i przekazanie do ponownego rozpatrzenia przez organ pierwszej instancji</w:t>
            </w:r>
          </w:p>
        </w:tc>
        <w:tc>
          <w:tcPr>
            <w:tcW w:w="567"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Umorzenie postępowania odwoławczego</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utrzymanie w mocy decyzji o uznaniu wniosku za niedopuszczalny</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Utrzymanie w mocy odmowy SU i odmowy ochrony uzupełniającej (N)</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Utrzymanie w mocy odmowy SU, uchylenie w części odmowy ochrony uzupełniającej i udzielenie ochrony uzupełniającej (N)</w:t>
            </w:r>
          </w:p>
        </w:tc>
        <w:tc>
          <w:tcPr>
            <w:tcW w:w="567"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D Utrzymanie w mocy zaskarżonej decyzji</w:t>
            </w:r>
          </w:p>
        </w:tc>
        <w:tc>
          <w:tcPr>
            <w:tcW w:w="567"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Inne (</w:t>
            </w:r>
            <w:proofErr w:type="spellStart"/>
            <w:r>
              <w:rPr>
                <w:rFonts w:eastAsia="Times New Roman"/>
                <w:b/>
                <w:bCs/>
                <w:color w:val="000000"/>
                <w:sz w:val="20"/>
                <w:szCs w:val="20"/>
                <w:lang w:eastAsia="pl-PL"/>
              </w:rPr>
              <w:t>RdU</w:t>
            </w:r>
            <w:proofErr w:type="spellEnd"/>
            <w:r>
              <w:rPr>
                <w:rFonts w:eastAsia="Times New Roman"/>
                <w:b/>
                <w:bCs/>
                <w:color w:val="000000"/>
                <w:sz w:val="20"/>
                <w:szCs w:val="20"/>
                <w:lang w:eastAsia="pl-PL"/>
              </w:rPr>
              <w:t>)</w:t>
            </w:r>
          </w:p>
        </w:tc>
        <w:tc>
          <w:tcPr>
            <w:tcW w:w="567"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Odpowiedź na skargę</w:t>
            </w:r>
          </w:p>
        </w:tc>
        <w:tc>
          <w:tcPr>
            <w:tcW w:w="709"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Odpowiedź na skargę kasacyjną</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Suma końcowa</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Afganistan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8</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14</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Algieria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Arabia Saudyjska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Armenia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7</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10</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29</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Azerbejdżan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10</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16</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Bangladesz</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10</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Bezpaństwowiec</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Białoruś</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7</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Bułgaria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Burkina Faso</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Burundi</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Egipt</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11</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Etiopia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Gambia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Ghana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Gruzja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7</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Gwinea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Indie</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7</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lastRenderedPageBreak/>
              <w:t>Irak</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8</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15</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Iran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19</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Jordania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Kamerun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Kazachstan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Kirgistan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10</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Kongo</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Kuba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Liban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8</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Libia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Mołdawia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Mongolia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Nigeria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Pakistan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34</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Rosja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7</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24</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142</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114</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9</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104</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165</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21</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589</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Rumunia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Sierra Leone</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Słowenia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Sri Lanka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Sudan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4</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Syria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Szwecja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Tadżykistan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10</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9</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33</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Turcja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Turkmenistan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Uganda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Ukraina</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25</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75</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85</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6</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22</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54</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275</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Uzbekistan</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5</w:t>
            </w:r>
          </w:p>
        </w:tc>
      </w:tr>
      <w:tr w:rsidR="00367AE2" w:rsidTr="00367AE2">
        <w:trPr>
          <w:trHeight w:val="300"/>
        </w:trPr>
        <w:tc>
          <w:tcPr>
            <w:tcW w:w="1641" w:type="dxa"/>
            <w:tcBorders>
              <w:top w:val="nil"/>
              <w:left w:val="single" w:sz="4" w:space="0" w:color="auto"/>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Wietnam</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992"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w:t>
            </w:r>
          </w:p>
        </w:tc>
        <w:tc>
          <w:tcPr>
            <w:tcW w:w="850"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21</w:t>
            </w:r>
          </w:p>
        </w:tc>
        <w:tc>
          <w:tcPr>
            <w:tcW w:w="851"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567" w:type="dxa"/>
            <w:tcBorders>
              <w:top w:val="nil"/>
              <w:left w:val="nil"/>
              <w:bottom w:val="single" w:sz="4" w:space="0" w:color="auto"/>
              <w:right w:val="single" w:sz="4" w:space="0" w:color="auto"/>
            </w:tcBorders>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1</w:t>
            </w:r>
          </w:p>
        </w:tc>
        <w:tc>
          <w:tcPr>
            <w:tcW w:w="567"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3</w:t>
            </w:r>
          </w:p>
        </w:tc>
        <w:tc>
          <w:tcPr>
            <w:tcW w:w="709" w:type="dxa"/>
            <w:tcBorders>
              <w:top w:val="nil"/>
              <w:left w:val="nil"/>
              <w:bottom w:val="single" w:sz="4" w:space="0" w:color="auto"/>
              <w:right w:val="single" w:sz="4" w:space="0" w:color="auto"/>
            </w:tcBorders>
            <w:shd w:val="clear" w:color="auto" w:fill="FFFFFF"/>
            <w:noWrap/>
            <w:vAlign w:val="bottom"/>
            <w:hideMark/>
          </w:tcPr>
          <w:p w:rsidR="00367AE2" w:rsidRDefault="00367AE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850" w:type="dxa"/>
            <w:tcBorders>
              <w:top w:val="nil"/>
              <w:left w:val="nil"/>
              <w:bottom w:val="single" w:sz="4" w:space="0" w:color="auto"/>
              <w:right w:val="single" w:sz="4" w:space="0" w:color="auto"/>
            </w:tcBorders>
            <w:noWrap/>
            <w:vAlign w:val="bottom"/>
            <w:hideMark/>
          </w:tcPr>
          <w:p w:rsidR="00367AE2" w:rsidRDefault="00367AE2">
            <w:pPr>
              <w:spacing w:after="0" w:line="240" w:lineRule="auto"/>
              <w:jc w:val="right"/>
              <w:rPr>
                <w:rFonts w:eastAsia="Times New Roman"/>
                <w:color w:val="000000"/>
                <w:sz w:val="20"/>
                <w:szCs w:val="20"/>
                <w:lang w:eastAsia="pl-PL"/>
              </w:rPr>
            </w:pPr>
            <w:r>
              <w:rPr>
                <w:rFonts w:eastAsia="Times New Roman"/>
                <w:color w:val="000000"/>
                <w:sz w:val="20"/>
                <w:szCs w:val="20"/>
                <w:lang w:eastAsia="pl-PL"/>
              </w:rPr>
              <w:t>28</w:t>
            </w:r>
          </w:p>
        </w:tc>
      </w:tr>
      <w:tr w:rsidR="00367AE2" w:rsidTr="00367AE2">
        <w:trPr>
          <w:trHeight w:val="300"/>
        </w:trPr>
        <w:tc>
          <w:tcPr>
            <w:tcW w:w="164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367AE2" w:rsidRDefault="00367AE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Suma końcowa</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65</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273</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342</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47</w:t>
            </w:r>
          </w:p>
        </w:tc>
        <w:tc>
          <w:tcPr>
            <w:tcW w:w="567"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163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304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34</w:t>
            </w:r>
          </w:p>
        </w:tc>
        <w:tc>
          <w:tcPr>
            <w:tcW w:w="850"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367AE2" w:rsidRDefault="00367AE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1252</w:t>
            </w:r>
          </w:p>
        </w:tc>
      </w:tr>
    </w:tbl>
    <w:p w:rsidR="00367AE2" w:rsidRDefault="00367AE2" w:rsidP="009C6BD0">
      <w:pPr>
        <w:rPr>
          <w:rFonts w:ascii="Times New Roman" w:hAnsi="Times New Roman"/>
          <w:sz w:val="24"/>
          <w:szCs w:val="24"/>
        </w:rPr>
      </w:pPr>
    </w:p>
    <w:p w:rsidR="00F0589E" w:rsidRPr="00F137D2" w:rsidRDefault="00953CC0" w:rsidP="00F0589E">
      <w:pPr>
        <w:rPr>
          <w:rFonts w:ascii="Times New Roman" w:hAnsi="Times New Roman"/>
          <w:sz w:val="24"/>
          <w:szCs w:val="24"/>
        </w:rPr>
      </w:pPr>
      <w:r w:rsidRPr="00F137D2">
        <w:rPr>
          <w:rFonts w:ascii="Times New Roman" w:hAnsi="Times New Roman"/>
          <w:sz w:val="24"/>
          <w:szCs w:val="24"/>
        </w:rPr>
        <w:t>Rodzaje skargi z podziałem na kraj pochodzenia:</w:t>
      </w:r>
    </w:p>
    <w:tbl>
      <w:tblPr>
        <w:tblW w:w="7760" w:type="dxa"/>
        <w:tblInd w:w="55" w:type="dxa"/>
        <w:tblCellMar>
          <w:left w:w="70" w:type="dxa"/>
          <w:right w:w="70" w:type="dxa"/>
        </w:tblCellMar>
        <w:tblLook w:val="04A0" w:firstRow="1" w:lastRow="0" w:firstColumn="1" w:lastColumn="0" w:noHBand="0" w:noVBand="1"/>
      </w:tblPr>
      <w:tblGrid>
        <w:gridCol w:w="1767"/>
        <w:gridCol w:w="2300"/>
        <w:gridCol w:w="1074"/>
        <w:gridCol w:w="1300"/>
        <w:gridCol w:w="1500"/>
      </w:tblGrid>
      <w:tr w:rsidR="00F0589E" w:rsidRPr="00F137D2" w:rsidTr="00F0589E">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Kraj pochodzenia</w:t>
            </w:r>
          </w:p>
        </w:tc>
        <w:tc>
          <w:tcPr>
            <w:tcW w:w="2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skarga kasacyjna strony</w:t>
            </w:r>
          </w:p>
        </w:tc>
        <w:tc>
          <w:tcPr>
            <w:tcW w:w="9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Sprzeciw</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wpływ skargi</w:t>
            </w:r>
          </w:p>
        </w:tc>
        <w:tc>
          <w:tcPr>
            <w:tcW w:w="15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Afganistan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Algieria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Arabia Saudyjska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Armenia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6</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Azerbejdżan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Bangladesz</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Bezpaństwowiec</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Białoruś</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Bułgaria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lastRenderedPageBreak/>
              <w:t>Burundi</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Egipt</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Etiopia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Gambia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Ghana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Gruzja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Indie</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Irak</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Iran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4</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Kazachstan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Kirgistan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Kongo</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Kuba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Liban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Mołdawia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Nigeria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Pakistan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6</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7</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Rosja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38</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152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191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Słowenia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Sri Lanka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Sudan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Tadżykistan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8</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10</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Turcja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Turkmenistan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Uganda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Ukraina</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9</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55</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64</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Uzbekistan</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2</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Wietnam</w:t>
            </w:r>
          </w:p>
        </w:tc>
        <w:tc>
          <w:tcPr>
            <w:tcW w:w="2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94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c>
          <w:tcPr>
            <w:tcW w:w="1500" w:type="dxa"/>
            <w:tcBorders>
              <w:top w:val="nil"/>
              <w:left w:val="nil"/>
              <w:bottom w:val="single" w:sz="4" w:space="0" w:color="auto"/>
              <w:right w:val="single" w:sz="4" w:space="0" w:color="auto"/>
            </w:tcBorders>
            <w:shd w:val="clear" w:color="auto" w:fill="auto"/>
            <w:noWrap/>
            <w:vAlign w:val="bottom"/>
            <w:hideMark/>
          </w:tcPr>
          <w:p w:rsidR="00F0589E" w:rsidRPr="00F137D2" w:rsidRDefault="00F0589E" w:rsidP="00F0589E">
            <w:pPr>
              <w:spacing w:after="0" w:line="240" w:lineRule="auto"/>
              <w:jc w:val="right"/>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w:t>
            </w:r>
          </w:p>
        </w:tc>
      </w:tr>
      <w:tr w:rsidR="00F0589E" w:rsidRPr="00F137D2" w:rsidTr="00F0589E">
        <w:trPr>
          <w:trHeight w:val="300"/>
        </w:trPr>
        <w:tc>
          <w:tcPr>
            <w:tcW w:w="17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2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65</w:t>
            </w:r>
          </w:p>
        </w:tc>
        <w:tc>
          <w:tcPr>
            <w:tcW w:w="9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1</w:t>
            </w:r>
          </w:p>
        </w:tc>
        <w:tc>
          <w:tcPr>
            <w:tcW w:w="13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291</w:t>
            </w:r>
          </w:p>
        </w:tc>
        <w:tc>
          <w:tcPr>
            <w:tcW w:w="15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F0589E" w:rsidRPr="00F137D2" w:rsidRDefault="00F0589E" w:rsidP="00F0589E">
            <w:pPr>
              <w:spacing w:after="0" w:line="240" w:lineRule="auto"/>
              <w:jc w:val="right"/>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357</w:t>
            </w:r>
          </w:p>
        </w:tc>
      </w:tr>
    </w:tbl>
    <w:p w:rsidR="00F0589E" w:rsidRDefault="00F0589E" w:rsidP="001C4C0E">
      <w:pPr>
        <w:rPr>
          <w:rFonts w:ascii="Times New Roman" w:hAnsi="Times New Roman"/>
          <w:sz w:val="24"/>
          <w:szCs w:val="24"/>
        </w:rPr>
      </w:pPr>
    </w:p>
    <w:p w:rsidR="005E2EC0" w:rsidRPr="00F137D2" w:rsidRDefault="005E2EC0" w:rsidP="001C4C0E">
      <w:pPr>
        <w:rPr>
          <w:rFonts w:ascii="Times New Roman" w:hAnsi="Times New Roman"/>
          <w:sz w:val="24"/>
          <w:szCs w:val="24"/>
        </w:rPr>
      </w:pPr>
    </w:p>
    <w:p w:rsidR="00E13C07" w:rsidRPr="00F137D2" w:rsidRDefault="0001723D" w:rsidP="00EF4CCA">
      <w:pPr>
        <w:pStyle w:val="Akapitzlist"/>
        <w:numPr>
          <w:ilvl w:val="0"/>
          <w:numId w:val="4"/>
        </w:numPr>
        <w:rPr>
          <w:rFonts w:ascii="Times New Roman" w:hAnsi="Times New Roman" w:cs="Times New Roman"/>
          <w:sz w:val="24"/>
          <w:szCs w:val="24"/>
        </w:rPr>
      </w:pPr>
      <w:r w:rsidRPr="00F137D2">
        <w:rPr>
          <w:rFonts w:ascii="Times New Roman" w:hAnsi="Times New Roman" w:cs="Times New Roman"/>
          <w:sz w:val="24"/>
          <w:szCs w:val="24"/>
        </w:rPr>
        <w:t>ORZECZNICTWO SĄDOWE W SPRAWACH RADY</w:t>
      </w:r>
      <w:r w:rsidR="001078FC" w:rsidRPr="00F137D2">
        <w:rPr>
          <w:rFonts w:ascii="Times New Roman" w:hAnsi="Times New Roman" w:cs="Times New Roman"/>
          <w:sz w:val="24"/>
          <w:szCs w:val="24"/>
        </w:rPr>
        <w:t xml:space="preserve"> </w:t>
      </w:r>
    </w:p>
    <w:p w:rsidR="001078FC" w:rsidRPr="00F137D2" w:rsidRDefault="001078FC" w:rsidP="001078FC">
      <w:pPr>
        <w:pStyle w:val="Akapitzlist"/>
        <w:ind w:left="1440"/>
        <w:rPr>
          <w:rFonts w:ascii="Times New Roman" w:hAnsi="Times New Roman" w:cs="Times New Roman"/>
          <w:sz w:val="24"/>
          <w:szCs w:val="24"/>
        </w:rPr>
      </w:pPr>
    </w:p>
    <w:p w:rsidR="003059EA" w:rsidRDefault="00446621" w:rsidP="003059EA">
      <w:pPr>
        <w:spacing w:after="120" w:line="360" w:lineRule="auto"/>
        <w:ind w:firstLine="708"/>
        <w:jc w:val="both"/>
        <w:rPr>
          <w:rFonts w:ascii="Times New Roman" w:hAnsi="Times New Roman"/>
          <w:sz w:val="24"/>
          <w:szCs w:val="24"/>
        </w:rPr>
      </w:pPr>
      <w:r w:rsidRPr="00F137D2">
        <w:rPr>
          <w:rFonts w:ascii="Times New Roman" w:hAnsi="Times New Roman"/>
          <w:sz w:val="24"/>
          <w:szCs w:val="24"/>
        </w:rPr>
        <w:t>I. W 2019 r. zostało złożonych 291 skarg na orzeczenia Rady do Wojewódzkiego Sądu Administracyjnego w Warszawie, 65 skarg kasacyjnych do Naczelnego Sądu Administracyjnego na wyroki WSA zapadłe w sprawach uchodźczych oraz 1 sprzeciw od decyzji Rady do Spraw Uchodźców. Rada sporządziła odpowiednio 304 odpowiedzi na skargę i – korzystając z fakultatywnego uprawnienia – 34 odpowiedzi na skargi kasacyjne. Rada wniosła w miniony</w:t>
      </w:r>
      <w:r w:rsidR="003059EA">
        <w:rPr>
          <w:rFonts w:ascii="Times New Roman" w:hAnsi="Times New Roman"/>
          <w:sz w:val="24"/>
          <w:szCs w:val="24"/>
        </w:rPr>
        <w:t xml:space="preserve">m roku jedną skargę kasacyjną. </w:t>
      </w:r>
    </w:p>
    <w:p w:rsidR="00446621" w:rsidRPr="00F137D2" w:rsidRDefault="00446621" w:rsidP="00367AE2">
      <w:pPr>
        <w:spacing w:after="120" w:line="360" w:lineRule="auto"/>
        <w:jc w:val="both"/>
        <w:rPr>
          <w:rFonts w:ascii="Times New Roman" w:hAnsi="Times New Roman"/>
          <w:sz w:val="24"/>
          <w:szCs w:val="24"/>
        </w:rPr>
      </w:pPr>
      <w:r w:rsidRPr="00F137D2">
        <w:rPr>
          <w:rFonts w:ascii="Times New Roman" w:hAnsi="Times New Roman"/>
          <w:sz w:val="24"/>
          <w:szCs w:val="24"/>
        </w:rPr>
        <w:t xml:space="preserve">W 2019 r. statystyka orzeczeń WSA przedstawiała się następująco: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lastRenderedPageBreak/>
        <w:t xml:space="preserve">Skargi oddalone – 216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Skargi odrzucone – 37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Postępowania umorzone – 4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Uchylenie decyzji II instancji –  15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Uchylenie decyzji I </w:t>
      </w:r>
      <w:proofErr w:type="spellStart"/>
      <w:r w:rsidRPr="00F137D2">
        <w:rPr>
          <w:rFonts w:ascii="Times New Roman" w:hAnsi="Times New Roman"/>
          <w:sz w:val="24"/>
          <w:szCs w:val="24"/>
        </w:rPr>
        <w:t>i</w:t>
      </w:r>
      <w:proofErr w:type="spellEnd"/>
      <w:r w:rsidRPr="00F137D2">
        <w:rPr>
          <w:rFonts w:ascii="Times New Roman" w:hAnsi="Times New Roman"/>
          <w:sz w:val="24"/>
          <w:szCs w:val="24"/>
        </w:rPr>
        <w:t xml:space="preserve"> II instancji – 4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Odrzucenie skargi kasacyjnej  -5 </w:t>
      </w:r>
    </w:p>
    <w:p w:rsidR="00EF4CCA" w:rsidRPr="00F137D2" w:rsidRDefault="00EF4CCA" w:rsidP="00EF4CCA">
      <w:pPr>
        <w:spacing w:after="120" w:line="360" w:lineRule="auto"/>
        <w:jc w:val="both"/>
        <w:rPr>
          <w:rFonts w:ascii="Times New Roman" w:hAnsi="Times New Roman"/>
          <w:sz w:val="24"/>
          <w:szCs w:val="24"/>
        </w:rPr>
      </w:pPr>
      <w:r w:rsidRPr="00F137D2">
        <w:rPr>
          <w:rFonts w:ascii="Times New Roman" w:hAnsi="Times New Roman"/>
          <w:sz w:val="24"/>
          <w:szCs w:val="24"/>
        </w:rPr>
        <w:t xml:space="preserve">Odsetek skutecznie zaskarżonych orzeczeń Rady do WSA wyniósł w 2019 r. ok. 6,7%, </w:t>
      </w:r>
      <w:r w:rsidR="00544B8C">
        <w:rPr>
          <w:rFonts w:ascii="Times New Roman" w:hAnsi="Times New Roman"/>
          <w:sz w:val="24"/>
          <w:szCs w:val="24"/>
        </w:rPr>
        <w:br/>
      </w:r>
      <w:r w:rsidRPr="00F137D2">
        <w:rPr>
          <w:rFonts w:ascii="Times New Roman" w:hAnsi="Times New Roman"/>
          <w:sz w:val="24"/>
          <w:szCs w:val="24"/>
        </w:rPr>
        <w:t xml:space="preserve">co oznacza, że w przeważającej części spraw, bo w 93,3 % sąd nie dopatrzył się nieprawidłowości w orzeczeniach Rady. </w:t>
      </w:r>
    </w:p>
    <w:p w:rsidR="00EF4CCA" w:rsidRPr="00F137D2" w:rsidRDefault="00EF4CCA" w:rsidP="00367AE2">
      <w:pPr>
        <w:spacing w:after="120" w:line="360" w:lineRule="auto"/>
        <w:jc w:val="both"/>
        <w:rPr>
          <w:rFonts w:ascii="Times New Roman" w:hAnsi="Times New Roman"/>
          <w:sz w:val="24"/>
          <w:szCs w:val="24"/>
        </w:rPr>
      </w:pPr>
      <w:r w:rsidRPr="00F137D2">
        <w:rPr>
          <w:rFonts w:ascii="Times New Roman" w:hAnsi="Times New Roman"/>
          <w:sz w:val="24"/>
          <w:szCs w:val="24"/>
        </w:rPr>
        <w:t xml:space="preserve">Niestety w roku 2019 nie udało się wyeliminować w pełni, powtarzających się zarzutów proceduralnych, jak: nierozpatrzenie materiału dowodowego w całości, brak odniesienia się </w:t>
      </w:r>
      <w:r w:rsidR="00544B8C">
        <w:rPr>
          <w:rFonts w:ascii="Times New Roman" w:hAnsi="Times New Roman"/>
          <w:sz w:val="24"/>
          <w:szCs w:val="24"/>
        </w:rPr>
        <w:br/>
      </w:r>
      <w:r w:rsidRPr="00F137D2">
        <w:rPr>
          <w:rFonts w:ascii="Times New Roman" w:hAnsi="Times New Roman"/>
          <w:sz w:val="24"/>
          <w:szCs w:val="24"/>
        </w:rPr>
        <w:t xml:space="preserve">do wszystkich wniosków dowodowych i argumentów zawartych w </w:t>
      </w:r>
      <w:proofErr w:type="spellStart"/>
      <w:r w:rsidRPr="00F137D2">
        <w:rPr>
          <w:rFonts w:ascii="Times New Roman" w:hAnsi="Times New Roman"/>
          <w:sz w:val="24"/>
          <w:szCs w:val="24"/>
        </w:rPr>
        <w:t>odwołaniach</w:t>
      </w:r>
      <w:proofErr w:type="spellEnd"/>
      <w:r w:rsidRPr="00F137D2">
        <w:rPr>
          <w:rFonts w:ascii="Times New Roman" w:hAnsi="Times New Roman"/>
          <w:sz w:val="24"/>
          <w:szCs w:val="24"/>
        </w:rPr>
        <w:t xml:space="preserve">. </w:t>
      </w:r>
    </w:p>
    <w:p w:rsidR="00EF4CCA" w:rsidRPr="00F137D2" w:rsidRDefault="00EF4CCA" w:rsidP="00367AE2">
      <w:pPr>
        <w:spacing w:after="120" w:line="360" w:lineRule="auto"/>
        <w:jc w:val="both"/>
        <w:rPr>
          <w:rFonts w:ascii="Times New Roman" w:hAnsi="Times New Roman"/>
          <w:sz w:val="24"/>
          <w:szCs w:val="24"/>
        </w:rPr>
      </w:pPr>
      <w:r w:rsidRPr="00F137D2">
        <w:rPr>
          <w:rFonts w:ascii="Times New Roman" w:hAnsi="Times New Roman"/>
          <w:sz w:val="24"/>
          <w:szCs w:val="24"/>
        </w:rPr>
        <w:t xml:space="preserve">Sądy administracyjne formułując powyższe zarzuty zwracały uwagę, że w myśl art. 7 Kpa </w:t>
      </w:r>
      <w:r w:rsidR="00367AE2">
        <w:rPr>
          <w:rFonts w:ascii="Times New Roman" w:hAnsi="Times New Roman"/>
          <w:sz w:val="24"/>
          <w:szCs w:val="24"/>
        </w:rPr>
        <w:br/>
      </w:r>
      <w:r w:rsidRPr="00F137D2">
        <w:rPr>
          <w:rFonts w:ascii="Times New Roman" w:hAnsi="Times New Roman"/>
          <w:sz w:val="24"/>
          <w:szCs w:val="24"/>
        </w:rPr>
        <w:t xml:space="preserve">w toku postępowania organy administracji publicznej stoją na straży praworządności, </w:t>
      </w:r>
      <w:r w:rsidR="00544B8C">
        <w:rPr>
          <w:rFonts w:ascii="Times New Roman" w:hAnsi="Times New Roman"/>
          <w:sz w:val="24"/>
          <w:szCs w:val="24"/>
        </w:rPr>
        <w:br/>
      </w:r>
      <w:r w:rsidRPr="00F137D2">
        <w:rPr>
          <w:rFonts w:ascii="Times New Roman" w:hAnsi="Times New Roman"/>
          <w:sz w:val="24"/>
          <w:szCs w:val="24"/>
        </w:rPr>
        <w:t xml:space="preserve">z urzędu lub na wniosek stron podejmują wszelkie czynności niezbędne do dokładnego wyjaśnienia stanu faktycznego oraz do załatwienia sprawy, mając na względzie interes społeczny i słuszny interes obywateli. Sądy podnosiły, że organ odwoławczy, zgodnie z art. 77 § 1 Kpa obowiązany jest do rozpatrzenia całego materiału dowodowego zebranego w sprawie, a w sytuacji, gdy uzna to za konieczne powinien przeprowadzić uzupełniające postępowanie dowodowe, stosownie do treści art. 136 § 1 Kpa (organ odwoławczy może przeprowadzić na żądanie strony lub z urzędu dodatkowe postępowanie w celu uzupełnienia dowodów </w:t>
      </w:r>
      <w:r w:rsidR="00544B8C">
        <w:rPr>
          <w:rFonts w:ascii="Times New Roman" w:hAnsi="Times New Roman"/>
          <w:sz w:val="24"/>
          <w:szCs w:val="24"/>
        </w:rPr>
        <w:br/>
      </w:r>
      <w:r w:rsidRPr="00F137D2">
        <w:rPr>
          <w:rFonts w:ascii="Times New Roman" w:hAnsi="Times New Roman"/>
          <w:sz w:val="24"/>
          <w:szCs w:val="24"/>
        </w:rPr>
        <w:t xml:space="preserve">i materiałów w sprawie albo zlecić przeprowadzenie tego postępowania organowi, który wydał decyzję.). O tym czy kontrola instancyjna została przeprowadzona prawidłowo powinna wskazywać treść uzasadnienia rozstrzygnięcia. Uzasadnienie decyzji administracyjnej, zredagowane zgodnie z art. 107 § 3 Kpa ma zatem podstawowe znaczenie dla stosowania zasady przekonywania stron, wyrażonej w art. 11 Kpa. Mocą przywołanych przepisów organ orzekający w sprawie jest zobowiązany do wyjaśnienia stronom zasadności przesłanek, którymi kierował się przy załatwieniu sprawy. Uzasadnienie decyzji winno być elementem decydującym o przekonaniu strony, co do trafności rozstrzygnięcia. W ocenie sądów zasada przekonywania nie zostanie jednak zrealizowana, gdy organ pominie </w:t>
      </w:r>
      <w:r w:rsidRPr="00F137D2">
        <w:rPr>
          <w:rFonts w:ascii="Times New Roman" w:hAnsi="Times New Roman"/>
          <w:sz w:val="24"/>
          <w:szCs w:val="24"/>
        </w:rPr>
        <w:lastRenderedPageBreak/>
        <w:t xml:space="preserve">milczeniem niektóre twierdzenia, nie odniesie się do faktów istotnych dla danej sprawy lub nie przedstawi w sposób wyczerpujący wykładni stosowanych przepisów prawa. </w:t>
      </w:r>
    </w:p>
    <w:p w:rsidR="00EF4CCA" w:rsidRPr="00F137D2" w:rsidRDefault="00EF4CCA" w:rsidP="00367AE2">
      <w:pPr>
        <w:spacing w:after="120" w:line="360" w:lineRule="auto"/>
        <w:jc w:val="both"/>
        <w:rPr>
          <w:rFonts w:ascii="Times New Roman" w:hAnsi="Times New Roman"/>
          <w:sz w:val="24"/>
          <w:szCs w:val="24"/>
          <w:lang w:eastAsia="pl-PL"/>
        </w:rPr>
      </w:pPr>
      <w:r w:rsidRPr="00F137D2">
        <w:rPr>
          <w:rFonts w:ascii="Times New Roman" w:hAnsi="Times New Roman"/>
          <w:sz w:val="24"/>
          <w:szCs w:val="24"/>
        </w:rPr>
        <w:t>Ponadto, sądy, odwołując się do przepisu art. 15 Kpa, wskazywały na konieczność ponownego rozpatrzenia całego materiału dowodowego, bowiem brak odniesienia się do całości materiału dowodowego prowadzi do naruszenia zasady dwuinstancyjności.</w:t>
      </w:r>
      <w:r w:rsidRPr="00F137D2">
        <w:rPr>
          <w:rFonts w:ascii="Times New Roman" w:hAnsi="Times New Roman"/>
          <w:sz w:val="24"/>
          <w:szCs w:val="24"/>
          <w:lang w:eastAsia="pl-PL"/>
        </w:rPr>
        <w:t xml:space="preserve"> Natomiast i</w:t>
      </w:r>
      <w:r w:rsidRPr="00F137D2">
        <w:rPr>
          <w:rFonts w:ascii="Times New Roman" w:hAnsi="Times New Roman"/>
          <w:sz w:val="24"/>
          <w:szCs w:val="24"/>
        </w:rPr>
        <w:t>stota zasady dwuinstancyjności postępowania administracyjnego polega na dwukrotnym rozpatrzeniu i rozstrzygnięciu przez dwa różne organy tej samej sprawy. Innymi słowy oznacza to, że sprawę w jej całokształcie rozpoznaje nie tylko organ pierwszej instancji, ale w razie zaskarżenia orzeczenia organu pierwszej instancji również organ odwoławczy.</w:t>
      </w:r>
    </w:p>
    <w:p w:rsidR="00EF4CCA" w:rsidRPr="00F137D2" w:rsidRDefault="00EF4CCA" w:rsidP="00367AE2">
      <w:pPr>
        <w:spacing w:after="120" w:line="360" w:lineRule="auto"/>
        <w:jc w:val="both"/>
        <w:rPr>
          <w:rFonts w:ascii="Times New Roman" w:hAnsi="Times New Roman"/>
          <w:color w:val="1F497D"/>
          <w:sz w:val="24"/>
          <w:szCs w:val="24"/>
        </w:rPr>
      </w:pPr>
      <w:r w:rsidRPr="00F137D2">
        <w:rPr>
          <w:rFonts w:ascii="Times New Roman" w:hAnsi="Times New Roman"/>
          <w:color w:val="000000"/>
          <w:sz w:val="24"/>
          <w:szCs w:val="24"/>
        </w:rPr>
        <w:t xml:space="preserve">Jednocześnie mając na względzie bardzo niski odsetek skutecznie zaskarżonych orzeczeń Rady do Wojewódzkiego Sądu Administracyjnego (ok. 6,7%) należy stwierdzić, że naruszenia, jakich dopuściła się Rada w swoim orzecznictwie są marginalne i można je rozpatrywać </w:t>
      </w:r>
      <w:r w:rsidR="00367AE2">
        <w:rPr>
          <w:rFonts w:ascii="Times New Roman" w:hAnsi="Times New Roman"/>
          <w:color w:val="000000"/>
          <w:sz w:val="24"/>
          <w:szCs w:val="24"/>
        </w:rPr>
        <w:br/>
      </w:r>
      <w:r w:rsidRPr="00F137D2">
        <w:rPr>
          <w:rFonts w:ascii="Times New Roman" w:hAnsi="Times New Roman"/>
          <w:color w:val="000000"/>
          <w:sz w:val="24"/>
          <w:szCs w:val="24"/>
        </w:rPr>
        <w:t xml:space="preserve">w kategoriach błędu statystycznego. Nie oznacza to jednak, że Rada przechodzi nad zarzutami formułowanymi przez sądy administracyjne do porządku dziennego. Podkreślenia wymaga, </w:t>
      </w:r>
      <w:r w:rsidR="00367AE2">
        <w:rPr>
          <w:rFonts w:ascii="Times New Roman" w:hAnsi="Times New Roman"/>
          <w:color w:val="000000"/>
          <w:sz w:val="24"/>
          <w:szCs w:val="24"/>
        </w:rPr>
        <w:br/>
      </w:r>
      <w:r w:rsidRPr="00F137D2">
        <w:rPr>
          <w:rFonts w:ascii="Times New Roman" w:hAnsi="Times New Roman"/>
          <w:color w:val="000000"/>
          <w:sz w:val="24"/>
          <w:szCs w:val="24"/>
        </w:rPr>
        <w:t>że Rada z powagą i wnikliwością analizuje wszystkie błędy wykazywane przez sądy administracyjne, aby je eliminować ze swojego orzecznictwa i dążyć do stałego wzrostu jego poziomu.</w:t>
      </w:r>
    </w:p>
    <w:p w:rsidR="00446621" w:rsidRPr="00F137D2" w:rsidRDefault="00446621" w:rsidP="00446621">
      <w:pPr>
        <w:pStyle w:val="teksttreci2"/>
        <w:shd w:val="clear" w:color="auto" w:fill="auto"/>
        <w:spacing w:after="120"/>
        <w:ind w:firstLine="708"/>
        <w:rPr>
          <w:rFonts w:ascii="Times New Roman" w:hAnsi="Times New Roman" w:cs="Times New Roman"/>
          <w:sz w:val="24"/>
          <w:szCs w:val="24"/>
        </w:rPr>
      </w:pPr>
      <w:r w:rsidRPr="00F137D2">
        <w:rPr>
          <w:rFonts w:ascii="Times New Roman" w:hAnsi="Times New Roman" w:cs="Times New Roman"/>
          <w:sz w:val="24"/>
          <w:szCs w:val="24"/>
        </w:rPr>
        <w:t xml:space="preserve">II. Na podstawie analizy orzecznictwa </w:t>
      </w:r>
      <w:proofErr w:type="spellStart"/>
      <w:r w:rsidRPr="00F137D2">
        <w:rPr>
          <w:rFonts w:ascii="Times New Roman" w:hAnsi="Times New Roman" w:cs="Times New Roman"/>
          <w:sz w:val="24"/>
          <w:szCs w:val="24"/>
        </w:rPr>
        <w:t>sądowoadministracyjnego</w:t>
      </w:r>
      <w:proofErr w:type="spellEnd"/>
      <w:r w:rsidRPr="00F137D2">
        <w:rPr>
          <w:rFonts w:ascii="Times New Roman" w:hAnsi="Times New Roman" w:cs="Times New Roman"/>
          <w:sz w:val="24"/>
          <w:szCs w:val="24"/>
        </w:rPr>
        <w:t xml:space="preserve"> można zasygnalizować następujące zagadnienia.</w:t>
      </w:r>
    </w:p>
    <w:p w:rsidR="00446621" w:rsidRPr="00F137D2" w:rsidRDefault="00446621" w:rsidP="00446621">
      <w:pPr>
        <w:spacing w:after="120" w:line="360" w:lineRule="auto"/>
        <w:rPr>
          <w:rFonts w:ascii="Times New Roman" w:hAnsi="Times New Roman"/>
          <w:b/>
          <w:sz w:val="24"/>
          <w:szCs w:val="24"/>
        </w:rPr>
      </w:pPr>
      <w:r w:rsidRPr="00844CE0">
        <w:rPr>
          <w:rFonts w:ascii="Times New Roman" w:hAnsi="Times New Roman"/>
          <w:b/>
          <w:sz w:val="24"/>
          <w:szCs w:val="24"/>
        </w:rPr>
        <w:t>1.</w:t>
      </w:r>
      <w:r w:rsidRPr="00F137D2">
        <w:rPr>
          <w:rFonts w:ascii="Times New Roman" w:hAnsi="Times New Roman"/>
          <w:b/>
          <w:sz w:val="24"/>
          <w:szCs w:val="24"/>
        </w:rPr>
        <w:t xml:space="preserve"> Udział psychologa lub lekarza podczas przesłuchania cudzoziemca</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Obowiązek rozważenia udziału psychologa lub lekarza podczas przesłuchania cudzoziemca istnieje wówczas, gdy cudzoziemiec jest osobą wymagającą szczególnego traktowania </w:t>
      </w:r>
      <w:r w:rsidR="00544B8C">
        <w:rPr>
          <w:rFonts w:ascii="Times New Roman" w:hAnsi="Times New Roman"/>
          <w:sz w:val="24"/>
          <w:szCs w:val="24"/>
        </w:rPr>
        <w:br/>
      </w:r>
      <w:r w:rsidRPr="00F137D2">
        <w:rPr>
          <w:rFonts w:ascii="Times New Roman" w:hAnsi="Times New Roman"/>
          <w:sz w:val="24"/>
          <w:szCs w:val="24"/>
        </w:rPr>
        <w:t xml:space="preserve">w rozumieniu art. 68 ust. 1 i 2 powołanej wyżej ustawy. Zgodnie z art. 68 ust. 1 pkt 8 tej ustawy, osobami, które mogą wymagać szczególnego traktowania są w szczególności osoby </w:t>
      </w:r>
      <w:r w:rsidR="00544B8C">
        <w:rPr>
          <w:rFonts w:ascii="Times New Roman" w:hAnsi="Times New Roman"/>
          <w:sz w:val="24"/>
          <w:szCs w:val="24"/>
        </w:rPr>
        <w:br/>
      </w:r>
      <w:r w:rsidRPr="00F137D2">
        <w:rPr>
          <w:rFonts w:ascii="Times New Roman" w:hAnsi="Times New Roman"/>
          <w:sz w:val="24"/>
          <w:szCs w:val="24"/>
        </w:rPr>
        <w:t xml:space="preserve">z zaburzeniami psychicznymi. Oceny, czy osoba wnioskująca o udzielenie ochrony międzynarodowej może wymagać szczególnego traktowania Szef Urzędu dokonuje niezwłocznie po złożeniu wniosku o udzielenie ochrony międzynarodowej oraz w każdym czasie do zakończenia postępowania, w przypadku gdy wyjdą na jaw nowe okoliczności dotyczące wnioskodawcy lub osoby, w imieniu której wnioskodawca występuje – art. 68 ust. 6 ustawy. Nadto, w przypadku cudzoziemca, który jest osobą wymagającą szczególnego </w:t>
      </w:r>
      <w:r w:rsidRPr="00F137D2">
        <w:rPr>
          <w:rFonts w:ascii="Times New Roman" w:hAnsi="Times New Roman"/>
          <w:sz w:val="24"/>
          <w:szCs w:val="24"/>
        </w:rPr>
        <w:lastRenderedPageBreak/>
        <w:t xml:space="preserve">traktowania, czynności w postępowaniu w sprawie udzielenia ochrony międzynarodowej </w:t>
      </w:r>
      <w:r w:rsidRPr="00F137D2">
        <w:rPr>
          <w:rFonts w:ascii="Times New Roman" w:hAnsi="Times New Roman"/>
          <w:sz w:val="24"/>
          <w:szCs w:val="24"/>
          <w:u w:val="single"/>
        </w:rPr>
        <w:t>wykonuje</w:t>
      </w:r>
      <w:r w:rsidRPr="00F137D2">
        <w:rPr>
          <w:rFonts w:ascii="Times New Roman" w:hAnsi="Times New Roman"/>
          <w:sz w:val="24"/>
          <w:szCs w:val="24"/>
        </w:rPr>
        <w:t xml:space="preserve"> </w:t>
      </w:r>
      <w:r w:rsidRPr="00F137D2">
        <w:rPr>
          <w:rFonts w:ascii="Times New Roman" w:hAnsi="Times New Roman"/>
          <w:sz w:val="24"/>
          <w:szCs w:val="24"/>
          <w:u w:val="single"/>
        </w:rPr>
        <w:t>się</w:t>
      </w:r>
      <w:r w:rsidRPr="00F137D2">
        <w:rPr>
          <w:rFonts w:ascii="Times New Roman" w:hAnsi="Times New Roman"/>
          <w:sz w:val="24"/>
          <w:szCs w:val="24"/>
        </w:rPr>
        <w:t xml:space="preserve"> (obligatoryjnie) w warunkach zapewniających cudzoziemcowi swobodę wypowiedzi i w sposób dostosowany do jego stanu psychofizycznego (art. 69 ust. 1 pkt 1 ustawy) i w terminie dostosowanym do jego stanu psychicznego i fizycznego, wyznaczonym przy uwzględnieniu terminów korzystania przez cudzoziemca ze świadczeń zdrowotnych (art. 69 ust. 1 pkt 2 ustawy). Nadto, na wniosek cudzoziemca, w przypadkach uzasadnionych jego potrzebami, czynności w postępowaniu wykonuje osoba tej samej płci ( art. 69 ust. 2 pkt 1 ustawy); czynności te wykonuje się z udziałem psychologa, lekarza lub tłumacza płci wskazanej przez cudzoziemca (art. 69 ust. 2 pkt 2 ustawy).</w:t>
      </w:r>
    </w:p>
    <w:p w:rsidR="00446621" w:rsidRPr="00F137D2" w:rsidRDefault="00446621" w:rsidP="00446621">
      <w:pPr>
        <w:pStyle w:val="Teksttreci0"/>
        <w:shd w:val="clear" w:color="auto" w:fill="auto"/>
        <w:spacing w:after="120"/>
        <w:ind w:firstLine="0"/>
        <w:rPr>
          <w:rFonts w:ascii="Times New Roman" w:hAnsi="Times New Roman" w:cs="Times New Roman"/>
          <w:b/>
          <w:sz w:val="24"/>
          <w:szCs w:val="24"/>
        </w:rPr>
      </w:pPr>
      <w:r w:rsidRPr="00844CE0">
        <w:rPr>
          <w:rFonts w:ascii="Times New Roman" w:hAnsi="Times New Roman" w:cs="Times New Roman"/>
          <w:b/>
          <w:sz w:val="24"/>
          <w:szCs w:val="24"/>
        </w:rPr>
        <w:t xml:space="preserve">2. </w:t>
      </w:r>
      <w:r w:rsidRPr="00F137D2">
        <w:rPr>
          <w:rFonts w:ascii="Times New Roman" w:hAnsi="Times New Roman" w:cs="Times New Roman"/>
          <w:b/>
          <w:sz w:val="24"/>
          <w:szCs w:val="24"/>
        </w:rPr>
        <w:t>Przekazanie cudzoziemca do innego państwa członkowskiego</w:t>
      </w:r>
    </w:p>
    <w:p w:rsidR="00446621" w:rsidRPr="00F137D2" w:rsidRDefault="00446621" w:rsidP="00446621">
      <w:pPr>
        <w:pStyle w:val="Teksttreci0"/>
        <w:shd w:val="clear" w:color="auto" w:fill="auto"/>
        <w:spacing w:after="120"/>
        <w:ind w:firstLine="0"/>
        <w:rPr>
          <w:rFonts w:ascii="Times New Roman" w:hAnsi="Times New Roman" w:cs="Times New Roman"/>
          <w:sz w:val="24"/>
          <w:szCs w:val="24"/>
        </w:rPr>
      </w:pPr>
      <w:r w:rsidRPr="00F137D2">
        <w:rPr>
          <w:rFonts w:ascii="Times New Roman" w:hAnsi="Times New Roman" w:cs="Times New Roman"/>
          <w:sz w:val="24"/>
          <w:szCs w:val="24"/>
        </w:rPr>
        <w:t xml:space="preserve">WSA wyraził pogląd, że w myśl zasady ogólnej wyrażonej w </w:t>
      </w:r>
      <w:r w:rsidRPr="00F137D2">
        <w:rPr>
          <w:rFonts w:ascii="Times New Roman" w:hAnsi="Times New Roman" w:cs="Times New Roman"/>
          <w:sz w:val="24"/>
          <w:szCs w:val="24"/>
          <w:lang w:bidi="en-US"/>
        </w:rPr>
        <w:t xml:space="preserve">art. </w:t>
      </w:r>
      <w:r w:rsidRPr="00F137D2">
        <w:rPr>
          <w:rFonts w:ascii="Times New Roman" w:hAnsi="Times New Roman" w:cs="Times New Roman"/>
          <w:sz w:val="24"/>
          <w:szCs w:val="24"/>
        </w:rPr>
        <w:t xml:space="preserve">3 ust. 1 </w:t>
      </w:r>
      <w:proofErr w:type="spellStart"/>
      <w:r w:rsidRPr="00F137D2">
        <w:rPr>
          <w:rFonts w:ascii="Times New Roman" w:hAnsi="Times New Roman" w:cs="Times New Roman"/>
          <w:sz w:val="24"/>
          <w:szCs w:val="24"/>
        </w:rPr>
        <w:t>zd</w:t>
      </w:r>
      <w:proofErr w:type="spellEnd"/>
      <w:r w:rsidRPr="00F137D2">
        <w:rPr>
          <w:rFonts w:ascii="Times New Roman" w:hAnsi="Times New Roman" w:cs="Times New Roman"/>
          <w:sz w:val="24"/>
          <w:szCs w:val="24"/>
        </w:rPr>
        <w:t>. 2</w:t>
      </w:r>
      <w:r w:rsidRPr="00F137D2">
        <w:rPr>
          <w:rFonts w:ascii="Times New Roman" w:hAnsi="Times New Roman" w:cs="Times New Roman"/>
          <w:b/>
          <w:sz w:val="24"/>
          <w:szCs w:val="24"/>
        </w:rPr>
        <w:t xml:space="preserve"> </w:t>
      </w:r>
      <w:r w:rsidRPr="00F137D2">
        <w:rPr>
          <w:rFonts w:ascii="Times New Roman" w:hAnsi="Times New Roman" w:cs="Times New Roman"/>
          <w:sz w:val="24"/>
          <w:szCs w:val="24"/>
        </w:rPr>
        <w:t xml:space="preserve">Rozporządzenia Parlamentu Europejskiego i Rady (UE) nr 604/2013 z dnia 26 czerwca 2013 r. </w:t>
      </w:r>
      <w:r w:rsidRPr="00F137D2">
        <w:rPr>
          <w:rFonts w:ascii="Times New Roman" w:hAnsi="Times New Roman" w:cs="Times New Roman"/>
          <w:i/>
          <w:sz w:val="24"/>
          <w:szCs w:val="24"/>
        </w:rPr>
        <w:t>w sprawie ustanowienia kryteriów i mechanizmów ustalania państwa członkowskiego odpowiedzialnego za rozpatrzenie wniosku o udzielenie ochrony międzynarodowej złożonego w jednym z państw członkowskich przez obywatela państwa trzeciego lub bezpaństwowca</w:t>
      </w:r>
      <w:r w:rsidRPr="00F137D2">
        <w:rPr>
          <w:rFonts w:ascii="Times New Roman" w:hAnsi="Times New Roman" w:cs="Times New Roman"/>
          <w:sz w:val="24"/>
          <w:szCs w:val="24"/>
        </w:rPr>
        <w:t xml:space="preserve"> (wersja przekształcona) (Dz. Urz. UE L 180 z 29.06.2013, str. 31), zwanego dalej rozporządzeniem 604/2013,</w:t>
      </w:r>
      <w:r w:rsidRPr="00F137D2">
        <w:rPr>
          <w:rFonts w:ascii="Times New Roman" w:hAnsi="Times New Roman" w:cs="Times New Roman"/>
          <w:b/>
          <w:sz w:val="24"/>
          <w:szCs w:val="24"/>
        </w:rPr>
        <w:t xml:space="preserve"> </w:t>
      </w:r>
      <w:r w:rsidRPr="00F137D2">
        <w:rPr>
          <w:rFonts w:ascii="Times New Roman" w:hAnsi="Times New Roman" w:cs="Times New Roman"/>
          <w:sz w:val="24"/>
          <w:szCs w:val="24"/>
        </w:rPr>
        <w:t xml:space="preserve">wniosek jest rozpatrywany przez jedno państwo członkowskie, którym jest państwo, ustalone jako odpowiedzialne na podstawie kryteriów wymienionych w rozdziale III. Dopiero, gdy w oparciu o kryteria wymienione w niniejszym rozporządzeniu, a konkretnie w jego rozdziale III, </w:t>
      </w:r>
      <w:r w:rsidR="00544B8C">
        <w:rPr>
          <w:rFonts w:ascii="Times New Roman" w:hAnsi="Times New Roman" w:cs="Times New Roman"/>
          <w:sz w:val="24"/>
          <w:szCs w:val="24"/>
        </w:rPr>
        <w:br/>
      </w:r>
      <w:r w:rsidRPr="00F137D2">
        <w:rPr>
          <w:rFonts w:ascii="Times New Roman" w:hAnsi="Times New Roman" w:cs="Times New Roman"/>
          <w:sz w:val="24"/>
          <w:szCs w:val="24"/>
        </w:rPr>
        <w:t xml:space="preserve">nie można wyznaczyć odpowiedzialnego państwa członkowskiego, odpowiedzialne za rozpatrzenie wniosku o udzielenie ochrony międzynarodowej jest pierwsze państwo członkowskie, w którym wniosek ten został złożony </w:t>
      </w:r>
      <w:r w:rsidRPr="00F137D2">
        <w:rPr>
          <w:rFonts w:ascii="Times New Roman" w:hAnsi="Times New Roman" w:cs="Times New Roman"/>
          <w:sz w:val="24"/>
          <w:szCs w:val="24"/>
          <w:lang w:bidi="en-US"/>
        </w:rPr>
        <w:t xml:space="preserve">(art. </w:t>
      </w:r>
      <w:r w:rsidRPr="00F137D2">
        <w:rPr>
          <w:rFonts w:ascii="Times New Roman" w:hAnsi="Times New Roman" w:cs="Times New Roman"/>
          <w:sz w:val="24"/>
          <w:szCs w:val="24"/>
        </w:rPr>
        <w:t>3 ust. 2 rozporządzenia 604/2013).</w:t>
      </w:r>
    </w:p>
    <w:p w:rsidR="00446621" w:rsidRPr="00F137D2" w:rsidRDefault="00446621" w:rsidP="00446621">
      <w:pPr>
        <w:pStyle w:val="Teksttreci0"/>
        <w:shd w:val="clear" w:color="auto" w:fill="auto"/>
        <w:spacing w:after="120"/>
        <w:ind w:firstLine="0"/>
        <w:rPr>
          <w:rFonts w:ascii="Times New Roman" w:hAnsi="Times New Roman" w:cs="Times New Roman"/>
          <w:sz w:val="24"/>
          <w:szCs w:val="24"/>
        </w:rPr>
      </w:pPr>
      <w:r w:rsidRPr="00F137D2">
        <w:rPr>
          <w:rFonts w:ascii="Times New Roman" w:hAnsi="Times New Roman" w:cs="Times New Roman"/>
          <w:sz w:val="24"/>
          <w:szCs w:val="24"/>
        </w:rPr>
        <w:t xml:space="preserve">W oparciu o ww. regulacje </w:t>
      </w:r>
      <w:r w:rsidRPr="00F137D2">
        <w:rPr>
          <w:rFonts w:ascii="Times New Roman" w:hAnsi="Times New Roman" w:cs="Times New Roman"/>
          <w:sz w:val="24"/>
          <w:szCs w:val="24"/>
          <w:lang w:bidi="en-US"/>
        </w:rPr>
        <w:t xml:space="preserve">(art. </w:t>
      </w:r>
      <w:r w:rsidRPr="00F137D2">
        <w:rPr>
          <w:rFonts w:ascii="Times New Roman" w:hAnsi="Times New Roman" w:cs="Times New Roman"/>
          <w:sz w:val="24"/>
          <w:szCs w:val="24"/>
        </w:rPr>
        <w:t xml:space="preserve">3 ust. 1 i </w:t>
      </w:r>
      <w:r w:rsidRPr="00F137D2">
        <w:rPr>
          <w:rFonts w:ascii="Times New Roman" w:hAnsi="Times New Roman" w:cs="Times New Roman"/>
          <w:sz w:val="24"/>
          <w:szCs w:val="24"/>
          <w:lang w:bidi="en-US"/>
        </w:rPr>
        <w:t xml:space="preserve">art. </w:t>
      </w:r>
      <w:r w:rsidRPr="00F137D2">
        <w:rPr>
          <w:rFonts w:ascii="Times New Roman" w:hAnsi="Times New Roman" w:cs="Times New Roman"/>
          <w:sz w:val="24"/>
          <w:szCs w:val="24"/>
        </w:rPr>
        <w:t xml:space="preserve">3 ust. 3 rozporządzenia 604/2013) - państwo ustalające państwo odpowiedzialne za rozpatrzenie wniosku o udzielenie ochrony międzynarodowej w </w:t>
      </w:r>
      <w:r w:rsidRPr="00F137D2">
        <w:rPr>
          <w:rFonts w:ascii="Times New Roman" w:hAnsi="Times New Roman" w:cs="Times New Roman"/>
          <w:sz w:val="24"/>
          <w:szCs w:val="24"/>
          <w:lang w:bidi="en-US"/>
        </w:rPr>
        <w:t xml:space="preserve">pierwszej </w:t>
      </w:r>
      <w:r w:rsidRPr="00F137D2">
        <w:rPr>
          <w:rFonts w:ascii="Times New Roman" w:hAnsi="Times New Roman" w:cs="Times New Roman"/>
          <w:sz w:val="24"/>
          <w:szCs w:val="24"/>
        </w:rPr>
        <w:t>kolejności ma obowiązek sprawdzić</w:t>
      </w:r>
      <w:r w:rsidR="008C3E11">
        <w:rPr>
          <w:rFonts w:ascii="Times New Roman" w:hAnsi="Times New Roman" w:cs="Times New Roman"/>
          <w:sz w:val="24"/>
          <w:szCs w:val="24"/>
        </w:rPr>
        <w:t>,</w:t>
      </w:r>
      <w:r w:rsidRPr="00F137D2">
        <w:rPr>
          <w:rFonts w:ascii="Times New Roman" w:hAnsi="Times New Roman" w:cs="Times New Roman"/>
          <w:sz w:val="24"/>
          <w:szCs w:val="24"/>
        </w:rPr>
        <w:t xml:space="preserve"> czy istnieje możliwość wyłonienia tego państwa odpowiedzialnego na podstawie kryteriów ustalania państwa członkowskiego odpowiedzialnego do rozpatrzenia wniosku o udzielenie ochrony międzynarodowej, zawartych w rozdziale III rozporządzenia 604/2013. Nie jest zatem zasadne takie działanie, które sprowadza się do ustalenia w pierwszej kolejności pierwszego państwa, w którym wniosek taki został złożony. Ta okoliczność może mieć znaczenie dopiero po wykazaniu, że przy zastosowaniu kryteriów z rozdziału III rozporządzenia UE, nie ma możliwości ustalenia państwa członkowskiego odpowiedzialnego za rozpatrzenie wniosku.</w:t>
      </w:r>
    </w:p>
    <w:p w:rsidR="00446621" w:rsidRPr="00F137D2" w:rsidRDefault="00446621" w:rsidP="00446621">
      <w:pPr>
        <w:pStyle w:val="teksttreci2"/>
        <w:shd w:val="clear" w:color="auto" w:fill="auto"/>
        <w:spacing w:after="120"/>
        <w:ind w:firstLine="0"/>
        <w:rPr>
          <w:rFonts w:ascii="Times New Roman" w:hAnsi="Times New Roman" w:cs="Times New Roman"/>
          <w:sz w:val="24"/>
          <w:szCs w:val="24"/>
        </w:rPr>
      </w:pPr>
      <w:r w:rsidRPr="00F137D2">
        <w:rPr>
          <w:rFonts w:ascii="Times New Roman" w:hAnsi="Times New Roman" w:cs="Times New Roman"/>
          <w:sz w:val="24"/>
          <w:szCs w:val="24"/>
        </w:rPr>
        <w:lastRenderedPageBreak/>
        <w:t>Zgodnie z orzecznictwem sądowo-administracyjnym rolą organu oceniającego możliwość przekazania cudzoziemca do państwa odpowiedzialnego za rozpatrzenie wniosku, w każdym wypadku, jest stosowanie całości regulacji zawartej w rozporządzeniu UE, w tym kierowanie się również założeniami poczynionymi w motywach zawartych w preambule rozporządzenia</w:t>
      </w:r>
      <w:r w:rsidR="00544B8C">
        <w:rPr>
          <w:rFonts w:ascii="Times New Roman" w:hAnsi="Times New Roman" w:cs="Times New Roman"/>
          <w:sz w:val="24"/>
          <w:szCs w:val="24"/>
        </w:rPr>
        <w:br/>
      </w:r>
      <w:r w:rsidRPr="00F137D2">
        <w:rPr>
          <w:rFonts w:ascii="Times New Roman" w:hAnsi="Times New Roman" w:cs="Times New Roman"/>
          <w:sz w:val="24"/>
          <w:szCs w:val="24"/>
        </w:rPr>
        <w:t xml:space="preserve">i zgodnie z nimi odczytywanie uregulowań zawartych w tym rozporządzeniu. W tym zaś kontekście należy zmierzyć się z zawartymi w </w:t>
      </w:r>
      <w:r w:rsidRPr="00F137D2">
        <w:rPr>
          <w:rFonts w:ascii="Times New Roman" w:hAnsi="Times New Roman" w:cs="Times New Roman"/>
          <w:sz w:val="24"/>
          <w:szCs w:val="24"/>
          <w:lang w:bidi="en-US"/>
        </w:rPr>
        <w:t xml:space="preserve">art. </w:t>
      </w:r>
      <w:r w:rsidRPr="00F137D2">
        <w:rPr>
          <w:rFonts w:ascii="Times New Roman" w:hAnsi="Times New Roman" w:cs="Times New Roman"/>
          <w:sz w:val="24"/>
          <w:szCs w:val="24"/>
        </w:rPr>
        <w:t>17 rozporządzenia UE klauzulami dyskrecjonalnymi.</w:t>
      </w:r>
    </w:p>
    <w:p w:rsidR="00446621" w:rsidRPr="00F137D2" w:rsidRDefault="00446621" w:rsidP="00446621">
      <w:pPr>
        <w:pStyle w:val="Teksttreci0"/>
        <w:shd w:val="clear" w:color="auto" w:fill="auto"/>
        <w:spacing w:after="120"/>
        <w:ind w:firstLine="0"/>
        <w:rPr>
          <w:rFonts w:ascii="Times New Roman" w:hAnsi="Times New Roman" w:cs="Times New Roman"/>
          <w:b/>
          <w:sz w:val="24"/>
          <w:szCs w:val="24"/>
        </w:rPr>
      </w:pPr>
      <w:r w:rsidRPr="00F137D2">
        <w:rPr>
          <w:rFonts w:ascii="Times New Roman" w:hAnsi="Times New Roman" w:cs="Times New Roman"/>
          <w:b/>
          <w:sz w:val="24"/>
          <w:szCs w:val="24"/>
        </w:rPr>
        <w:t xml:space="preserve">3. Postępowanie o udzielenie ochrony międzynarodowej wszczęte przez cudzoziemca, </w:t>
      </w:r>
      <w:r w:rsidR="00544B8C">
        <w:rPr>
          <w:rFonts w:ascii="Times New Roman" w:hAnsi="Times New Roman" w:cs="Times New Roman"/>
          <w:b/>
          <w:sz w:val="24"/>
          <w:szCs w:val="24"/>
        </w:rPr>
        <w:br/>
      </w:r>
      <w:r w:rsidRPr="00F137D2">
        <w:rPr>
          <w:rFonts w:ascii="Times New Roman" w:hAnsi="Times New Roman" w:cs="Times New Roman"/>
          <w:b/>
          <w:sz w:val="24"/>
          <w:szCs w:val="24"/>
        </w:rPr>
        <w:t>w stosunku do którego prowadzone jest postępowanie ekstradycyjne</w:t>
      </w:r>
    </w:p>
    <w:p w:rsidR="00446621" w:rsidRPr="00F137D2" w:rsidRDefault="00446621" w:rsidP="00446621">
      <w:pPr>
        <w:pStyle w:val="Teksttreci0"/>
        <w:shd w:val="clear" w:color="auto" w:fill="auto"/>
        <w:spacing w:after="120"/>
        <w:ind w:firstLine="0"/>
        <w:rPr>
          <w:rFonts w:ascii="Times New Roman" w:hAnsi="Times New Roman" w:cs="Times New Roman"/>
          <w:sz w:val="24"/>
          <w:szCs w:val="24"/>
        </w:rPr>
      </w:pPr>
      <w:r w:rsidRPr="00F137D2">
        <w:rPr>
          <w:rFonts w:ascii="Times New Roman" w:hAnsi="Times New Roman" w:cs="Times New Roman"/>
          <w:sz w:val="24"/>
          <w:szCs w:val="24"/>
        </w:rPr>
        <w:t>NSA zwrócił uwagę</w:t>
      </w:r>
      <w:r w:rsidRPr="00F137D2">
        <w:rPr>
          <w:rStyle w:val="Odwoanieprzypisudolnego"/>
          <w:rFonts w:ascii="Times New Roman" w:hAnsi="Times New Roman" w:cs="Times New Roman"/>
          <w:sz w:val="24"/>
          <w:szCs w:val="24"/>
        </w:rPr>
        <w:footnoteReference w:id="1"/>
      </w:r>
      <w:r w:rsidRPr="00F137D2">
        <w:rPr>
          <w:rFonts w:ascii="Times New Roman" w:hAnsi="Times New Roman" w:cs="Times New Roman"/>
          <w:sz w:val="24"/>
          <w:szCs w:val="24"/>
        </w:rPr>
        <w:t xml:space="preserve">, że działalność cudzoziemca w kraju pochodzenia może uzasadniać podjęcie przez władze jego kraju działań zmierzających do ścigania go za rzeczywiście popełnione przestępstwo. Takich działań władz kraju pochodzenia nie należy wówczas kwalifikować jako działań sprowadzających się do prześladowania cudzoziemca pod pretekstem ścigania za rzekomo popełnione przestępstwo. Podkreślenia bowiem wymaga, </w:t>
      </w:r>
      <w:r w:rsidR="00544B8C">
        <w:rPr>
          <w:rFonts w:ascii="Times New Roman" w:hAnsi="Times New Roman" w:cs="Times New Roman"/>
          <w:sz w:val="24"/>
          <w:szCs w:val="24"/>
        </w:rPr>
        <w:br/>
      </w:r>
      <w:r w:rsidRPr="00F137D2">
        <w:rPr>
          <w:rFonts w:ascii="Times New Roman" w:hAnsi="Times New Roman" w:cs="Times New Roman"/>
          <w:sz w:val="24"/>
          <w:szCs w:val="24"/>
        </w:rPr>
        <w:t xml:space="preserve">że w świetle </w:t>
      </w:r>
      <w:r w:rsidRPr="00233975">
        <w:rPr>
          <w:rFonts w:ascii="Times New Roman" w:hAnsi="Times New Roman" w:cs="Times New Roman"/>
          <w:sz w:val="24"/>
          <w:szCs w:val="24"/>
          <w:lang w:bidi="en-US"/>
        </w:rPr>
        <w:t xml:space="preserve">art. </w:t>
      </w:r>
      <w:r w:rsidRPr="00F137D2">
        <w:rPr>
          <w:rFonts w:ascii="Times New Roman" w:hAnsi="Times New Roman" w:cs="Times New Roman"/>
          <w:sz w:val="24"/>
          <w:szCs w:val="24"/>
        </w:rPr>
        <w:t>13 ust. 1 i ust. 4 pkt 2 i 3 ustawy o ochronie nie może być uznane za prześladowanie uzasadniające uznanie cudzoziemca za uchodźcę, podjęcie wobec cudzoziemca działań związanych z podejrzeniem popełnienia przestępstwa w sposób niedyskryminujący, czyli uzasadniony rzeczywistą potrzebą ukarania za popełnione przestępstwo, a nie motywowany rasą, religią, narodowością, przekonaniami politycznymi lub przynależnością do określonej grupy społecznej. Należy przy tym oddzielać przekonania polityczne cudzoziemca od jego działalności, która może być uznana np. za szerzenie mowy nienawiści. W takiej sytuacji nie ma znaczenia, że wniosek o wydanie cudzoziemca dotyczy osoby ściganej za popełnienie bez użycia przemocy przestępstwa z przyczyn politycznych</w:t>
      </w:r>
      <w:r w:rsidRPr="00233975">
        <w:rPr>
          <w:rFonts w:ascii="Times New Roman" w:hAnsi="Times New Roman" w:cs="Times New Roman"/>
          <w:sz w:val="24"/>
          <w:szCs w:val="24"/>
          <w:lang w:bidi="en-US"/>
        </w:rPr>
        <w:t>.</w:t>
      </w:r>
      <w:r w:rsidRPr="00F137D2">
        <w:rPr>
          <w:rFonts w:ascii="Times New Roman" w:hAnsi="Times New Roman" w:cs="Times New Roman"/>
          <w:sz w:val="24"/>
          <w:szCs w:val="24"/>
        </w:rPr>
        <w:t xml:space="preserve"> Okoliczność ta nie musi bowiem przesądzać o tym, że ściganie takiej osoby ma charakter dyskryminujący. Podobnie, nie ma istotnego znaczenia wpisanie ściganego cudzoziemca przez władze kraju pochodzenia na listę osób podejrzanych o ekstremizm i terroryzm. Takie działanie władz kraju pochodzenia też może być uznane za niedyskryminujące działanie związane z utrzymaniem porządku publicznego i ściganiem przestępstw. </w:t>
      </w:r>
    </w:p>
    <w:p w:rsidR="00446621" w:rsidRPr="00F137D2" w:rsidRDefault="00446621" w:rsidP="00446621">
      <w:pPr>
        <w:spacing w:after="120" w:line="360" w:lineRule="auto"/>
        <w:jc w:val="both"/>
        <w:rPr>
          <w:rFonts w:ascii="Times New Roman" w:hAnsi="Times New Roman"/>
          <w:b/>
          <w:sz w:val="24"/>
          <w:szCs w:val="24"/>
        </w:rPr>
      </w:pPr>
      <w:r w:rsidRPr="00F137D2">
        <w:rPr>
          <w:rFonts w:ascii="Times New Roman" w:hAnsi="Times New Roman"/>
          <w:b/>
          <w:sz w:val="24"/>
          <w:szCs w:val="24"/>
        </w:rPr>
        <w:t xml:space="preserve">4. </w:t>
      </w:r>
      <w:r w:rsidRPr="00F137D2">
        <w:rPr>
          <w:rFonts w:ascii="Times New Roman" w:hAnsi="Times New Roman"/>
          <w:b/>
          <w:color w:val="000000"/>
          <w:sz w:val="24"/>
          <w:szCs w:val="24"/>
        </w:rPr>
        <w:t>Tłumaczenie na język polski dokumentów w postępowaniu o udzielenie ochrony międzynarodowej</w:t>
      </w:r>
      <w:r w:rsidRPr="00F137D2">
        <w:rPr>
          <w:rFonts w:ascii="Times New Roman" w:hAnsi="Times New Roman"/>
          <w:b/>
          <w:sz w:val="24"/>
          <w:szCs w:val="24"/>
        </w:rPr>
        <w:t xml:space="preserve"> (art. 11 ustawy o ochronie)</w:t>
      </w:r>
    </w:p>
    <w:p w:rsidR="00EF4CCA" w:rsidRPr="00F137D2" w:rsidRDefault="00EF4CCA" w:rsidP="00EF4CCA">
      <w:pPr>
        <w:spacing w:after="120" w:line="360" w:lineRule="auto"/>
        <w:jc w:val="both"/>
        <w:rPr>
          <w:rFonts w:ascii="Times New Roman" w:hAnsi="Times New Roman"/>
          <w:sz w:val="24"/>
          <w:szCs w:val="24"/>
        </w:rPr>
      </w:pPr>
      <w:r w:rsidRPr="00F137D2">
        <w:rPr>
          <w:rFonts w:ascii="Times New Roman" w:hAnsi="Times New Roman"/>
          <w:sz w:val="24"/>
          <w:szCs w:val="24"/>
        </w:rPr>
        <w:lastRenderedPageBreak/>
        <w:t xml:space="preserve">W postępowaniu w sprawie udzielenia ochrony międzynarodowej obowiązek zapewnienia tłumaczenia dotyczy etapu złożenia wniosku, w tym dokonania pouczenia (art. 29 ust. 1, </w:t>
      </w:r>
      <w:r w:rsidR="00544B8C">
        <w:rPr>
          <w:rFonts w:ascii="Times New Roman" w:hAnsi="Times New Roman"/>
          <w:sz w:val="24"/>
          <w:szCs w:val="24"/>
        </w:rPr>
        <w:br/>
      </w:r>
      <w:r w:rsidRPr="00F137D2">
        <w:rPr>
          <w:rFonts w:ascii="Times New Roman" w:hAnsi="Times New Roman"/>
          <w:sz w:val="24"/>
          <w:szCs w:val="24"/>
        </w:rPr>
        <w:t>art. 30 ust. 1 pkt 5 i 6 ustawy),  przesłuchania (art. 44 ust. 4 pkt 3 ustawy) oraz dokumentów dopuszczonych jako dowód w postępowaniu (art. 11 ustawy). W pozostałym zakresie obowiązuje niewyłączona reguła art. 5 ust. 1 ustawy z dnia 7 października 1999 r. o języku polskim (Dz. U. z 201</w:t>
      </w:r>
      <w:r w:rsidR="00BB5AED">
        <w:rPr>
          <w:rFonts w:ascii="Times New Roman" w:hAnsi="Times New Roman"/>
          <w:sz w:val="24"/>
          <w:szCs w:val="24"/>
        </w:rPr>
        <w:t>9</w:t>
      </w:r>
      <w:r w:rsidRPr="00F137D2">
        <w:rPr>
          <w:rFonts w:ascii="Times New Roman" w:hAnsi="Times New Roman"/>
          <w:sz w:val="24"/>
          <w:szCs w:val="24"/>
        </w:rPr>
        <w:t xml:space="preserve"> r. poz. </w:t>
      </w:r>
      <w:r w:rsidR="00BB5AED">
        <w:rPr>
          <w:rFonts w:ascii="Times New Roman" w:hAnsi="Times New Roman"/>
          <w:sz w:val="24"/>
          <w:szCs w:val="24"/>
        </w:rPr>
        <w:t>1480</w:t>
      </w:r>
      <w:r w:rsidRPr="00F137D2">
        <w:rPr>
          <w:rFonts w:ascii="Times New Roman" w:hAnsi="Times New Roman"/>
          <w:sz w:val="24"/>
          <w:szCs w:val="24"/>
        </w:rPr>
        <w:t>). Ewentualne żądanie prowadzenia korespondencji z</w:t>
      </w:r>
      <w:r w:rsidR="00844CE0">
        <w:rPr>
          <w:rFonts w:ascii="Times New Roman" w:hAnsi="Times New Roman"/>
          <w:sz w:val="24"/>
          <w:szCs w:val="24"/>
        </w:rPr>
        <w:t> </w:t>
      </w:r>
      <w:r w:rsidRPr="00F137D2">
        <w:rPr>
          <w:rFonts w:ascii="Times New Roman" w:hAnsi="Times New Roman"/>
          <w:sz w:val="24"/>
          <w:szCs w:val="24"/>
        </w:rPr>
        <w:t xml:space="preserve">cudzoziemcem w języku </w:t>
      </w:r>
      <w:r w:rsidR="003A584A">
        <w:rPr>
          <w:rFonts w:ascii="Times New Roman" w:hAnsi="Times New Roman"/>
          <w:sz w:val="24"/>
          <w:szCs w:val="24"/>
        </w:rPr>
        <w:t>obcym</w:t>
      </w:r>
      <w:r w:rsidRPr="00F137D2">
        <w:rPr>
          <w:rFonts w:ascii="Times New Roman" w:hAnsi="Times New Roman"/>
          <w:sz w:val="24"/>
          <w:szCs w:val="24"/>
        </w:rPr>
        <w:t xml:space="preserve"> nie znajduje zatem podstawy prawnej.</w:t>
      </w:r>
    </w:p>
    <w:p w:rsidR="00E13C07" w:rsidRPr="00E13C07" w:rsidRDefault="00E13C07" w:rsidP="00E13C07">
      <w:pPr>
        <w:rPr>
          <w:rFonts w:ascii="Times New Roman" w:hAnsi="Times New Roman"/>
          <w:sz w:val="24"/>
          <w:szCs w:val="24"/>
        </w:rPr>
      </w:pPr>
    </w:p>
    <w:p w:rsidR="00860933" w:rsidRPr="00230BCE" w:rsidRDefault="00860933" w:rsidP="008D4683">
      <w:pPr>
        <w:suppressAutoHyphens/>
        <w:spacing w:after="120" w:line="240" w:lineRule="auto"/>
        <w:jc w:val="center"/>
        <w:rPr>
          <w:rFonts w:ascii="Times New Roman" w:eastAsia="Times New Roman" w:hAnsi="Times New Roman"/>
          <w:b/>
          <w:color w:val="FF0000"/>
          <w:sz w:val="24"/>
          <w:szCs w:val="24"/>
          <w:lang w:eastAsia="pl-PL"/>
        </w:rPr>
      </w:pPr>
    </w:p>
    <w:p w:rsidR="00A72FFB" w:rsidRPr="00230BCE" w:rsidRDefault="00A72FFB">
      <w:pPr>
        <w:rPr>
          <w:rFonts w:ascii="Times New Roman" w:hAnsi="Times New Roman"/>
          <w:sz w:val="24"/>
          <w:szCs w:val="24"/>
        </w:rPr>
      </w:pPr>
    </w:p>
    <w:sectPr w:rsidR="00A72FFB" w:rsidRPr="00230BCE" w:rsidSect="00F137D2">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4F" w:rsidRDefault="00F9454F" w:rsidP="00230BCE">
      <w:pPr>
        <w:spacing w:after="0" w:line="240" w:lineRule="auto"/>
      </w:pPr>
      <w:r>
        <w:separator/>
      </w:r>
    </w:p>
  </w:endnote>
  <w:endnote w:type="continuationSeparator" w:id="0">
    <w:p w:rsidR="00F9454F" w:rsidRDefault="00F9454F" w:rsidP="0023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E2" w:rsidRDefault="00367A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4F" w:rsidRDefault="00F9454F" w:rsidP="00230BCE">
      <w:pPr>
        <w:spacing w:after="0" w:line="240" w:lineRule="auto"/>
      </w:pPr>
      <w:r>
        <w:separator/>
      </w:r>
    </w:p>
  </w:footnote>
  <w:footnote w:type="continuationSeparator" w:id="0">
    <w:p w:rsidR="00F9454F" w:rsidRDefault="00F9454F" w:rsidP="00230BCE">
      <w:pPr>
        <w:spacing w:after="0" w:line="240" w:lineRule="auto"/>
      </w:pPr>
      <w:r>
        <w:continuationSeparator/>
      </w:r>
    </w:p>
  </w:footnote>
  <w:footnote w:id="1">
    <w:p w:rsidR="00367AE2" w:rsidRDefault="00367AE2" w:rsidP="00446621">
      <w:pPr>
        <w:pStyle w:val="Tekstprzypisudolnego"/>
        <w:jc w:val="both"/>
        <w:rPr>
          <w:rFonts w:cstheme="minorBidi"/>
          <w:sz w:val="18"/>
          <w:szCs w:val="18"/>
        </w:rPr>
      </w:pPr>
      <w:r>
        <w:rPr>
          <w:rStyle w:val="Odwoanieprzypisudolnego"/>
          <w:sz w:val="18"/>
          <w:szCs w:val="18"/>
        </w:rPr>
        <w:footnoteRef/>
      </w:r>
      <w:r>
        <w:rPr>
          <w:sz w:val="18"/>
          <w:szCs w:val="18"/>
        </w:rPr>
        <w:t xml:space="preserve"> </w:t>
      </w:r>
      <w:r>
        <w:rPr>
          <w:rFonts w:cstheme="minorHAnsi"/>
          <w:sz w:val="18"/>
          <w:szCs w:val="18"/>
        </w:rPr>
        <w:t>wyrok NSA</w:t>
      </w:r>
      <w:r>
        <w:rPr>
          <w:rFonts w:cstheme="minorHAnsi"/>
          <w:color w:val="000000"/>
          <w:sz w:val="18"/>
          <w:szCs w:val="18"/>
        </w:rPr>
        <w:t xml:space="preserve"> z dnia 5 września 2019 r. (sygn. akt II OSK 952/19)</w:t>
      </w:r>
      <w:r>
        <w:rPr>
          <w:rFonts w:cstheme="minorHAnsi"/>
          <w:sz w:val="18"/>
          <w:szCs w:val="18"/>
        </w:rPr>
        <w:t>, uchylający wyrok WSA</w:t>
      </w:r>
      <w:r>
        <w:rPr>
          <w:sz w:val="18"/>
          <w:szCs w:val="18"/>
        </w:rPr>
        <w:t xml:space="preserve"> z dnia 20 listopada 2018 r. (sygn. akt IV SA/</w:t>
      </w:r>
      <w:proofErr w:type="spellStart"/>
      <w:r>
        <w:rPr>
          <w:sz w:val="18"/>
          <w:szCs w:val="18"/>
        </w:rPr>
        <w:t>Wa</w:t>
      </w:r>
      <w:proofErr w:type="spellEnd"/>
      <w:r>
        <w:rPr>
          <w:sz w:val="18"/>
          <w:szCs w:val="18"/>
        </w:rPr>
        <w:t xml:space="preserve"> 1853/18).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B9A"/>
    <w:multiLevelType w:val="hybridMultilevel"/>
    <w:tmpl w:val="2186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474E72"/>
    <w:multiLevelType w:val="hybridMultilevel"/>
    <w:tmpl w:val="050CD632"/>
    <w:lvl w:ilvl="0" w:tplc="92EE46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24E120D"/>
    <w:multiLevelType w:val="hybridMultilevel"/>
    <w:tmpl w:val="E5AA5F86"/>
    <w:lvl w:ilvl="0" w:tplc="624C8CB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709097F"/>
    <w:multiLevelType w:val="hybridMultilevel"/>
    <w:tmpl w:val="98601D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2CC52FB"/>
    <w:multiLevelType w:val="hybridMultilevel"/>
    <w:tmpl w:val="CA407826"/>
    <w:lvl w:ilvl="0" w:tplc="B1B2A6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83"/>
    <w:rsid w:val="0001723D"/>
    <w:rsid w:val="000A363B"/>
    <w:rsid w:val="000E31DF"/>
    <w:rsid w:val="000E7E3F"/>
    <w:rsid w:val="001078FC"/>
    <w:rsid w:val="001C4C0E"/>
    <w:rsid w:val="001D6E69"/>
    <w:rsid w:val="00230BCE"/>
    <w:rsid w:val="00233975"/>
    <w:rsid w:val="003059EA"/>
    <w:rsid w:val="00367AE2"/>
    <w:rsid w:val="003A584A"/>
    <w:rsid w:val="003B2346"/>
    <w:rsid w:val="00446621"/>
    <w:rsid w:val="00544B8C"/>
    <w:rsid w:val="005E2EC0"/>
    <w:rsid w:val="005F2180"/>
    <w:rsid w:val="00650925"/>
    <w:rsid w:val="00705C36"/>
    <w:rsid w:val="00844CE0"/>
    <w:rsid w:val="00860933"/>
    <w:rsid w:val="008C3E11"/>
    <w:rsid w:val="008D4683"/>
    <w:rsid w:val="00917D69"/>
    <w:rsid w:val="00953CC0"/>
    <w:rsid w:val="009C53ED"/>
    <w:rsid w:val="009C6BD0"/>
    <w:rsid w:val="009F60CB"/>
    <w:rsid w:val="009F6A5B"/>
    <w:rsid w:val="00A51E7B"/>
    <w:rsid w:val="00A72FFB"/>
    <w:rsid w:val="00AC27CF"/>
    <w:rsid w:val="00B61DA4"/>
    <w:rsid w:val="00B6659D"/>
    <w:rsid w:val="00BB5AED"/>
    <w:rsid w:val="00BD1ACB"/>
    <w:rsid w:val="00BE2FE0"/>
    <w:rsid w:val="00C02CD0"/>
    <w:rsid w:val="00DC09A5"/>
    <w:rsid w:val="00E13C07"/>
    <w:rsid w:val="00E56A12"/>
    <w:rsid w:val="00EB3D92"/>
    <w:rsid w:val="00EF4CCA"/>
    <w:rsid w:val="00F0589E"/>
    <w:rsid w:val="00F137D2"/>
    <w:rsid w:val="00F4612A"/>
    <w:rsid w:val="00F54DE3"/>
    <w:rsid w:val="00F94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683"/>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8D4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4683"/>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semiHidden/>
    <w:unhideWhenUsed/>
    <w:qFormat/>
    <w:rsid w:val="008D4683"/>
    <w:pPr>
      <w:outlineLvl w:val="9"/>
    </w:pPr>
    <w:rPr>
      <w:rFonts w:ascii="Calibri Light" w:eastAsia="Times New Roman" w:hAnsi="Calibri Light" w:cs="Times New Roman"/>
      <w:color w:val="2E74B5"/>
      <w:lang w:eastAsia="pl-PL"/>
    </w:rPr>
  </w:style>
  <w:style w:type="paragraph" w:styleId="Akapitzlist">
    <w:name w:val="List Paragraph"/>
    <w:basedOn w:val="Normalny"/>
    <w:uiPriority w:val="34"/>
    <w:qFormat/>
    <w:rsid w:val="00860933"/>
    <w:pPr>
      <w:spacing w:line="252" w:lineRule="auto"/>
      <w:ind w:left="720"/>
      <w:contextualSpacing/>
    </w:pPr>
    <w:rPr>
      <w:rFonts w:eastAsiaTheme="minorHAnsi" w:cs="Calibri"/>
    </w:rPr>
  </w:style>
  <w:style w:type="paragraph" w:styleId="Tekstprzypisudolnego">
    <w:name w:val="footnote text"/>
    <w:basedOn w:val="Normalny"/>
    <w:link w:val="TekstprzypisudolnegoZnak"/>
    <w:uiPriority w:val="99"/>
    <w:semiHidden/>
    <w:unhideWhenUsed/>
    <w:rsid w:val="00230BCE"/>
    <w:pPr>
      <w:spacing w:line="259"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0BCE"/>
    <w:rPr>
      <w:rFonts w:ascii="Calibri" w:eastAsia="Calibri" w:hAnsi="Calibri" w:cs="Times New Roman"/>
      <w:sz w:val="20"/>
      <w:szCs w:val="20"/>
    </w:rPr>
  </w:style>
  <w:style w:type="character" w:styleId="Odwoanieprzypisudolnego">
    <w:name w:val="footnote reference"/>
    <w:uiPriority w:val="99"/>
    <w:semiHidden/>
    <w:unhideWhenUsed/>
    <w:rsid w:val="00230BCE"/>
    <w:rPr>
      <w:vertAlign w:val="superscript"/>
    </w:rPr>
  </w:style>
  <w:style w:type="paragraph" w:customStyle="1" w:styleId="Default">
    <w:name w:val="Default"/>
    <w:basedOn w:val="Normalny"/>
    <w:rsid w:val="000E31DF"/>
    <w:pPr>
      <w:autoSpaceDE w:val="0"/>
      <w:autoSpaceDN w:val="0"/>
      <w:spacing w:after="0" w:line="240" w:lineRule="auto"/>
    </w:pPr>
    <w:rPr>
      <w:rFonts w:ascii="Arial" w:eastAsiaTheme="minorHAnsi" w:hAnsi="Arial" w:cs="Arial"/>
      <w:color w:val="000000"/>
      <w:sz w:val="24"/>
      <w:szCs w:val="24"/>
      <w:lang w:eastAsia="pl-PL"/>
    </w:rPr>
  </w:style>
  <w:style w:type="character" w:customStyle="1" w:styleId="Teksttreci">
    <w:name w:val="Tekst treści_"/>
    <w:basedOn w:val="Domylnaczcionkaakapitu"/>
    <w:link w:val="Teksttreci0"/>
    <w:rsid w:val="000A363B"/>
    <w:rPr>
      <w:rFonts w:ascii="Arial" w:eastAsia="Arial" w:hAnsi="Arial" w:cs="Arial"/>
      <w:shd w:val="clear" w:color="auto" w:fill="FFFFFF"/>
    </w:rPr>
  </w:style>
  <w:style w:type="paragraph" w:customStyle="1" w:styleId="Teksttreci0">
    <w:name w:val="Tekst treści"/>
    <w:basedOn w:val="Normalny"/>
    <w:link w:val="Teksttreci"/>
    <w:rsid w:val="000A363B"/>
    <w:pPr>
      <w:widowControl w:val="0"/>
      <w:shd w:val="clear" w:color="auto" w:fill="FFFFFF"/>
      <w:spacing w:after="0" w:line="360" w:lineRule="auto"/>
      <w:ind w:firstLine="400"/>
      <w:jc w:val="both"/>
    </w:pPr>
    <w:rPr>
      <w:rFonts w:ascii="Arial" w:eastAsia="Arial" w:hAnsi="Arial" w:cs="Arial"/>
    </w:rPr>
  </w:style>
  <w:style w:type="character" w:customStyle="1" w:styleId="teksttreci1">
    <w:name w:val="tekst treści_"/>
    <w:basedOn w:val="Domylnaczcionkaakapitu"/>
    <w:link w:val="teksttreci2"/>
    <w:locked/>
    <w:rsid w:val="00446621"/>
    <w:rPr>
      <w:rFonts w:ascii="Arial" w:hAnsi="Arial" w:cs="Arial"/>
      <w:shd w:val="clear" w:color="auto" w:fill="FFFFFF"/>
    </w:rPr>
  </w:style>
  <w:style w:type="paragraph" w:customStyle="1" w:styleId="teksttreci2">
    <w:name w:val="tekst treści"/>
    <w:basedOn w:val="Normalny"/>
    <w:link w:val="teksttreci1"/>
    <w:rsid w:val="00446621"/>
    <w:pPr>
      <w:shd w:val="clear" w:color="auto" w:fill="FFFFFF"/>
      <w:spacing w:after="0" w:line="360" w:lineRule="auto"/>
      <w:ind w:firstLine="400"/>
      <w:jc w:val="both"/>
    </w:pPr>
    <w:rPr>
      <w:rFonts w:ascii="Arial" w:eastAsiaTheme="minorHAnsi" w:hAnsi="Arial" w:cs="Arial"/>
    </w:rPr>
  </w:style>
  <w:style w:type="paragraph" w:styleId="Nagwek">
    <w:name w:val="header"/>
    <w:basedOn w:val="Normalny"/>
    <w:link w:val="NagwekZnak"/>
    <w:uiPriority w:val="99"/>
    <w:unhideWhenUsed/>
    <w:rsid w:val="00F13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7D2"/>
    <w:rPr>
      <w:rFonts w:ascii="Calibri" w:eastAsia="Calibri" w:hAnsi="Calibri" w:cs="Times New Roman"/>
    </w:rPr>
  </w:style>
  <w:style w:type="paragraph" w:styleId="Stopka">
    <w:name w:val="footer"/>
    <w:basedOn w:val="Normalny"/>
    <w:link w:val="StopkaZnak"/>
    <w:uiPriority w:val="99"/>
    <w:unhideWhenUsed/>
    <w:rsid w:val="00F13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D2"/>
    <w:rPr>
      <w:rFonts w:ascii="Calibri" w:eastAsia="Calibri" w:hAnsi="Calibri" w:cs="Times New Roman"/>
    </w:rPr>
  </w:style>
  <w:style w:type="paragraph" w:styleId="Tekstdymka">
    <w:name w:val="Balloon Text"/>
    <w:basedOn w:val="Normalny"/>
    <w:link w:val="TekstdymkaZnak"/>
    <w:uiPriority w:val="99"/>
    <w:semiHidden/>
    <w:unhideWhenUsed/>
    <w:rsid w:val="003059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59E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683"/>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8D4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4683"/>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semiHidden/>
    <w:unhideWhenUsed/>
    <w:qFormat/>
    <w:rsid w:val="008D4683"/>
    <w:pPr>
      <w:outlineLvl w:val="9"/>
    </w:pPr>
    <w:rPr>
      <w:rFonts w:ascii="Calibri Light" w:eastAsia="Times New Roman" w:hAnsi="Calibri Light" w:cs="Times New Roman"/>
      <w:color w:val="2E74B5"/>
      <w:lang w:eastAsia="pl-PL"/>
    </w:rPr>
  </w:style>
  <w:style w:type="paragraph" w:styleId="Akapitzlist">
    <w:name w:val="List Paragraph"/>
    <w:basedOn w:val="Normalny"/>
    <w:uiPriority w:val="34"/>
    <w:qFormat/>
    <w:rsid w:val="00860933"/>
    <w:pPr>
      <w:spacing w:line="252" w:lineRule="auto"/>
      <w:ind w:left="720"/>
      <w:contextualSpacing/>
    </w:pPr>
    <w:rPr>
      <w:rFonts w:eastAsiaTheme="minorHAnsi" w:cs="Calibri"/>
    </w:rPr>
  </w:style>
  <w:style w:type="paragraph" w:styleId="Tekstprzypisudolnego">
    <w:name w:val="footnote text"/>
    <w:basedOn w:val="Normalny"/>
    <w:link w:val="TekstprzypisudolnegoZnak"/>
    <w:uiPriority w:val="99"/>
    <w:semiHidden/>
    <w:unhideWhenUsed/>
    <w:rsid w:val="00230BCE"/>
    <w:pPr>
      <w:spacing w:line="259"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0BCE"/>
    <w:rPr>
      <w:rFonts w:ascii="Calibri" w:eastAsia="Calibri" w:hAnsi="Calibri" w:cs="Times New Roman"/>
      <w:sz w:val="20"/>
      <w:szCs w:val="20"/>
    </w:rPr>
  </w:style>
  <w:style w:type="character" w:styleId="Odwoanieprzypisudolnego">
    <w:name w:val="footnote reference"/>
    <w:uiPriority w:val="99"/>
    <w:semiHidden/>
    <w:unhideWhenUsed/>
    <w:rsid w:val="00230BCE"/>
    <w:rPr>
      <w:vertAlign w:val="superscript"/>
    </w:rPr>
  </w:style>
  <w:style w:type="paragraph" w:customStyle="1" w:styleId="Default">
    <w:name w:val="Default"/>
    <w:basedOn w:val="Normalny"/>
    <w:rsid w:val="000E31DF"/>
    <w:pPr>
      <w:autoSpaceDE w:val="0"/>
      <w:autoSpaceDN w:val="0"/>
      <w:spacing w:after="0" w:line="240" w:lineRule="auto"/>
    </w:pPr>
    <w:rPr>
      <w:rFonts w:ascii="Arial" w:eastAsiaTheme="minorHAnsi" w:hAnsi="Arial" w:cs="Arial"/>
      <w:color w:val="000000"/>
      <w:sz w:val="24"/>
      <w:szCs w:val="24"/>
      <w:lang w:eastAsia="pl-PL"/>
    </w:rPr>
  </w:style>
  <w:style w:type="character" w:customStyle="1" w:styleId="Teksttreci">
    <w:name w:val="Tekst treści_"/>
    <w:basedOn w:val="Domylnaczcionkaakapitu"/>
    <w:link w:val="Teksttreci0"/>
    <w:rsid w:val="000A363B"/>
    <w:rPr>
      <w:rFonts w:ascii="Arial" w:eastAsia="Arial" w:hAnsi="Arial" w:cs="Arial"/>
      <w:shd w:val="clear" w:color="auto" w:fill="FFFFFF"/>
    </w:rPr>
  </w:style>
  <w:style w:type="paragraph" w:customStyle="1" w:styleId="Teksttreci0">
    <w:name w:val="Tekst treści"/>
    <w:basedOn w:val="Normalny"/>
    <w:link w:val="Teksttreci"/>
    <w:rsid w:val="000A363B"/>
    <w:pPr>
      <w:widowControl w:val="0"/>
      <w:shd w:val="clear" w:color="auto" w:fill="FFFFFF"/>
      <w:spacing w:after="0" w:line="360" w:lineRule="auto"/>
      <w:ind w:firstLine="400"/>
      <w:jc w:val="both"/>
    </w:pPr>
    <w:rPr>
      <w:rFonts w:ascii="Arial" w:eastAsia="Arial" w:hAnsi="Arial" w:cs="Arial"/>
    </w:rPr>
  </w:style>
  <w:style w:type="character" w:customStyle="1" w:styleId="teksttreci1">
    <w:name w:val="tekst treści_"/>
    <w:basedOn w:val="Domylnaczcionkaakapitu"/>
    <w:link w:val="teksttreci2"/>
    <w:locked/>
    <w:rsid w:val="00446621"/>
    <w:rPr>
      <w:rFonts w:ascii="Arial" w:hAnsi="Arial" w:cs="Arial"/>
      <w:shd w:val="clear" w:color="auto" w:fill="FFFFFF"/>
    </w:rPr>
  </w:style>
  <w:style w:type="paragraph" w:customStyle="1" w:styleId="teksttreci2">
    <w:name w:val="tekst treści"/>
    <w:basedOn w:val="Normalny"/>
    <w:link w:val="teksttreci1"/>
    <w:rsid w:val="00446621"/>
    <w:pPr>
      <w:shd w:val="clear" w:color="auto" w:fill="FFFFFF"/>
      <w:spacing w:after="0" w:line="360" w:lineRule="auto"/>
      <w:ind w:firstLine="400"/>
      <w:jc w:val="both"/>
    </w:pPr>
    <w:rPr>
      <w:rFonts w:ascii="Arial" w:eastAsiaTheme="minorHAnsi" w:hAnsi="Arial" w:cs="Arial"/>
    </w:rPr>
  </w:style>
  <w:style w:type="paragraph" w:styleId="Nagwek">
    <w:name w:val="header"/>
    <w:basedOn w:val="Normalny"/>
    <w:link w:val="NagwekZnak"/>
    <w:uiPriority w:val="99"/>
    <w:unhideWhenUsed/>
    <w:rsid w:val="00F13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7D2"/>
    <w:rPr>
      <w:rFonts w:ascii="Calibri" w:eastAsia="Calibri" w:hAnsi="Calibri" w:cs="Times New Roman"/>
    </w:rPr>
  </w:style>
  <w:style w:type="paragraph" w:styleId="Stopka">
    <w:name w:val="footer"/>
    <w:basedOn w:val="Normalny"/>
    <w:link w:val="StopkaZnak"/>
    <w:uiPriority w:val="99"/>
    <w:unhideWhenUsed/>
    <w:rsid w:val="00F13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D2"/>
    <w:rPr>
      <w:rFonts w:ascii="Calibri" w:eastAsia="Calibri" w:hAnsi="Calibri" w:cs="Times New Roman"/>
    </w:rPr>
  </w:style>
  <w:style w:type="paragraph" w:styleId="Tekstdymka">
    <w:name w:val="Balloon Text"/>
    <w:basedOn w:val="Normalny"/>
    <w:link w:val="TekstdymkaZnak"/>
    <w:uiPriority w:val="99"/>
    <w:semiHidden/>
    <w:unhideWhenUsed/>
    <w:rsid w:val="003059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59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577">
      <w:bodyDiv w:val="1"/>
      <w:marLeft w:val="0"/>
      <w:marRight w:val="0"/>
      <w:marTop w:val="0"/>
      <w:marBottom w:val="0"/>
      <w:divBdr>
        <w:top w:val="none" w:sz="0" w:space="0" w:color="auto"/>
        <w:left w:val="none" w:sz="0" w:space="0" w:color="auto"/>
        <w:bottom w:val="none" w:sz="0" w:space="0" w:color="auto"/>
        <w:right w:val="none" w:sz="0" w:space="0" w:color="auto"/>
      </w:divBdr>
    </w:div>
    <w:div w:id="80372837">
      <w:bodyDiv w:val="1"/>
      <w:marLeft w:val="0"/>
      <w:marRight w:val="0"/>
      <w:marTop w:val="0"/>
      <w:marBottom w:val="0"/>
      <w:divBdr>
        <w:top w:val="none" w:sz="0" w:space="0" w:color="auto"/>
        <w:left w:val="none" w:sz="0" w:space="0" w:color="auto"/>
        <w:bottom w:val="none" w:sz="0" w:space="0" w:color="auto"/>
        <w:right w:val="none" w:sz="0" w:space="0" w:color="auto"/>
      </w:divBdr>
    </w:div>
    <w:div w:id="298147990">
      <w:bodyDiv w:val="1"/>
      <w:marLeft w:val="0"/>
      <w:marRight w:val="0"/>
      <w:marTop w:val="0"/>
      <w:marBottom w:val="0"/>
      <w:divBdr>
        <w:top w:val="none" w:sz="0" w:space="0" w:color="auto"/>
        <w:left w:val="none" w:sz="0" w:space="0" w:color="auto"/>
        <w:bottom w:val="none" w:sz="0" w:space="0" w:color="auto"/>
        <w:right w:val="none" w:sz="0" w:space="0" w:color="auto"/>
      </w:divBdr>
    </w:div>
    <w:div w:id="374619109">
      <w:bodyDiv w:val="1"/>
      <w:marLeft w:val="0"/>
      <w:marRight w:val="0"/>
      <w:marTop w:val="0"/>
      <w:marBottom w:val="0"/>
      <w:divBdr>
        <w:top w:val="none" w:sz="0" w:space="0" w:color="auto"/>
        <w:left w:val="none" w:sz="0" w:space="0" w:color="auto"/>
        <w:bottom w:val="none" w:sz="0" w:space="0" w:color="auto"/>
        <w:right w:val="none" w:sz="0" w:space="0" w:color="auto"/>
      </w:divBdr>
    </w:div>
    <w:div w:id="505285911">
      <w:bodyDiv w:val="1"/>
      <w:marLeft w:val="0"/>
      <w:marRight w:val="0"/>
      <w:marTop w:val="0"/>
      <w:marBottom w:val="0"/>
      <w:divBdr>
        <w:top w:val="none" w:sz="0" w:space="0" w:color="auto"/>
        <w:left w:val="none" w:sz="0" w:space="0" w:color="auto"/>
        <w:bottom w:val="none" w:sz="0" w:space="0" w:color="auto"/>
        <w:right w:val="none" w:sz="0" w:space="0" w:color="auto"/>
      </w:divBdr>
    </w:div>
    <w:div w:id="1093404446">
      <w:bodyDiv w:val="1"/>
      <w:marLeft w:val="0"/>
      <w:marRight w:val="0"/>
      <w:marTop w:val="0"/>
      <w:marBottom w:val="0"/>
      <w:divBdr>
        <w:top w:val="none" w:sz="0" w:space="0" w:color="auto"/>
        <w:left w:val="none" w:sz="0" w:space="0" w:color="auto"/>
        <w:bottom w:val="none" w:sz="0" w:space="0" w:color="auto"/>
        <w:right w:val="none" w:sz="0" w:space="0" w:color="auto"/>
      </w:divBdr>
    </w:div>
    <w:div w:id="1303005701">
      <w:bodyDiv w:val="1"/>
      <w:marLeft w:val="0"/>
      <w:marRight w:val="0"/>
      <w:marTop w:val="0"/>
      <w:marBottom w:val="0"/>
      <w:divBdr>
        <w:top w:val="none" w:sz="0" w:space="0" w:color="auto"/>
        <w:left w:val="none" w:sz="0" w:space="0" w:color="auto"/>
        <w:bottom w:val="none" w:sz="0" w:space="0" w:color="auto"/>
        <w:right w:val="none" w:sz="0" w:space="0" w:color="auto"/>
      </w:divBdr>
    </w:div>
    <w:div w:id="1470594262">
      <w:bodyDiv w:val="1"/>
      <w:marLeft w:val="0"/>
      <w:marRight w:val="0"/>
      <w:marTop w:val="0"/>
      <w:marBottom w:val="0"/>
      <w:divBdr>
        <w:top w:val="none" w:sz="0" w:space="0" w:color="auto"/>
        <w:left w:val="none" w:sz="0" w:space="0" w:color="auto"/>
        <w:bottom w:val="none" w:sz="0" w:space="0" w:color="auto"/>
        <w:right w:val="none" w:sz="0" w:space="0" w:color="auto"/>
      </w:divBdr>
    </w:div>
    <w:div w:id="1741366879">
      <w:bodyDiv w:val="1"/>
      <w:marLeft w:val="0"/>
      <w:marRight w:val="0"/>
      <w:marTop w:val="0"/>
      <w:marBottom w:val="0"/>
      <w:divBdr>
        <w:top w:val="none" w:sz="0" w:space="0" w:color="auto"/>
        <w:left w:val="none" w:sz="0" w:space="0" w:color="auto"/>
        <w:bottom w:val="none" w:sz="0" w:space="0" w:color="auto"/>
        <w:right w:val="none" w:sz="0" w:space="0" w:color="auto"/>
      </w:divBdr>
    </w:div>
    <w:div w:id="1830169656">
      <w:bodyDiv w:val="1"/>
      <w:marLeft w:val="0"/>
      <w:marRight w:val="0"/>
      <w:marTop w:val="0"/>
      <w:marBottom w:val="0"/>
      <w:divBdr>
        <w:top w:val="none" w:sz="0" w:space="0" w:color="auto"/>
        <w:left w:val="none" w:sz="0" w:space="0" w:color="auto"/>
        <w:bottom w:val="none" w:sz="0" w:space="0" w:color="auto"/>
        <w:right w:val="none" w:sz="0" w:space="0" w:color="auto"/>
      </w:divBdr>
    </w:div>
    <w:div w:id="1925140046">
      <w:bodyDiv w:val="1"/>
      <w:marLeft w:val="0"/>
      <w:marRight w:val="0"/>
      <w:marTop w:val="0"/>
      <w:marBottom w:val="0"/>
      <w:divBdr>
        <w:top w:val="none" w:sz="0" w:space="0" w:color="auto"/>
        <w:left w:val="none" w:sz="0" w:space="0" w:color="auto"/>
        <w:bottom w:val="none" w:sz="0" w:space="0" w:color="auto"/>
        <w:right w:val="none" w:sz="0" w:space="0" w:color="auto"/>
      </w:divBdr>
    </w:div>
    <w:div w:id="19324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3505</Words>
  <Characters>21031</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Gumowska Beata</dc:creator>
  <cp:lastModifiedBy>Kutyła-Sułkowska Daria</cp:lastModifiedBy>
  <cp:revision>4</cp:revision>
  <dcterms:created xsi:type="dcterms:W3CDTF">2020-06-10T07:22:00Z</dcterms:created>
  <dcterms:modified xsi:type="dcterms:W3CDTF">2020-06-10T07:39:00Z</dcterms:modified>
</cp:coreProperties>
</file>