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0A51A" w14:textId="77777777" w:rsidR="0025631D" w:rsidRDefault="0025631D">
      <w:pPr>
        <w:pStyle w:val="Tekstpodstawowy"/>
        <w:ind w:left="0"/>
        <w:jc w:val="left"/>
        <w:rPr>
          <w:rFonts w:ascii="Times New Roman"/>
        </w:rPr>
      </w:pPr>
    </w:p>
    <w:p w14:paraId="7F103952" w14:textId="77777777" w:rsidR="0086569E" w:rsidRPr="004939EF" w:rsidRDefault="0086569E">
      <w:pPr>
        <w:pStyle w:val="Tekstpodstawowy"/>
        <w:ind w:left="0"/>
        <w:jc w:val="left"/>
        <w:rPr>
          <w:rFonts w:ascii="Times New Roman"/>
        </w:rPr>
      </w:pPr>
    </w:p>
    <w:p w14:paraId="143ACD5C" w14:textId="77777777" w:rsidR="0025631D" w:rsidRPr="004939EF" w:rsidRDefault="0025631D">
      <w:pPr>
        <w:pStyle w:val="Tekstpodstawowy"/>
        <w:spacing w:before="5"/>
        <w:ind w:left="0"/>
        <w:jc w:val="left"/>
        <w:rPr>
          <w:rFonts w:ascii="Times New Roman"/>
          <w:sz w:val="28"/>
        </w:rPr>
      </w:pPr>
    </w:p>
    <w:p w14:paraId="2EE50017" w14:textId="77777777" w:rsidR="0025631D" w:rsidRPr="004939EF" w:rsidRDefault="008B5B86">
      <w:pPr>
        <w:spacing w:before="101"/>
        <w:ind w:right="124"/>
        <w:jc w:val="right"/>
        <w:rPr>
          <w:sz w:val="18"/>
        </w:rPr>
      </w:pPr>
      <w:r>
        <w:rPr>
          <w:noProof/>
          <w:lang w:eastAsia="pl-PL" w:bidi="ar-SA"/>
        </w:rPr>
        <mc:AlternateContent>
          <mc:Choice Requires="wpg">
            <w:drawing>
              <wp:anchor distT="0" distB="0" distL="0" distR="0" simplePos="0" relativeHeight="251646976" behindDoc="1" locked="0" layoutInCell="1" allowOverlap="1" wp14:anchorId="50102E28" wp14:editId="17C7A05B">
                <wp:simplePos x="0" y="0"/>
                <wp:positionH relativeFrom="page">
                  <wp:posOffset>542290</wp:posOffset>
                </wp:positionH>
                <wp:positionV relativeFrom="paragraph">
                  <wp:posOffset>220345</wp:posOffset>
                </wp:positionV>
                <wp:extent cx="6492240" cy="12700"/>
                <wp:effectExtent l="0" t="0" r="0" b="0"/>
                <wp:wrapTopAndBottom/>
                <wp:docPr id="2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0"/>
                          <a:chOff x="854" y="347"/>
                          <a:chExt cx="10224" cy="20"/>
                        </a:xfrm>
                      </wpg:grpSpPr>
                      <wps:wsp>
                        <wps:cNvPr id="22" name="Rectangle 57"/>
                        <wps:cNvSpPr>
                          <a:spLocks/>
                        </wps:cNvSpPr>
                        <wps:spPr bwMode="auto">
                          <a:xfrm>
                            <a:off x="854" y="34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58"/>
                        <wps:cNvCnPr>
                          <a:cxnSpLocks/>
                        </wps:cNvCnPr>
                        <wps:spPr bwMode="auto">
                          <a:xfrm>
                            <a:off x="874" y="356"/>
                            <a:ext cx="442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59"/>
                        <wps:cNvSpPr>
                          <a:spLocks/>
                        </wps:cNvSpPr>
                        <wps:spPr bwMode="auto">
                          <a:xfrm>
                            <a:off x="5299" y="34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60"/>
                        <wps:cNvCnPr>
                          <a:cxnSpLocks/>
                        </wps:cNvCnPr>
                        <wps:spPr bwMode="auto">
                          <a:xfrm>
                            <a:off x="5318" y="356"/>
                            <a:ext cx="57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61"/>
                        <wps:cNvSpPr>
                          <a:spLocks/>
                        </wps:cNvSpPr>
                        <wps:spPr bwMode="auto">
                          <a:xfrm>
                            <a:off x="11059" y="34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A8763F2" id="Group 56" o:spid="_x0000_s1026" style="position:absolute;margin-left:42.7pt;margin-top:17.35pt;width:511.2pt;height:1pt;z-index:-251669504;mso-wrap-distance-left:0;mso-wrap-distance-right:0;mso-position-horizontal-relative:page" coordorigin="854,347" coordsize="102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">
                <v:rect id="Rectangle 57" o:spid="_x0000_s1027" style="position:absolute;left:854;top:34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" fillcolor="gray" stroked="f">
                  <v:path arrowok="t"/>
                </v:rect>
                <v:line id="Line 58" o:spid="_x0000_s1028" style="position:absolute;visibility:visible;mso-wrap-style:square" from="874,356" to="5299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" strokecolor="gray" strokeweight=".96pt">
                  <o:lock v:ext="edit" shapetype="f"/>
                </v:line>
                <v:rect id="Rectangle 59" o:spid="_x0000_s1029" style="position:absolute;left:5299;top:34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" fillcolor="gray" stroked="f">
                  <v:path arrowok="t"/>
                </v:rect>
                <v:line id="Line 60" o:spid="_x0000_s1030" style="position:absolute;visibility:visible;mso-wrap-style:square" from="5318,356" to="11059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" strokecolor="gray" strokeweight=".96pt">
                  <o:lock v:ext="edit" shapetype="f"/>
                </v:line>
                <v:rect id="Rectangle 61" o:spid="_x0000_s1031" style="position:absolute;left:11059;top:34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" fillcolor="gray" stroked="f">
                  <v:path arrowok="t"/>
                </v:rect>
                <w10:wrap type="topAndBottom" anchorx="page"/>
              </v:group>
            </w:pict>
          </mc:Fallback>
        </mc:AlternateContent>
      </w:r>
      <w:r w:rsidR="00D3520A" w:rsidRPr="004939EF">
        <w:rPr>
          <w:noProof/>
          <w:lang w:eastAsia="pl-PL" w:bidi="ar-SA"/>
        </w:rPr>
        <w:drawing>
          <wp:anchor distT="0" distB="0" distL="0" distR="0" simplePos="0" relativeHeight="251645952" behindDoc="0" locked="0" layoutInCell="1" allowOverlap="1" wp14:anchorId="605F8525" wp14:editId="4B83BE39">
            <wp:simplePos x="0" y="0"/>
            <wp:positionH relativeFrom="page">
              <wp:posOffset>555764</wp:posOffset>
            </wp:positionH>
            <wp:positionV relativeFrom="paragraph">
              <wp:posOffset>-718066</wp:posOffset>
            </wp:positionV>
            <wp:extent cx="2390762" cy="8889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62" cy="888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693">
        <w:rPr>
          <w:sz w:val="18"/>
        </w:rPr>
        <w:t>Zestawienie</w:t>
      </w:r>
      <w:r w:rsidR="00BC27D5" w:rsidRPr="004939EF">
        <w:rPr>
          <w:sz w:val="18"/>
        </w:rPr>
        <w:t xml:space="preserve"> – Środki tymczasowe</w:t>
      </w:r>
    </w:p>
    <w:p w14:paraId="224138A4" w14:textId="77777777" w:rsidR="0025631D" w:rsidRPr="004939EF" w:rsidRDefault="0025631D">
      <w:pPr>
        <w:pStyle w:val="Tekstpodstawowy"/>
        <w:spacing w:before="6"/>
        <w:ind w:left="0"/>
        <w:jc w:val="left"/>
        <w:rPr>
          <w:sz w:val="13"/>
        </w:rPr>
      </w:pPr>
    </w:p>
    <w:p w14:paraId="3B26AD97" w14:textId="77777777" w:rsidR="00684558" w:rsidRDefault="001675EA" w:rsidP="00601572">
      <w:pPr>
        <w:ind w:left="7920" w:right="704"/>
        <w:rPr>
          <w:color w:val="EB7E12"/>
          <w:sz w:val="18"/>
        </w:rPr>
      </w:pPr>
      <w:r>
        <w:rPr>
          <w:color w:val="EB7E12"/>
          <w:sz w:val="18"/>
        </w:rPr>
        <w:t xml:space="preserve">      s</w:t>
      </w:r>
      <w:r w:rsidR="00BC27D5" w:rsidRPr="004939EF">
        <w:rPr>
          <w:color w:val="EB7E12"/>
          <w:sz w:val="18"/>
        </w:rPr>
        <w:t>tyczeń</w:t>
      </w:r>
      <w:r w:rsidR="00D3520A" w:rsidRPr="004939EF">
        <w:rPr>
          <w:color w:val="EB7E12"/>
          <w:sz w:val="18"/>
        </w:rPr>
        <w:t xml:space="preserve"> 2019</w:t>
      </w:r>
      <w:r w:rsidR="00684558">
        <w:rPr>
          <w:color w:val="EB7E12"/>
          <w:sz w:val="18"/>
        </w:rPr>
        <w:t xml:space="preserve"> r.</w:t>
      </w:r>
    </w:p>
    <w:p w14:paraId="4D6303A7" w14:textId="7999BD04" w:rsidR="0025631D" w:rsidRPr="004939EF" w:rsidRDefault="009B4693" w:rsidP="00601572">
      <w:pPr>
        <w:ind w:left="720" w:right="704" w:firstLine="3533"/>
        <w:jc w:val="right"/>
        <w:rPr>
          <w:sz w:val="18"/>
        </w:rPr>
      </w:pPr>
      <w:r>
        <w:rPr>
          <w:color w:val="EB7E12"/>
          <w:sz w:val="18"/>
        </w:rPr>
        <w:t>Niniejsze zestawie</w:t>
      </w:r>
      <w:r w:rsidR="00BC27D5" w:rsidRPr="004939EF">
        <w:rPr>
          <w:color w:val="EB7E12"/>
          <w:sz w:val="18"/>
        </w:rPr>
        <w:t xml:space="preserve"> nie jest wi</w:t>
      </w:r>
      <w:r w:rsidR="001675EA">
        <w:rPr>
          <w:color w:val="EB7E12"/>
          <w:sz w:val="18"/>
        </w:rPr>
        <w:t>ążące dla Trybunału</w:t>
      </w:r>
      <w:r w:rsidR="00455804">
        <w:rPr>
          <w:color w:val="EB7E12"/>
          <w:sz w:val="18"/>
        </w:rPr>
        <w:br/>
      </w:r>
      <w:r w:rsidR="001675EA">
        <w:rPr>
          <w:color w:val="EB7E12"/>
          <w:sz w:val="18"/>
        </w:rPr>
        <w:t>i nie ma</w:t>
      </w:r>
      <w:r w:rsidR="00601572">
        <w:rPr>
          <w:color w:val="EB7E12"/>
          <w:sz w:val="18"/>
        </w:rPr>
        <w:t xml:space="preserve"> </w:t>
      </w:r>
      <w:r w:rsidR="004939EF">
        <w:rPr>
          <w:color w:val="EB7E12"/>
          <w:sz w:val="18"/>
        </w:rPr>
        <w:t>charakteru wyczerpującego</w:t>
      </w:r>
    </w:p>
    <w:p w14:paraId="6A900E35" w14:textId="77777777" w:rsidR="009C415A" w:rsidRPr="001675EA" w:rsidRDefault="009C415A" w:rsidP="00596B7C">
      <w:pPr>
        <w:spacing w:after="19"/>
        <w:ind w:left="700"/>
        <w:rPr>
          <w:color w:val="0071BB"/>
          <w:sz w:val="16"/>
          <w:szCs w:val="16"/>
        </w:rPr>
      </w:pPr>
    </w:p>
    <w:p w14:paraId="337E00B7" w14:textId="77777777" w:rsidR="00596B7C" w:rsidRDefault="00596B7C" w:rsidP="00596B7C">
      <w:pPr>
        <w:spacing w:after="19"/>
        <w:ind w:left="700"/>
        <w:rPr>
          <w:color w:val="0071BB"/>
          <w:sz w:val="48"/>
        </w:rPr>
      </w:pPr>
      <w:r w:rsidRPr="004939EF">
        <w:rPr>
          <w:color w:val="0071BB"/>
          <w:sz w:val="48"/>
        </w:rPr>
        <w:t>Środki tymczasowe</w:t>
      </w:r>
    </w:p>
    <w:p w14:paraId="1E0894B7" w14:textId="68622125" w:rsidR="00455804" w:rsidRDefault="00455804" w:rsidP="00455804">
      <w:pPr>
        <w:tabs>
          <w:tab w:val="left" w:pos="2172"/>
        </w:tabs>
        <w:spacing w:after="19"/>
        <w:ind w:left="700"/>
        <w:rPr>
          <w:color w:val="0071BB"/>
          <w:sz w:val="48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12D5C70" wp14:editId="179E7E75">
                <wp:simplePos x="0" y="0"/>
                <wp:positionH relativeFrom="column">
                  <wp:posOffset>425450</wp:posOffset>
                </wp:positionH>
                <wp:positionV relativeFrom="paragraph">
                  <wp:posOffset>81915</wp:posOffset>
                </wp:positionV>
                <wp:extent cx="5768340" cy="0"/>
                <wp:effectExtent l="0" t="19050" r="3810" b="19050"/>
                <wp:wrapNone/>
                <wp:docPr id="27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EAEAE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6.45pt" to="487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" strokecolor="#eaeaea" strokeweight="3pt"/>
            </w:pict>
          </mc:Fallback>
        </mc:AlternateContent>
      </w:r>
      <w:r>
        <w:rPr>
          <w:color w:val="0071BB"/>
          <w:sz w:val="48"/>
        </w:rPr>
        <w:tab/>
      </w:r>
    </w:p>
    <w:p w14:paraId="33C48DA7" w14:textId="77777777" w:rsidR="00455804" w:rsidRPr="00596B7C" w:rsidRDefault="00455804" w:rsidP="004558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djustRightInd w:val="0"/>
        <w:ind w:left="709"/>
        <w:rPr>
          <w:rFonts w:eastAsiaTheme="minorHAnsi" w:cs="TimesNewRomanPS-BoldMT"/>
          <w:sz w:val="20"/>
          <w:szCs w:val="20"/>
          <w:lang w:bidi="ar-SA"/>
        </w:rPr>
      </w:pPr>
      <w:r w:rsidRPr="00596B7C">
        <w:rPr>
          <w:rFonts w:eastAsiaTheme="minorHAnsi" w:cs="TimesNewRomanPS-BoldMT"/>
          <w:b/>
          <w:bCs/>
          <w:sz w:val="20"/>
          <w:szCs w:val="20"/>
          <w:lang w:bidi="ar-SA"/>
        </w:rPr>
        <w:t xml:space="preserve">Reguła 39 (środki tymczasowe) Regulaminu Trybunału </w:t>
      </w:r>
      <w:r>
        <w:rPr>
          <w:rFonts w:eastAsiaTheme="minorHAnsi" w:cs="TimesNewRomanPS-BoldMT"/>
          <w:sz w:val="20"/>
          <w:szCs w:val="20"/>
          <w:lang w:bidi="ar-SA"/>
        </w:rPr>
        <w:t>stanowi</w:t>
      </w:r>
      <w:r w:rsidRPr="00596B7C">
        <w:rPr>
          <w:rFonts w:eastAsiaTheme="minorHAnsi" w:cs="TimesNewRomanPS-BoldMT"/>
          <w:sz w:val="20"/>
          <w:szCs w:val="20"/>
          <w:lang w:bidi="ar-SA"/>
        </w:rPr>
        <w:t>:</w:t>
      </w:r>
    </w:p>
    <w:p w14:paraId="167B043B" w14:textId="77777777" w:rsidR="00455804" w:rsidRPr="00596B7C" w:rsidRDefault="00455804" w:rsidP="004558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djustRightInd w:val="0"/>
        <w:ind w:left="709"/>
        <w:rPr>
          <w:rFonts w:eastAsiaTheme="minorHAnsi" w:cs="TimesNewRomanPS-BoldMT"/>
          <w:sz w:val="20"/>
          <w:szCs w:val="20"/>
          <w:lang w:bidi="ar-SA"/>
        </w:rPr>
      </w:pPr>
    </w:p>
    <w:p w14:paraId="085E06A1" w14:textId="77777777" w:rsidR="00455804" w:rsidRDefault="00455804" w:rsidP="00455804">
      <w:pPr>
        <w:pStyle w:val="Bezodstpw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84"/>
        </w:tabs>
        <w:spacing w:after="60"/>
        <w:ind w:left="709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„1. </w:t>
      </w:r>
      <w:r w:rsidRPr="00596B7C">
        <w:rPr>
          <w:rFonts w:ascii="Verdana" w:hAnsi="Verdana"/>
          <w:sz w:val="20"/>
          <w:szCs w:val="20"/>
        </w:rPr>
        <w:t xml:space="preserve">Izba </w:t>
      </w:r>
      <w:r w:rsidRPr="001D6B51">
        <w:rPr>
          <w:rFonts w:ascii="Verdana" w:hAnsi="Verdana"/>
          <w:sz w:val="20"/>
          <w:szCs w:val="20"/>
        </w:rPr>
        <w:t xml:space="preserve">lub, tam gdzie to właściwe, Przewodniczący Sekcji lub sędzia dyżurny wyznaczony zgodnie z ustępem 4 niniejszej Reguły </w:t>
      </w:r>
      <w:r>
        <w:rPr>
          <w:rFonts w:ascii="Verdana" w:hAnsi="Verdana"/>
          <w:sz w:val="20"/>
          <w:szCs w:val="20"/>
        </w:rPr>
        <w:t>mogą,</w:t>
      </w:r>
      <w:r w:rsidRPr="001D6B51">
        <w:rPr>
          <w:rFonts w:ascii="Verdana" w:hAnsi="Verdana"/>
          <w:sz w:val="20"/>
          <w:szCs w:val="20"/>
        </w:rPr>
        <w:t xml:space="preserve"> na wniosek strony lub innej osoby zainteresowanej</w:t>
      </w:r>
      <w:r>
        <w:rPr>
          <w:rFonts w:ascii="Verdana" w:hAnsi="Verdana"/>
          <w:sz w:val="20"/>
          <w:szCs w:val="20"/>
        </w:rPr>
        <w:t>,</w:t>
      </w:r>
      <w:r w:rsidRPr="001D6B51">
        <w:rPr>
          <w:rFonts w:ascii="Verdana" w:hAnsi="Verdana"/>
          <w:sz w:val="20"/>
          <w:szCs w:val="20"/>
        </w:rPr>
        <w:t xml:space="preserve"> albo z urzędu</w:t>
      </w:r>
      <w:r>
        <w:rPr>
          <w:rFonts w:ascii="Verdana" w:hAnsi="Verdana"/>
          <w:sz w:val="20"/>
          <w:szCs w:val="20"/>
        </w:rPr>
        <w:t>,</w:t>
      </w:r>
      <w:r w:rsidRPr="001D6B5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zalecić</w:t>
      </w:r>
      <w:r w:rsidRPr="001D6B51">
        <w:rPr>
          <w:rFonts w:ascii="Verdana" w:hAnsi="Verdana"/>
          <w:sz w:val="20"/>
          <w:szCs w:val="20"/>
        </w:rPr>
        <w:t xml:space="preserve"> stronom środek tymczasowy, jaki należy według </w:t>
      </w:r>
      <w:r>
        <w:rPr>
          <w:rFonts w:ascii="Verdana" w:hAnsi="Verdana"/>
          <w:sz w:val="20"/>
          <w:szCs w:val="20"/>
        </w:rPr>
        <w:t>n</w:t>
      </w:r>
      <w:r w:rsidRPr="001D6B51">
        <w:rPr>
          <w:rFonts w:ascii="Verdana" w:hAnsi="Verdana"/>
          <w:sz w:val="20"/>
          <w:szCs w:val="20"/>
        </w:rPr>
        <w:t>ich zastosować w interesie stron lub właściwego przebiegu postępowania.</w:t>
      </w:r>
    </w:p>
    <w:p w14:paraId="1A311500" w14:textId="77777777" w:rsidR="00455804" w:rsidRDefault="00455804" w:rsidP="00455804">
      <w:pPr>
        <w:pStyle w:val="Bezodstpw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84"/>
        </w:tabs>
        <w:spacing w:after="60"/>
        <w:ind w:left="709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1D6B51">
        <w:rPr>
          <w:rFonts w:ascii="Verdana" w:hAnsi="Verdana"/>
          <w:sz w:val="20"/>
          <w:szCs w:val="20"/>
        </w:rPr>
        <w:t xml:space="preserve">W razie uznania tego za właściwe, </w:t>
      </w:r>
      <w:r>
        <w:rPr>
          <w:rFonts w:ascii="Verdana" w:hAnsi="Verdana"/>
          <w:sz w:val="20"/>
          <w:szCs w:val="20"/>
        </w:rPr>
        <w:t xml:space="preserve">można niezwłocznie notyfikować </w:t>
      </w:r>
      <w:r w:rsidRPr="001D6B51">
        <w:rPr>
          <w:rFonts w:ascii="Verdana" w:hAnsi="Verdana"/>
          <w:sz w:val="20"/>
          <w:szCs w:val="20"/>
        </w:rPr>
        <w:t>środek zastosowany w danej sprawie Komitetowi Ministrów [Rady Europy].</w:t>
      </w:r>
    </w:p>
    <w:p w14:paraId="67FF518D" w14:textId="77777777" w:rsidR="00455804" w:rsidRDefault="00455804" w:rsidP="00455804">
      <w:pPr>
        <w:pStyle w:val="Bezodstpw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84"/>
        </w:tabs>
        <w:spacing w:after="60"/>
        <w:ind w:left="709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1D6B51">
        <w:rPr>
          <w:rFonts w:ascii="Verdana" w:hAnsi="Verdana"/>
          <w:sz w:val="20"/>
          <w:szCs w:val="20"/>
        </w:rPr>
        <w:t>Izba lub tam, gdzie to właściwe, Przewodniczący Sekcji lub sędzia dyżurny wyznaczony zgodnie z ustępem 4 niniejszej Reguły, mo</w:t>
      </w:r>
      <w:r>
        <w:rPr>
          <w:rFonts w:ascii="Verdana" w:hAnsi="Verdana"/>
          <w:sz w:val="20"/>
          <w:szCs w:val="20"/>
        </w:rPr>
        <w:t>gą</w:t>
      </w:r>
      <w:r w:rsidRPr="001D6B51">
        <w:rPr>
          <w:rFonts w:ascii="Verdana" w:hAnsi="Verdana"/>
          <w:sz w:val="20"/>
          <w:szCs w:val="20"/>
        </w:rPr>
        <w:t xml:space="preserve"> żądać od stron informacji o jakiejkolwiek kwestii związanej z zastosowaniem środka tymczasowego</w:t>
      </w:r>
      <w:r>
        <w:rPr>
          <w:rFonts w:ascii="Verdana" w:hAnsi="Verdana"/>
          <w:sz w:val="20"/>
          <w:szCs w:val="20"/>
        </w:rPr>
        <w:t>, jaki zalecili</w:t>
      </w:r>
      <w:r w:rsidRPr="001D6B51">
        <w:rPr>
          <w:rFonts w:ascii="Verdana" w:hAnsi="Verdana"/>
          <w:sz w:val="20"/>
          <w:szCs w:val="20"/>
        </w:rPr>
        <w:t>.</w:t>
      </w:r>
    </w:p>
    <w:p w14:paraId="48E88309" w14:textId="77777777" w:rsidR="00455804" w:rsidRPr="00596B7C" w:rsidRDefault="00455804" w:rsidP="00455804">
      <w:pPr>
        <w:pStyle w:val="Bezodstpw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84"/>
        </w:tabs>
        <w:spacing w:after="60"/>
        <w:ind w:left="709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Przewodniczący</w:t>
      </w:r>
      <w:r w:rsidRPr="001D6B51">
        <w:rPr>
          <w:rFonts w:ascii="Verdana" w:hAnsi="Verdana"/>
          <w:sz w:val="20"/>
          <w:szCs w:val="20"/>
        </w:rPr>
        <w:t xml:space="preserve"> Trybunału może wyznaczyć Wiceprzewodniczących Sekcji jako sędziów dyżurnych </w:t>
      </w:r>
      <w:r>
        <w:rPr>
          <w:rFonts w:ascii="Verdana" w:hAnsi="Verdana"/>
          <w:sz w:val="20"/>
          <w:szCs w:val="20"/>
        </w:rPr>
        <w:t>orzekających</w:t>
      </w:r>
      <w:r w:rsidRPr="00596B7C">
        <w:rPr>
          <w:rFonts w:ascii="Verdana" w:hAnsi="Verdana"/>
          <w:sz w:val="20"/>
          <w:szCs w:val="20"/>
        </w:rPr>
        <w:t xml:space="preserve"> w sprawach wniosków o środki tymczasowe.</w:t>
      </w:r>
      <w:r>
        <w:rPr>
          <w:rFonts w:ascii="Verdana" w:hAnsi="Verdana"/>
          <w:sz w:val="20"/>
          <w:szCs w:val="20"/>
        </w:rPr>
        <w:t>”</w:t>
      </w:r>
    </w:p>
    <w:p w14:paraId="63D38E93" w14:textId="77777777" w:rsidR="0025631D" w:rsidRPr="00DD26C8" w:rsidRDefault="0025631D" w:rsidP="009C415A">
      <w:pPr>
        <w:pStyle w:val="Tekstpodstawowy"/>
        <w:spacing w:before="11"/>
        <w:ind w:left="0" w:right="669"/>
        <w:jc w:val="left"/>
        <w:rPr>
          <w:sz w:val="10"/>
          <w:szCs w:val="10"/>
        </w:rPr>
      </w:pPr>
    </w:p>
    <w:p w14:paraId="461196A3" w14:textId="77777777" w:rsidR="0025631D" w:rsidRPr="004939EF" w:rsidRDefault="008B5B86">
      <w:pPr>
        <w:pStyle w:val="Nagwek11"/>
        <w:spacing w:before="101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30CC44BE" wp14:editId="2776097D">
                <wp:simplePos x="0" y="0"/>
                <wp:positionH relativeFrom="page">
                  <wp:posOffset>895985</wp:posOffset>
                </wp:positionH>
                <wp:positionV relativeFrom="paragraph">
                  <wp:posOffset>342265</wp:posOffset>
                </wp:positionV>
                <wp:extent cx="5768340" cy="0"/>
                <wp:effectExtent l="0" t="0" r="0" b="0"/>
                <wp:wrapTopAndBottom/>
                <wp:docPr id="1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2DAA166" id="Line 54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6.95pt" to="524.7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" strokecolor="#999" strokeweight="1.44pt">
                <o:lock v:ext="edit" shapetype="f"/>
                <w10:wrap type="topAndBottom" anchorx="page"/>
              </v:line>
            </w:pict>
          </mc:Fallback>
        </mc:AlternateContent>
      </w:r>
      <w:r w:rsidR="00A737A4" w:rsidRPr="004939EF">
        <w:rPr>
          <w:color w:val="0071BB"/>
        </w:rPr>
        <w:t>Czym są środki tymczasowe</w:t>
      </w:r>
      <w:r w:rsidR="00D3520A" w:rsidRPr="004939EF">
        <w:rPr>
          <w:color w:val="0071BB"/>
        </w:rPr>
        <w:t>?</w:t>
      </w:r>
    </w:p>
    <w:p w14:paraId="2BCCC102" w14:textId="38D877F8" w:rsidR="00A737A4" w:rsidRPr="005A17D4" w:rsidRDefault="00A737A4" w:rsidP="00263FCC">
      <w:pPr>
        <w:pStyle w:val="Tekstpodstawowy"/>
        <w:spacing w:before="91"/>
        <w:ind w:right="715"/>
      </w:pPr>
      <w:r w:rsidRPr="004939EF">
        <w:t xml:space="preserve">Europejski Trybunał Praw Człowieka może, zgodnie z </w:t>
      </w:r>
      <w:r w:rsidR="009B4693">
        <w:t xml:space="preserve">Regułą </w:t>
      </w:r>
      <w:r w:rsidR="00A91BFA" w:rsidRPr="004939EF">
        <w:t>39 Regulaminu Trybunału, zalecić</w:t>
      </w:r>
      <w:r w:rsidRPr="004939EF">
        <w:t xml:space="preserve"> środki tymczasowe </w:t>
      </w:r>
      <w:r w:rsidR="009B4693">
        <w:t>każdemu Państwu-S</w:t>
      </w:r>
      <w:r w:rsidR="00A91BFA" w:rsidRPr="004939EF">
        <w:t xml:space="preserve">tronie </w:t>
      </w:r>
      <w:r w:rsidR="00AF34A4" w:rsidRPr="0086569E">
        <w:rPr>
          <w:color w:val="0070C0"/>
          <w:u w:val="single"/>
        </w:rPr>
        <w:t>E</w:t>
      </w:r>
      <w:r w:rsidR="00183239">
        <w:rPr>
          <w:color w:val="0070C0"/>
          <w:u w:val="single"/>
        </w:rPr>
        <w:t xml:space="preserve">uropejskiej </w:t>
      </w:r>
      <w:r w:rsidR="00AF34A4">
        <w:rPr>
          <w:color w:val="0070C0"/>
          <w:u w:val="single"/>
        </w:rPr>
        <w:t>K</w:t>
      </w:r>
      <w:r w:rsidR="00183239">
        <w:rPr>
          <w:color w:val="0070C0"/>
          <w:u w:val="single"/>
        </w:rPr>
        <w:t xml:space="preserve">onwencji </w:t>
      </w:r>
      <w:r w:rsidR="00D847F1">
        <w:rPr>
          <w:color w:val="0070C0"/>
          <w:u w:val="single"/>
        </w:rPr>
        <w:t>P</w:t>
      </w:r>
      <w:r w:rsidR="00D847F1" w:rsidRPr="00183239">
        <w:rPr>
          <w:color w:val="0070C0"/>
          <w:u w:val="single"/>
        </w:rPr>
        <w:t>raw</w:t>
      </w:r>
      <w:r w:rsidR="00D847F1">
        <w:rPr>
          <w:color w:val="0070C0"/>
          <w:u w:val="single"/>
        </w:rPr>
        <w:t xml:space="preserve"> C</w:t>
      </w:r>
      <w:r w:rsidR="00D847F1" w:rsidRPr="00183239">
        <w:rPr>
          <w:color w:val="0070C0"/>
          <w:u w:val="single"/>
        </w:rPr>
        <w:t>złowieka</w:t>
      </w:r>
      <w:r w:rsidR="00B03493" w:rsidRPr="004939EF">
        <w:t xml:space="preserve">. Środki tymczasowe są środkami </w:t>
      </w:r>
      <w:r w:rsidR="00684558">
        <w:t>o charakterze pilnym</w:t>
      </w:r>
      <w:r w:rsidR="00A91BFA" w:rsidRPr="004939EF">
        <w:t xml:space="preserve">, które zgodnie z ugruntowaną </w:t>
      </w:r>
      <w:r w:rsidRPr="004939EF">
        <w:t>praktyką Trybunału</w:t>
      </w:r>
      <w:r w:rsidR="00B03493" w:rsidRPr="004939EF">
        <w:t>,</w:t>
      </w:r>
      <w:r w:rsidRPr="004939EF">
        <w:t xml:space="preserve"> mają zastosowanie </w:t>
      </w:r>
      <w:r w:rsidR="00B03493" w:rsidRPr="004939EF">
        <w:t>tylko</w:t>
      </w:r>
      <w:r w:rsidR="00AF34A4">
        <w:t xml:space="preserve">, </w:t>
      </w:r>
      <w:r w:rsidR="00684558">
        <w:t>gdy zachodzi</w:t>
      </w:r>
      <w:r w:rsidR="00684558" w:rsidRPr="004939EF">
        <w:t xml:space="preserve"> </w:t>
      </w:r>
      <w:r w:rsidR="00B03493" w:rsidRPr="004939EF">
        <w:t>bezpośredni</w:t>
      </w:r>
      <w:r w:rsidR="00684558">
        <w:t>a</w:t>
      </w:r>
      <w:r w:rsidRPr="004939EF">
        <w:t xml:space="preserve"> </w:t>
      </w:r>
      <w:r w:rsidR="00B85EBC">
        <w:t>obawa</w:t>
      </w:r>
      <w:r w:rsidR="00B03493" w:rsidRPr="004939EF">
        <w:t xml:space="preserve"> </w:t>
      </w:r>
      <w:r w:rsidR="00684558">
        <w:t>wyrządzenia</w:t>
      </w:r>
      <w:r w:rsidR="00684558" w:rsidRPr="004939EF">
        <w:t xml:space="preserve"> </w:t>
      </w:r>
      <w:r w:rsidR="00B03493" w:rsidRPr="004939EF">
        <w:t>nieodwracalnej szkody</w:t>
      </w:r>
      <w:r w:rsidRPr="005A17D4">
        <w:t xml:space="preserve">. </w:t>
      </w:r>
      <w:r w:rsidR="00263FCC" w:rsidRPr="005A17D4">
        <w:t>Decyzja o</w:t>
      </w:r>
      <w:r w:rsidRPr="005A17D4">
        <w:t xml:space="preserve"> </w:t>
      </w:r>
      <w:r w:rsidR="00B03493" w:rsidRPr="005A17D4">
        <w:t>zastosowaniu takich środków</w:t>
      </w:r>
      <w:r w:rsidRPr="005A17D4">
        <w:t xml:space="preserve"> </w:t>
      </w:r>
      <w:r w:rsidR="00263FCC" w:rsidRPr="005A17D4">
        <w:t xml:space="preserve">zapada </w:t>
      </w:r>
      <w:r w:rsidRPr="005A17D4">
        <w:t>w związku z postępowani</w:t>
      </w:r>
      <w:r w:rsidR="00AF34A4">
        <w:t>a</w:t>
      </w:r>
      <w:r w:rsidRPr="005A17D4">
        <w:t>m</w:t>
      </w:r>
      <w:r w:rsidR="00AF34A4">
        <w:t>i</w:t>
      </w:r>
      <w:r w:rsidRPr="005A17D4">
        <w:t xml:space="preserve"> przed Trybunałem bez </w:t>
      </w:r>
      <w:r w:rsidR="00AF34A4">
        <w:t>wpływu</w:t>
      </w:r>
      <w:r w:rsidR="00AF34A4" w:rsidRPr="005A17D4">
        <w:t xml:space="preserve"> </w:t>
      </w:r>
      <w:r w:rsidR="00836EA9">
        <w:t>na jakiekolwiek</w:t>
      </w:r>
      <w:r w:rsidR="00B85EBC" w:rsidRPr="005A17D4">
        <w:t xml:space="preserve"> </w:t>
      </w:r>
      <w:r w:rsidR="00836EA9" w:rsidRPr="005A17D4">
        <w:t>późniejsz</w:t>
      </w:r>
      <w:r w:rsidR="00836EA9">
        <w:t>e</w:t>
      </w:r>
      <w:r w:rsidR="00836EA9" w:rsidRPr="005A17D4">
        <w:t xml:space="preserve"> </w:t>
      </w:r>
      <w:r w:rsidR="00836EA9">
        <w:t>decyzje</w:t>
      </w:r>
      <w:r w:rsidR="00836EA9" w:rsidRPr="005A17D4">
        <w:t xml:space="preserve"> </w:t>
      </w:r>
      <w:r w:rsidRPr="005A17D4">
        <w:t>w</w:t>
      </w:r>
      <w:r w:rsidR="00263FCC" w:rsidRPr="005A17D4">
        <w:t xml:space="preserve"> </w:t>
      </w:r>
      <w:r w:rsidR="00AF34A4">
        <w:t>przedmiocie</w:t>
      </w:r>
      <w:r w:rsidR="00AF34A4" w:rsidRPr="005A17D4">
        <w:t xml:space="preserve"> </w:t>
      </w:r>
      <w:r w:rsidRPr="005A17D4">
        <w:t>dopuszczalności</w:t>
      </w:r>
      <w:r w:rsidR="00B03493" w:rsidRPr="005A17D4">
        <w:t xml:space="preserve"> </w:t>
      </w:r>
      <w:r w:rsidR="00F32106" w:rsidRPr="005A17D4">
        <w:t>skargi</w:t>
      </w:r>
      <w:r w:rsidRPr="005A17D4">
        <w:t xml:space="preserve"> lub</w:t>
      </w:r>
      <w:r w:rsidR="00A91BFA" w:rsidRPr="005A17D4">
        <w:t xml:space="preserve"> </w:t>
      </w:r>
      <w:r w:rsidR="00B03493" w:rsidRPr="005A17D4">
        <w:t xml:space="preserve">jej </w:t>
      </w:r>
      <w:r w:rsidR="00AF34A4">
        <w:t>meritum</w:t>
      </w:r>
      <w:r w:rsidR="00AF34A4" w:rsidRPr="005A17D4">
        <w:t xml:space="preserve"> </w:t>
      </w:r>
      <w:r w:rsidR="00263FCC" w:rsidRPr="005A17D4">
        <w:t>w rozpatrywanej sprawie</w:t>
      </w:r>
      <w:r w:rsidRPr="005A17D4">
        <w:t>.</w:t>
      </w:r>
    </w:p>
    <w:p w14:paraId="691542BD" w14:textId="1276CC55" w:rsidR="00A91BFA" w:rsidRPr="00B61500" w:rsidRDefault="009D0B1F" w:rsidP="00B61500">
      <w:pPr>
        <w:pStyle w:val="Tekstpodstawowy"/>
        <w:spacing w:before="121"/>
        <w:ind w:left="699" w:right="714"/>
      </w:pPr>
      <w:r w:rsidRPr="005A17D4">
        <w:t xml:space="preserve">W większości </w:t>
      </w:r>
      <w:r w:rsidR="00B03493" w:rsidRPr="005A17D4">
        <w:t xml:space="preserve">spraw </w:t>
      </w:r>
      <w:r w:rsidRPr="005A17D4">
        <w:t>skarżący</w:t>
      </w:r>
      <w:r w:rsidR="00B03493" w:rsidRPr="005A17D4">
        <w:t xml:space="preserve"> wnoszą</w:t>
      </w:r>
      <w:r w:rsidR="00A91BFA" w:rsidRPr="005A17D4">
        <w:t xml:space="preserve"> </w:t>
      </w:r>
      <w:r w:rsidR="00B03493" w:rsidRPr="005A17D4">
        <w:t>o wstrzymanie wykonania</w:t>
      </w:r>
      <w:r w:rsidR="00A91BFA" w:rsidRPr="005A17D4">
        <w:t xml:space="preserve"> </w:t>
      </w:r>
      <w:r w:rsidR="00684558">
        <w:t xml:space="preserve">orzeczenia o </w:t>
      </w:r>
      <w:r w:rsidR="00A91BFA" w:rsidRPr="005A17D4">
        <w:t>wydaleni</w:t>
      </w:r>
      <w:r w:rsidR="00684558">
        <w:t>u</w:t>
      </w:r>
      <w:r w:rsidR="00A91BFA" w:rsidRPr="005A17D4">
        <w:t xml:space="preserve"> lub ekstradycji. Trybunał </w:t>
      </w:r>
      <w:r w:rsidR="00684558">
        <w:t>uwzględnia</w:t>
      </w:r>
      <w:r w:rsidR="00A91BFA" w:rsidRPr="004939EF">
        <w:t xml:space="preserve"> </w:t>
      </w:r>
      <w:r w:rsidR="00684558" w:rsidRPr="004939EF">
        <w:t>taki</w:t>
      </w:r>
      <w:r w:rsidR="00684558">
        <w:t>e</w:t>
      </w:r>
      <w:r w:rsidR="00684558" w:rsidRPr="004939EF">
        <w:t xml:space="preserve"> wniosk</w:t>
      </w:r>
      <w:r w:rsidR="00684558">
        <w:t>i</w:t>
      </w:r>
      <w:r w:rsidR="00684558" w:rsidRPr="004939EF">
        <w:t xml:space="preserve"> </w:t>
      </w:r>
      <w:r w:rsidR="00A91BFA" w:rsidRPr="004939EF">
        <w:t xml:space="preserve">o zastosowanie środka tymczasowego tylko w wyjątkowych przypadkach, </w:t>
      </w:r>
      <w:r w:rsidR="00684558">
        <w:t>jeżeli – w razie ich nieuwzględnienia – zachodziłaby</w:t>
      </w:r>
      <w:r w:rsidR="00B03493" w:rsidRPr="004939EF">
        <w:t xml:space="preserve"> realn</w:t>
      </w:r>
      <w:r w:rsidR="00684558">
        <w:t>a</w:t>
      </w:r>
      <w:r w:rsidR="00B03493" w:rsidRPr="004939EF">
        <w:t xml:space="preserve"> </w:t>
      </w:r>
      <w:r w:rsidR="00B85EBC">
        <w:t>obawa</w:t>
      </w:r>
      <w:r w:rsidR="00A91BFA" w:rsidRPr="004939EF">
        <w:t xml:space="preserve"> </w:t>
      </w:r>
      <w:r w:rsidR="00684558">
        <w:t>wyrządzenia skarżącemu</w:t>
      </w:r>
      <w:r w:rsidR="00684558" w:rsidRPr="004939EF">
        <w:t xml:space="preserve"> </w:t>
      </w:r>
      <w:r w:rsidR="00A91BFA" w:rsidRPr="004939EF">
        <w:t xml:space="preserve">poważnej i nieodwracalnej szkody. Takie środki następnie </w:t>
      </w:r>
      <w:r w:rsidRPr="004939EF">
        <w:t xml:space="preserve">zaleca się </w:t>
      </w:r>
      <w:r w:rsidR="00A91BFA" w:rsidRPr="004939EF">
        <w:t>pozwanemu rządow</w:t>
      </w:r>
      <w:r w:rsidR="00B03493" w:rsidRPr="004939EF">
        <w:t>i</w:t>
      </w:r>
      <w:r w:rsidR="00684558">
        <w:t>, przy czym</w:t>
      </w:r>
      <w:r w:rsidR="00B03493" w:rsidRPr="004939EF">
        <w:t xml:space="preserve"> </w:t>
      </w:r>
      <w:r w:rsidR="00B61500">
        <w:t xml:space="preserve">Trybunał może zalecać środki </w:t>
      </w:r>
      <w:r w:rsidR="00836EA9">
        <w:t xml:space="preserve">na </w:t>
      </w:r>
      <w:r w:rsidR="00836EA9" w:rsidRPr="004939EF">
        <w:t>podstawie Reguły 39</w:t>
      </w:r>
      <w:r w:rsidR="00836EA9">
        <w:t xml:space="preserve"> także </w:t>
      </w:r>
      <w:r w:rsidR="00B61500">
        <w:t>skarżącym</w:t>
      </w:r>
      <w:r w:rsidR="00B61500">
        <w:rPr>
          <w:rStyle w:val="Odwoanieprzypisudolnego"/>
        </w:rPr>
        <w:footnoteReference w:id="1"/>
      </w:r>
      <w:r w:rsidR="00B61500">
        <w:t>.</w:t>
      </w:r>
    </w:p>
    <w:p w14:paraId="6FAE44C5" w14:textId="41E8C440" w:rsidR="00A91BFA" w:rsidRPr="004939EF" w:rsidRDefault="00836EA9" w:rsidP="00551885">
      <w:pPr>
        <w:pStyle w:val="Tekstpodstawowy"/>
        <w:spacing w:before="121"/>
        <w:ind w:left="699" w:right="714"/>
      </w:pPr>
      <w:r>
        <w:t>P</w:t>
      </w:r>
      <w:r w:rsidR="00B03493" w:rsidRPr="004939EF">
        <w:t xml:space="preserve">raktyką Trybunał </w:t>
      </w:r>
      <w:r>
        <w:t xml:space="preserve">jest </w:t>
      </w:r>
      <w:r w:rsidR="003A33AF">
        <w:t>badanie</w:t>
      </w:r>
      <w:r w:rsidRPr="004939EF">
        <w:t xml:space="preserve"> </w:t>
      </w:r>
      <w:r w:rsidR="00B03493" w:rsidRPr="004939EF">
        <w:t>każd</w:t>
      </w:r>
      <w:r>
        <w:t>ego</w:t>
      </w:r>
      <w:r w:rsidR="00B03493" w:rsidRPr="004939EF">
        <w:t xml:space="preserve"> wniosk</w:t>
      </w:r>
      <w:r>
        <w:t>u</w:t>
      </w:r>
      <w:r w:rsidR="001D6B51">
        <w:t xml:space="preserve"> indywidualnie</w:t>
      </w:r>
      <w:r w:rsidR="003A33AF">
        <w:t xml:space="preserve"> </w:t>
      </w:r>
      <w:r w:rsidR="001D6B51">
        <w:t>i na </w:t>
      </w:r>
      <w:r w:rsidR="00A91BFA" w:rsidRPr="004939EF">
        <w:t xml:space="preserve">zasadzie pierwszeństwa w drodze procedury pisemnej. </w:t>
      </w:r>
      <w:r w:rsidR="009D0B1F" w:rsidRPr="004939EF">
        <w:t xml:space="preserve">Skarżący </w:t>
      </w:r>
      <w:r w:rsidR="00A91BFA" w:rsidRPr="004939EF">
        <w:t>i rzą</w:t>
      </w:r>
      <w:r w:rsidR="00551885">
        <w:t>dy są informowani</w:t>
      </w:r>
      <w:r w:rsidR="00BA4A93">
        <w:t xml:space="preserve"> o </w:t>
      </w:r>
      <w:r w:rsidR="00684558">
        <w:t>rozstrzygnięci</w:t>
      </w:r>
      <w:r w:rsidR="00B85EBC">
        <w:t>ach</w:t>
      </w:r>
      <w:r w:rsidR="00684558">
        <w:t xml:space="preserve"> </w:t>
      </w:r>
      <w:r w:rsidR="001D6B51">
        <w:t>Trybunału</w:t>
      </w:r>
      <w:r w:rsidR="009D0B1F" w:rsidRPr="004939EF">
        <w:t xml:space="preserve"> </w:t>
      </w:r>
      <w:r w:rsidR="00B03493" w:rsidRPr="004939EF">
        <w:t>w przedmiocie</w:t>
      </w:r>
      <w:r w:rsidR="00A91BFA" w:rsidRPr="004939EF">
        <w:t xml:space="preserve"> środków tymczasowych. Od odmowy zastosowania </w:t>
      </w:r>
      <w:r w:rsidR="00B03493" w:rsidRPr="004939EF">
        <w:t>Reguły</w:t>
      </w:r>
      <w:r w:rsidR="009D0B1F" w:rsidRPr="004939EF">
        <w:t xml:space="preserve"> </w:t>
      </w:r>
      <w:r w:rsidR="00A91BFA" w:rsidRPr="004939EF">
        <w:t>39</w:t>
      </w:r>
      <w:r w:rsidR="009D0B1F" w:rsidRPr="004939EF">
        <w:t xml:space="preserve"> nie służy </w:t>
      </w:r>
      <w:r w:rsidR="00684558">
        <w:t>środek zaskarżenia</w:t>
      </w:r>
      <w:r w:rsidR="00A91BFA" w:rsidRPr="004939EF">
        <w:t>.</w:t>
      </w:r>
    </w:p>
    <w:p w14:paraId="0B9119ED" w14:textId="77777777" w:rsidR="007F6B61" w:rsidRPr="004939EF" w:rsidRDefault="00684558" w:rsidP="00551885">
      <w:pPr>
        <w:pStyle w:val="Tekstpodstawowy"/>
        <w:spacing w:before="121"/>
        <w:ind w:left="699" w:right="714"/>
      </w:pPr>
      <w:r>
        <w:t>Co do zasady</w:t>
      </w:r>
      <w:r w:rsidR="00551885">
        <w:t xml:space="preserve"> </w:t>
      </w:r>
      <w:r>
        <w:t>za</w:t>
      </w:r>
      <w:r w:rsidR="00551885">
        <w:t xml:space="preserve">stosowanie środka tymczasowego </w:t>
      </w:r>
      <w:r>
        <w:t xml:space="preserve">zarządza się </w:t>
      </w:r>
      <w:r w:rsidR="00551885">
        <w:t xml:space="preserve">na </w:t>
      </w:r>
      <w:r w:rsidR="007F6B61" w:rsidRPr="004939EF">
        <w:t xml:space="preserve">czas </w:t>
      </w:r>
      <w:r w:rsidR="00551885">
        <w:t>trwania postępowania przed Trybunałem</w:t>
      </w:r>
      <w:r w:rsidR="00183239">
        <w:t xml:space="preserve"> </w:t>
      </w:r>
      <w:r w:rsidR="007F6B61" w:rsidRPr="004939EF">
        <w:t xml:space="preserve">lub </w:t>
      </w:r>
      <w:r w:rsidR="00723A7C">
        <w:t xml:space="preserve">na czas </w:t>
      </w:r>
      <w:r w:rsidR="007F6B61" w:rsidRPr="004939EF">
        <w:t>krótszy.</w:t>
      </w:r>
    </w:p>
    <w:p w14:paraId="589C635A" w14:textId="311122F0" w:rsidR="0025631D" w:rsidRPr="00830C00" w:rsidRDefault="005577C8" w:rsidP="00830C00">
      <w:pPr>
        <w:pStyle w:val="Tekstpodstawowy"/>
        <w:spacing w:before="121"/>
        <w:ind w:left="699" w:right="714"/>
      </w:pPr>
      <w:r>
        <w:lastRenderedPageBreak/>
        <w:t>Decyzją</w:t>
      </w:r>
      <w:r w:rsidR="003A33AF">
        <w:t xml:space="preserve"> Trybunału </w:t>
      </w:r>
      <w:r w:rsidR="00723A7C">
        <w:t>s</w:t>
      </w:r>
      <w:r w:rsidR="007F6B61" w:rsidRPr="004939EF">
        <w:t>tosowani</w:t>
      </w:r>
      <w:r w:rsidR="003A33AF">
        <w:t>e</w:t>
      </w:r>
      <w:r w:rsidR="007F6B61" w:rsidRPr="004939EF">
        <w:t xml:space="preserve"> Reguły 39 Regulaminu Trybunału </w:t>
      </w:r>
      <w:r w:rsidR="003A33AF">
        <w:t>może być wstrzymane w każdym czasie.</w:t>
      </w:r>
      <w:r w:rsidR="007F6B61" w:rsidRPr="004939EF">
        <w:t xml:space="preserve"> W szczególno</w:t>
      </w:r>
      <w:r w:rsidR="00183239">
        <w:t xml:space="preserve">ści, </w:t>
      </w:r>
      <w:r>
        <w:t>ponieważ</w:t>
      </w:r>
      <w:r w:rsidR="00BA4A93">
        <w:t xml:space="preserve"> środki </w:t>
      </w:r>
      <w:r>
        <w:t xml:space="preserve">te </w:t>
      </w:r>
      <w:r w:rsidR="003A33AF">
        <w:t>związane są</w:t>
      </w:r>
      <w:r w:rsidR="00BA4A93">
        <w:t xml:space="preserve"> z </w:t>
      </w:r>
      <w:r w:rsidR="007F6B61" w:rsidRPr="004939EF">
        <w:t xml:space="preserve">postępowaniem przed Trybunałem, mogą </w:t>
      </w:r>
      <w:r w:rsidR="001D6B51">
        <w:t xml:space="preserve">one </w:t>
      </w:r>
      <w:r w:rsidR="007F6B61" w:rsidRPr="004939EF">
        <w:t>zostać uchylone</w:t>
      </w:r>
      <w:r w:rsidR="002C50EB">
        <w:t xml:space="preserve"> w </w:t>
      </w:r>
      <w:r w:rsidR="003A33AF">
        <w:t xml:space="preserve">przypadku </w:t>
      </w:r>
      <w:r w:rsidR="002C50EB">
        <w:t>braku dalszego popierania</w:t>
      </w:r>
      <w:r w:rsidR="00723A7C" w:rsidRPr="004939EF">
        <w:t xml:space="preserve"> </w:t>
      </w:r>
      <w:r w:rsidR="007F6B61" w:rsidRPr="004939EF">
        <w:t>skarg</w:t>
      </w:r>
      <w:r w:rsidR="002C50EB">
        <w:t>i</w:t>
      </w:r>
      <w:r w:rsidR="007F6B61" w:rsidRPr="004939EF">
        <w:t>.</w:t>
      </w:r>
    </w:p>
    <w:p w14:paraId="0FBB41C6" w14:textId="77777777" w:rsidR="0086569E" w:rsidRDefault="0086569E" w:rsidP="00F74416">
      <w:pPr>
        <w:pStyle w:val="Nagwek11"/>
        <w:jc w:val="left"/>
        <w:rPr>
          <w:color w:val="0071BB"/>
        </w:rPr>
      </w:pPr>
    </w:p>
    <w:p w14:paraId="029C4DC3" w14:textId="77777777" w:rsidR="0025631D" w:rsidRPr="004939EF" w:rsidRDefault="008B5B86" w:rsidP="00F74416">
      <w:pPr>
        <w:pStyle w:val="Nagwek11"/>
        <w:jc w:val="left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7656B96D" wp14:editId="78149390">
                <wp:simplePos x="0" y="0"/>
                <wp:positionH relativeFrom="page">
                  <wp:posOffset>895985</wp:posOffset>
                </wp:positionH>
                <wp:positionV relativeFrom="paragraph">
                  <wp:posOffset>342265</wp:posOffset>
                </wp:positionV>
                <wp:extent cx="5768340" cy="0"/>
                <wp:effectExtent l="0" t="0" r="0" b="0"/>
                <wp:wrapTopAndBottom/>
                <wp:docPr id="1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6BBC91F" id="Line 53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6.95pt" to="524.7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" strokecolor="#999" strokeweight="1.44pt">
                <o:lock v:ext="edit" shapetype="f"/>
                <w10:wrap type="topAndBottom" anchorx="page"/>
              </v:line>
            </w:pict>
          </mc:Fallback>
        </mc:AlternateContent>
      </w:r>
      <w:r w:rsidR="009D0B1F" w:rsidRPr="004939EF">
        <w:rPr>
          <w:color w:val="0071BB"/>
        </w:rPr>
        <w:t>Zakres środków tymczasowych</w:t>
      </w:r>
    </w:p>
    <w:p w14:paraId="415FF20E" w14:textId="77777777" w:rsidR="00F74416" w:rsidRDefault="00F74416" w:rsidP="00F74416">
      <w:pPr>
        <w:pStyle w:val="Tekstpodstawowy"/>
        <w:ind w:left="699" w:right="715"/>
      </w:pPr>
    </w:p>
    <w:p w14:paraId="18D5D01E" w14:textId="526AC424" w:rsidR="009D0B1F" w:rsidRPr="004939EF" w:rsidRDefault="009D0B1F" w:rsidP="00F74416">
      <w:pPr>
        <w:pStyle w:val="Tekstpodstawowy"/>
        <w:ind w:left="699" w:right="715"/>
      </w:pPr>
      <w:r w:rsidRPr="004939EF">
        <w:t xml:space="preserve">W praktyce środki </w:t>
      </w:r>
      <w:r w:rsidR="00551885">
        <w:t>tymczasowe stosuje się</w:t>
      </w:r>
      <w:r w:rsidR="00E51ADC" w:rsidRPr="004939EF">
        <w:t xml:space="preserve"> tylko w ograniczonym</w:t>
      </w:r>
      <w:r w:rsidRPr="004939EF">
        <w:t xml:space="preserve"> </w:t>
      </w:r>
      <w:r w:rsidR="00723A7C">
        <w:t>zakresie</w:t>
      </w:r>
      <w:r w:rsidR="005577C8">
        <w:t xml:space="preserve"> i</w:t>
      </w:r>
      <w:r w:rsidR="00F32106">
        <w:t xml:space="preserve"> w większości</w:t>
      </w:r>
      <w:r w:rsidR="00551885">
        <w:t xml:space="preserve"> przypadków dotyczą </w:t>
      </w:r>
      <w:r w:rsidRPr="004939EF">
        <w:t>wydalenia i ekstradycji. Zazwy</w:t>
      </w:r>
      <w:r w:rsidR="00E51ADC" w:rsidRPr="004939EF">
        <w:t xml:space="preserve">czaj polegają na wstrzymaniu </w:t>
      </w:r>
      <w:r w:rsidRPr="004939EF">
        <w:t xml:space="preserve">wydalenia lub ekstradycji </w:t>
      </w:r>
      <w:r w:rsidR="003B4DE8" w:rsidRPr="004939EF">
        <w:t>skarżąc</w:t>
      </w:r>
      <w:r w:rsidR="003B4DE8">
        <w:t>ych</w:t>
      </w:r>
      <w:r w:rsidR="003B4DE8" w:rsidRPr="004939EF">
        <w:t xml:space="preserve"> </w:t>
      </w:r>
      <w:r w:rsidR="005577C8">
        <w:t>na czas</w:t>
      </w:r>
      <w:r w:rsidR="00723A7C">
        <w:t xml:space="preserve"> </w:t>
      </w:r>
      <w:r w:rsidR="00E51ADC" w:rsidRPr="004939EF">
        <w:t>rozpoznania</w:t>
      </w:r>
      <w:r w:rsidRPr="004939EF">
        <w:t xml:space="preserve"> skargi.</w:t>
      </w:r>
    </w:p>
    <w:p w14:paraId="5D9DCEE3" w14:textId="68634086" w:rsidR="009D0B1F" w:rsidRPr="005A17D4" w:rsidRDefault="00723A7C" w:rsidP="00551885">
      <w:pPr>
        <w:pStyle w:val="Tekstpodstawowy"/>
        <w:spacing w:before="120"/>
        <w:ind w:left="699" w:right="715"/>
      </w:pPr>
      <w:r>
        <w:t xml:space="preserve">Do </w:t>
      </w:r>
      <w:r w:rsidR="005577C8">
        <w:t>najbardziej typowych</w:t>
      </w:r>
      <w:r w:rsidR="00B605D8">
        <w:t xml:space="preserve"> </w:t>
      </w:r>
      <w:r>
        <w:t>należ</w:t>
      </w:r>
      <w:r w:rsidR="007F6B61" w:rsidRPr="005A17D4">
        <w:t>ą sprawy</w:t>
      </w:r>
      <w:r w:rsidR="009D0B1F" w:rsidRPr="005A17D4">
        <w:t>, w których</w:t>
      </w:r>
      <w:r>
        <w:t xml:space="preserve"> –</w:t>
      </w:r>
      <w:r w:rsidR="009D0B1F" w:rsidRPr="005A17D4">
        <w:t xml:space="preserve"> </w:t>
      </w:r>
      <w:r w:rsidR="00551885" w:rsidRPr="005A17D4">
        <w:t xml:space="preserve">w przypadku </w:t>
      </w:r>
      <w:r w:rsidR="005C2C43" w:rsidRPr="005A17D4">
        <w:t>wydalenia lub ekstradycji</w:t>
      </w:r>
      <w:r>
        <w:t xml:space="preserve"> –</w:t>
      </w:r>
      <w:r w:rsidR="009D0B1F" w:rsidRPr="005A17D4">
        <w:t xml:space="preserve"> </w:t>
      </w:r>
      <w:r w:rsidR="00D3520A" w:rsidRPr="005A17D4">
        <w:t xml:space="preserve">skarżący </w:t>
      </w:r>
      <w:r w:rsidR="005577C8">
        <w:t>obawiają się</w:t>
      </w:r>
      <w:r w:rsidR="009D0B1F" w:rsidRPr="005A17D4">
        <w:t xml:space="preserve"> o swoje życie </w:t>
      </w:r>
      <w:r>
        <w:t>[</w:t>
      </w:r>
      <w:r w:rsidR="00191FB9" w:rsidRPr="005A17D4">
        <w:t>zatem dotyczą art.</w:t>
      </w:r>
      <w:r w:rsidR="009D0B1F" w:rsidRPr="005A17D4">
        <w:t xml:space="preserve"> 2 </w:t>
      </w:r>
      <w:r w:rsidR="005577C8" w:rsidRPr="005A17D4">
        <w:t xml:space="preserve">Konwencji </w:t>
      </w:r>
      <w:r w:rsidR="009D0B1F" w:rsidRPr="005A17D4">
        <w:t>(prawo do życia)</w:t>
      </w:r>
      <w:r>
        <w:t>]</w:t>
      </w:r>
      <w:r w:rsidR="009D0B1F" w:rsidRPr="005A17D4">
        <w:t xml:space="preserve"> lub </w:t>
      </w:r>
      <w:r w:rsidR="009C52FB">
        <w:t>doświadczyliby</w:t>
      </w:r>
      <w:r w:rsidR="009D0B1F" w:rsidRPr="005A17D4">
        <w:t xml:space="preserve"> </w:t>
      </w:r>
      <w:r w:rsidR="009C52FB">
        <w:t>niewłaściwego</w:t>
      </w:r>
      <w:r w:rsidR="009D0B1F" w:rsidRPr="005A17D4">
        <w:t xml:space="preserve"> traktowani</w:t>
      </w:r>
      <w:r w:rsidR="009C52FB">
        <w:t>a</w:t>
      </w:r>
      <w:r w:rsidR="009D0B1F" w:rsidRPr="005A17D4">
        <w:t xml:space="preserve"> </w:t>
      </w:r>
      <w:r w:rsidR="009C52FB">
        <w:t>zabronionego</w:t>
      </w:r>
      <w:r w:rsidR="00191FB9" w:rsidRPr="005A17D4">
        <w:t xml:space="preserve"> art.</w:t>
      </w:r>
      <w:r w:rsidR="009D0B1F" w:rsidRPr="005A17D4">
        <w:t xml:space="preserve"> 3 </w:t>
      </w:r>
      <w:r w:rsidR="009C52FB" w:rsidRPr="005A17D4">
        <w:t xml:space="preserve">Konwencji </w:t>
      </w:r>
      <w:r w:rsidR="009D0B1F" w:rsidRPr="005A17D4">
        <w:t>(zakaz tortur lub nieludzkiego</w:t>
      </w:r>
      <w:r w:rsidR="009C52FB">
        <w:t xml:space="preserve"> albo</w:t>
      </w:r>
      <w:r w:rsidR="005C2C43" w:rsidRPr="005A17D4">
        <w:t xml:space="preserve"> poniżającego traktowania)</w:t>
      </w:r>
      <w:r w:rsidR="009D0B1F" w:rsidRPr="005A17D4">
        <w:t>.</w:t>
      </w:r>
      <w:r w:rsidR="005C2C43" w:rsidRPr="005A17D4">
        <w:t xml:space="preserve"> W wyjątkowych przypadkach</w:t>
      </w:r>
      <w:r w:rsidR="009D0B1F" w:rsidRPr="005A17D4">
        <w:t xml:space="preserve"> takie środki mogą być </w:t>
      </w:r>
      <w:r w:rsidR="005C2C43" w:rsidRPr="005A17D4">
        <w:t xml:space="preserve">zalecane </w:t>
      </w:r>
      <w:r w:rsidR="00E51ADC" w:rsidRPr="005A17D4">
        <w:t xml:space="preserve">w odpowiedzi na </w:t>
      </w:r>
      <w:r>
        <w:t>określone</w:t>
      </w:r>
      <w:r w:rsidRPr="005A17D4">
        <w:t xml:space="preserve"> </w:t>
      </w:r>
      <w:r w:rsidR="009D0B1F" w:rsidRPr="005A17D4">
        <w:t xml:space="preserve">wnioski dotyczące prawa </w:t>
      </w:r>
      <w:r w:rsidR="00F17BF0" w:rsidRPr="005A17D4">
        <w:t>do rzetelnego procesu (art. 6 K</w:t>
      </w:r>
      <w:r w:rsidR="009D0B1F" w:rsidRPr="005A17D4">
        <w:t>onwencji) oraz prawa do poszanowania życia p</w:t>
      </w:r>
      <w:r w:rsidR="00F17BF0" w:rsidRPr="005A17D4">
        <w:t>rywatnego i rodzinnego (art. 8 K</w:t>
      </w:r>
      <w:r w:rsidR="009D0B1F" w:rsidRPr="005A17D4">
        <w:t>onwencji).</w:t>
      </w:r>
    </w:p>
    <w:p w14:paraId="0A16B8F4" w14:textId="1C03FDE1" w:rsidR="0025631D" w:rsidRDefault="009D0B1F" w:rsidP="00374B7B">
      <w:pPr>
        <w:pStyle w:val="Tekstpodstawowy"/>
        <w:spacing w:before="120"/>
        <w:ind w:left="699" w:right="715"/>
      </w:pPr>
      <w:r w:rsidRPr="005A17D4">
        <w:t xml:space="preserve">W </w:t>
      </w:r>
      <w:r w:rsidR="00723A7C">
        <w:t xml:space="preserve">świetle aktualnego </w:t>
      </w:r>
      <w:r w:rsidRPr="005A17D4">
        <w:t>orzecznictw</w:t>
      </w:r>
      <w:r w:rsidR="00723A7C">
        <w:t>a</w:t>
      </w:r>
      <w:r w:rsidRPr="005A17D4">
        <w:t xml:space="preserve"> Trybunału</w:t>
      </w:r>
      <w:r w:rsidR="005C2C43" w:rsidRPr="005A17D4">
        <w:t xml:space="preserve"> </w:t>
      </w:r>
      <w:r w:rsidR="00E51ADC" w:rsidRPr="005A17D4">
        <w:t xml:space="preserve">Reguła </w:t>
      </w:r>
      <w:r w:rsidRPr="005A17D4">
        <w:t>39 Regulaminu Trybunału</w:t>
      </w:r>
      <w:r w:rsidR="00723A7C">
        <w:t xml:space="preserve"> </w:t>
      </w:r>
      <w:r w:rsidRPr="005A17D4">
        <w:t>nie ma zastosowania</w:t>
      </w:r>
      <w:r w:rsidR="009C52FB">
        <w:t>,</w:t>
      </w:r>
      <w:r w:rsidR="00723A7C">
        <w:t xml:space="preserve"> </w:t>
      </w:r>
      <w:r w:rsidR="009C52FB">
        <w:t>na przykład</w:t>
      </w:r>
      <w:r w:rsidR="00723A7C">
        <w:t xml:space="preserve"> </w:t>
      </w:r>
      <w:r w:rsidRPr="005A17D4">
        <w:t xml:space="preserve">w następujących </w:t>
      </w:r>
      <w:r w:rsidR="00E51ADC" w:rsidRPr="005A17D4">
        <w:t>sprawach</w:t>
      </w:r>
      <w:r w:rsidRPr="005A17D4">
        <w:t xml:space="preserve">: </w:t>
      </w:r>
      <w:r w:rsidR="00F17BF0" w:rsidRPr="005A17D4">
        <w:t>zapobieżenie</w:t>
      </w:r>
      <w:r w:rsidRPr="005A17D4">
        <w:t xml:space="preserve"> </w:t>
      </w:r>
      <w:r w:rsidR="00703E00">
        <w:t>rychłej</w:t>
      </w:r>
      <w:r w:rsidR="00703E00" w:rsidRPr="005A17D4">
        <w:t xml:space="preserve"> </w:t>
      </w:r>
      <w:r w:rsidR="00E51ADC" w:rsidRPr="005A17D4">
        <w:t>rozbiórce nieruchomości</w:t>
      </w:r>
      <w:r w:rsidRPr="005A17D4">
        <w:t xml:space="preserve">, </w:t>
      </w:r>
      <w:r w:rsidR="00F17BF0" w:rsidRPr="005A17D4">
        <w:t>groźb</w:t>
      </w:r>
      <w:r w:rsidR="00703E00">
        <w:t>ie</w:t>
      </w:r>
      <w:r w:rsidR="00E51ADC" w:rsidRPr="005A17D4">
        <w:t xml:space="preserve"> </w:t>
      </w:r>
      <w:r w:rsidRPr="005A17D4">
        <w:t xml:space="preserve">niewypłacalności lub </w:t>
      </w:r>
      <w:r w:rsidR="00723A7C">
        <w:t>egzekwowani</w:t>
      </w:r>
      <w:r w:rsidR="00703E00">
        <w:t>u</w:t>
      </w:r>
      <w:r w:rsidR="00723A7C" w:rsidRPr="005A17D4">
        <w:t xml:space="preserve"> </w:t>
      </w:r>
      <w:r w:rsidRPr="005A17D4">
        <w:t xml:space="preserve">obowiązku </w:t>
      </w:r>
      <w:r w:rsidR="00723A7C">
        <w:t xml:space="preserve">odbycia </w:t>
      </w:r>
      <w:r w:rsidR="00E51ADC" w:rsidRPr="005A17D4">
        <w:t>służby wojskowej</w:t>
      </w:r>
      <w:r w:rsidRPr="005A17D4">
        <w:t xml:space="preserve">; </w:t>
      </w:r>
      <w:r w:rsidR="00F17BF0" w:rsidRPr="005A17D4">
        <w:t>uzyskanie</w:t>
      </w:r>
      <w:r w:rsidRPr="005A17D4">
        <w:t xml:space="preserve"> zwolnienia skarż</w:t>
      </w:r>
      <w:r w:rsidR="00E51ADC" w:rsidRPr="005A17D4">
        <w:t xml:space="preserve">ącego przebywającego w jednostce </w:t>
      </w:r>
      <w:r w:rsidR="00F32106" w:rsidRPr="005A17D4">
        <w:t>penitencjarnej</w:t>
      </w:r>
      <w:r w:rsidRPr="005A17D4">
        <w:t xml:space="preserve"> </w:t>
      </w:r>
      <w:r w:rsidR="00723A7C">
        <w:t>do czasu</w:t>
      </w:r>
      <w:r w:rsidR="00F17BF0" w:rsidRPr="005A17D4">
        <w:t xml:space="preserve"> rozstrzygnięci</w:t>
      </w:r>
      <w:r w:rsidR="00723A7C">
        <w:t>a</w:t>
      </w:r>
      <w:r w:rsidR="00D3520A" w:rsidRPr="005A17D4">
        <w:t xml:space="preserve"> </w:t>
      </w:r>
      <w:r w:rsidR="00F17BF0" w:rsidRPr="005A17D4">
        <w:t>Trybunału w przedmiocie</w:t>
      </w:r>
      <w:r w:rsidRPr="005A17D4">
        <w:t xml:space="preserve"> rzetelności postępowania</w:t>
      </w:r>
      <w:r w:rsidR="00F17BF0" w:rsidRPr="005A17D4">
        <w:t>; zapewnienie</w:t>
      </w:r>
      <w:r w:rsidR="005C2C43" w:rsidRPr="005A17D4">
        <w:t xml:space="preserve"> przeprowadzenia</w:t>
      </w:r>
      <w:r w:rsidRPr="005A17D4">
        <w:t xml:space="preserve"> referendum</w:t>
      </w:r>
      <w:r w:rsidR="00F17BF0" w:rsidRPr="005A17D4">
        <w:rPr>
          <w:rStyle w:val="Odwoanieprzypisudolnego"/>
        </w:rPr>
        <w:footnoteReference w:id="2"/>
      </w:r>
      <w:r w:rsidR="00703E00">
        <w:t xml:space="preserve"> czy</w:t>
      </w:r>
      <w:r w:rsidRPr="005A17D4">
        <w:t xml:space="preserve"> </w:t>
      </w:r>
      <w:r w:rsidR="00F17BF0" w:rsidRPr="005A17D4">
        <w:t>zapobieżenie</w:t>
      </w:r>
      <w:r w:rsidR="005C2C43" w:rsidRPr="005A17D4">
        <w:t xml:space="preserve"> </w:t>
      </w:r>
      <w:r w:rsidRPr="005A17D4">
        <w:t>rozwiąza</w:t>
      </w:r>
      <w:r w:rsidR="005C2C43" w:rsidRPr="005A17D4">
        <w:t>ni</w:t>
      </w:r>
      <w:r w:rsidR="00723A7C">
        <w:t>u</w:t>
      </w:r>
      <w:r w:rsidRPr="004939EF">
        <w:t xml:space="preserve"> partii politycznej</w:t>
      </w:r>
      <w:r w:rsidR="00F17BF0">
        <w:rPr>
          <w:rStyle w:val="Odwoanieprzypisudolnego"/>
        </w:rPr>
        <w:footnoteReference w:id="3"/>
      </w:r>
      <w:r w:rsidRPr="004939EF">
        <w:t>.</w:t>
      </w:r>
    </w:p>
    <w:p w14:paraId="24C21DFE" w14:textId="77777777" w:rsidR="00B605D8" w:rsidRPr="00374B7B" w:rsidRDefault="00B605D8" w:rsidP="00374B7B">
      <w:pPr>
        <w:pStyle w:val="Tekstpodstawowy"/>
        <w:spacing w:before="120"/>
        <w:ind w:left="699" w:right="715"/>
      </w:pPr>
    </w:p>
    <w:p w14:paraId="46055956" w14:textId="77777777" w:rsidR="0025631D" w:rsidRDefault="00E51ADC" w:rsidP="00E51ADC">
      <w:pPr>
        <w:pStyle w:val="Nagwek11"/>
        <w:rPr>
          <w:color w:val="404040"/>
        </w:rPr>
      </w:pPr>
      <w:r w:rsidRPr="004939EF">
        <w:rPr>
          <w:color w:val="404040"/>
        </w:rPr>
        <w:t xml:space="preserve">Sprawy o wydalenie lub ekstradycję </w:t>
      </w:r>
    </w:p>
    <w:p w14:paraId="6379D3A6" w14:textId="77777777" w:rsidR="00455804" w:rsidRPr="00656FC7" w:rsidRDefault="00455804" w:rsidP="00455804">
      <w:pPr>
        <w:shd w:val="pct5" w:color="auto" w:fill="auto"/>
        <w:tabs>
          <w:tab w:val="left" w:pos="890"/>
          <w:tab w:val="left" w:pos="1343"/>
          <w:tab w:val="left" w:pos="1915"/>
          <w:tab w:val="left" w:pos="2378"/>
          <w:tab w:val="left" w:pos="2819"/>
          <w:tab w:val="left" w:pos="3955"/>
          <w:tab w:val="left" w:pos="5219"/>
          <w:tab w:val="left" w:pos="5683"/>
          <w:tab w:val="left" w:pos="7099"/>
          <w:tab w:val="left" w:pos="8728"/>
        </w:tabs>
        <w:spacing w:before="240" w:after="240"/>
        <w:ind w:left="709" w:right="678"/>
        <w:jc w:val="both"/>
        <w:rPr>
          <w:sz w:val="24"/>
          <w:szCs w:val="24"/>
        </w:rPr>
      </w:pPr>
      <w:r>
        <w:rPr>
          <w:color w:val="252525"/>
          <w:sz w:val="24"/>
        </w:rPr>
        <w:t>Zagrożenie</w:t>
      </w:r>
      <w:r w:rsidRPr="00DC159C">
        <w:rPr>
          <w:color w:val="252525"/>
          <w:sz w:val="24"/>
        </w:rPr>
        <w:t xml:space="preserve"> dla życia</w:t>
      </w:r>
      <w:r>
        <w:rPr>
          <w:color w:val="252525"/>
          <w:sz w:val="24"/>
        </w:rPr>
        <w:t xml:space="preserve">, </w:t>
      </w:r>
      <w:r w:rsidRPr="00DC159C">
        <w:rPr>
          <w:color w:val="252525"/>
          <w:sz w:val="24"/>
        </w:rPr>
        <w:t>groźba tortur</w:t>
      </w:r>
      <w:r>
        <w:rPr>
          <w:color w:val="252525"/>
          <w:sz w:val="24"/>
        </w:rPr>
        <w:t xml:space="preserve"> lub</w:t>
      </w:r>
      <w:r w:rsidRPr="00DC159C">
        <w:rPr>
          <w:color w:val="252525"/>
          <w:sz w:val="24"/>
        </w:rPr>
        <w:t xml:space="preserve"> </w:t>
      </w:r>
      <w:r w:rsidRPr="00656FC7">
        <w:rPr>
          <w:sz w:val="24"/>
          <w:szCs w:val="24"/>
        </w:rPr>
        <w:t>nieludzkiego lub poniżającego traktowania</w:t>
      </w:r>
    </w:p>
    <w:p w14:paraId="1B1D0D42" w14:textId="77777777" w:rsidR="0025631D" w:rsidRPr="004939EF" w:rsidRDefault="00DC159C" w:rsidP="00BA4A93">
      <w:pPr>
        <w:pStyle w:val="Nagwek21"/>
        <w:spacing w:before="162"/>
        <w:ind w:right="669"/>
      </w:pPr>
      <w:r>
        <w:rPr>
          <w:color w:val="7E7E7E"/>
        </w:rPr>
        <w:t>Osoby ubiegające się o azyl</w:t>
      </w:r>
      <w:r w:rsidR="00E51ADC" w:rsidRPr="004939EF">
        <w:rPr>
          <w:color w:val="7E7E7E"/>
        </w:rPr>
        <w:t xml:space="preserve"> obawiające się prześladowania, złego traktowania lub innej poważnej szkody </w:t>
      </w:r>
    </w:p>
    <w:p w14:paraId="44925D6A" w14:textId="77777777" w:rsidR="00E51ADC" w:rsidRDefault="00E51ADC" w:rsidP="00E51ADC">
      <w:pPr>
        <w:spacing w:before="122"/>
        <w:ind w:left="700"/>
        <w:jc w:val="both"/>
        <w:rPr>
          <w:b/>
          <w:i/>
          <w:color w:val="4D4D4D"/>
          <w:sz w:val="20"/>
        </w:rPr>
      </w:pPr>
      <w:r w:rsidRPr="004939EF">
        <w:rPr>
          <w:b/>
          <w:i/>
          <w:color w:val="4D4D4D"/>
          <w:sz w:val="20"/>
        </w:rPr>
        <w:t xml:space="preserve">Groźba prześladowania </w:t>
      </w:r>
      <w:r w:rsidR="00B605D8">
        <w:rPr>
          <w:b/>
          <w:i/>
          <w:color w:val="4D4D4D"/>
          <w:sz w:val="20"/>
        </w:rPr>
        <w:t>na tle</w:t>
      </w:r>
      <w:r w:rsidRPr="004939EF">
        <w:rPr>
          <w:b/>
          <w:i/>
          <w:color w:val="4D4D4D"/>
          <w:sz w:val="20"/>
        </w:rPr>
        <w:t xml:space="preserve"> </w:t>
      </w:r>
      <w:r w:rsidR="00B605D8" w:rsidRPr="004939EF">
        <w:rPr>
          <w:b/>
          <w:i/>
          <w:color w:val="4D4D4D"/>
          <w:sz w:val="20"/>
        </w:rPr>
        <w:t>polityczny</w:t>
      </w:r>
      <w:r w:rsidR="00B605D8">
        <w:rPr>
          <w:b/>
          <w:i/>
          <w:color w:val="4D4D4D"/>
          <w:sz w:val="20"/>
        </w:rPr>
        <w:t>m</w:t>
      </w:r>
      <w:r w:rsidRPr="004939EF">
        <w:rPr>
          <w:b/>
          <w:i/>
          <w:color w:val="4D4D4D"/>
          <w:sz w:val="20"/>
        </w:rPr>
        <w:t xml:space="preserve">, </w:t>
      </w:r>
      <w:r w:rsidR="00B605D8" w:rsidRPr="004939EF">
        <w:rPr>
          <w:b/>
          <w:i/>
          <w:color w:val="4D4D4D"/>
          <w:sz w:val="20"/>
        </w:rPr>
        <w:t>etniczny</w:t>
      </w:r>
      <w:r w:rsidR="00B605D8">
        <w:rPr>
          <w:b/>
          <w:i/>
          <w:color w:val="4D4D4D"/>
          <w:sz w:val="20"/>
        </w:rPr>
        <w:t>m</w:t>
      </w:r>
      <w:r w:rsidR="00B605D8" w:rsidRPr="004939EF">
        <w:rPr>
          <w:b/>
          <w:i/>
          <w:color w:val="4D4D4D"/>
          <w:sz w:val="20"/>
        </w:rPr>
        <w:t xml:space="preserve"> </w:t>
      </w:r>
      <w:r w:rsidRPr="004939EF">
        <w:rPr>
          <w:b/>
          <w:i/>
          <w:color w:val="4D4D4D"/>
          <w:sz w:val="20"/>
        </w:rPr>
        <w:t xml:space="preserve">lub </w:t>
      </w:r>
      <w:r w:rsidR="00B605D8" w:rsidRPr="004939EF">
        <w:rPr>
          <w:b/>
          <w:i/>
          <w:color w:val="4D4D4D"/>
          <w:sz w:val="20"/>
        </w:rPr>
        <w:t>religijny</w:t>
      </w:r>
      <w:r w:rsidR="00B605D8">
        <w:rPr>
          <w:b/>
          <w:i/>
          <w:color w:val="4D4D4D"/>
          <w:sz w:val="20"/>
        </w:rPr>
        <w:t>m</w:t>
      </w:r>
      <w:r w:rsidR="00B605D8" w:rsidRPr="004939EF">
        <w:rPr>
          <w:b/>
          <w:i/>
          <w:color w:val="4D4D4D"/>
          <w:sz w:val="20"/>
        </w:rPr>
        <w:t xml:space="preserve"> </w:t>
      </w:r>
    </w:p>
    <w:p w14:paraId="3E168D71" w14:textId="77777777" w:rsidR="00DC159C" w:rsidRPr="00DC159C" w:rsidRDefault="00DC159C" w:rsidP="00E51ADC">
      <w:pPr>
        <w:spacing w:before="122"/>
        <w:ind w:left="700"/>
        <w:jc w:val="both"/>
        <w:rPr>
          <w:b/>
          <w:iCs/>
          <w:color w:val="0070C0"/>
          <w:sz w:val="20"/>
          <w:u w:val="single"/>
        </w:rPr>
      </w:pPr>
      <w:r w:rsidRPr="00DC159C">
        <w:rPr>
          <w:b/>
          <w:bCs/>
          <w:color w:val="0070C0"/>
          <w:sz w:val="20"/>
          <w:szCs w:val="20"/>
          <w:u w:val="single"/>
        </w:rPr>
        <w:t>Abdollahi przeciwko Turcji</w:t>
      </w:r>
    </w:p>
    <w:p w14:paraId="023CEB0A" w14:textId="77777777" w:rsidR="00BC0B2D" w:rsidRPr="00DC159C" w:rsidRDefault="00E51ADC" w:rsidP="00DC159C">
      <w:pPr>
        <w:spacing w:before="60" w:line="218" w:lineRule="exact"/>
        <w:ind w:left="700"/>
        <w:jc w:val="both"/>
        <w:rPr>
          <w:sz w:val="18"/>
        </w:rPr>
      </w:pPr>
      <w:r w:rsidRPr="004939EF">
        <w:rPr>
          <w:color w:val="808080"/>
          <w:sz w:val="18"/>
        </w:rPr>
        <w:t>3 listopada</w:t>
      </w:r>
      <w:r w:rsidR="00D3520A" w:rsidRPr="004939EF">
        <w:rPr>
          <w:color w:val="808080"/>
          <w:sz w:val="18"/>
        </w:rPr>
        <w:t xml:space="preserve"> 2009</w:t>
      </w:r>
      <w:r w:rsidRPr="004939EF">
        <w:rPr>
          <w:color w:val="808080"/>
          <w:sz w:val="18"/>
        </w:rPr>
        <w:t xml:space="preserve"> r.</w:t>
      </w:r>
      <w:r w:rsidR="00D3520A" w:rsidRPr="004939EF">
        <w:rPr>
          <w:color w:val="808080"/>
          <w:sz w:val="18"/>
        </w:rPr>
        <w:t xml:space="preserve"> </w:t>
      </w:r>
      <w:r w:rsidR="00DC159C">
        <w:rPr>
          <w:color w:val="808080"/>
          <w:sz w:val="18"/>
        </w:rPr>
        <w:t>(decyzja – skreślenie</w:t>
      </w:r>
      <w:r w:rsidR="00B605D8">
        <w:rPr>
          <w:color w:val="808080"/>
          <w:sz w:val="18"/>
        </w:rPr>
        <w:t xml:space="preserve"> skargi</w:t>
      </w:r>
      <w:r w:rsidR="00DC159C">
        <w:rPr>
          <w:color w:val="808080"/>
          <w:sz w:val="18"/>
        </w:rPr>
        <w:t>)</w:t>
      </w:r>
    </w:p>
    <w:p w14:paraId="7611A0F1" w14:textId="3687DAC1" w:rsidR="00BC0B2D" w:rsidRPr="004939EF" w:rsidRDefault="00BC0B2D" w:rsidP="00374B7B">
      <w:pPr>
        <w:pStyle w:val="Tekstpodstawowy"/>
        <w:spacing w:before="1"/>
        <w:ind w:right="718"/>
      </w:pPr>
      <w:r w:rsidRPr="004939EF">
        <w:t xml:space="preserve">Skarżący </w:t>
      </w:r>
      <w:r w:rsidR="00703E00">
        <w:t>zarzucił</w:t>
      </w:r>
      <w:r w:rsidRPr="004939EF">
        <w:t xml:space="preserve">, że </w:t>
      </w:r>
      <w:r w:rsidR="00703E00">
        <w:t>ponieważ był</w:t>
      </w:r>
      <w:r w:rsidR="00703E00" w:rsidRPr="004939EF">
        <w:t xml:space="preserve"> </w:t>
      </w:r>
      <w:r w:rsidRPr="004939EF">
        <w:t xml:space="preserve">członkiem </w:t>
      </w:r>
      <w:r w:rsidR="00DC159C">
        <w:t xml:space="preserve">Irańskich </w:t>
      </w:r>
      <w:r w:rsidRPr="004939EF">
        <w:t>Mudżahedinów</w:t>
      </w:r>
      <w:r w:rsidR="00DC159C">
        <w:t xml:space="preserve"> Ludowych</w:t>
      </w:r>
      <w:r w:rsidRPr="004939EF">
        <w:t xml:space="preserve"> </w:t>
      </w:r>
      <w:r w:rsidR="005D5D63">
        <w:t xml:space="preserve">gdyby został deportowany </w:t>
      </w:r>
      <w:r w:rsidRPr="004939EF">
        <w:t>do Iranu</w:t>
      </w:r>
      <w:r w:rsidR="00B605D8">
        <w:t xml:space="preserve"> </w:t>
      </w:r>
      <w:r w:rsidR="005D5D63">
        <w:t>mógłby zostać narażony</w:t>
      </w:r>
      <w:r w:rsidRPr="004939EF">
        <w:t xml:space="preserve"> </w:t>
      </w:r>
      <w:r w:rsidR="00B605D8">
        <w:t>na</w:t>
      </w:r>
      <w:r w:rsidR="00B605D8" w:rsidRPr="004939EF">
        <w:t xml:space="preserve"> </w:t>
      </w:r>
      <w:r w:rsidRPr="004939EF">
        <w:t xml:space="preserve">śmierć lub </w:t>
      </w:r>
      <w:r w:rsidR="00DA58C4">
        <w:t xml:space="preserve">poddanie </w:t>
      </w:r>
      <w:r w:rsidRPr="004939EF">
        <w:t>złe</w:t>
      </w:r>
      <w:r w:rsidR="00DA58C4">
        <w:t>mu</w:t>
      </w:r>
      <w:r w:rsidRPr="004939EF">
        <w:t xml:space="preserve"> traktowani</w:t>
      </w:r>
      <w:r w:rsidR="00DA58C4">
        <w:t>u</w:t>
      </w:r>
      <w:r w:rsidRPr="004939EF">
        <w:t>.</w:t>
      </w:r>
    </w:p>
    <w:p w14:paraId="1D58343E" w14:textId="6D1E4E8D" w:rsidR="00BC0B2D" w:rsidRPr="004939EF" w:rsidRDefault="00BC0B2D" w:rsidP="00374B7B">
      <w:pPr>
        <w:pStyle w:val="Tekstpodstawowy"/>
        <w:spacing w:before="1"/>
        <w:ind w:right="718"/>
        <w:rPr>
          <w:color w:val="0071BB"/>
        </w:rPr>
      </w:pPr>
      <w:r w:rsidRPr="004939EF">
        <w:rPr>
          <w:color w:val="0071BB"/>
        </w:rPr>
        <w:t>Trybunał z</w:t>
      </w:r>
      <w:r w:rsidR="00D96C88" w:rsidRPr="004939EF">
        <w:rPr>
          <w:color w:val="0071BB"/>
        </w:rPr>
        <w:t>astosował środek tymczasowy w celu zapobieżenia</w:t>
      </w:r>
      <w:r w:rsidR="00374B7B">
        <w:rPr>
          <w:color w:val="0071BB"/>
        </w:rPr>
        <w:t xml:space="preserve"> deportacji skarżącego </w:t>
      </w:r>
      <w:r w:rsidR="00B605D8">
        <w:rPr>
          <w:color w:val="0071BB"/>
        </w:rPr>
        <w:t xml:space="preserve">do </w:t>
      </w:r>
      <w:r w:rsidR="00DA58C4">
        <w:rPr>
          <w:color w:val="0071BB"/>
        </w:rPr>
        <w:t>odwołania</w:t>
      </w:r>
      <w:r w:rsidR="00D96C88" w:rsidRPr="004939EF">
        <w:rPr>
          <w:color w:val="0071BB"/>
        </w:rPr>
        <w:t xml:space="preserve">. </w:t>
      </w:r>
      <w:r w:rsidR="005D5D63">
        <w:rPr>
          <w:color w:val="0071BB"/>
        </w:rPr>
        <w:t>S</w:t>
      </w:r>
      <w:r w:rsidR="005D5D63" w:rsidRPr="004939EF">
        <w:rPr>
          <w:color w:val="0071BB"/>
        </w:rPr>
        <w:t>tosowani</w:t>
      </w:r>
      <w:r w:rsidR="005D5D63">
        <w:rPr>
          <w:color w:val="0071BB"/>
        </w:rPr>
        <w:t>e</w:t>
      </w:r>
      <w:r w:rsidR="005D5D63" w:rsidRPr="004939EF">
        <w:rPr>
          <w:color w:val="0071BB"/>
        </w:rPr>
        <w:t xml:space="preserve"> Reguły 39 Regulaminu Trybunału</w:t>
      </w:r>
      <w:r w:rsidR="005D5D63">
        <w:rPr>
          <w:color w:val="0071BB"/>
        </w:rPr>
        <w:t xml:space="preserve"> zostało uchylone po tym, gdy</w:t>
      </w:r>
      <w:r w:rsidR="00CF4C2D" w:rsidRPr="004939EF">
        <w:rPr>
          <w:color w:val="0071BB"/>
        </w:rPr>
        <w:t xml:space="preserve"> </w:t>
      </w:r>
      <w:r w:rsidR="00DC159C">
        <w:rPr>
          <w:color w:val="0071BB"/>
        </w:rPr>
        <w:t>Kancelari</w:t>
      </w:r>
      <w:r w:rsidR="005D5D63">
        <w:rPr>
          <w:color w:val="0071BB"/>
        </w:rPr>
        <w:t>a</w:t>
      </w:r>
      <w:r w:rsidR="00DC159C">
        <w:rPr>
          <w:color w:val="0071BB"/>
        </w:rPr>
        <w:t xml:space="preserve"> Trybunału </w:t>
      </w:r>
      <w:r w:rsidR="005D5D63">
        <w:rPr>
          <w:color w:val="0071BB"/>
        </w:rPr>
        <w:t xml:space="preserve">utraciła </w:t>
      </w:r>
      <w:r w:rsidR="00CF4C2D" w:rsidRPr="004939EF">
        <w:rPr>
          <w:color w:val="0071BB"/>
        </w:rPr>
        <w:t>kontakt ze skarżącym</w:t>
      </w:r>
      <w:r w:rsidR="005D5D63">
        <w:rPr>
          <w:color w:val="0071BB"/>
        </w:rPr>
        <w:t>.</w:t>
      </w:r>
    </w:p>
    <w:p w14:paraId="5BD8EE49" w14:textId="77777777" w:rsidR="00005E14" w:rsidRPr="00005E14" w:rsidRDefault="00005E14" w:rsidP="001E0356">
      <w:pPr>
        <w:spacing w:before="120" w:line="218" w:lineRule="exact"/>
        <w:ind w:left="700"/>
        <w:rPr>
          <w:color w:val="0070C0"/>
          <w:sz w:val="18"/>
          <w:u w:val="single"/>
        </w:rPr>
      </w:pPr>
      <w:r>
        <w:rPr>
          <w:b/>
          <w:bCs/>
          <w:color w:val="0070C0"/>
          <w:sz w:val="20"/>
          <w:szCs w:val="20"/>
          <w:u w:val="single"/>
        </w:rPr>
        <w:t>F.H. przeciwko Szwecji (skarga nr</w:t>
      </w:r>
      <w:r w:rsidRPr="00005E14">
        <w:rPr>
          <w:b/>
          <w:bCs/>
          <w:color w:val="0070C0"/>
          <w:sz w:val="20"/>
          <w:szCs w:val="20"/>
          <w:u w:val="single"/>
        </w:rPr>
        <w:t xml:space="preserve"> 32621/06)</w:t>
      </w:r>
    </w:p>
    <w:p w14:paraId="2C3A5677" w14:textId="77777777" w:rsidR="0025631D" w:rsidRPr="004939EF" w:rsidRDefault="00CF4C2D">
      <w:pPr>
        <w:spacing w:before="62" w:line="218" w:lineRule="exact"/>
        <w:ind w:left="700"/>
        <w:rPr>
          <w:sz w:val="18"/>
        </w:rPr>
      </w:pPr>
      <w:r w:rsidRPr="004939EF">
        <w:rPr>
          <w:color w:val="808080"/>
          <w:sz w:val="18"/>
        </w:rPr>
        <w:t>20 stycznia</w:t>
      </w:r>
      <w:r w:rsidR="00D3520A" w:rsidRPr="004939EF">
        <w:rPr>
          <w:color w:val="808080"/>
          <w:sz w:val="18"/>
        </w:rPr>
        <w:t xml:space="preserve"> 2009</w:t>
      </w:r>
      <w:r w:rsidR="00005E14">
        <w:rPr>
          <w:color w:val="808080"/>
          <w:sz w:val="18"/>
        </w:rPr>
        <w:t xml:space="preserve"> r.</w:t>
      </w:r>
      <w:r w:rsidR="00D3520A" w:rsidRPr="004939EF">
        <w:rPr>
          <w:color w:val="808080"/>
          <w:sz w:val="18"/>
        </w:rPr>
        <w:t xml:space="preserve"> (</w:t>
      </w:r>
      <w:r w:rsidR="00005E14">
        <w:rPr>
          <w:color w:val="808080"/>
          <w:sz w:val="18"/>
        </w:rPr>
        <w:t>wyrok</w:t>
      </w:r>
      <w:r w:rsidR="00D3520A" w:rsidRPr="004939EF">
        <w:rPr>
          <w:color w:val="808080"/>
          <w:sz w:val="18"/>
        </w:rPr>
        <w:t>)</w:t>
      </w:r>
    </w:p>
    <w:p w14:paraId="5513D4F1" w14:textId="75553CC3" w:rsidR="00D96C88" w:rsidRPr="004939EF" w:rsidRDefault="00D96C88" w:rsidP="00D96C88">
      <w:pPr>
        <w:pStyle w:val="Tekstpodstawowy"/>
        <w:ind w:right="715"/>
      </w:pPr>
      <w:r w:rsidRPr="004939EF">
        <w:t xml:space="preserve">Skarżący </w:t>
      </w:r>
      <w:r w:rsidR="005D5D63">
        <w:t>zarzucił</w:t>
      </w:r>
      <w:r w:rsidR="00005E14">
        <w:t>, że w przypadku</w:t>
      </w:r>
      <w:r w:rsidRPr="004939EF">
        <w:t xml:space="preserve"> deportacji</w:t>
      </w:r>
      <w:r w:rsidR="00F56D35">
        <w:t xml:space="preserve"> do Iraku</w:t>
      </w:r>
      <w:r w:rsidR="00B605D8">
        <w:t xml:space="preserve"> zachodziłaby</w:t>
      </w:r>
      <w:r w:rsidR="00CF4C2D" w:rsidRPr="004939EF">
        <w:t xml:space="preserve"> realn</w:t>
      </w:r>
      <w:r w:rsidR="00B605D8">
        <w:t>a</w:t>
      </w:r>
      <w:r w:rsidR="00CF4C2D" w:rsidRPr="004939EF">
        <w:t xml:space="preserve"> </w:t>
      </w:r>
      <w:r w:rsidR="00DA58C4">
        <w:t>obawa</w:t>
      </w:r>
      <w:r w:rsidRPr="004939EF">
        <w:t xml:space="preserve"> </w:t>
      </w:r>
      <w:r w:rsidR="005D5D63">
        <w:t>zabicia go</w:t>
      </w:r>
      <w:r w:rsidR="005D5D63" w:rsidRPr="004939EF">
        <w:t xml:space="preserve"> </w:t>
      </w:r>
      <w:r w:rsidRPr="004939EF">
        <w:t>lub</w:t>
      </w:r>
      <w:r w:rsidR="00CF4C2D" w:rsidRPr="004939EF">
        <w:t xml:space="preserve"> </w:t>
      </w:r>
      <w:r w:rsidR="00B605D8" w:rsidRPr="004939EF">
        <w:t>poddan</w:t>
      </w:r>
      <w:r w:rsidR="00B605D8">
        <w:t>ia go</w:t>
      </w:r>
      <w:r w:rsidR="00B605D8" w:rsidRPr="004939EF">
        <w:t xml:space="preserve"> </w:t>
      </w:r>
      <w:r w:rsidRPr="004939EF">
        <w:t>torturom</w:t>
      </w:r>
      <w:r w:rsidR="00005E14">
        <w:t xml:space="preserve"> </w:t>
      </w:r>
      <w:r w:rsidR="005D5D63">
        <w:t>albo</w:t>
      </w:r>
      <w:r w:rsidR="005D5D63" w:rsidRPr="004939EF">
        <w:t xml:space="preserve"> </w:t>
      </w:r>
      <w:r w:rsidRPr="004939EF">
        <w:t>nieludzkiemu traktowaniu z uwagi na wyznawaną przez niego wiarę chrześcijańską</w:t>
      </w:r>
      <w:r w:rsidR="00CF4C2D" w:rsidRPr="004939EF">
        <w:t xml:space="preserve"> i pochodzenie</w:t>
      </w:r>
      <w:r w:rsidRPr="004939EF">
        <w:t xml:space="preserve"> jako człon</w:t>
      </w:r>
      <w:r w:rsidR="00B605D8">
        <w:t>ka</w:t>
      </w:r>
      <w:r w:rsidRPr="004939EF">
        <w:t xml:space="preserve"> Gwardii Republikańskiej i Partii Ba</w:t>
      </w:r>
      <w:r w:rsidR="00CF4C2D" w:rsidRPr="004939EF">
        <w:t>as</w:t>
      </w:r>
      <w:r w:rsidRPr="004939EF">
        <w:t>.</w:t>
      </w:r>
    </w:p>
    <w:p w14:paraId="5E5CC936" w14:textId="51E90B70" w:rsidR="0025631D" w:rsidRPr="004939EF" w:rsidRDefault="00D96C88" w:rsidP="00455804">
      <w:pPr>
        <w:pStyle w:val="Tekstpodstawowy"/>
        <w:ind w:right="715"/>
        <w:rPr>
          <w:sz w:val="11"/>
        </w:rPr>
      </w:pPr>
      <w:r w:rsidRPr="00005E14">
        <w:rPr>
          <w:color w:val="0070C0"/>
        </w:rPr>
        <w:lastRenderedPageBreak/>
        <w:t xml:space="preserve">Trybunał </w:t>
      </w:r>
      <w:r w:rsidR="00426099">
        <w:rPr>
          <w:color w:val="0070C0"/>
        </w:rPr>
        <w:t>zdecydował o</w:t>
      </w:r>
      <w:r w:rsidR="00426099" w:rsidRPr="00005E14">
        <w:rPr>
          <w:color w:val="0070C0"/>
        </w:rPr>
        <w:t xml:space="preserve"> </w:t>
      </w:r>
      <w:r w:rsidRPr="00005E14">
        <w:rPr>
          <w:color w:val="0070C0"/>
        </w:rPr>
        <w:t>zastosowa</w:t>
      </w:r>
      <w:r w:rsidR="00426099">
        <w:rPr>
          <w:color w:val="0070C0"/>
        </w:rPr>
        <w:t>niu</w:t>
      </w:r>
      <w:r w:rsidRPr="00005E14">
        <w:rPr>
          <w:color w:val="0070C0"/>
        </w:rPr>
        <w:t xml:space="preserve"> </w:t>
      </w:r>
      <w:r w:rsidR="00CF4C2D" w:rsidRPr="00005E14">
        <w:rPr>
          <w:color w:val="0070C0"/>
        </w:rPr>
        <w:t>Reguł</w:t>
      </w:r>
      <w:r w:rsidR="00426099">
        <w:rPr>
          <w:color w:val="0070C0"/>
        </w:rPr>
        <w:t>y</w:t>
      </w:r>
      <w:r w:rsidR="00CF4C2D" w:rsidRPr="00005E14">
        <w:rPr>
          <w:color w:val="0070C0"/>
        </w:rPr>
        <w:t xml:space="preserve"> </w:t>
      </w:r>
      <w:r w:rsidRPr="00005E14">
        <w:rPr>
          <w:color w:val="0070C0"/>
        </w:rPr>
        <w:t>39 Regulam</w:t>
      </w:r>
      <w:r w:rsidR="00374B7B">
        <w:rPr>
          <w:color w:val="0070C0"/>
        </w:rPr>
        <w:t>inu Trybunału, zwracając się do </w:t>
      </w:r>
      <w:r w:rsidRPr="00005E14">
        <w:rPr>
          <w:color w:val="0070C0"/>
        </w:rPr>
        <w:t xml:space="preserve">rządu szwedzkiego o powstrzymanie się od deportacji skarżącego do odwołania. </w:t>
      </w:r>
      <w:r w:rsidR="0013776A">
        <w:rPr>
          <w:color w:val="0070C0"/>
        </w:rPr>
        <w:t>Od stosowania Reguły 39 odstąpiono,</w:t>
      </w:r>
      <w:r w:rsidR="00005E14" w:rsidRPr="00AA3E72">
        <w:rPr>
          <w:color w:val="0070C0"/>
        </w:rPr>
        <w:t xml:space="preserve"> </w:t>
      </w:r>
      <w:r w:rsidR="00374B7B">
        <w:rPr>
          <w:color w:val="0070C0"/>
        </w:rPr>
        <w:t>gdy stał się ostateczny</w:t>
      </w:r>
      <w:r w:rsidRPr="00AA3E72">
        <w:rPr>
          <w:color w:val="0070C0"/>
        </w:rPr>
        <w:t xml:space="preserve"> </w:t>
      </w:r>
      <w:r w:rsidR="00FC5518" w:rsidRPr="00AA3E72">
        <w:rPr>
          <w:color w:val="0070C0"/>
        </w:rPr>
        <w:t>wyrok</w:t>
      </w:r>
      <w:r w:rsidR="00B605D8">
        <w:rPr>
          <w:color w:val="0070C0"/>
        </w:rPr>
        <w:t>, w którym</w:t>
      </w:r>
      <w:r w:rsidR="00FC5518" w:rsidRPr="00AA3E72">
        <w:rPr>
          <w:color w:val="0070C0"/>
        </w:rPr>
        <w:t xml:space="preserve"> </w:t>
      </w:r>
      <w:r w:rsidR="00005E14" w:rsidRPr="00AA3E72">
        <w:rPr>
          <w:color w:val="0070C0"/>
        </w:rPr>
        <w:t xml:space="preserve">Trybunał </w:t>
      </w:r>
      <w:r w:rsidR="00B605D8">
        <w:rPr>
          <w:color w:val="0070C0"/>
        </w:rPr>
        <w:t>uznał</w:t>
      </w:r>
      <w:r w:rsidRPr="00AA3E72">
        <w:rPr>
          <w:color w:val="0070C0"/>
        </w:rPr>
        <w:t xml:space="preserve">, że </w:t>
      </w:r>
      <w:r w:rsidR="00426099">
        <w:rPr>
          <w:color w:val="0070C0"/>
        </w:rPr>
        <w:t xml:space="preserve">deportacja </w:t>
      </w:r>
      <w:r w:rsidR="00601572">
        <w:rPr>
          <w:color w:val="0070C0"/>
        </w:rPr>
        <w:t>skarżącego</w:t>
      </w:r>
      <w:r w:rsidRPr="00AA3E72">
        <w:rPr>
          <w:color w:val="0070C0"/>
        </w:rPr>
        <w:t xml:space="preserve"> </w:t>
      </w:r>
      <w:r w:rsidR="00CF4C2D" w:rsidRPr="00AA3E72">
        <w:rPr>
          <w:color w:val="0070C0"/>
        </w:rPr>
        <w:t>n</w:t>
      </w:r>
      <w:r w:rsidR="00005E14" w:rsidRPr="00AA3E72">
        <w:rPr>
          <w:color w:val="0070C0"/>
        </w:rPr>
        <w:t xml:space="preserve">ie </w:t>
      </w:r>
      <w:r w:rsidR="0013776A">
        <w:rPr>
          <w:color w:val="0070C0"/>
        </w:rPr>
        <w:t>doprowadzi do</w:t>
      </w:r>
      <w:r w:rsidR="00674D24">
        <w:rPr>
          <w:color w:val="0070C0"/>
        </w:rPr>
        <w:t xml:space="preserve"> naruszenia </w:t>
      </w:r>
      <w:r w:rsidR="00005E14" w:rsidRPr="00AA3E72">
        <w:rPr>
          <w:color w:val="0070C0"/>
        </w:rPr>
        <w:t>art</w:t>
      </w:r>
      <w:r w:rsidR="00374B7B">
        <w:rPr>
          <w:color w:val="0070C0"/>
        </w:rPr>
        <w:t>. 2 lub 3 Konwencji</w:t>
      </w:r>
      <w:r w:rsidR="00005E14">
        <w:rPr>
          <w:color w:val="0070C0"/>
        </w:rPr>
        <w:t>.</w:t>
      </w:r>
    </w:p>
    <w:p w14:paraId="28A00BBD" w14:textId="77777777" w:rsidR="0025631D" w:rsidRPr="00AA3E72" w:rsidRDefault="00AA3E72" w:rsidP="001E0356">
      <w:pPr>
        <w:pStyle w:val="Nagwek31"/>
        <w:spacing w:before="240"/>
        <w:rPr>
          <w:color w:val="0070C0"/>
          <w:u w:val="none"/>
        </w:rPr>
      </w:pPr>
      <w:r w:rsidRPr="00AA3E72">
        <w:rPr>
          <w:color w:val="0070C0"/>
        </w:rPr>
        <w:t>Y.P. i L.P. przeciwko Francji (skarga nr 32476/06)</w:t>
      </w:r>
    </w:p>
    <w:p w14:paraId="1EEF1373" w14:textId="77777777" w:rsidR="0025631D" w:rsidRPr="004939EF" w:rsidRDefault="00AA3E72">
      <w:pPr>
        <w:spacing w:before="60" w:line="218" w:lineRule="exact"/>
        <w:ind w:left="700"/>
        <w:jc w:val="both"/>
        <w:rPr>
          <w:sz w:val="18"/>
        </w:rPr>
      </w:pPr>
      <w:r>
        <w:rPr>
          <w:color w:val="808080"/>
          <w:sz w:val="18"/>
        </w:rPr>
        <w:t>1 września</w:t>
      </w:r>
      <w:r w:rsidR="00D3520A" w:rsidRPr="004939EF">
        <w:rPr>
          <w:color w:val="808080"/>
          <w:sz w:val="18"/>
        </w:rPr>
        <w:t xml:space="preserve"> 2010</w:t>
      </w:r>
      <w:r w:rsidR="00374B7B">
        <w:rPr>
          <w:color w:val="808080"/>
          <w:sz w:val="18"/>
        </w:rPr>
        <w:t xml:space="preserve"> r. (wyrok</w:t>
      </w:r>
      <w:r w:rsidR="00D3520A" w:rsidRPr="004939EF">
        <w:rPr>
          <w:color w:val="808080"/>
          <w:sz w:val="18"/>
        </w:rPr>
        <w:t>)</w:t>
      </w:r>
    </w:p>
    <w:p w14:paraId="54C9E8AF" w14:textId="7DDA2A61" w:rsidR="009D4985" w:rsidRPr="004939EF" w:rsidRDefault="009D4985" w:rsidP="009D4985">
      <w:pPr>
        <w:pStyle w:val="Tekstpodstawowy"/>
        <w:spacing w:before="1"/>
        <w:ind w:left="699" w:right="715"/>
      </w:pPr>
      <w:r w:rsidRPr="004939EF">
        <w:t xml:space="preserve">Pierwszy skarżący, przeciwnik reżimu i członek Białoruskiego Frontu Ludowego, był wielokrotnie </w:t>
      </w:r>
      <w:r w:rsidR="00072E6F" w:rsidRPr="00374B7B">
        <w:t>pozbawiany wolności</w:t>
      </w:r>
      <w:r w:rsidRPr="00374B7B">
        <w:t xml:space="preserve"> i </w:t>
      </w:r>
      <w:r w:rsidR="0013776A">
        <w:t>poddawany agresji</w:t>
      </w:r>
      <w:r w:rsidR="0013776A" w:rsidRPr="00374B7B">
        <w:t xml:space="preserve"> </w:t>
      </w:r>
      <w:r w:rsidRPr="00374B7B">
        <w:t xml:space="preserve">przez białoruską policję. Uciekł </w:t>
      </w:r>
      <w:r w:rsidR="00072E6F" w:rsidRPr="00374B7B">
        <w:t xml:space="preserve">wraz </w:t>
      </w:r>
      <w:r w:rsidR="00374B7B" w:rsidRPr="00374B7B">
        <w:t>z </w:t>
      </w:r>
      <w:r w:rsidRPr="00374B7B">
        <w:t xml:space="preserve">rodziną, </w:t>
      </w:r>
      <w:r w:rsidR="0013776A" w:rsidRPr="00374B7B">
        <w:t>prze</w:t>
      </w:r>
      <w:r w:rsidR="0013776A">
        <w:t>mieszczając się</w:t>
      </w:r>
      <w:r w:rsidR="0013776A" w:rsidRPr="00374B7B">
        <w:t xml:space="preserve"> </w:t>
      </w:r>
      <w:r w:rsidRPr="00374B7B">
        <w:t>przez różne kraje europejskie</w:t>
      </w:r>
      <w:r w:rsidR="0013776A">
        <w:t xml:space="preserve">. We Francji złożył </w:t>
      </w:r>
      <w:r w:rsidRPr="00374B7B">
        <w:t xml:space="preserve">wniosek o azyl, </w:t>
      </w:r>
      <w:r w:rsidR="0013776A">
        <w:t xml:space="preserve">który </w:t>
      </w:r>
      <w:r w:rsidRPr="00374B7B">
        <w:t xml:space="preserve">został odrzucony. Skarżący </w:t>
      </w:r>
      <w:r w:rsidR="006A4DA7">
        <w:t>zarzucili</w:t>
      </w:r>
      <w:r w:rsidRPr="00374B7B">
        <w:t>, że</w:t>
      </w:r>
      <w:r w:rsidR="0013776A">
        <w:t xml:space="preserve"> powrót</w:t>
      </w:r>
      <w:r w:rsidR="00072E6F" w:rsidRPr="00374B7B">
        <w:t xml:space="preserve"> na Białoruś</w:t>
      </w:r>
      <w:r w:rsidR="0013776A">
        <w:t xml:space="preserve"> narazi</w:t>
      </w:r>
      <w:r w:rsidR="00072E6F" w:rsidRPr="00374B7B">
        <w:t xml:space="preserve"> i</w:t>
      </w:r>
      <w:r w:rsidR="0013776A">
        <w:t>ch na</w:t>
      </w:r>
      <w:r w:rsidR="00072E6F" w:rsidRPr="00374B7B">
        <w:t xml:space="preserve"> pozbawienie wolności</w:t>
      </w:r>
      <w:r w:rsidRPr="00374B7B">
        <w:t xml:space="preserve"> i złe traktowanie.</w:t>
      </w:r>
    </w:p>
    <w:p w14:paraId="60F06D78" w14:textId="45B44F5C" w:rsidR="009D4985" w:rsidRPr="004939EF" w:rsidRDefault="009D4985" w:rsidP="00F56D35">
      <w:pPr>
        <w:pStyle w:val="Tekstpodstawowy"/>
        <w:spacing w:before="1"/>
        <w:ind w:left="699" w:right="715"/>
        <w:rPr>
          <w:color w:val="0071BB"/>
        </w:rPr>
      </w:pPr>
      <w:r w:rsidRPr="004939EF">
        <w:rPr>
          <w:color w:val="0071BB"/>
        </w:rPr>
        <w:t xml:space="preserve">Trybunał postanowił zastosować </w:t>
      </w:r>
      <w:r w:rsidR="006F7213" w:rsidRPr="004939EF">
        <w:rPr>
          <w:color w:val="0071BB"/>
        </w:rPr>
        <w:t xml:space="preserve">Regułę </w:t>
      </w:r>
      <w:r w:rsidRPr="004939EF">
        <w:rPr>
          <w:color w:val="0071BB"/>
        </w:rPr>
        <w:t xml:space="preserve">39 Regulaminu Trybunału, zwracając się do rządu francuskiego o </w:t>
      </w:r>
      <w:r w:rsidR="00DA58C4">
        <w:rPr>
          <w:color w:val="0071BB"/>
        </w:rPr>
        <w:t>wstrzymanie</w:t>
      </w:r>
      <w:r w:rsidRPr="004939EF">
        <w:rPr>
          <w:color w:val="0071BB"/>
        </w:rPr>
        <w:t xml:space="preserve"> deportacji skarżących do czasu rozstrzygnięcia </w:t>
      </w:r>
      <w:r w:rsidR="006A4DA7" w:rsidRPr="004939EF">
        <w:rPr>
          <w:color w:val="0071BB"/>
        </w:rPr>
        <w:t xml:space="preserve">postępowania </w:t>
      </w:r>
      <w:r w:rsidRPr="004939EF">
        <w:rPr>
          <w:color w:val="0071BB"/>
        </w:rPr>
        <w:t>toczącego się</w:t>
      </w:r>
      <w:r w:rsidR="006F7213" w:rsidRPr="004939EF">
        <w:rPr>
          <w:color w:val="0071BB"/>
        </w:rPr>
        <w:t xml:space="preserve"> przed Trybunałem</w:t>
      </w:r>
      <w:r w:rsidRPr="004939EF">
        <w:rPr>
          <w:color w:val="0071BB"/>
        </w:rPr>
        <w:t xml:space="preserve">. </w:t>
      </w:r>
      <w:r w:rsidR="006A4DA7">
        <w:rPr>
          <w:color w:val="0071BB"/>
        </w:rPr>
        <w:t>Stosowanie</w:t>
      </w:r>
      <w:r w:rsidR="0013776A" w:rsidRPr="004939EF">
        <w:rPr>
          <w:color w:val="0071BB"/>
        </w:rPr>
        <w:t xml:space="preserve"> </w:t>
      </w:r>
      <w:r w:rsidR="006F7213" w:rsidRPr="004939EF">
        <w:rPr>
          <w:color w:val="0071BB"/>
        </w:rPr>
        <w:t xml:space="preserve">Reguły </w:t>
      </w:r>
      <w:r w:rsidRPr="004939EF">
        <w:rPr>
          <w:color w:val="0071BB"/>
        </w:rPr>
        <w:t xml:space="preserve">39 </w:t>
      </w:r>
      <w:r w:rsidR="006A4DA7">
        <w:rPr>
          <w:color w:val="0071BB"/>
        </w:rPr>
        <w:t>uchylono</w:t>
      </w:r>
      <w:r w:rsidRPr="004939EF">
        <w:rPr>
          <w:color w:val="0071BB"/>
        </w:rPr>
        <w:t xml:space="preserve">, gdy </w:t>
      </w:r>
      <w:r w:rsidR="00F56D35" w:rsidRPr="004939EF">
        <w:rPr>
          <w:color w:val="0071BB"/>
        </w:rPr>
        <w:t xml:space="preserve">stał się </w:t>
      </w:r>
      <w:r w:rsidR="00F56D35" w:rsidRPr="00072E6F">
        <w:rPr>
          <w:color w:val="0071BB"/>
        </w:rPr>
        <w:t xml:space="preserve">ostateczny </w:t>
      </w:r>
      <w:r w:rsidRPr="00072E6F">
        <w:rPr>
          <w:color w:val="0071BB"/>
        </w:rPr>
        <w:t>wyrok</w:t>
      </w:r>
      <w:r w:rsidR="0013776A">
        <w:rPr>
          <w:color w:val="0071BB"/>
        </w:rPr>
        <w:t>, w którym</w:t>
      </w:r>
      <w:r w:rsidRPr="00072E6F">
        <w:rPr>
          <w:color w:val="0071BB"/>
        </w:rPr>
        <w:t xml:space="preserve"> Trybunał </w:t>
      </w:r>
      <w:r w:rsidR="0013776A">
        <w:rPr>
          <w:color w:val="0071BB"/>
        </w:rPr>
        <w:t>uznał</w:t>
      </w:r>
      <w:r w:rsidRPr="004939EF">
        <w:rPr>
          <w:color w:val="0071BB"/>
        </w:rPr>
        <w:t xml:space="preserve">, że wykonanie </w:t>
      </w:r>
      <w:r w:rsidR="0013776A">
        <w:rPr>
          <w:color w:val="0071BB"/>
        </w:rPr>
        <w:t>wydane</w:t>
      </w:r>
      <w:r w:rsidR="00BD6BD3">
        <w:rPr>
          <w:color w:val="0071BB"/>
        </w:rPr>
        <w:t>j</w:t>
      </w:r>
      <w:r w:rsidR="0013776A">
        <w:rPr>
          <w:color w:val="0071BB"/>
        </w:rPr>
        <w:t xml:space="preserve"> </w:t>
      </w:r>
      <w:r w:rsidR="00072E6F">
        <w:rPr>
          <w:color w:val="0071BB"/>
        </w:rPr>
        <w:t xml:space="preserve">wobec skarżących </w:t>
      </w:r>
      <w:r w:rsidR="00BD6BD3">
        <w:rPr>
          <w:color w:val="0071BB"/>
        </w:rPr>
        <w:t xml:space="preserve">decyzji </w:t>
      </w:r>
      <w:r w:rsidR="0013776A">
        <w:rPr>
          <w:color w:val="0071BB"/>
        </w:rPr>
        <w:t xml:space="preserve">o deportacji </w:t>
      </w:r>
      <w:r w:rsidR="00072E6F">
        <w:rPr>
          <w:color w:val="0071BB"/>
        </w:rPr>
        <w:t>doprowadzi</w:t>
      </w:r>
      <w:r w:rsidRPr="004939EF">
        <w:rPr>
          <w:color w:val="0071BB"/>
        </w:rPr>
        <w:t xml:space="preserve"> do </w:t>
      </w:r>
      <w:r w:rsidR="00072E6F">
        <w:rPr>
          <w:color w:val="0071BB"/>
        </w:rPr>
        <w:t>naruszenia art.</w:t>
      </w:r>
      <w:r w:rsidR="006F7213" w:rsidRPr="004939EF">
        <w:rPr>
          <w:color w:val="0071BB"/>
        </w:rPr>
        <w:t xml:space="preserve"> 3 Konwencji</w:t>
      </w:r>
      <w:r w:rsidR="00374B7B">
        <w:rPr>
          <w:color w:val="0071BB"/>
        </w:rPr>
        <w:t>.</w:t>
      </w:r>
    </w:p>
    <w:p w14:paraId="02A48404" w14:textId="77777777" w:rsidR="00072E6F" w:rsidRPr="00072E6F" w:rsidRDefault="00072E6F" w:rsidP="00674D24">
      <w:pPr>
        <w:spacing w:before="120"/>
        <w:ind w:left="697"/>
        <w:jc w:val="both"/>
        <w:rPr>
          <w:color w:val="0070C0"/>
          <w:sz w:val="18"/>
          <w:u w:val="single"/>
        </w:rPr>
      </w:pPr>
      <w:r w:rsidRPr="00072E6F">
        <w:rPr>
          <w:b/>
          <w:bCs/>
          <w:color w:val="0070C0"/>
          <w:sz w:val="20"/>
          <w:szCs w:val="20"/>
          <w:u w:val="single"/>
        </w:rPr>
        <w:t>W.H. przeciwko Szwecji (skarga nr 49341/10)</w:t>
      </w:r>
    </w:p>
    <w:p w14:paraId="7C6944BF" w14:textId="77777777" w:rsidR="0025631D" w:rsidRPr="004939EF" w:rsidRDefault="006F7213">
      <w:pPr>
        <w:spacing w:before="60"/>
        <w:ind w:left="700"/>
        <w:jc w:val="both"/>
        <w:rPr>
          <w:sz w:val="18"/>
        </w:rPr>
      </w:pPr>
      <w:r w:rsidRPr="004939EF">
        <w:rPr>
          <w:color w:val="808080"/>
          <w:sz w:val="18"/>
        </w:rPr>
        <w:t>8 kwietnia</w:t>
      </w:r>
      <w:r w:rsidR="00D3520A" w:rsidRPr="004939EF">
        <w:rPr>
          <w:color w:val="808080"/>
          <w:sz w:val="18"/>
        </w:rPr>
        <w:t xml:space="preserve"> 2015</w:t>
      </w:r>
      <w:r w:rsidR="007060A4">
        <w:rPr>
          <w:color w:val="808080"/>
          <w:sz w:val="18"/>
        </w:rPr>
        <w:t xml:space="preserve"> r.</w:t>
      </w:r>
      <w:r w:rsidR="00D3520A" w:rsidRPr="004939EF">
        <w:rPr>
          <w:color w:val="808080"/>
          <w:sz w:val="18"/>
        </w:rPr>
        <w:t xml:space="preserve"> (</w:t>
      </w:r>
      <w:r w:rsidR="00072E6F">
        <w:rPr>
          <w:color w:val="808080"/>
          <w:sz w:val="18"/>
        </w:rPr>
        <w:t>Wielka Izba – wyrok</w:t>
      </w:r>
      <w:r w:rsidR="00D3520A" w:rsidRPr="004939EF">
        <w:rPr>
          <w:color w:val="808080"/>
          <w:sz w:val="18"/>
        </w:rPr>
        <w:t>)</w:t>
      </w:r>
    </w:p>
    <w:p w14:paraId="6D7F5589" w14:textId="32CC8F26" w:rsidR="006F7213" w:rsidRPr="004939EF" w:rsidRDefault="006850EE" w:rsidP="00374B7B">
      <w:pPr>
        <w:pStyle w:val="Tekstpodstawowy"/>
        <w:ind w:right="715"/>
      </w:pPr>
      <w:r>
        <w:t>S</w:t>
      </w:r>
      <w:r w:rsidR="006F7213" w:rsidRPr="004939EF">
        <w:t xml:space="preserve">prawa dotyczyła groźby wydalenia </w:t>
      </w:r>
      <w:r w:rsidR="00374B7B">
        <w:t xml:space="preserve">ze </w:t>
      </w:r>
      <w:r w:rsidR="00374B7B" w:rsidRPr="004939EF">
        <w:t>Szwecji do Iraku</w:t>
      </w:r>
      <w:r w:rsidR="00374B7B">
        <w:t xml:space="preserve"> osoby ubiegającej się o azyl</w:t>
      </w:r>
      <w:r w:rsidR="00072E6F">
        <w:t>, gdzie, jak podnosiła, groził</w:t>
      </w:r>
      <w:r w:rsidR="00DF7873" w:rsidRPr="004939EF">
        <w:t>oby j</w:t>
      </w:r>
      <w:r w:rsidR="007060A4">
        <w:t>ej złe traktowani</w:t>
      </w:r>
      <w:r>
        <w:t>e</w:t>
      </w:r>
      <w:r w:rsidR="007060A4">
        <w:t xml:space="preserve"> z uwagi na </w:t>
      </w:r>
      <w:r>
        <w:t xml:space="preserve">jej status </w:t>
      </w:r>
      <w:r w:rsidR="00374B7B">
        <w:t>samotn</w:t>
      </w:r>
      <w:r w:rsidR="006D578E">
        <w:t>ej</w:t>
      </w:r>
      <w:r w:rsidR="00374B7B">
        <w:t xml:space="preserve"> kobiet</w:t>
      </w:r>
      <w:r w:rsidR="006D578E">
        <w:t>y</w:t>
      </w:r>
      <w:r w:rsidR="00DF7873" w:rsidRPr="004939EF">
        <w:t xml:space="preserve"> wyznania mandejskiego, </w:t>
      </w:r>
      <w:r w:rsidR="00374B7B">
        <w:t>mniejszości etnicznej/re</w:t>
      </w:r>
      <w:r w:rsidR="00DF7873" w:rsidRPr="004939EF">
        <w:t>ligi</w:t>
      </w:r>
      <w:r w:rsidR="00374B7B">
        <w:t>j</w:t>
      </w:r>
      <w:r w:rsidR="00DF7873" w:rsidRPr="004939EF">
        <w:t>nej</w:t>
      </w:r>
      <w:r w:rsidR="00703A88">
        <w:t xml:space="preserve"> w szczególnie trudnym położeniu</w:t>
      </w:r>
      <w:r w:rsidR="00DF7873" w:rsidRPr="004939EF">
        <w:t>.</w:t>
      </w:r>
    </w:p>
    <w:p w14:paraId="49016D2B" w14:textId="132679D6" w:rsidR="00887F36" w:rsidRPr="00072E6F" w:rsidRDefault="00DF7873" w:rsidP="00374B7B">
      <w:pPr>
        <w:pStyle w:val="Tekstpodstawowy"/>
        <w:ind w:right="715"/>
        <w:rPr>
          <w:color w:val="0070C0"/>
        </w:rPr>
      </w:pPr>
      <w:r w:rsidRPr="00072E6F">
        <w:rPr>
          <w:color w:val="0070C0"/>
        </w:rPr>
        <w:t xml:space="preserve">W sprawie </w:t>
      </w:r>
      <w:r w:rsidR="006850EE">
        <w:rPr>
          <w:color w:val="0070C0"/>
        </w:rPr>
        <w:t xml:space="preserve">tej wykonanie orzeczenia w przedmiocie </w:t>
      </w:r>
      <w:r w:rsidRPr="00072E6F">
        <w:rPr>
          <w:color w:val="0070C0"/>
        </w:rPr>
        <w:t>wydale</w:t>
      </w:r>
      <w:r w:rsidR="007060A4">
        <w:rPr>
          <w:color w:val="0070C0"/>
        </w:rPr>
        <w:t>ni</w:t>
      </w:r>
      <w:r w:rsidR="006850EE">
        <w:rPr>
          <w:color w:val="0070C0"/>
        </w:rPr>
        <w:t>a</w:t>
      </w:r>
      <w:r w:rsidR="007060A4">
        <w:rPr>
          <w:color w:val="0070C0"/>
        </w:rPr>
        <w:t xml:space="preserve"> skarżącej wstrzyman</w:t>
      </w:r>
      <w:r w:rsidR="006850EE">
        <w:rPr>
          <w:color w:val="0070C0"/>
        </w:rPr>
        <w:t>o</w:t>
      </w:r>
      <w:r w:rsidRPr="00072E6F">
        <w:rPr>
          <w:color w:val="0070C0"/>
        </w:rPr>
        <w:t xml:space="preserve"> </w:t>
      </w:r>
      <w:r w:rsidR="00703A88">
        <w:rPr>
          <w:color w:val="0070C0"/>
        </w:rPr>
        <w:t>na skutek</w:t>
      </w:r>
      <w:r w:rsidR="00703A88" w:rsidRPr="00072E6F">
        <w:rPr>
          <w:color w:val="0070C0"/>
        </w:rPr>
        <w:t xml:space="preserve"> </w:t>
      </w:r>
      <w:r w:rsidRPr="00072E6F">
        <w:rPr>
          <w:color w:val="0070C0"/>
        </w:rPr>
        <w:t xml:space="preserve">środka tymczasowego </w:t>
      </w:r>
      <w:r w:rsidR="00703A88">
        <w:rPr>
          <w:color w:val="0070C0"/>
        </w:rPr>
        <w:t xml:space="preserve">przyznanego </w:t>
      </w:r>
      <w:r w:rsidR="008A18D4">
        <w:rPr>
          <w:color w:val="0070C0"/>
        </w:rPr>
        <w:t xml:space="preserve">przez Trybunał na </w:t>
      </w:r>
      <w:r w:rsidR="006850EE">
        <w:rPr>
          <w:color w:val="0070C0"/>
        </w:rPr>
        <w:t>podstawie</w:t>
      </w:r>
      <w:r w:rsidR="006850EE" w:rsidRPr="00374B7B">
        <w:rPr>
          <w:color w:val="0070C0"/>
        </w:rPr>
        <w:t xml:space="preserve"> </w:t>
      </w:r>
      <w:r w:rsidRPr="00374B7B">
        <w:rPr>
          <w:color w:val="0070C0"/>
        </w:rPr>
        <w:t>Reguły 39 Regulaminu Trybunału, który zalecił rządowi szwedzkiem</w:t>
      </w:r>
      <w:r w:rsidR="00374B7B" w:rsidRPr="00374B7B">
        <w:rPr>
          <w:color w:val="0070C0"/>
        </w:rPr>
        <w:t>u, aby nie wydalał</w:t>
      </w:r>
      <w:r w:rsidR="007060A4" w:rsidRPr="00374B7B">
        <w:rPr>
          <w:color w:val="0070C0"/>
        </w:rPr>
        <w:t xml:space="preserve"> skarżącej do Iraku </w:t>
      </w:r>
      <w:r w:rsidR="006850EE">
        <w:rPr>
          <w:color w:val="0070C0"/>
        </w:rPr>
        <w:t>do czasu</w:t>
      </w:r>
      <w:r w:rsidRPr="00374B7B">
        <w:rPr>
          <w:color w:val="0070C0"/>
        </w:rPr>
        <w:t xml:space="preserve"> </w:t>
      </w:r>
      <w:r w:rsidR="007060A4" w:rsidRPr="00374B7B">
        <w:rPr>
          <w:color w:val="0070C0"/>
        </w:rPr>
        <w:t>rozpoznania</w:t>
      </w:r>
      <w:r w:rsidRPr="00374B7B">
        <w:rPr>
          <w:color w:val="0070C0"/>
        </w:rPr>
        <w:t xml:space="preserve"> jej sprawy przez Trybunał.</w:t>
      </w:r>
      <w:r w:rsidR="00374B7B" w:rsidRPr="00374B7B">
        <w:rPr>
          <w:color w:val="0070C0"/>
        </w:rPr>
        <w:t xml:space="preserve"> </w:t>
      </w:r>
      <w:r w:rsidRPr="00374B7B">
        <w:rPr>
          <w:color w:val="0070C0"/>
        </w:rPr>
        <w:t xml:space="preserve">W </w:t>
      </w:r>
      <w:r w:rsidR="00374B7B" w:rsidRPr="00374B7B">
        <w:rPr>
          <w:color w:val="0070C0"/>
        </w:rPr>
        <w:t>październiku</w:t>
      </w:r>
      <w:r w:rsidRPr="00374B7B">
        <w:rPr>
          <w:color w:val="0070C0"/>
        </w:rPr>
        <w:t xml:space="preserve"> 2014 r.</w:t>
      </w:r>
      <w:r w:rsidR="007060A4" w:rsidRPr="00374B7B">
        <w:rPr>
          <w:color w:val="0070C0"/>
        </w:rPr>
        <w:t xml:space="preserve"> </w:t>
      </w:r>
      <w:r w:rsidR="00F56D35">
        <w:rPr>
          <w:color w:val="0070C0"/>
        </w:rPr>
        <w:t>s</w:t>
      </w:r>
      <w:r w:rsidRPr="00374B7B">
        <w:rPr>
          <w:color w:val="0070C0"/>
        </w:rPr>
        <w:t xml:space="preserve">karżąca otrzymała </w:t>
      </w:r>
      <w:r w:rsidR="00BC1D0A">
        <w:rPr>
          <w:color w:val="0070C0"/>
        </w:rPr>
        <w:t>ze</w:t>
      </w:r>
      <w:r w:rsidR="00BC1D0A" w:rsidRPr="00374B7B">
        <w:rPr>
          <w:color w:val="0070C0"/>
        </w:rPr>
        <w:t xml:space="preserve">zwolenie </w:t>
      </w:r>
      <w:r w:rsidR="007060A4" w:rsidRPr="00374B7B">
        <w:rPr>
          <w:color w:val="0070C0"/>
        </w:rPr>
        <w:t xml:space="preserve">na pobyt stały </w:t>
      </w:r>
      <w:r w:rsidR="00374B7B" w:rsidRPr="00374B7B">
        <w:rPr>
          <w:color w:val="0070C0"/>
        </w:rPr>
        <w:t>w Szwecji</w:t>
      </w:r>
      <w:r w:rsidR="00703A88">
        <w:rPr>
          <w:color w:val="0070C0"/>
        </w:rPr>
        <w:t xml:space="preserve"> i w następstwie tej decyzji</w:t>
      </w:r>
      <w:r w:rsidR="00374B7B" w:rsidRPr="00374B7B">
        <w:rPr>
          <w:color w:val="0070C0"/>
        </w:rPr>
        <w:t xml:space="preserve"> </w:t>
      </w:r>
      <w:r w:rsidR="006850EE">
        <w:rPr>
          <w:color w:val="0070C0"/>
        </w:rPr>
        <w:t>oświadczyła, że nie jest</w:t>
      </w:r>
      <w:r w:rsidRPr="00374B7B">
        <w:rPr>
          <w:color w:val="0070C0"/>
        </w:rPr>
        <w:t xml:space="preserve"> już zainteresowana </w:t>
      </w:r>
      <w:r w:rsidR="006850EE">
        <w:rPr>
          <w:color w:val="0070C0"/>
        </w:rPr>
        <w:t>dalszym popieraniem</w:t>
      </w:r>
      <w:r w:rsidRPr="00374B7B">
        <w:rPr>
          <w:color w:val="0070C0"/>
        </w:rPr>
        <w:t xml:space="preserve"> skargi przed Trybunałem. </w:t>
      </w:r>
      <w:r w:rsidRPr="00072E6F">
        <w:rPr>
          <w:color w:val="0070C0"/>
        </w:rPr>
        <w:t xml:space="preserve">Trybunał </w:t>
      </w:r>
      <w:r w:rsidR="006850EE">
        <w:rPr>
          <w:color w:val="0070C0"/>
        </w:rPr>
        <w:t>uznał zatem</w:t>
      </w:r>
      <w:r w:rsidRPr="00072E6F">
        <w:rPr>
          <w:color w:val="0070C0"/>
        </w:rPr>
        <w:t xml:space="preserve">, że sprawa została </w:t>
      </w:r>
      <w:r w:rsidR="00BC1D0A" w:rsidRPr="00072E6F">
        <w:rPr>
          <w:color w:val="0070C0"/>
        </w:rPr>
        <w:t>roz</w:t>
      </w:r>
      <w:r w:rsidR="00BC1D0A">
        <w:rPr>
          <w:color w:val="0070C0"/>
        </w:rPr>
        <w:t>strzygnięta</w:t>
      </w:r>
      <w:r w:rsidR="00BC1D0A" w:rsidRPr="00072E6F">
        <w:rPr>
          <w:color w:val="0070C0"/>
        </w:rPr>
        <w:t xml:space="preserve"> </w:t>
      </w:r>
      <w:r w:rsidRPr="00072E6F">
        <w:rPr>
          <w:color w:val="0070C0"/>
        </w:rPr>
        <w:t>na szc</w:t>
      </w:r>
      <w:r w:rsidR="00374B7B">
        <w:rPr>
          <w:color w:val="0070C0"/>
        </w:rPr>
        <w:t xml:space="preserve">zeblu krajowym i </w:t>
      </w:r>
      <w:r w:rsidR="006850EE">
        <w:rPr>
          <w:color w:val="0070C0"/>
        </w:rPr>
        <w:t xml:space="preserve">wydał decyzję </w:t>
      </w:r>
      <w:r w:rsidR="00374B7B">
        <w:rPr>
          <w:color w:val="0070C0"/>
        </w:rPr>
        <w:t>o </w:t>
      </w:r>
      <w:r w:rsidR="007060A4">
        <w:rPr>
          <w:color w:val="0070C0"/>
        </w:rPr>
        <w:t>s</w:t>
      </w:r>
      <w:r w:rsidRPr="00072E6F">
        <w:rPr>
          <w:color w:val="0070C0"/>
        </w:rPr>
        <w:t>kreśleniu skargi z listy spraw Trybunału.</w:t>
      </w:r>
    </w:p>
    <w:p w14:paraId="56C5E2F6" w14:textId="77777777" w:rsidR="007060A4" w:rsidRPr="007D7183" w:rsidRDefault="007060A4" w:rsidP="00674D24">
      <w:pPr>
        <w:spacing w:before="120" w:line="218" w:lineRule="exact"/>
        <w:ind w:left="697"/>
        <w:jc w:val="both"/>
        <w:rPr>
          <w:color w:val="0070C0"/>
          <w:sz w:val="18"/>
          <w:u w:val="single"/>
        </w:rPr>
      </w:pPr>
      <w:r w:rsidRPr="007D7183">
        <w:rPr>
          <w:b/>
          <w:bCs/>
          <w:color w:val="0070C0"/>
          <w:sz w:val="20"/>
          <w:szCs w:val="20"/>
          <w:u w:val="single"/>
        </w:rPr>
        <w:t>F.G</w:t>
      </w:r>
      <w:r w:rsidR="007D7183" w:rsidRPr="007D7183">
        <w:rPr>
          <w:b/>
          <w:bCs/>
          <w:color w:val="0070C0"/>
          <w:sz w:val="20"/>
          <w:szCs w:val="20"/>
          <w:u w:val="single"/>
        </w:rPr>
        <w:t>. przeciwko Szwecji (skarga n</w:t>
      </w:r>
      <w:r w:rsidRPr="007D7183">
        <w:rPr>
          <w:b/>
          <w:bCs/>
          <w:color w:val="0070C0"/>
          <w:sz w:val="20"/>
          <w:szCs w:val="20"/>
          <w:u w:val="single"/>
        </w:rPr>
        <w:t>r 43611/11)</w:t>
      </w:r>
    </w:p>
    <w:p w14:paraId="00A0D721" w14:textId="77777777" w:rsidR="0025631D" w:rsidRPr="004939EF" w:rsidRDefault="00F40512">
      <w:pPr>
        <w:spacing w:before="60" w:line="218" w:lineRule="exact"/>
        <w:ind w:left="700"/>
        <w:jc w:val="both"/>
        <w:rPr>
          <w:sz w:val="18"/>
        </w:rPr>
      </w:pPr>
      <w:r w:rsidRPr="004939EF">
        <w:rPr>
          <w:color w:val="808080"/>
          <w:sz w:val="18"/>
        </w:rPr>
        <w:t>23 marca</w:t>
      </w:r>
      <w:r w:rsidR="00D3520A" w:rsidRPr="004939EF">
        <w:rPr>
          <w:color w:val="808080"/>
          <w:sz w:val="18"/>
        </w:rPr>
        <w:t xml:space="preserve"> 2016</w:t>
      </w:r>
      <w:r w:rsidR="007060A4">
        <w:rPr>
          <w:color w:val="808080"/>
          <w:sz w:val="18"/>
        </w:rPr>
        <w:t xml:space="preserve"> r.</w:t>
      </w:r>
      <w:r w:rsidR="00D3520A" w:rsidRPr="004939EF">
        <w:rPr>
          <w:color w:val="808080"/>
          <w:sz w:val="18"/>
        </w:rPr>
        <w:t xml:space="preserve"> (</w:t>
      </w:r>
      <w:r w:rsidR="007060A4">
        <w:rPr>
          <w:color w:val="808080"/>
          <w:sz w:val="18"/>
        </w:rPr>
        <w:t>Wielka Izba – wyrok)</w:t>
      </w:r>
    </w:p>
    <w:p w14:paraId="3569C5B6" w14:textId="4CBAD87D" w:rsidR="00F40512" w:rsidRPr="007060A4" w:rsidRDefault="00F40512" w:rsidP="007060A4">
      <w:pPr>
        <w:pStyle w:val="Tekstpodstawowy"/>
        <w:ind w:left="699" w:right="715"/>
      </w:pPr>
      <w:r w:rsidRPr="004939EF">
        <w:t xml:space="preserve">Sprawa </w:t>
      </w:r>
      <w:r w:rsidR="00DA58C4" w:rsidRPr="004939EF">
        <w:t>d</w:t>
      </w:r>
      <w:r w:rsidR="00DA58C4">
        <w:t xml:space="preserve">otyczyła </w:t>
      </w:r>
      <w:r w:rsidR="00374B7B">
        <w:t>odmowy udzielenia azylu</w:t>
      </w:r>
      <w:r w:rsidRPr="004939EF">
        <w:t xml:space="preserve"> obywatelowi Iranu</w:t>
      </w:r>
      <w:r w:rsidR="00B61C0F">
        <w:t>, który zmienił wyznanie</w:t>
      </w:r>
      <w:r w:rsidRPr="004939EF">
        <w:t xml:space="preserve"> na </w:t>
      </w:r>
      <w:r w:rsidR="00044496">
        <w:t>c</w:t>
      </w:r>
      <w:r w:rsidRPr="007060A4">
        <w:t>hrześci</w:t>
      </w:r>
      <w:r w:rsidR="00044496">
        <w:t>jańs</w:t>
      </w:r>
      <w:r w:rsidR="00B61C0F">
        <w:t>kie</w:t>
      </w:r>
      <w:r w:rsidR="00044496">
        <w:t xml:space="preserve"> w Szwecji</w:t>
      </w:r>
      <w:r w:rsidR="008A18D4">
        <w:t>,</w:t>
      </w:r>
      <w:r w:rsidR="00044496">
        <w:t xml:space="preserve"> który </w:t>
      </w:r>
      <w:r w:rsidR="00B61C0F">
        <w:t>zarzucił</w:t>
      </w:r>
      <w:r w:rsidRPr="007060A4">
        <w:t>, że w przypadku jego wydalenia do Iranu</w:t>
      </w:r>
      <w:r w:rsidR="006850EE">
        <w:t xml:space="preserve"> zachodziłaby</w:t>
      </w:r>
      <w:r w:rsidR="003A0D76">
        <w:t xml:space="preserve"> realn</w:t>
      </w:r>
      <w:r w:rsidR="006850EE">
        <w:t>a</w:t>
      </w:r>
      <w:r w:rsidR="003A0D76">
        <w:t xml:space="preserve"> </w:t>
      </w:r>
      <w:r w:rsidR="00DA58C4">
        <w:t>obawa</w:t>
      </w:r>
      <w:r w:rsidR="003A0D76">
        <w:t xml:space="preserve"> prześladowania i </w:t>
      </w:r>
      <w:r w:rsidR="006850EE">
        <w:t>ukarania go</w:t>
      </w:r>
      <w:r w:rsidR="003A0D76">
        <w:t xml:space="preserve"> lub </w:t>
      </w:r>
      <w:r w:rsidR="006850EE">
        <w:t>skazania na</w:t>
      </w:r>
      <w:r w:rsidR="006850EE" w:rsidRPr="007060A4">
        <w:t xml:space="preserve"> </w:t>
      </w:r>
      <w:r w:rsidR="003B4DE8">
        <w:t xml:space="preserve">karę </w:t>
      </w:r>
      <w:r w:rsidRPr="007060A4">
        <w:t>śmierci.</w:t>
      </w:r>
    </w:p>
    <w:p w14:paraId="35D29DDA" w14:textId="76D5CD3D" w:rsidR="00F40512" w:rsidRPr="007D7183" w:rsidRDefault="00F40512" w:rsidP="008A18D4">
      <w:pPr>
        <w:pStyle w:val="Tekstpodstawowy"/>
        <w:ind w:left="699" w:right="717"/>
        <w:rPr>
          <w:color w:val="0071BB"/>
        </w:rPr>
      </w:pPr>
      <w:r w:rsidRPr="007060A4">
        <w:rPr>
          <w:color w:val="0071BB"/>
        </w:rPr>
        <w:t xml:space="preserve">W sprawie </w:t>
      </w:r>
      <w:r w:rsidR="006850EE">
        <w:rPr>
          <w:color w:val="0071BB"/>
        </w:rPr>
        <w:t xml:space="preserve">tej </w:t>
      </w:r>
      <w:r w:rsidR="00BD6BD3">
        <w:rPr>
          <w:color w:val="0071BB"/>
        </w:rPr>
        <w:t>wykonanie decyzji o</w:t>
      </w:r>
      <w:r w:rsidR="006850EE">
        <w:rPr>
          <w:color w:val="0071BB"/>
        </w:rPr>
        <w:t xml:space="preserve"> </w:t>
      </w:r>
      <w:r w:rsidRPr="007060A4">
        <w:rPr>
          <w:color w:val="0071BB"/>
        </w:rPr>
        <w:t>wydaleni</w:t>
      </w:r>
      <w:r w:rsidR="00BD6BD3">
        <w:rPr>
          <w:color w:val="0071BB"/>
        </w:rPr>
        <w:t>u</w:t>
      </w:r>
      <w:r w:rsidRPr="007060A4">
        <w:rPr>
          <w:color w:val="0071BB"/>
        </w:rPr>
        <w:t xml:space="preserve"> skarżącego </w:t>
      </w:r>
      <w:r w:rsidR="00B61C0F">
        <w:rPr>
          <w:color w:val="0071BB"/>
        </w:rPr>
        <w:t xml:space="preserve">zostało </w:t>
      </w:r>
      <w:r w:rsidRPr="007060A4">
        <w:rPr>
          <w:color w:val="0071BB"/>
        </w:rPr>
        <w:t>wstrzyman</w:t>
      </w:r>
      <w:r w:rsidR="00B61C0F">
        <w:rPr>
          <w:color w:val="0071BB"/>
        </w:rPr>
        <w:t>e na skutek</w:t>
      </w:r>
      <w:r w:rsidRPr="004939EF">
        <w:rPr>
          <w:color w:val="0071BB"/>
        </w:rPr>
        <w:t xml:space="preserve"> środka </w:t>
      </w:r>
      <w:r w:rsidRPr="00044496">
        <w:rPr>
          <w:color w:val="0071BB"/>
        </w:rPr>
        <w:t>tymczasowego</w:t>
      </w:r>
      <w:r w:rsidR="00B61C0F">
        <w:rPr>
          <w:color w:val="0071BB"/>
        </w:rPr>
        <w:t xml:space="preserve"> zastosowanego przez</w:t>
      </w:r>
      <w:r w:rsidR="006850EE">
        <w:rPr>
          <w:color w:val="0071BB"/>
        </w:rPr>
        <w:t xml:space="preserve"> Trybunał</w:t>
      </w:r>
      <w:r w:rsidR="00B61C0F">
        <w:rPr>
          <w:color w:val="0071BB"/>
        </w:rPr>
        <w:t xml:space="preserve"> </w:t>
      </w:r>
      <w:r w:rsidRPr="00044496">
        <w:rPr>
          <w:color w:val="0071BB"/>
        </w:rPr>
        <w:t>w paździe</w:t>
      </w:r>
      <w:r w:rsidR="008A18D4">
        <w:rPr>
          <w:color w:val="0071BB"/>
        </w:rPr>
        <w:t xml:space="preserve">rniku 2011 r. </w:t>
      </w:r>
      <w:r w:rsidR="006850EE">
        <w:rPr>
          <w:color w:val="0071BB"/>
        </w:rPr>
        <w:t>na podstawie</w:t>
      </w:r>
      <w:r w:rsidR="008A18D4">
        <w:rPr>
          <w:color w:val="0071BB"/>
        </w:rPr>
        <w:t xml:space="preserve"> Reguł</w:t>
      </w:r>
      <w:r w:rsidR="006850EE">
        <w:rPr>
          <w:color w:val="0071BB"/>
        </w:rPr>
        <w:t>y</w:t>
      </w:r>
      <w:r w:rsidRPr="00044496">
        <w:rPr>
          <w:color w:val="0071BB"/>
        </w:rPr>
        <w:t xml:space="preserve"> 39 Regulaminu Trybunału</w:t>
      </w:r>
      <w:r w:rsidR="006850EE">
        <w:rPr>
          <w:color w:val="0071BB"/>
        </w:rPr>
        <w:t>. Trybunał</w:t>
      </w:r>
      <w:r w:rsidRPr="00044496">
        <w:rPr>
          <w:color w:val="0071BB"/>
        </w:rPr>
        <w:t xml:space="preserve"> zalecił</w:t>
      </w:r>
      <w:r w:rsidR="007D7183" w:rsidRPr="00044496">
        <w:rPr>
          <w:color w:val="0071BB"/>
        </w:rPr>
        <w:t xml:space="preserve"> rządowi </w:t>
      </w:r>
      <w:r w:rsidR="00044496" w:rsidRPr="00044496">
        <w:rPr>
          <w:color w:val="0071BB"/>
        </w:rPr>
        <w:t>szwedzkiemu</w:t>
      </w:r>
      <w:r w:rsidR="00A30836" w:rsidRPr="00044496">
        <w:rPr>
          <w:color w:val="0071BB"/>
        </w:rPr>
        <w:t>, aby nie wydala</w:t>
      </w:r>
      <w:r w:rsidR="006850EE">
        <w:rPr>
          <w:color w:val="0071BB"/>
        </w:rPr>
        <w:t>ł</w:t>
      </w:r>
      <w:r w:rsidR="00A30836" w:rsidRPr="00044496">
        <w:rPr>
          <w:color w:val="0071BB"/>
        </w:rPr>
        <w:t xml:space="preserve"> </w:t>
      </w:r>
      <w:r w:rsidR="008A18D4" w:rsidRPr="00044496">
        <w:rPr>
          <w:color w:val="0071BB"/>
        </w:rPr>
        <w:t xml:space="preserve">skarżącego </w:t>
      </w:r>
      <w:r w:rsidRPr="00044496">
        <w:rPr>
          <w:color w:val="0071BB"/>
        </w:rPr>
        <w:t xml:space="preserve">do Iranu </w:t>
      </w:r>
      <w:r w:rsidR="006850EE">
        <w:rPr>
          <w:color w:val="0071BB"/>
        </w:rPr>
        <w:t>do czasu</w:t>
      </w:r>
      <w:r w:rsidRPr="00044496">
        <w:rPr>
          <w:color w:val="0071BB"/>
        </w:rPr>
        <w:t xml:space="preserve"> </w:t>
      </w:r>
      <w:r w:rsidR="006850EE" w:rsidRPr="00044496">
        <w:rPr>
          <w:color w:val="0071BB"/>
        </w:rPr>
        <w:t>rozp</w:t>
      </w:r>
      <w:r w:rsidR="006850EE">
        <w:rPr>
          <w:color w:val="0071BB"/>
        </w:rPr>
        <w:t>oznania</w:t>
      </w:r>
      <w:r w:rsidR="006850EE" w:rsidRPr="00044496">
        <w:rPr>
          <w:color w:val="0071BB"/>
        </w:rPr>
        <w:t xml:space="preserve"> </w:t>
      </w:r>
      <w:r w:rsidRPr="00044496">
        <w:rPr>
          <w:color w:val="0071BB"/>
        </w:rPr>
        <w:t>jego sprawy</w:t>
      </w:r>
      <w:r w:rsidR="006850EE">
        <w:rPr>
          <w:color w:val="0071BB"/>
        </w:rPr>
        <w:t xml:space="preserve"> przez Trybunał</w:t>
      </w:r>
      <w:r w:rsidRPr="00044496">
        <w:rPr>
          <w:color w:val="0071BB"/>
        </w:rPr>
        <w:t>. W wyroku Wielkiej Izby Trybunał stwierdzi</w:t>
      </w:r>
      <w:r w:rsidR="007D7183" w:rsidRPr="00044496">
        <w:rPr>
          <w:color w:val="0071BB"/>
        </w:rPr>
        <w:t xml:space="preserve">ł, że nie dojdzie do naruszenia art. 2 (prawo do życia) </w:t>
      </w:r>
      <w:r w:rsidR="00BB1DD9">
        <w:rPr>
          <w:color w:val="0071BB"/>
        </w:rPr>
        <w:t>ani</w:t>
      </w:r>
      <w:r w:rsidR="00044496">
        <w:rPr>
          <w:color w:val="0071BB"/>
        </w:rPr>
        <w:t> </w:t>
      </w:r>
      <w:r w:rsidR="007D7183" w:rsidRPr="00044496">
        <w:rPr>
          <w:color w:val="0071BB"/>
        </w:rPr>
        <w:t>art.</w:t>
      </w:r>
      <w:r w:rsidRPr="00044496">
        <w:rPr>
          <w:color w:val="0071BB"/>
        </w:rPr>
        <w:t xml:space="preserve"> 3 </w:t>
      </w:r>
      <w:r w:rsidR="00A15339">
        <w:rPr>
          <w:color w:val="0071BB"/>
        </w:rPr>
        <w:t xml:space="preserve">Konwencji </w:t>
      </w:r>
      <w:r w:rsidRPr="00044496">
        <w:rPr>
          <w:color w:val="0071BB"/>
        </w:rPr>
        <w:t>(zakaz tortur oraz nieludzkiego lub poniżają</w:t>
      </w:r>
      <w:r w:rsidR="008A18D4">
        <w:rPr>
          <w:color w:val="0071BB"/>
        </w:rPr>
        <w:t>cego traktowania) ze </w:t>
      </w:r>
      <w:r w:rsidRPr="00044496">
        <w:rPr>
          <w:color w:val="0071BB"/>
        </w:rPr>
        <w:t xml:space="preserve">względu na </w:t>
      </w:r>
      <w:r w:rsidR="00BC1D0A">
        <w:rPr>
          <w:color w:val="0071BB"/>
        </w:rPr>
        <w:t xml:space="preserve">uprzednią działalność </w:t>
      </w:r>
      <w:r w:rsidRPr="00044496">
        <w:rPr>
          <w:color w:val="0071BB"/>
        </w:rPr>
        <w:t xml:space="preserve">polityczną skarżącego w Iranie </w:t>
      </w:r>
      <w:r w:rsidR="007D7183" w:rsidRPr="00044496">
        <w:rPr>
          <w:color w:val="0071BB"/>
        </w:rPr>
        <w:t xml:space="preserve">w przypadku jego </w:t>
      </w:r>
      <w:r w:rsidR="00BB1DD9" w:rsidRPr="00044496">
        <w:rPr>
          <w:color w:val="0071BB"/>
        </w:rPr>
        <w:t>deport</w:t>
      </w:r>
      <w:r w:rsidR="00BB1DD9">
        <w:rPr>
          <w:color w:val="0071BB"/>
        </w:rPr>
        <w:t>acji</w:t>
      </w:r>
      <w:r w:rsidR="00BB1DD9" w:rsidRPr="00044496">
        <w:rPr>
          <w:color w:val="0071BB"/>
        </w:rPr>
        <w:t xml:space="preserve"> </w:t>
      </w:r>
      <w:r w:rsidRPr="00044496">
        <w:rPr>
          <w:color w:val="0071BB"/>
        </w:rPr>
        <w:t>do kraju pochodzenia, natomias</w:t>
      </w:r>
      <w:r w:rsidR="007D7183" w:rsidRPr="00044496">
        <w:rPr>
          <w:color w:val="0071BB"/>
        </w:rPr>
        <w:t xml:space="preserve">t </w:t>
      </w:r>
      <w:r w:rsidR="00BC1D0A">
        <w:rPr>
          <w:color w:val="0071BB"/>
        </w:rPr>
        <w:t xml:space="preserve">dojdzie do naruszenia </w:t>
      </w:r>
      <w:r w:rsidR="007D7183" w:rsidRPr="00044496">
        <w:rPr>
          <w:color w:val="0071BB"/>
        </w:rPr>
        <w:t>art</w:t>
      </w:r>
      <w:r w:rsidR="007D7183">
        <w:rPr>
          <w:color w:val="0071BB"/>
        </w:rPr>
        <w:t>. 2 i 3 Konwencji</w:t>
      </w:r>
      <w:r w:rsidR="00A15339">
        <w:rPr>
          <w:color w:val="0071BB"/>
        </w:rPr>
        <w:t xml:space="preserve"> </w:t>
      </w:r>
      <w:r w:rsidR="007D7183">
        <w:rPr>
          <w:color w:val="0071BB"/>
        </w:rPr>
        <w:t xml:space="preserve">w razie </w:t>
      </w:r>
      <w:r w:rsidR="00BC1D0A">
        <w:rPr>
          <w:color w:val="0071BB"/>
        </w:rPr>
        <w:t xml:space="preserve">powrotu </w:t>
      </w:r>
      <w:r w:rsidR="007D7183">
        <w:rPr>
          <w:color w:val="0071BB"/>
        </w:rPr>
        <w:t xml:space="preserve">skarżącego </w:t>
      </w:r>
      <w:r w:rsidRPr="004939EF">
        <w:rPr>
          <w:color w:val="0071BB"/>
        </w:rPr>
        <w:t>do Ir</w:t>
      </w:r>
      <w:r w:rsidR="008A18D4">
        <w:rPr>
          <w:color w:val="0071BB"/>
        </w:rPr>
        <w:t xml:space="preserve">anu bez </w:t>
      </w:r>
      <w:r w:rsidR="00A15339">
        <w:rPr>
          <w:color w:val="0071BB"/>
        </w:rPr>
        <w:t xml:space="preserve">dokonania </w:t>
      </w:r>
      <w:r w:rsidR="00BC1D0A" w:rsidRPr="004939EF">
        <w:rPr>
          <w:color w:val="0071BB"/>
        </w:rPr>
        <w:t>przez władze szwedzkie</w:t>
      </w:r>
      <w:r w:rsidR="00BC1D0A">
        <w:rPr>
          <w:color w:val="0071BB"/>
        </w:rPr>
        <w:t xml:space="preserve"> </w:t>
      </w:r>
      <w:r w:rsidR="008A18D4">
        <w:rPr>
          <w:color w:val="0071BB"/>
        </w:rPr>
        <w:t>nowej i </w:t>
      </w:r>
      <w:r w:rsidRPr="004939EF">
        <w:rPr>
          <w:color w:val="0071BB"/>
        </w:rPr>
        <w:t xml:space="preserve">aktualnej oceny konsekwencji </w:t>
      </w:r>
      <w:r w:rsidR="00A15339">
        <w:rPr>
          <w:color w:val="0071BB"/>
        </w:rPr>
        <w:t>zmiany jego wyznania</w:t>
      </w:r>
      <w:r w:rsidRPr="004939EF">
        <w:rPr>
          <w:color w:val="0071BB"/>
        </w:rPr>
        <w:t>.</w:t>
      </w:r>
    </w:p>
    <w:p w14:paraId="6BFE851E" w14:textId="77777777" w:rsidR="00A30836" w:rsidRPr="004939EF" w:rsidRDefault="00A30836">
      <w:pPr>
        <w:spacing w:before="120"/>
        <w:ind w:left="700"/>
        <w:jc w:val="both"/>
        <w:rPr>
          <w:b/>
          <w:i/>
          <w:sz w:val="20"/>
        </w:rPr>
      </w:pPr>
      <w:r w:rsidRPr="004939EF">
        <w:rPr>
          <w:b/>
          <w:i/>
          <w:color w:val="4D4D4D"/>
          <w:sz w:val="20"/>
        </w:rPr>
        <w:t xml:space="preserve">Groźba złego traktowania </w:t>
      </w:r>
      <w:r w:rsidR="00BC1D0A">
        <w:rPr>
          <w:b/>
          <w:i/>
          <w:color w:val="4D4D4D"/>
          <w:sz w:val="20"/>
        </w:rPr>
        <w:t>ze względu na</w:t>
      </w:r>
      <w:r w:rsidRPr="004939EF">
        <w:rPr>
          <w:b/>
          <w:i/>
          <w:color w:val="4D4D4D"/>
          <w:sz w:val="20"/>
        </w:rPr>
        <w:t xml:space="preserve"> orientacj</w:t>
      </w:r>
      <w:r w:rsidR="00BC1D0A">
        <w:rPr>
          <w:b/>
          <w:i/>
          <w:color w:val="4D4D4D"/>
          <w:sz w:val="20"/>
        </w:rPr>
        <w:t>ę</w:t>
      </w:r>
      <w:r w:rsidRPr="004939EF">
        <w:rPr>
          <w:b/>
          <w:i/>
          <w:color w:val="4D4D4D"/>
          <w:sz w:val="20"/>
        </w:rPr>
        <w:t xml:space="preserve"> </w:t>
      </w:r>
      <w:r w:rsidR="00044496" w:rsidRPr="004939EF">
        <w:rPr>
          <w:b/>
          <w:i/>
          <w:color w:val="4D4D4D"/>
          <w:sz w:val="20"/>
        </w:rPr>
        <w:t>seksualną</w:t>
      </w:r>
    </w:p>
    <w:p w14:paraId="1E45B055" w14:textId="77777777" w:rsidR="007D7183" w:rsidRPr="007D7183" w:rsidRDefault="007D7183" w:rsidP="00674D24">
      <w:pPr>
        <w:spacing w:before="120" w:line="218" w:lineRule="exact"/>
        <w:ind w:left="697"/>
        <w:jc w:val="both"/>
        <w:rPr>
          <w:color w:val="0070C0"/>
          <w:u w:val="single"/>
        </w:rPr>
      </w:pPr>
      <w:r w:rsidRPr="007D7183">
        <w:rPr>
          <w:b/>
          <w:bCs/>
          <w:color w:val="0070C0"/>
          <w:sz w:val="20"/>
          <w:szCs w:val="20"/>
          <w:u w:val="single"/>
        </w:rPr>
        <w:t>M.E. przeciwko Szwecji (skarga nr 71398/12)</w:t>
      </w:r>
    </w:p>
    <w:p w14:paraId="728A7E06" w14:textId="77777777" w:rsidR="0025631D" w:rsidRPr="004939EF" w:rsidRDefault="00A30836">
      <w:pPr>
        <w:spacing w:before="60" w:line="218" w:lineRule="exact"/>
        <w:ind w:left="700"/>
        <w:jc w:val="both"/>
        <w:rPr>
          <w:sz w:val="18"/>
        </w:rPr>
      </w:pPr>
      <w:r w:rsidRPr="004939EF">
        <w:rPr>
          <w:color w:val="808080"/>
          <w:sz w:val="18"/>
        </w:rPr>
        <w:t>8 kwietnia</w:t>
      </w:r>
      <w:r w:rsidR="00D3520A" w:rsidRPr="004939EF">
        <w:rPr>
          <w:color w:val="808080"/>
          <w:sz w:val="18"/>
        </w:rPr>
        <w:t xml:space="preserve"> 2015</w:t>
      </w:r>
      <w:r w:rsidR="007D7183">
        <w:rPr>
          <w:color w:val="808080"/>
          <w:sz w:val="18"/>
        </w:rPr>
        <w:t xml:space="preserve"> </w:t>
      </w:r>
      <w:r w:rsidR="007D7183" w:rsidRPr="00044496">
        <w:rPr>
          <w:color w:val="808080"/>
          <w:sz w:val="18"/>
        </w:rPr>
        <w:t>r. (Wielka Izba - wyrok</w:t>
      </w:r>
      <w:r w:rsidR="00D3520A" w:rsidRPr="00044496">
        <w:rPr>
          <w:color w:val="808080"/>
          <w:sz w:val="18"/>
        </w:rPr>
        <w:t>)</w:t>
      </w:r>
    </w:p>
    <w:p w14:paraId="4611A184" w14:textId="36E6986D" w:rsidR="00A30836" w:rsidRPr="003A0D76" w:rsidRDefault="00BC1D0A" w:rsidP="007D7183">
      <w:pPr>
        <w:pStyle w:val="Tekstpodstawowy"/>
        <w:ind w:right="714"/>
        <w:rPr>
          <w:color w:val="000000" w:themeColor="text1"/>
        </w:rPr>
      </w:pPr>
      <w:r>
        <w:rPr>
          <w:color w:val="000000" w:themeColor="text1"/>
        </w:rPr>
        <w:t>S</w:t>
      </w:r>
      <w:r w:rsidR="00A30836" w:rsidRPr="003A0D76">
        <w:rPr>
          <w:color w:val="000000" w:themeColor="text1"/>
        </w:rPr>
        <w:t xml:space="preserve">prawa </w:t>
      </w:r>
      <w:r w:rsidR="00044496" w:rsidRPr="003A0D76">
        <w:rPr>
          <w:color w:val="000000" w:themeColor="text1"/>
        </w:rPr>
        <w:t>dotyczyła groźby wydalenia mężczyzny</w:t>
      </w:r>
      <w:r w:rsidR="003A0D76">
        <w:rPr>
          <w:color w:val="000000" w:themeColor="text1"/>
        </w:rPr>
        <w:t xml:space="preserve"> ubiegającego </w:t>
      </w:r>
      <w:r w:rsidR="008A18D4">
        <w:rPr>
          <w:color w:val="000000" w:themeColor="text1"/>
        </w:rPr>
        <w:t xml:space="preserve">się o azyl </w:t>
      </w:r>
      <w:r w:rsidR="00A15339">
        <w:rPr>
          <w:color w:val="000000" w:themeColor="text1"/>
        </w:rPr>
        <w:t>ze </w:t>
      </w:r>
      <w:r w:rsidR="00A30836" w:rsidRPr="003A0D76">
        <w:rPr>
          <w:color w:val="000000" w:themeColor="text1"/>
        </w:rPr>
        <w:t xml:space="preserve">Szwecji do Libii, gdzie, jak podnosił, </w:t>
      </w:r>
      <w:r w:rsidR="009D61AC">
        <w:rPr>
          <w:color w:val="000000" w:themeColor="text1"/>
        </w:rPr>
        <w:t>zostanie narażony na</w:t>
      </w:r>
      <w:r w:rsidR="00A30836" w:rsidRPr="003A0D76">
        <w:rPr>
          <w:color w:val="000000" w:themeColor="text1"/>
        </w:rPr>
        <w:t xml:space="preserve"> pr</w:t>
      </w:r>
      <w:r w:rsidR="007D7183" w:rsidRPr="003A0D76">
        <w:rPr>
          <w:color w:val="000000" w:themeColor="text1"/>
        </w:rPr>
        <w:t>ze</w:t>
      </w:r>
      <w:r w:rsidR="008A18D4">
        <w:rPr>
          <w:color w:val="000000" w:themeColor="text1"/>
        </w:rPr>
        <w:t>śladowanie i złe traktowanie ze </w:t>
      </w:r>
      <w:r w:rsidR="007D7183" w:rsidRPr="003A0D76">
        <w:rPr>
          <w:color w:val="000000" w:themeColor="text1"/>
        </w:rPr>
        <w:t xml:space="preserve">względu na </w:t>
      </w:r>
      <w:r w:rsidR="009D61AC">
        <w:rPr>
          <w:color w:val="000000" w:themeColor="text1"/>
        </w:rPr>
        <w:t xml:space="preserve">to, że jest osobą </w:t>
      </w:r>
      <w:r w:rsidR="00044496" w:rsidRPr="003A0D76">
        <w:rPr>
          <w:color w:val="000000" w:themeColor="text1"/>
        </w:rPr>
        <w:t>homoseksualną</w:t>
      </w:r>
      <w:r w:rsidR="00A30836" w:rsidRPr="003A0D76">
        <w:rPr>
          <w:color w:val="000000" w:themeColor="text1"/>
        </w:rPr>
        <w:t>.</w:t>
      </w:r>
    </w:p>
    <w:p w14:paraId="2D6E302D" w14:textId="093F3926" w:rsidR="00A30836" w:rsidRPr="004939EF" w:rsidRDefault="00A30836" w:rsidP="003A0D76">
      <w:pPr>
        <w:pStyle w:val="Tekstpodstawowy"/>
        <w:ind w:right="714"/>
        <w:rPr>
          <w:color w:val="0071BB"/>
        </w:rPr>
      </w:pPr>
      <w:r w:rsidRPr="004939EF">
        <w:rPr>
          <w:color w:val="0071BB"/>
        </w:rPr>
        <w:t xml:space="preserve">W sprawie </w:t>
      </w:r>
      <w:r w:rsidR="00BC1D0A">
        <w:rPr>
          <w:color w:val="0071BB"/>
        </w:rPr>
        <w:t xml:space="preserve">tej </w:t>
      </w:r>
      <w:r w:rsidRPr="005A17D4">
        <w:rPr>
          <w:color w:val="0071BB"/>
        </w:rPr>
        <w:t>Trybunał postanowił zalecić rządowi szwedzkiemu</w:t>
      </w:r>
      <w:r w:rsidR="00BA4A93" w:rsidRPr="005A17D4">
        <w:rPr>
          <w:color w:val="0071BB"/>
        </w:rPr>
        <w:t>, zgodnie z </w:t>
      </w:r>
      <w:r w:rsidRPr="005A17D4">
        <w:rPr>
          <w:color w:val="0071BB"/>
        </w:rPr>
        <w:t xml:space="preserve">Regułą 39 </w:t>
      </w:r>
      <w:r w:rsidRPr="005A17D4">
        <w:rPr>
          <w:color w:val="0071BB"/>
        </w:rPr>
        <w:lastRenderedPageBreak/>
        <w:t>Regulaminu Trybunału, aby nie wydalał skar</w:t>
      </w:r>
      <w:r w:rsidR="00BA4A93" w:rsidRPr="005A17D4">
        <w:rPr>
          <w:color w:val="0071BB"/>
        </w:rPr>
        <w:t>żącego do Libii do odwołania. W </w:t>
      </w:r>
      <w:r w:rsidRPr="005A17D4">
        <w:rPr>
          <w:color w:val="0071BB"/>
        </w:rPr>
        <w:t xml:space="preserve">grudniu 2014 r. </w:t>
      </w:r>
      <w:r w:rsidR="00BC1D0A" w:rsidRPr="005A17D4">
        <w:rPr>
          <w:color w:val="0071BB"/>
        </w:rPr>
        <w:t>skarżąc</w:t>
      </w:r>
      <w:r w:rsidR="00BC1D0A">
        <w:rPr>
          <w:color w:val="0071BB"/>
        </w:rPr>
        <w:t>y</w:t>
      </w:r>
      <w:r w:rsidR="00BC1D0A" w:rsidRPr="005A17D4">
        <w:rPr>
          <w:color w:val="0071BB"/>
        </w:rPr>
        <w:t xml:space="preserve"> </w:t>
      </w:r>
      <w:r w:rsidR="00BC1D0A">
        <w:rPr>
          <w:color w:val="0071BB"/>
        </w:rPr>
        <w:t>uzyskał</w:t>
      </w:r>
      <w:r w:rsidR="00BC1D0A" w:rsidRPr="005A17D4">
        <w:rPr>
          <w:color w:val="0071BB"/>
        </w:rPr>
        <w:t xml:space="preserve"> </w:t>
      </w:r>
      <w:r w:rsidRPr="005A17D4">
        <w:rPr>
          <w:color w:val="0071BB"/>
        </w:rPr>
        <w:t>zezwolenie na pobyt w Szwecji. Trybunał</w:t>
      </w:r>
      <w:r w:rsidRPr="004939EF">
        <w:rPr>
          <w:color w:val="0071BB"/>
        </w:rPr>
        <w:t xml:space="preserve"> uznał, że </w:t>
      </w:r>
      <w:r w:rsidR="00BC1D0A">
        <w:rPr>
          <w:color w:val="0071BB"/>
        </w:rPr>
        <w:t xml:space="preserve">tym samym </w:t>
      </w:r>
      <w:r w:rsidR="003A0D76">
        <w:rPr>
          <w:color w:val="0071BB"/>
        </w:rPr>
        <w:t>wyeliminowano groźbę</w:t>
      </w:r>
      <w:r w:rsidR="007D7183">
        <w:rPr>
          <w:color w:val="0071BB"/>
        </w:rPr>
        <w:t xml:space="preserve"> naruszenia art.</w:t>
      </w:r>
      <w:r w:rsidRPr="004939EF">
        <w:rPr>
          <w:color w:val="0071BB"/>
        </w:rPr>
        <w:t xml:space="preserve"> 3 Konwencji</w:t>
      </w:r>
      <w:r w:rsidR="009D61AC">
        <w:rPr>
          <w:color w:val="0071BB"/>
        </w:rPr>
        <w:t xml:space="preserve"> i że</w:t>
      </w:r>
      <w:r w:rsidRPr="004939EF">
        <w:rPr>
          <w:color w:val="0071BB"/>
        </w:rPr>
        <w:t xml:space="preserve"> sprawa została rozstrzygni</w:t>
      </w:r>
      <w:r w:rsidR="007D7183">
        <w:rPr>
          <w:color w:val="0071BB"/>
        </w:rPr>
        <w:t>ęta na szczeblu</w:t>
      </w:r>
      <w:r w:rsidRPr="004939EF">
        <w:rPr>
          <w:color w:val="0071BB"/>
        </w:rPr>
        <w:t xml:space="preserve"> krajowym. </w:t>
      </w:r>
      <w:r w:rsidR="00BC1D0A">
        <w:rPr>
          <w:color w:val="0071BB"/>
        </w:rPr>
        <w:t xml:space="preserve">W tej sytuacji Trybunał </w:t>
      </w:r>
      <w:r w:rsidR="009D61AC">
        <w:rPr>
          <w:color w:val="0071BB"/>
        </w:rPr>
        <w:t>zdecydował</w:t>
      </w:r>
      <w:r w:rsidR="00BC1D0A">
        <w:rPr>
          <w:color w:val="0071BB"/>
        </w:rPr>
        <w:t xml:space="preserve"> o</w:t>
      </w:r>
      <w:r w:rsidR="00BC1D0A" w:rsidRPr="004939EF">
        <w:rPr>
          <w:color w:val="0071BB"/>
        </w:rPr>
        <w:t xml:space="preserve"> </w:t>
      </w:r>
      <w:r w:rsidRPr="004939EF">
        <w:rPr>
          <w:color w:val="0071BB"/>
        </w:rPr>
        <w:t>skreśl</w:t>
      </w:r>
      <w:r w:rsidR="00BC1D0A">
        <w:rPr>
          <w:color w:val="0071BB"/>
        </w:rPr>
        <w:t>eniu</w:t>
      </w:r>
      <w:r w:rsidRPr="004939EF">
        <w:rPr>
          <w:color w:val="0071BB"/>
        </w:rPr>
        <w:t xml:space="preserve"> skarg</w:t>
      </w:r>
      <w:r w:rsidR="00BC1D0A">
        <w:rPr>
          <w:color w:val="0071BB"/>
        </w:rPr>
        <w:t>i</w:t>
      </w:r>
      <w:r w:rsidRPr="004939EF">
        <w:rPr>
          <w:color w:val="0071BB"/>
        </w:rPr>
        <w:t xml:space="preserve"> z listy spraw Trybunału.</w:t>
      </w:r>
    </w:p>
    <w:p w14:paraId="4ED8971F" w14:textId="77777777" w:rsidR="00A30836" w:rsidRPr="0081758D" w:rsidRDefault="00A30836" w:rsidP="007954F8">
      <w:pPr>
        <w:spacing w:before="99"/>
        <w:ind w:left="700" w:right="717"/>
        <w:jc w:val="both"/>
        <w:rPr>
          <w:sz w:val="20"/>
        </w:rPr>
      </w:pPr>
      <w:r w:rsidRPr="0081758D">
        <w:rPr>
          <w:bCs/>
          <w:i/>
          <w:sz w:val="20"/>
        </w:rPr>
        <w:t>Zobacz także</w:t>
      </w:r>
      <w:r w:rsidRPr="0081758D">
        <w:rPr>
          <w:bCs/>
          <w:iCs/>
          <w:sz w:val="20"/>
        </w:rPr>
        <w:t xml:space="preserve"> między innymi:</w:t>
      </w:r>
      <w:r w:rsidR="004614A8">
        <w:rPr>
          <w:bCs/>
          <w:iCs/>
          <w:color w:val="4D4D4D"/>
          <w:sz w:val="20"/>
        </w:rPr>
        <w:t xml:space="preserve"> </w:t>
      </w:r>
      <w:r w:rsidR="004614A8" w:rsidRPr="004614A8">
        <w:rPr>
          <w:b/>
          <w:i/>
          <w:color w:val="0070C0"/>
          <w:sz w:val="20"/>
          <w:u w:val="single"/>
        </w:rPr>
        <w:t>A.S.B. przeciwko Holandii (skarga nr 4854/12)</w:t>
      </w:r>
      <w:r w:rsidR="004614A8">
        <w:rPr>
          <w:bCs/>
          <w:iCs/>
          <w:color w:val="4D4D4D"/>
          <w:sz w:val="20"/>
        </w:rPr>
        <w:t xml:space="preserve">, </w:t>
      </w:r>
      <w:r w:rsidR="004614A8" w:rsidRPr="0081758D">
        <w:rPr>
          <w:bCs/>
          <w:iCs/>
          <w:sz w:val="20"/>
        </w:rPr>
        <w:t xml:space="preserve">decyzja z </w:t>
      </w:r>
      <w:r w:rsidR="003B4DE8">
        <w:rPr>
          <w:bCs/>
          <w:iCs/>
          <w:sz w:val="20"/>
        </w:rPr>
        <w:t xml:space="preserve">dnia </w:t>
      </w:r>
      <w:r w:rsidR="004614A8" w:rsidRPr="0081758D">
        <w:rPr>
          <w:bCs/>
          <w:iCs/>
          <w:sz w:val="20"/>
        </w:rPr>
        <w:t>10 lipca 2012 r.</w:t>
      </w:r>
      <w:r w:rsidR="004614A8">
        <w:rPr>
          <w:bCs/>
          <w:iCs/>
          <w:color w:val="4D4D4D"/>
          <w:sz w:val="20"/>
        </w:rPr>
        <w:t xml:space="preserve">; </w:t>
      </w:r>
      <w:r w:rsidR="004614A8" w:rsidRPr="004614A8">
        <w:rPr>
          <w:b/>
          <w:i/>
          <w:color w:val="0070C0"/>
          <w:sz w:val="20"/>
          <w:u w:val="single"/>
        </w:rPr>
        <w:t xml:space="preserve">A.E. przeciwko </w:t>
      </w:r>
      <w:r w:rsidR="00044496" w:rsidRPr="004614A8">
        <w:rPr>
          <w:b/>
          <w:i/>
          <w:color w:val="0070C0"/>
          <w:sz w:val="20"/>
          <w:u w:val="single"/>
        </w:rPr>
        <w:t>Finlandii</w:t>
      </w:r>
      <w:r w:rsidR="004614A8" w:rsidRPr="004614A8">
        <w:rPr>
          <w:b/>
          <w:i/>
          <w:color w:val="0070C0"/>
          <w:sz w:val="20"/>
          <w:u w:val="single"/>
        </w:rPr>
        <w:t xml:space="preserve"> (skarga nr 30953/11)</w:t>
      </w:r>
      <w:r w:rsidR="004614A8">
        <w:rPr>
          <w:bCs/>
          <w:iCs/>
          <w:color w:val="4D4D4D"/>
          <w:sz w:val="20"/>
        </w:rPr>
        <w:t xml:space="preserve">, </w:t>
      </w:r>
      <w:r w:rsidR="004614A8" w:rsidRPr="0081758D">
        <w:rPr>
          <w:bCs/>
          <w:iCs/>
          <w:sz w:val="20"/>
        </w:rPr>
        <w:t xml:space="preserve">decyzja z </w:t>
      </w:r>
      <w:r w:rsidR="003B4DE8">
        <w:rPr>
          <w:bCs/>
          <w:iCs/>
          <w:sz w:val="20"/>
        </w:rPr>
        <w:t xml:space="preserve">dnia </w:t>
      </w:r>
      <w:r w:rsidR="004614A8" w:rsidRPr="0081758D">
        <w:rPr>
          <w:bCs/>
          <w:iCs/>
          <w:sz w:val="20"/>
        </w:rPr>
        <w:t>22 września 2015 r.</w:t>
      </w:r>
    </w:p>
    <w:p w14:paraId="662A6E1B" w14:textId="59802A8A" w:rsidR="00A30836" w:rsidRPr="004939EF" w:rsidRDefault="00A30836">
      <w:pPr>
        <w:spacing w:before="121"/>
        <w:ind w:left="700"/>
        <w:jc w:val="both"/>
        <w:rPr>
          <w:b/>
          <w:i/>
          <w:sz w:val="20"/>
        </w:rPr>
      </w:pPr>
      <w:r w:rsidRPr="004939EF">
        <w:rPr>
          <w:b/>
          <w:i/>
          <w:color w:val="4D4D4D"/>
          <w:sz w:val="20"/>
        </w:rPr>
        <w:t xml:space="preserve">Groźba ukamienowania </w:t>
      </w:r>
      <w:r w:rsidR="009271E6">
        <w:rPr>
          <w:b/>
          <w:i/>
          <w:color w:val="4D4D4D"/>
          <w:sz w:val="20"/>
        </w:rPr>
        <w:t>za cudzołóstwo</w:t>
      </w:r>
    </w:p>
    <w:p w14:paraId="04CEE697" w14:textId="77777777" w:rsidR="0025631D" w:rsidRPr="007954F8" w:rsidRDefault="007954F8" w:rsidP="001E0356">
      <w:pPr>
        <w:spacing w:before="120"/>
        <w:ind w:left="699"/>
        <w:jc w:val="both"/>
        <w:rPr>
          <w:b/>
          <w:bCs/>
          <w:color w:val="0070C0"/>
          <w:sz w:val="20"/>
          <w:u w:val="single"/>
        </w:rPr>
      </w:pPr>
      <w:r w:rsidRPr="007954F8">
        <w:rPr>
          <w:b/>
          <w:bCs/>
          <w:color w:val="0070C0"/>
          <w:u w:val="single"/>
        </w:rPr>
        <w:t>Jabari przeciwko Turcji</w:t>
      </w:r>
    </w:p>
    <w:p w14:paraId="1070EE19" w14:textId="77777777" w:rsidR="0025631D" w:rsidRPr="004939EF" w:rsidRDefault="007954F8">
      <w:pPr>
        <w:spacing w:before="61" w:line="218" w:lineRule="exact"/>
        <w:ind w:left="700"/>
        <w:jc w:val="both"/>
        <w:rPr>
          <w:sz w:val="18"/>
        </w:rPr>
      </w:pPr>
      <w:r>
        <w:rPr>
          <w:color w:val="808080"/>
          <w:sz w:val="18"/>
        </w:rPr>
        <w:t>11 lipca</w:t>
      </w:r>
      <w:r w:rsidR="00D3520A" w:rsidRPr="004939EF">
        <w:rPr>
          <w:color w:val="808080"/>
          <w:sz w:val="18"/>
        </w:rPr>
        <w:t xml:space="preserve"> 2000</w:t>
      </w:r>
      <w:r>
        <w:rPr>
          <w:color w:val="808080"/>
          <w:sz w:val="18"/>
        </w:rPr>
        <w:t xml:space="preserve"> r. (wyrok</w:t>
      </w:r>
      <w:r w:rsidR="00D3520A" w:rsidRPr="004939EF">
        <w:rPr>
          <w:color w:val="808080"/>
          <w:sz w:val="18"/>
        </w:rPr>
        <w:t>)</w:t>
      </w:r>
    </w:p>
    <w:p w14:paraId="576AF43F" w14:textId="7F3DFB01" w:rsidR="0001099D" w:rsidRPr="004939EF" w:rsidRDefault="00BC1D0A" w:rsidP="00044496">
      <w:pPr>
        <w:pStyle w:val="Tekstpodstawowy"/>
        <w:ind w:right="716"/>
        <w:rPr>
          <w:color w:val="0071BB"/>
        </w:rPr>
      </w:pPr>
      <w:r>
        <w:t>W 1997 r. s</w:t>
      </w:r>
      <w:r w:rsidR="0001099D" w:rsidRPr="004939EF">
        <w:t xml:space="preserve">karżąca uciekła z Iranu </w:t>
      </w:r>
      <w:r>
        <w:t>do Turcji</w:t>
      </w:r>
      <w:r w:rsidR="007954F8">
        <w:t xml:space="preserve"> w obawie, że </w:t>
      </w:r>
      <w:r w:rsidR="007954F8" w:rsidRPr="00044496">
        <w:t>zostanie uznana za winną</w:t>
      </w:r>
      <w:r w:rsidR="00DF40A4" w:rsidRPr="00044496">
        <w:t xml:space="preserve"> </w:t>
      </w:r>
      <w:r w:rsidR="00044496" w:rsidRPr="00044496">
        <w:t>dopuszczenia się</w:t>
      </w:r>
      <w:r w:rsidR="0001099D" w:rsidRPr="00044496">
        <w:t xml:space="preserve"> cudzo</w:t>
      </w:r>
      <w:r w:rsidR="007954F8" w:rsidRPr="00044496">
        <w:t xml:space="preserve">łóstwa, </w:t>
      </w:r>
      <w:r w:rsidR="002E57D3">
        <w:t>które</w:t>
      </w:r>
      <w:r w:rsidR="007954F8" w:rsidRPr="00044496">
        <w:t xml:space="preserve"> w </w:t>
      </w:r>
      <w:r>
        <w:t xml:space="preserve">świetle </w:t>
      </w:r>
      <w:r w:rsidR="007954F8" w:rsidRPr="00044496">
        <w:t>praw</w:t>
      </w:r>
      <w:r>
        <w:t>a</w:t>
      </w:r>
      <w:r w:rsidR="007954F8" w:rsidRPr="00044496">
        <w:t xml:space="preserve"> </w:t>
      </w:r>
      <w:r w:rsidR="003A0D76">
        <w:t>islamski</w:t>
      </w:r>
      <w:r>
        <w:t>ego</w:t>
      </w:r>
      <w:r w:rsidR="002E57D3">
        <w:t xml:space="preserve"> jest przestępstwem</w:t>
      </w:r>
      <w:r>
        <w:t>,</w:t>
      </w:r>
      <w:r w:rsidR="0001099D" w:rsidRPr="00044496">
        <w:t xml:space="preserve"> i skazana</w:t>
      </w:r>
      <w:r w:rsidR="0001099D" w:rsidRPr="004939EF">
        <w:t xml:space="preserve"> na </w:t>
      </w:r>
      <w:r w:rsidR="002E57D3">
        <w:t xml:space="preserve">karę </w:t>
      </w:r>
      <w:r w:rsidR="0001099D" w:rsidRPr="004939EF">
        <w:t>ukamienowani</w:t>
      </w:r>
      <w:r w:rsidR="002E57D3">
        <w:t>a</w:t>
      </w:r>
      <w:r w:rsidR="0001099D" w:rsidRPr="004939EF">
        <w:t xml:space="preserve"> lub chłost</w:t>
      </w:r>
      <w:r w:rsidR="002E57D3">
        <w:t>y</w:t>
      </w:r>
      <w:r w:rsidR="0001099D" w:rsidRPr="004939EF">
        <w:t xml:space="preserve">. Przed Trybunałem </w:t>
      </w:r>
      <w:r>
        <w:t xml:space="preserve">podniosła </w:t>
      </w:r>
      <w:r w:rsidR="0001099D" w:rsidRPr="004939EF">
        <w:t>w szczególności, że</w:t>
      </w:r>
      <w:r w:rsidR="00044496">
        <w:t xml:space="preserve"> w </w:t>
      </w:r>
      <w:r w:rsidR="007954F8" w:rsidRPr="00044496">
        <w:t xml:space="preserve">przypadku jej deportacji do Iranu </w:t>
      </w:r>
      <w:r w:rsidR="00044496" w:rsidRPr="00044496">
        <w:t xml:space="preserve">naruszone </w:t>
      </w:r>
      <w:r>
        <w:t xml:space="preserve">zostanie </w:t>
      </w:r>
      <w:r w:rsidR="007954F8" w:rsidRPr="00044496">
        <w:t xml:space="preserve">jej </w:t>
      </w:r>
      <w:r w:rsidR="0001099D" w:rsidRPr="00044496">
        <w:t xml:space="preserve">prawo do </w:t>
      </w:r>
      <w:r w:rsidR="009F765E">
        <w:t>niepoddawania</w:t>
      </w:r>
      <w:r w:rsidR="009F765E" w:rsidRPr="00044496">
        <w:t xml:space="preserve"> </w:t>
      </w:r>
      <w:r w:rsidR="007954F8" w:rsidRPr="00044496">
        <w:t>złemu traktowaniu</w:t>
      </w:r>
      <w:r w:rsidR="0001099D" w:rsidRPr="00044496">
        <w:rPr>
          <w:color w:val="0071BB"/>
        </w:rPr>
        <w:t>.</w:t>
      </w:r>
    </w:p>
    <w:p w14:paraId="3D28F372" w14:textId="5AAEFACB" w:rsidR="00887F36" w:rsidRPr="0086569E" w:rsidRDefault="0001099D" w:rsidP="007954F8">
      <w:pPr>
        <w:pStyle w:val="Tekstpodstawowy"/>
        <w:ind w:right="716"/>
      </w:pPr>
      <w:r w:rsidRPr="004939EF">
        <w:rPr>
          <w:color w:val="0071BB"/>
        </w:rPr>
        <w:t xml:space="preserve">Trybunał postanowił zastosować Regułę 39 Regulaminu Trybunału, zwracając się do rządu tureckiego o </w:t>
      </w:r>
      <w:r w:rsidR="00BB1DD9">
        <w:rPr>
          <w:color w:val="0071BB"/>
        </w:rPr>
        <w:t>wstrzymanie</w:t>
      </w:r>
      <w:r w:rsidRPr="004939EF">
        <w:rPr>
          <w:color w:val="0071BB"/>
        </w:rPr>
        <w:t xml:space="preserve"> deportacji skarżącej do czasu rozstrzygnięcia toczącego </w:t>
      </w:r>
      <w:r w:rsidRPr="00A84643">
        <w:rPr>
          <w:color w:val="0071BB"/>
        </w:rPr>
        <w:t xml:space="preserve">się przed Trybunałem postępowania. </w:t>
      </w:r>
      <w:r w:rsidR="009F765E">
        <w:rPr>
          <w:color w:val="0071BB"/>
        </w:rPr>
        <w:t>S</w:t>
      </w:r>
      <w:r w:rsidR="00BC1D0A" w:rsidRPr="00A84643">
        <w:rPr>
          <w:color w:val="0071BB"/>
        </w:rPr>
        <w:t>tosowani</w:t>
      </w:r>
      <w:r w:rsidR="009F765E">
        <w:rPr>
          <w:color w:val="0071BB"/>
        </w:rPr>
        <w:t>e</w:t>
      </w:r>
      <w:r w:rsidR="00BC1D0A" w:rsidRPr="00A84643">
        <w:rPr>
          <w:color w:val="0071BB"/>
        </w:rPr>
        <w:t xml:space="preserve"> </w:t>
      </w:r>
      <w:r w:rsidRPr="00A84643">
        <w:rPr>
          <w:color w:val="0071BB"/>
        </w:rPr>
        <w:t xml:space="preserve">Reguły 39 </w:t>
      </w:r>
      <w:r w:rsidR="009F765E">
        <w:rPr>
          <w:color w:val="0071BB"/>
        </w:rPr>
        <w:t>uchylono</w:t>
      </w:r>
      <w:r w:rsidRPr="00A84643">
        <w:rPr>
          <w:color w:val="0071BB"/>
        </w:rPr>
        <w:t xml:space="preserve">, gdy </w:t>
      </w:r>
      <w:r w:rsidR="00BD6BD3">
        <w:rPr>
          <w:color w:val="0071BB"/>
        </w:rPr>
        <w:t xml:space="preserve">stał się </w:t>
      </w:r>
      <w:r w:rsidR="00BD6BD3" w:rsidRPr="0086569E">
        <w:t xml:space="preserve">ostateczny </w:t>
      </w:r>
      <w:r w:rsidRPr="0086569E">
        <w:t>wyrok</w:t>
      </w:r>
      <w:r w:rsidR="007954F8" w:rsidRPr="0086569E">
        <w:t xml:space="preserve">, </w:t>
      </w:r>
      <w:r w:rsidR="00BD6BD3" w:rsidRPr="0086569E">
        <w:t>w</w:t>
      </w:r>
      <w:r w:rsidR="007954F8" w:rsidRPr="0086569E">
        <w:t xml:space="preserve"> którym </w:t>
      </w:r>
      <w:r w:rsidR="00BD6BD3" w:rsidRPr="0086569E">
        <w:t xml:space="preserve">Trybunał uznał, że </w:t>
      </w:r>
      <w:r w:rsidRPr="0086569E">
        <w:t xml:space="preserve">wykonanie </w:t>
      </w:r>
      <w:r w:rsidR="00BD6BD3" w:rsidRPr="0086569E">
        <w:t>wydanej</w:t>
      </w:r>
      <w:r w:rsidR="007954F8" w:rsidRPr="0086569E">
        <w:t xml:space="preserve"> wobec skarżącej </w:t>
      </w:r>
      <w:r w:rsidR="00BD6BD3" w:rsidRPr="0086569E">
        <w:t xml:space="preserve">decyzji o deportacji </w:t>
      </w:r>
      <w:r w:rsidR="007954F8" w:rsidRPr="0086569E">
        <w:t>doprowadzi</w:t>
      </w:r>
      <w:r w:rsidRPr="0086569E">
        <w:t xml:space="preserve"> do naruszenia </w:t>
      </w:r>
      <w:r w:rsidR="007954F8" w:rsidRPr="0086569E">
        <w:t xml:space="preserve">art. </w:t>
      </w:r>
      <w:r w:rsidRPr="0086569E">
        <w:t>3 Konwencji.</w:t>
      </w:r>
    </w:p>
    <w:p w14:paraId="67103F18" w14:textId="77777777" w:rsidR="0001099D" w:rsidRPr="004939EF" w:rsidRDefault="0001099D">
      <w:pPr>
        <w:spacing w:before="120"/>
        <w:ind w:left="699"/>
        <w:jc w:val="both"/>
        <w:rPr>
          <w:b/>
          <w:i/>
          <w:sz w:val="20"/>
        </w:rPr>
      </w:pPr>
      <w:r w:rsidRPr="004939EF">
        <w:rPr>
          <w:b/>
          <w:i/>
          <w:color w:val="4D4D4D"/>
          <w:sz w:val="20"/>
        </w:rPr>
        <w:t>Groźba okaleczenia narządów płciowych</w:t>
      </w:r>
    </w:p>
    <w:p w14:paraId="75515E06" w14:textId="77777777" w:rsidR="0025631D" w:rsidRPr="004939EF" w:rsidRDefault="0001099D" w:rsidP="001E0356">
      <w:pPr>
        <w:spacing w:before="120"/>
        <w:ind w:left="699"/>
        <w:jc w:val="both"/>
        <w:rPr>
          <w:b/>
          <w:sz w:val="20"/>
        </w:rPr>
      </w:pPr>
      <w:r w:rsidRPr="004939EF">
        <w:rPr>
          <w:b/>
          <w:color w:val="0071BB"/>
          <w:sz w:val="20"/>
          <w:u w:val="thick" w:color="0071BB"/>
        </w:rPr>
        <w:t>Abraham Lunguli przeciwko</w:t>
      </w:r>
      <w:r w:rsidR="00D3520A" w:rsidRPr="004939EF">
        <w:rPr>
          <w:b/>
          <w:color w:val="0071BB"/>
          <w:sz w:val="20"/>
          <w:u w:val="thick" w:color="0071BB"/>
        </w:rPr>
        <w:t xml:space="preserve"> S</w:t>
      </w:r>
      <w:r w:rsidRPr="004939EF">
        <w:rPr>
          <w:b/>
          <w:color w:val="0071BB"/>
          <w:sz w:val="20"/>
          <w:u w:val="thick" w:color="0071BB"/>
        </w:rPr>
        <w:t>zwecji</w:t>
      </w:r>
    </w:p>
    <w:p w14:paraId="4D90F202" w14:textId="77777777" w:rsidR="0025631D" w:rsidRPr="004939EF" w:rsidRDefault="0001099D">
      <w:pPr>
        <w:spacing w:before="60" w:line="218" w:lineRule="exact"/>
        <w:ind w:left="700"/>
        <w:jc w:val="both"/>
        <w:rPr>
          <w:sz w:val="18"/>
        </w:rPr>
      </w:pPr>
      <w:r w:rsidRPr="004939EF">
        <w:rPr>
          <w:color w:val="808080"/>
          <w:sz w:val="18"/>
        </w:rPr>
        <w:t xml:space="preserve">1 lipca </w:t>
      </w:r>
      <w:r w:rsidR="00D3520A" w:rsidRPr="004939EF">
        <w:rPr>
          <w:color w:val="808080"/>
          <w:sz w:val="18"/>
        </w:rPr>
        <w:t>2003</w:t>
      </w:r>
      <w:r w:rsidR="007954F8">
        <w:rPr>
          <w:color w:val="808080"/>
          <w:sz w:val="18"/>
        </w:rPr>
        <w:t xml:space="preserve"> r.</w:t>
      </w:r>
      <w:r w:rsidR="00D3520A" w:rsidRPr="004939EF">
        <w:rPr>
          <w:color w:val="808080"/>
          <w:sz w:val="18"/>
        </w:rPr>
        <w:t xml:space="preserve"> </w:t>
      </w:r>
      <w:r w:rsidR="00D3520A" w:rsidRPr="007954F8">
        <w:rPr>
          <w:color w:val="808080"/>
          <w:sz w:val="18"/>
        </w:rPr>
        <w:t>(</w:t>
      </w:r>
      <w:r w:rsidR="007954F8" w:rsidRPr="007954F8">
        <w:rPr>
          <w:color w:val="808080"/>
          <w:sz w:val="18"/>
        </w:rPr>
        <w:t>decyzja o skreśleniu</w:t>
      </w:r>
      <w:r w:rsidR="00BD6BD3">
        <w:rPr>
          <w:color w:val="808080"/>
          <w:sz w:val="18"/>
        </w:rPr>
        <w:t xml:space="preserve"> skargi</w:t>
      </w:r>
      <w:r w:rsidR="00D3520A" w:rsidRPr="007954F8">
        <w:rPr>
          <w:color w:val="808080"/>
          <w:sz w:val="18"/>
        </w:rPr>
        <w:t>)</w:t>
      </w:r>
    </w:p>
    <w:p w14:paraId="4CA10ADF" w14:textId="05D821A1" w:rsidR="00887F36" w:rsidRPr="004939EF" w:rsidRDefault="00302B22">
      <w:pPr>
        <w:spacing w:before="60"/>
        <w:ind w:left="700" w:right="717"/>
        <w:jc w:val="both"/>
        <w:rPr>
          <w:sz w:val="20"/>
        </w:rPr>
      </w:pPr>
      <w:r w:rsidRPr="004939EF">
        <w:rPr>
          <w:sz w:val="20"/>
        </w:rPr>
        <w:t xml:space="preserve">Skarżąca </w:t>
      </w:r>
      <w:r w:rsidR="00741CE5">
        <w:rPr>
          <w:sz w:val="20"/>
        </w:rPr>
        <w:t>zarzuciła</w:t>
      </w:r>
      <w:r w:rsidRPr="004939EF">
        <w:rPr>
          <w:sz w:val="20"/>
        </w:rPr>
        <w:t xml:space="preserve">, że </w:t>
      </w:r>
      <w:r w:rsidR="00BD6BD3">
        <w:rPr>
          <w:sz w:val="20"/>
        </w:rPr>
        <w:t xml:space="preserve">powrót </w:t>
      </w:r>
      <w:r w:rsidR="007954F8">
        <w:rPr>
          <w:sz w:val="20"/>
        </w:rPr>
        <w:t xml:space="preserve">do Tanzanii </w:t>
      </w:r>
      <w:r w:rsidR="00BD6BD3">
        <w:rPr>
          <w:sz w:val="20"/>
        </w:rPr>
        <w:t>naraża</w:t>
      </w:r>
      <w:r w:rsidR="00BD6BD3" w:rsidRPr="004939EF">
        <w:rPr>
          <w:sz w:val="20"/>
        </w:rPr>
        <w:t xml:space="preserve"> </w:t>
      </w:r>
      <w:r w:rsidRPr="004939EF">
        <w:rPr>
          <w:sz w:val="20"/>
        </w:rPr>
        <w:t>j</w:t>
      </w:r>
      <w:r w:rsidR="00BD6BD3">
        <w:rPr>
          <w:sz w:val="20"/>
        </w:rPr>
        <w:t>ą</w:t>
      </w:r>
      <w:r w:rsidRPr="004939EF">
        <w:rPr>
          <w:sz w:val="20"/>
        </w:rPr>
        <w:t xml:space="preserve"> </w:t>
      </w:r>
      <w:r w:rsidR="00BB1DD9">
        <w:rPr>
          <w:sz w:val="20"/>
        </w:rPr>
        <w:t xml:space="preserve">na </w:t>
      </w:r>
      <w:r w:rsidRPr="004939EF">
        <w:rPr>
          <w:sz w:val="20"/>
        </w:rPr>
        <w:t>okaleczenie narządów płciowych.</w:t>
      </w:r>
    </w:p>
    <w:p w14:paraId="592AE62D" w14:textId="06E4AA77" w:rsidR="00887F36" w:rsidRPr="007954F8" w:rsidRDefault="00302B22" w:rsidP="006316AC">
      <w:pPr>
        <w:spacing w:before="60"/>
        <w:ind w:left="700" w:right="717"/>
        <w:jc w:val="both"/>
        <w:rPr>
          <w:color w:val="0070C0"/>
          <w:sz w:val="20"/>
        </w:rPr>
      </w:pPr>
      <w:r w:rsidRPr="007954F8">
        <w:rPr>
          <w:color w:val="0070C0"/>
          <w:sz w:val="20"/>
        </w:rPr>
        <w:t xml:space="preserve">W sprawie </w:t>
      </w:r>
      <w:r w:rsidR="00BD6BD3">
        <w:rPr>
          <w:color w:val="0070C0"/>
          <w:sz w:val="20"/>
        </w:rPr>
        <w:t xml:space="preserve">tej </w:t>
      </w:r>
      <w:r w:rsidRPr="007954F8">
        <w:rPr>
          <w:color w:val="0070C0"/>
          <w:sz w:val="20"/>
        </w:rPr>
        <w:t xml:space="preserve">Trybunał postanowił zastosować Regułę 39 Regulaminu Trybunału, </w:t>
      </w:r>
      <w:r w:rsidR="00BD6BD3">
        <w:rPr>
          <w:color w:val="0070C0"/>
          <w:sz w:val="20"/>
        </w:rPr>
        <w:t>zwracając się</w:t>
      </w:r>
      <w:r w:rsidR="00BD6BD3" w:rsidRPr="007954F8">
        <w:rPr>
          <w:color w:val="0070C0"/>
          <w:sz w:val="20"/>
        </w:rPr>
        <w:t xml:space="preserve"> </w:t>
      </w:r>
      <w:r w:rsidRPr="007954F8">
        <w:rPr>
          <w:color w:val="0070C0"/>
          <w:sz w:val="20"/>
        </w:rPr>
        <w:t xml:space="preserve">do rządu szwedzkiego o </w:t>
      </w:r>
      <w:r w:rsidR="007954F8">
        <w:rPr>
          <w:color w:val="0070C0"/>
          <w:sz w:val="20"/>
        </w:rPr>
        <w:t>wstrzymanie</w:t>
      </w:r>
      <w:r w:rsidRPr="007954F8">
        <w:rPr>
          <w:color w:val="0070C0"/>
          <w:sz w:val="20"/>
        </w:rPr>
        <w:t xml:space="preserve"> </w:t>
      </w:r>
      <w:r w:rsidR="008A18D4">
        <w:rPr>
          <w:color w:val="0070C0"/>
          <w:sz w:val="20"/>
        </w:rPr>
        <w:t>deportacji skarżącej do </w:t>
      </w:r>
      <w:r w:rsidRPr="006316AC">
        <w:rPr>
          <w:color w:val="0070C0"/>
          <w:sz w:val="20"/>
        </w:rPr>
        <w:t xml:space="preserve">czasu rozstrzygnięcia toczącego się przed Trybunałem postępowania. </w:t>
      </w:r>
      <w:r w:rsidR="007954F8" w:rsidRPr="006316AC">
        <w:rPr>
          <w:color w:val="0070C0"/>
          <w:sz w:val="20"/>
          <w:szCs w:val="20"/>
        </w:rPr>
        <w:t>Sprawa</w:t>
      </w:r>
      <w:r w:rsidR="00887F36" w:rsidRPr="006316AC">
        <w:rPr>
          <w:color w:val="0070C0"/>
          <w:sz w:val="20"/>
          <w:szCs w:val="20"/>
        </w:rPr>
        <w:t xml:space="preserve"> została skreślona z listy</w:t>
      </w:r>
      <w:r w:rsidR="00741CE5">
        <w:rPr>
          <w:color w:val="0070C0"/>
          <w:sz w:val="20"/>
          <w:szCs w:val="20"/>
        </w:rPr>
        <w:t xml:space="preserve"> spraw</w:t>
      </w:r>
      <w:r w:rsidR="00887F36" w:rsidRPr="006316AC">
        <w:rPr>
          <w:color w:val="0070C0"/>
          <w:sz w:val="20"/>
          <w:szCs w:val="20"/>
        </w:rPr>
        <w:t xml:space="preserve"> </w:t>
      </w:r>
      <w:r w:rsidRPr="006316AC">
        <w:rPr>
          <w:color w:val="0070C0"/>
          <w:sz w:val="20"/>
          <w:szCs w:val="20"/>
        </w:rPr>
        <w:t xml:space="preserve">Trybunału </w:t>
      </w:r>
      <w:r w:rsidR="00741CE5">
        <w:rPr>
          <w:color w:val="0070C0"/>
          <w:sz w:val="20"/>
          <w:szCs w:val="20"/>
        </w:rPr>
        <w:t>po tym, gdy skarżąca otrzymała</w:t>
      </w:r>
      <w:r w:rsidR="00887F36" w:rsidRPr="006316AC">
        <w:rPr>
          <w:color w:val="0070C0"/>
          <w:sz w:val="20"/>
          <w:szCs w:val="20"/>
        </w:rPr>
        <w:t xml:space="preserve"> </w:t>
      </w:r>
      <w:r w:rsidR="00BD6BD3">
        <w:rPr>
          <w:color w:val="0070C0"/>
          <w:sz w:val="20"/>
          <w:szCs w:val="20"/>
        </w:rPr>
        <w:t>zezwoleni</w:t>
      </w:r>
      <w:r w:rsidR="00741CE5">
        <w:rPr>
          <w:color w:val="0070C0"/>
          <w:sz w:val="20"/>
          <w:szCs w:val="20"/>
        </w:rPr>
        <w:t>e</w:t>
      </w:r>
      <w:r w:rsidR="00BD6BD3">
        <w:rPr>
          <w:color w:val="0070C0"/>
          <w:sz w:val="20"/>
          <w:szCs w:val="20"/>
        </w:rPr>
        <w:t xml:space="preserve"> na</w:t>
      </w:r>
      <w:r w:rsidR="00BD6BD3" w:rsidRPr="006316AC">
        <w:rPr>
          <w:color w:val="0070C0"/>
          <w:sz w:val="20"/>
          <w:szCs w:val="20"/>
        </w:rPr>
        <w:t xml:space="preserve"> </w:t>
      </w:r>
      <w:r w:rsidR="00887F36" w:rsidRPr="006316AC">
        <w:rPr>
          <w:color w:val="0070C0"/>
          <w:sz w:val="20"/>
          <w:szCs w:val="20"/>
        </w:rPr>
        <w:t>pobyt</w:t>
      </w:r>
      <w:r w:rsidR="006316AC">
        <w:rPr>
          <w:color w:val="0070C0"/>
          <w:sz w:val="20"/>
          <w:szCs w:val="20"/>
        </w:rPr>
        <w:t xml:space="preserve"> </w:t>
      </w:r>
      <w:r w:rsidR="00BD6BD3">
        <w:rPr>
          <w:color w:val="0070C0"/>
          <w:sz w:val="20"/>
          <w:szCs w:val="20"/>
        </w:rPr>
        <w:t>stały</w:t>
      </w:r>
      <w:r w:rsidR="00EC09BF">
        <w:rPr>
          <w:color w:val="0070C0"/>
          <w:sz w:val="20"/>
          <w:szCs w:val="20"/>
        </w:rPr>
        <w:t xml:space="preserve"> w Szwecji</w:t>
      </w:r>
      <w:r w:rsidR="006316AC">
        <w:rPr>
          <w:color w:val="0070C0"/>
          <w:sz w:val="20"/>
          <w:szCs w:val="20"/>
        </w:rPr>
        <w:t>.</w:t>
      </w:r>
      <w:r w:rsidR="00887F36" w:rsidRPr="006316AC">
        <w:rPr>
          <w:color w:val="0070C0"/>
          <w:sz w:val="20"/>
          <w:szCs w:val="20"/>
        </w:rPr>
        <w:t xml:space="preserve"> </w:t>
      </w:r>
    </w:p>
    <w:p w14:paraId="5DCD2C08" w14:textId="40A17E99" w:rsidR="007954F8" w:rsidRDefault="007954F8" w:rsidP="00DF40A4">
      <w:pPr>
        <w:pStyle w:val="Default"/>
        <w:ind w:left="709" w:right="669"/>
        <w:jc w:val="both"/>
        <w:rPr>
          <w:sz w:val="20"/>
          <w:szCs w:val="20"/>
        </w:rPr>
      </w:pPr>
      <w:r w:rsidRPr="007954F8">
        <w:rPr>
          <w:i/>
          <w:iCs/>
          <w:sz w:val="20"/>
        </w:rPr>
        <w:t>Zobacz także:</w:t>
      </w:r>
      <w:r w:rsidRPr="007954F8">
        <w:rPr>
          <w:sz w:val="20"/>
          <w:szCs w:val="20"/>
        </w:rPr>
        <w:t xml:space="preserve"> </w:t>
      </w:r>
      <w:r w:rsidRPr="00DF40A4">
        <w:rPr>
          <w:b/>
          <w:bCs/>
          <w:i/>
          <w:iCs/>
          <w:color w:val="0070C0"/>
          <w:sz w:val="20"/>
          <w:szCs w:val="20"/>
          <w:u w:val="single"/>
        </w:rPr>
        <w:t>Collins i Akaziebie przeciwko Szwecji</w:t>
      </w:r>
      <w:r w:rsidRPr="00DF40A4">
        <w:rPr>
          <w:color w:val="0070C0"/>
          <w:sz w:val="20"/>
          <w:szCs w:val="20"/>
          <w:u w:val="single"/>
        </w:rPr>
        <w:t>,</w:t>
      </w:r>
      <w:r w:rsidR="006316AC">
        <w:rPr>
          <w:sz w:val="20"/>
          <w:szCs w:val="20"/>
        </w:rPr>
        <w:t xml:space="preserve"> </w:t>
      </w:r>
      <w:r w:rsidR="006316AC" w:rsidRPr="007207FA">
        <w:rPr>
          <w:color w:val="auto"/>
          <w:sz w:val="20"/>
          <w:szCs w:val="20"/>
        </w:rPr>
        <w:t>decyzja (niedopuszczaln</w:t>
      </w:r>
      <w:r w:rsidR="00EC09BF">
        <w:rPr>
          <w:color w:val="auto"/>
          <w:sz w:val="20"/>
          <w:szCs w:val="20"/>
        </w:rPr>
        <w:t>ość</w:t>
      </w:r>
      <w:r w:rsidR="006316AC" w:rsidRPr="007207FA">
        <w:rPr>
          <w:color w:val="auto"/>
          <w:sz w:val="20"/>
          <w:szCs w:val="20"/>
        </w:rPr>
        <w:t>)</w:t>
      </w:r>
      <w:r w:rsidR="006316AC">
        <w:rPr>
          <w:sz w:val="20"/>
          <w:szCs w:val="20"/>
        </w:rPr>
        <w:t xml:space="preserve"> z </w:t>
      </w:r>
      <w:r w:rsidR="00BD6BD3">
        <w:rPr>
          <w:sz w:val="20"/>
          <w:szCs w:val="20"/>
        </w:rPr>
        <w:t xml:space="preserve">dnia </w:t>
      </w:r>
      <w:r w:rsidR="006316AC">
        <w:rPr>
          <w:sz w:val="20"/>
          <w:szCs w:val="20"/>
        </w:rPr>
        <w:t>8 </w:t>
      </w:r>
      <w:r w:rsidR="00DF40A4">
        <w:rPr>
          <w:sz w:val="20"/>
          <w:szCs w:val="20"/>
        </w:rPr>
        <w:t xml:space="preserve">marca </w:t>
      </w:r>
      <w:r>
        <w:rPr>
          <w:sz w:val="20"/>
          <w:szCs w:val="20"/>
        </w:rPr>
        <w:t>2007</w:t>
      </w:r>
      <w:r w:rsidR="00DF40A4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; </w:t>
      </w:r>
      <w:r w:rsidR="00DF40A4" w:rsidRPr="006316AC">
        <w:rPr>
          <w:b/>
          <w:bCs/>
          <w:i/>
          <w:iCs/>
          <w:color w:val="0070C0"/>
          <w:sz w:val="20"/>
          <w:szCs w:val="20"/>
          <w:u w:val="single"/>
        </w:rPr>
        <w:t xml:space="preserve">Izevbekhai przeciwko </w:t>
      </w:r>
      <w:r w:rsidRPr="006316AC">
        <w:rPr>
          <w:b/>
          <w:bCs/>
          <w:i/>
          <w:iCs/>
          <w:color w:val="0070C0"/>
          <w:sz w:val="20"/>
          <w:szCs w:val="20"/>
          <w:u w:val="single"/>
        </w:rPr>
        <w:t>Ir</w:t>
      </w:r>
      <w:r w:rsidR="00DF40A4" w:rsidRPr="006316AC">
        <w:rPr>
          <w:b/>
          <w:bCs/>
          <w:i/>
          <w:iCs/>
          <w:color w:val="0070C0"/>
          <w:sz w:val="20"/>
          <w:szCs w:val="20"/>
          <w:u w:val="single"/>
        </w:rPr>
        <w:t>landii</w:t>
      </w:r>
      <w:r w:rsidR="00DF40A4">
        <w:rPr>
          <w:sz w:val="20"/>
          <w:szCs w:val="20"/>
        </w:rPr>
        <w:t>,</w:t>
      </w:r>
      <w:r w:rsidR="006316AC">
        <w:rPr>
          <w:sz w:val="20"/>
          <w:szCs w:val="20"/>
        </w:rPr>
        <w:t xml:space="preserve"> decyzja (niedopuszczaln</w:t>
      </w:r>
      <w:r w:rsidR="00EC09BF">
        <w:rPr>
          <w:sz w:val="20"/>
          <w:szCs w:val="20"/>
        </w:rPr>
        <w:t>ość</w:t>
      </w:r>
      <w:r w:rsidR="006316AC">
        <w:rPr>
          <w:sz w:val="20"/>
          <w:szCs w:val="20"/>
        </w:rPr>
        <w:t>) z </w:t>
      </w:r>
      <w:r w:rsidR="00BD6BD3">
        <w:rPr>
          <w:sz w:val="20"/>
          <w:szCs w:val="20"/>
        </w:rPr>
        <w:t xml:space="preserve">dnia </w:t>
      </w:r>
      <w:r w:rsidR="006316AC">
        <w:rPr>
          <w:sz w:val="20"/>
          <w:szCs w:val="20"/>
        </w:rPr>
        <w:t>17 </w:t>
      </w:r>
      <w:r w:rsidR="00DF40A4">
        <w:rPr>
          <w:sz w:val="20"/>
          <w:szCs w:val="20"/>
        </w:rPr>
        <w:t>maja</w:t>
      </w:r>
      <w:r>
        <w:rPr>
          <w:sz w:val="20"/>
          <w:szCs w:val="20"/>
        </w:rPr>
        <w:t xml:space="preserve"> 2011</w:t>
      </w:r>
      <w:r w:rsidR="00DF40A4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; </w:t>
      </w:r>
      <w:r w:rsidR="00DF40A4" w:rsidRPr="006316AC">
        <w:rPr>
          <w:b/>
          <w:bCs/>
          <w:i/>
          <w:iCs/>
          <w:color w:val="0070C0"/>
          <w:sz w:val="20"/>
          <w:szCs w:val="20"/>
          <w:u w:val="single"/>
        </w:rPr>
        <w:t>Omeredo przeciwko Austrii</w:t>
      </w:r>
      <w:r w:rsidR="00DF40A4">
        <w:rPr>
          <w:sz w:val="20"/>
          <w:szCs w:val="20"/>
        </w:rPr>
        <w:t>,</w:t>
      </w:r>
      <w:r w:rsidR="006316AC">
        <w:rPr>
          <w:sz w:val="20"/>
          <w:szCs w:val="20"/>
        </w:rPr>
        <w:t xml:space="preserve"> decyzja (niedopuszczaln</w:t>
      </w:r>
      <w:r w:rsidR="00EC09BF">
        <w:rPr>
          <w:sz w:val="20"/>
          <w:szCs w:val="20"/>
        </w:rPr>
        <w:t>ość</w:t>
      </w:r>
      <w:r w:rsidR="006316AC">
        <w:rPr>
          <w:sz w:val="20"/>
          <w:szCs w:val="20"/>
        </w:rPr>
        <w:t>) z </w:t>
      </w:r>
      <w:r w:rsidR="00BD6BD3">
        <w:rPr>
          <w:sz w:val="20"/>
          <w:szCs w:val="20"/>
        </w:rPr>
        <w:t xml:space="preserve">dnia </w:t>
      </w:r>
      <w:r w:rsidR="006316AC">
        <w:rPr>
          <w:sz w:val="20"/>
          <w:szCs w:val="20"/>
        </w:rPr>
        <w:t>20 </w:t>
      </w:r>
      <w:r w:rsidR="00DF40A4">
        <w:rPr>
          <w:sz w:val="20"/>
          <w:szCs w:val="20"/>
        </w:rPr>
        <w:t xml:space="preserve">września </w:t>
      </w:r>
      <w:r>
        <w:rPr>
          <w:sz w:val="20"/>
          <w:szCs w:val="20"/>
        </w:rPr>
        <w:t>2011</w:t>
      </w:r>
      <w:r w:rsidR="006316AC">
        <w:rPr>
          <w:sz w:val="20"/>
          <w:szCs w:val="20"/>
        </w:rPr>
        <w:t> </w:t>
      </w:r>
      <w:r w:rsidR="00DF40A4">
        <w:rPr>
          <w:sz w:val="20"/>
          <w:szCs w:val="20"/>
        </w:rPr>
        <w:t>r.</w:t>
      </w:r>
      <w:r>
        <w:rPr>
          <w:sz w:val="20"/>
          <w:szCs w:val="20"/>
        </w:rPr>
        <w:t xml:space="preserve">; </w:t>
      </w:r>
      <w:r w:rsidR="00DF40A4" w:rsidRPr="006316AC">
        <w:rPr>
          <w:b/>
          <w:bCs/>
          <w:i/>
          <w:iCs/>
          <w:color w:val="0070C0"/>
          <w:sz w:val="20"/>
          <w:szCs w:val="20"/>
          <w:u w:val="single"/>
        </w:rPr>
        <w:t>Sow przeciwko</w:t>
      </w:r>
      <w:r w:rsidRPr="006316AC">
        <w:rPr>
          <w:b/>
          <w:bCs/>
          <w:i/>
          <w:iCs/>
          <w:color w:val="0070C0"/>
          <w:sz w:val="20"/>
          <w:szCs w:val="20"/>
          <w:u w:val="single"/>
        </w:rPr>
        <w:t xml:space="preserve"> Belgi</w:t>
      </w:r>
      <w:r w:rsidR="00DF40A4" w:rsidRPr="006316AC">
        <w:rPr>
          <w:b/>
          <w:bCs/>
          <w:i/>
          <w:iCs/>
          <w:color w:val="0070C0"/>
          <w:sz w:val="20"/>
          <w:szCs w:val="20"/>
          <w:u w:val="single"/>
        </w:rPr>
        <w:t>i</w:t>
      </w:r>
      <w:r w:rsidR="00DF40A4" w:rsidRPr="006316AC">
        <w:rPr>
          <w:color w:val="0070C0"/>
          <w:sz w:val="20"/>
          <w:szCs w:val="20"/>
          <w:u w:val="single"/>
        </w:rPr>
        <w:t xml:space="preserve">, </w:t>
      </w:r>
      <w:r w:rsidR="00DF40A4">
        <w:rPr>
          <w:sz w:val="20"/>
          <w:szCs w:val="20"/>
        </w:rPr>
        <w:t xml:space="preserve">wyrok z </w:t>
      </w:r>
      <w:r w:rsidR="00BD6BD3">
        <w:rPr>
          <w:sz w:val="20"/>
          <w:szCs w:val="20"/>
        </w:rPr>
        <w:t xml:space="preserve">dnia </w:t>
      </w:r>
      <w:r w:rsidR="00DF40A4">
        <w:rPr>
          <w:sz w:val="20"/>
          <w:szCs w:val="20"/>
        </w:rPr>
        <w:t>19 stycznia</w:t>
      </w:r>
      <w:r>
        <w:rPr>
          <w:sz w:val="20"/>
          <w:szCs w:val="20"/>
        </w:rPr>
        <w:t xml:space="preserve"> 2016</w:t>
      </w:r>
      <w:r w:rsidR="00DF40A4">
        <w:rPr>
          <w:sz w:val="20"/>
          <w:szCs w:val="20"/>
        </w:rPr>
        <w:t xml:space="preserve"> r</w:t>
      </w:r>
      <w:r>
        <w:rPr>
          <w:sz w:val="20"/>
          <w:szCs w:val="20"/>
        </w:rPr>
        <w:t xml:space="preserve">. </w:t>
      </w:r>
    </w:p>
    <w:p w14:paraId="231F0706" w14:textId="77777777" w:rsidR="00302B22" w:rsidRPr="004939EF" w:rsidRDefault="00302B22">
      <w:pPr>
        <w:spacing w:before="120"/>
        <w:ind w:left="700"/>
        <w:jc w:val="both"/>
        <w:rPr>
          <w:b/>
          <w:i/>
          <w:sz w:val="20"/>
        </w:rPr>
      </w:pPr>
      <w:r w:rsidRPr="004939EF">
        <w:rPr>
          <w:b/>
          <w:i/>
          <w:color w:val="4D4D4D"/>
          <w:sz w:val="20"/>
        </w:rPr>
        <w:t>Groźba wykluczenia społecznego</w:t>
      </w:r>
    </w:p>
    <w:p w14:paraId="785D3C08" w14:textId="77777777" w:rsidR="0025631D" w:rsidRPr="004939EF" w:rsidRDefault="00302B22" w:rsidP="00DF40A4">
      <w:pPr>
        <w:spacing w:before="119"/>
        <w:ind w:left="700"/>
        <w:jc w:val="both"/>
        <w:rPr>
          <w:b/>
          <w:sz w:val="20"/>
        </w:rPr>
      </w:pPr>
      <w:r w:rsidRPr="004939EF">
        <w:rPr>
          <w:b/>
          <w:color w:val="0071BB"/>
          <w:sz w:val="20"/>
          <w:u w:val="thick" w:color="0071BB"/>
        </w:rPr>
        <w:t>Hossein Kheel przeciwko</w:t>
      </w:r>
      <w:r w:rsidR="00D3520A" w:rsidRPr="004939EF">
        <w:rPr>
          <w:b/>
          <w:color w:val="0071BB"/>
          <w:sz w:val="20"/>
          <w:u w:val="thick" w:color="0071BB"/>
        </w:rPr>
        <w:t xml:space="preserve"> </w:t>
      </w:r>
      <w:r w:rsidR="00DF40A4">
        <w:rPr>
          <w:b/>
          <w:color w:val="0071BB"/>
          <w:sz w:val="20"/>
          <w:u w:val="thick" w:color="0071BB"/>
        </w:rPr>
        <w:t>Holandii</w:t>
      </w:r>
    </w:p>
    <w:p w14:paraId="2BD4EA5B" w14:textId="77777777" w:rsidR="0025631D" w:rsidRPr="004939EF" w:rsidRDefault="00DF40A4">
      <w:pPr>
        <w:spacing w:before="61"/>
        <w:ind w:left="700"/>
        <w:jc w:val="both"/>
        <w:rPr>
          <w:sz w:val="18"/>
        </w:rPr>
      </w:pPr>
      <w:r>
        <w:rPr>
          <w:color w:val="808080"/>
          <w:sz w:val="18"/>
        </w:rPr>
        <w:t>16 grudnia</w:t>
      </w:r>
      <w:r w:rsidR="00D3520A" w:rsidRPr="004939EF">
        <w:rPr>
          <w:color w:val="808080"/>
          <w:sz w:val="18"/>
        </w:rPr>
        <w:t xml:space="preserve"> 2008</w:t>
      </w:r>
      <w:r>
        <w:rPr>
          <w:color w:val="808080"/>
          <w:sz w:val="18"/>
        </w:rPr>
        <w:t xml:space="preserve"> r. (decyzja o skreśleniu</w:t>
      </w:r>
      <w:r w:rsidR="00BD6BD3">
        <w:rPr>
          <w:color w:val="808080"/>
          <w:sz w:val="18"/>
        </w:rPr>
        <w:t xml:space="preserve"> skargi</w:t>
      </w:r>
      <w:r w:rsidR="00D3520A" w:rsidRPr="004939EF">
        <w:rPr>
          <w:color w:val="808080"/>
          <w:sz w:val="18"/>
        </w:rPr>
        <w:t>)</w:t>
      </w:r>
    </w:p>
    <w:p w14:paraId="222F6AD2" w14:textId="50415CB6" w:rsidR="00887F36" w:rsidRPr="004939EF" w:rsidRDefault="00EC09BF" w:rsidP="00DF40A4">
      <w:pPr>
        <w:pStyle w:val="Tekstpodstawowy"/>
        <w:spacing w:before="59"/>
        <w:ind w:right="716"/>
      </w:pPr>
      <w:r>
        <w:t xml:space="preserve">Skarżącej, obywatelce </w:t>
      </w:r>
      <w:r w:rsidR="00DF40A4">
        <w:t>Afganistanu groził</w:t>
      </w:r>
      <w:r>
        <w:t>o, że zostanie deportowana</w:t>
      </w:r>
      <w:r w:rsidR="00DF40A4">
        <w:t xml:space="preserve"> </w:t>
      </w:r>
      <w:r w:rsidR="00302B22" w:rsidRPr="004939EF">
        <w:t xml:space="preserve">bez męża </w:t>
      </w:r>
      <w:r>
        <w:t>i</w:t>
      </w:r>
      <w:r w:rsidRPr="004939EF">
        <w:t xml:space="preserve"> </w:t>
      </w:r>
      <w:r w:rsidR="00302B22" w:rsidRPr="004939EF">
        <w:t xml:space="preserve">dzieci, </w:t>
      </w:r>
      <w:r w:rsidR="00BD6BD3">
        <w:t>którzy byli</w:t>
      </w:r>
      <w:r w:rsidR="00BD6BD3" w:rsidRPr="004939EF">
        <w:t xml:space="preserve"> </w:t>
      </w:r>
      <w:r w:rsidR="00302B22" w:rsidRPr="004939EF">
        <w:t>obywatelami Holandii.</w:t>
      </w:r>
    </w:p>
    <w:p w14:paraId="1021B1E4" w14:textId="3D7D2955" w:rsidR="00887F36" w:rsidRPr="004939EF" w:rsidRDefault="00302B22" w:rsidP="006316AC">
      <w:pPr>
        <w:pStyle w:val="Tekstpodstawowy"/>
        <w:spacing w:before="59"/>
        <w:ind w:right="716"/>
        <w:rPr>
          <w:color w:val="0070C0"/>
        </w:rPr>
      </w:pPr>
      <w:r w:rsidRPr="004939EF">
        <w:rPr>
          <w:color w:val="0070C0"/>
        </w:rPr>
        <w:t xml:space="preserve">W świetle </w:t>
      </w:r>
      <w:r w:rsidR="00BD6BD3">
        <w:rPr>
          <w:color w:val="0070C0"/>
        </w:rPr>
        <w:t>obszernych</w:t>
      </w:r>
      <w:r w:rsidR="00BD6BD3" w:rsidRPr="004939EF">
        <w:rPr>
          <w:color w:val="0070C0"/>
        </w:rPr>
        <w:t xml:space="preserve"> </w:t>
      </w:r>
      <w:r w:rsidRPr="004939EF">
        <w:rPr>
          <w:color w:val="0070C0"/>
        </w:rPr>
        <w:t xml:space="preserve">informacji o </w:t>
      </w:r>
      <w:r w:rsidR="006316AC">
        <w:rPr>
          <w:color w:val="0070C0"/>
        </w:rPr>
        <w:t xml:space="preserve">trudnej </w:t>
      </w:r>
      <w:r w:rsidR="00682991" w:rsidRPr="004939EF">
        <w:rPr>
          <w:color w:val="0070C0"/>
        </w:rPr>
        <w:t>sytuacji samotnych kobiet w Afganistanie</w:t>
      </w:r>
      <w:r w:rsidR="003A0D76">
        <w:rPr>
          <w:color w:val="0070C0"/>
        </w:rPr>
        <w:t>, a </w:t>
      </w:r>
      <w:r w:rsidR="00682991" w:rsidRPr="004939EF">
        <w:rPr>
          <w:color w:val="0070C0"/>
        </w:rPr>
        <w:t>także uwag skarżącej, że nie ma ona krewnego płci męskiej, kt</w:t>
      </w:r>
      <w:r w:rsidR="005B7ACC" w:rsidRPr="004939EF">
        <w:rPr>
          <w:color w:val="0070C0"/>
        </w:rPr>
        <w:t>óry mógłby zapewnić jej ochronę</w:t>
      </w:r>
      <w:r w:rsidR="00682991" w:rsidRPr="004939EF">
        <w:rPr>
          <w:color w:val="0070C0"/>
        </w:rPr>
        <w:t>, Trybunał postanowił zastosować R</w:t>
      </w:r>
      <w:r w:rsidR="00DF40A4">
        <w:rPr>
          <w:color w:val="0070C0"/>
        </w:rPr>
        <w:t>e</w:t>
      </w:r>
      <w:r w:rsidR="00682991" w:rsidRPr="004939EF">
        <w:rPr>
          <w:color w:val="0070C0"/>
        </w:rPr>
        <w:t>gułę 39</w:t>
      </w:r>
      <w:r w:rsidR="00DF40A4">
        <w:rPr>
          <w:color w:val="0070C0"/>
        </w:rPr>
        <w:t xml:space="preserve"> Regulaminu Trybunału i </w:t>
      </w:r>
      <w:r w:rsidR="006D578E">
        <w:rPr>
          <w:color w:val="0070C0"/>
        </w:rPr>
        <w:t>zwrócić się</w:t>
      </w:r>
      <w:r w:rsidR="006D578E" w:rsidRPr="004939EF">
        <w:rPr>
          <w:color w:val="0070C0"/>
        </w:rPr>
        <w:t xml:space="preserve"> </w:t>
      </w:r>
      <w:r w:rsidR="00682991" w:rsidRPr="004939EF">
        <w:rPr>
          <w:color w:val="0070C0"/>
        </w:rPr>
        <w:t xml:space="preserve">do władz o </w:t>
      </w:r>
      <w:r w:rsidR="005B7ACC" w:rsidRPr="004939EF">
        <w:rPr>
          <w:color w:val="0070C0"/>
        </w:rPr>
        <w:t>wstrzymanie</w:t>
      </w:r>
      <w:r w:rsidR="00DF40A4">
        <w:rPr>
          <w:color w:val="0070C0"/>
        </w:rPr>
        <w:t xml:space="preserve"> jej</w:t>
      </w:r>
      <w:r w:rsidR="005B7ACC" w:rsidRPr="004939EF">
        <w:rPr>
          <w:color w:val="0070C0"/>
        </w:rPr>
        <w:t xml:space="preserve"> deportacji do czasu rozpoznania jej </w:t>
      </w:r>
      <w:r w:rsidR="005B7ACC" w:rsidRPr="006316AC">
        <w:rPr>
          <w:color w:val="0070C0"/>
        </w:rPr>
        <w:t>skargi przez Tryb</w:t>
      </w:r>
      <w:r w:rsidR="0060223E" w:rsidRPr="006316AC">
        <w:rPr>
          <w:color w:val="0070C0"/>
        </w:rPr>
        <w:t xml:space="preserve">unał. Środek został uchylony w następstwie </w:t>
      </w:r>
      <w:r w:rsidR="0080022B">
        <w:rPr>
          <w:color w:val="0070C0"/>
        </w:rPr>
        <w:t xml:space="preserve">przyznania </w:t>
      </w:r>
      <w:r w:rsidR="00601572">
        <w:rPr>
          <w:color w:val="0070C0"/>
        </w:rPr>
        <w:t>skarżącej</w:t>
      </w:r>
      <w:r w:rsidR="0080022B">
        <w:rPr>
          <w:color w:val="0070C0"/>
        </w:rPr>
        <w:t xml:space="preserve"> </w:t>
      </w:r>
      <w:r w:rsidR="006D578E" w:rsidRPr="006316AC">
        <w:rPr>
          <w:color w:val="0070C0"/>
        </w:rPr>
        <w:t>przez rząd holenderski</w:t>
      </w:r>
      <w:r w:rsidR="006D578E">
        <w:rPr>
          <w:color w:val="0070C0"/>
        </w:rPr>
        <w:t xml:space="preserve"> ze</w:t>
      </w:r>
      <w:r w:rsidR="006D578E" w:rsidRPr="006316AC">
        <w:rPr>
          <w:color w:val="0070C0"/>
        </w:rPr>
        <w:t xml:space="preserve">zwolenia </w:t>
      </w:r>
      <w:r w:rsidR="0060223E" w:rsidRPr="006316AC">
        <w:rPr>
          <w:color w:val="0070C0"/>
        </w:rPr>
        <w:t>na pobyt.</w:t>
      </w:r>
    </w:p>
    <w:p w14:paraId="77B222C2" w14:textId="37CABDD8" w:rsidR="0060223E" w:rsidRPr="004939EF" w:rsidRDefault="0060223E" w:rsidP="00DF40A4">
      <w:pPr>
        <w:pStyle w:val="Tekstpodstawowy"/>
        <w:spacing w:before="59"/>
        <w:ind w:right="716"/>
      </w:pPr>
      <w:r w:rsidRPr="004939EF">
        <w:rPr>
          <w:i/>
          <w:iCs/>
        </w:rPr>
        <w:t>Zobacz także</w:t>
      </w:r>
      <w:r w:rsidRPr="004939EF">
        <w:t xml:space="preserve">: </w:t>
      </w:r>
      <w:r w:rsidR="00DF40A4" w:rsidRPr="00DF40A4">
        <w:rPr>
          <w:b/>
          <w:bCs/>
          <w:i/>
          <w:iCs/>
          <w:color w:val="0070C0"/>
          <w:u w:val="single"/>
        </w:rPr>
        <w:t>N. przeciwko Szwecji (skarga nr 23505/09)</w:t>
      </w:r>
      <w:r w:rsidR="0080022B">
        <w:t xml:space="preserve">, </w:t>
      </w:r>
      <w:r w:rsidRPr="004939EF">
        <w:t xml:space="preserve">wyrok z </w:t>
      </w:r>
      <w:r w:rsidR="006D578E">
        <w:t xml:space="preserve">dnia </w:t>
      </w:r>
      <w:r w:rsidRPr="004939EF">
        <w:t>20 lipca 2010 r. dotyczący</w:t>
      </w:r>
      <w:r w:rsidR="00DF40A4">
        <w:t xml:space="preserve"> groźby złego traktowania w przypadku</w:t>
      </w:r>
      <w:r w:rsidRPr="004939EF">
        <w:t xml:space="preserve"> deportacji do Afganistanu kobiety</w:t>
      </w:r>
      <w:r w:rsidR="006D578E">
        <w:t>, którą</w:t>
      </w:r>
      <w:r w:rsidRPr="004939EF">
        <w:t xml:space="preserve"> </w:t>
      </w:r>
      <w:r w:rsidR="0080022B">
        <w:t>oddzielono od jej męża</w:t>
      </w:r>
      <w:r w:rsidRPr="004939EF">
        <w:t>.</w:t>
      </w:r>
    </w:p>
    <w:p w14:paraId="7468A44C" w14:textId="77777777" w:rsidR="00455804" w:rsidRDefault="00455804">
      <w:pPr>
        <w:spacing w:before="121"/>
        <w:ind w:left="700"/>
        <w:jc w:val="both"/>
        <w:rPr>
          <w:b/>
          <w:i/>
          <w:color w:val="4D4D4D"/>
          <w:sz w:val="20"/>
        </w:rPr>
      </w:pPr>
    </w:p>
    <w:p w14:paraId="07EC6FC1" w14:textId="77777777" w:rsidR="0025631D" w:rsidRPr="004939EF" w:rsidRDefault="0060223E">
      <w:pPr>
        <w:spacing w:before="121"/>
        <w:ind w:left="700"/>
        <w:jc w:val="both"/>
        <w:rPr>
          <w:b/>
          <w:i/>
          <w:sz w:val="20"/>
        </w:rPr>
      </w:pPr>
      <w:r w:rsidRPr="004939EF">
        <w:rPr>
          <w:b/>
          <w:i/>
          <w:color w:val="4D4D4D"/>
          <w:sz w:val="20"/>
        </w:rPr>
        <w:lastRenderedPageBreak/>
        <w:t>Groźba wykorzystania seksualnego</w:t>
      </w:r>
    </w:p>
    <w:p w14:paraId="1487FB95" w14:textId="77777777" w:rsidR="0025631D" w:rsidRPr="00AC0647" w:rsidRDefault="00DF40A4" w:rsidP="001E0356">
      <w:pPr>
        <w:spacing w:before="120"/>
        <w:ind w:left="700"/>
        <w:jc w:val="both"/>
        <w:rPr>
          <w:b/>
          <w:bCs/>
          <w:color w:val="0070C0"/>
          <w:sz w:val="20"/>
          <w:szCs w:val="20"/>
          <w:u w:val="single"/>
        </w:rPr>
      </w:pPr>
      <w:r w:rsidRPr="00AC0647">
        <w:rPr>
          <w:b/>
          <w:bCs/>
          <w:color w:val="0070C0"/>
          <w:sz w:val="20"/>
          <w:szCs w:val="20"/>
          <w:u w:val="single"/>
        </w:rPr>
        <w:t>M. przeciwko Zjednoczonemu Królestwu (skarga nr 16081/08)</w:t>
      </w:r>
    </w:p>
    <w:p w14:paraId="3FCB4D02" w14:textId="77777777" w:rsidR="0025631D" w:rsidRPr="004939EF" w:rsidRDefault="0060223E">
      <w:pPr>
        <w:spacing w:before="60" w:line="218" w:lineRule="exact"/>
        <w:ind w:left="700"/>
        <w:jc w:val="both"/>
        <w:rPr>
          <w:sz w:val="18"/>
        </w:rPr>
      </w:pPr>
      <w:r w:rsidRPr="004939EF">
        <w:rPr>
          <w:color w:val="808080"/>
          <w:sz w:val="18"/>
        </w:rPr>
        <w:t xml:space="preserve">1 grudnia </w:t>
      </w:r>
      <w:r w:rsidR="00D3520A" w:rsidRPr="004939EF">
        <w:rPr>
          <w:color w:val="808080"/>
          <w:sz w:val="18"/>
        </w:rPr>
        <w:t xml:space="preserve">2009 </w:t>
      </w:r>
      <w:r w:rsidR="00DF40A4">
        <w:rPr>
          <w:color w:val="808080"/>
          <w:sz w:val="18"/>
        </w:rPr>
        <w:t xml:space="preserve">r. </w:t>
      </w:r>
      <w:r w:rsidR="00D3520A" w:rsidRPr="004939EF">
        <w:rPr>
          <w:color w:val="808080"/>
          <w:sz w:val="18"/>
        </w:rPr>
        <w:t>(</w:t>
      </w:r>
      <w:r w:rsidR="00DF40A4">
        <w:rPr>
          <w:color w:val="808080"/>
          <w:sz w:val="18"/>
        </w:rPr>
        <w:t>decyzja o skreśleniu</w:t>
      </w:r>
      <w:r w:rsidR="006D578E">
        <w:rPr>
          <w:color w:val="808080"/>
          <w:sz w:val="18"/>
        </w:rPr>
        <w:t xml:space="preserve"> skargi</w:t>
      </w:r>
      <w:r w:rsidR="00D3520A" w:rsidRPr="004939EF">
        <w:rPr>
          <w:color w:val="808080"/>
          <w:sz w:val="18"/>
        </w:rPr>
        <w:t>)</w:t>
      </w:r>
    </w:p>
    <w:p w14:paraId="7556234F" w14:textId="6F8A4364" w:rsidR="006316AC" w:rsidRDefault="00DF40A4" w:rsidP="006316AC">
      <w:pPr>
        <w:pStyle w:val="Tekstpodstawowy"/>
        <w:ind w:right="714"/>
      </w:pPr>
      <w:r w:rsidRPr="004939EF">
        <w:t>Skarżąca podniosła, że była ofiarą handlu ludźmi i przym</w:t>
      </w:r>
      <w:r w:rsidR="00077CCF">
        <w:t xml:space="preserve">usowej prostytucji w Ugandzie, </w:t>
      </w:r>
      <w:r w:rsidRPr="004939EF">
        <w:t xml:space="preserve">kraju jej pochodzenia. </w:t>
      </w:r>
      <w:r w:rsidR="0080022B">
        <w:t>Zarzuciła</w:t>
      </w:r>
      <w:r w:rsidRPr="004939EF">
        <w:t xml:space="preserve">, że </w:t>
      </w:r>
      <w:r w:rsidR="0080022B">
        <w:t xml:space="preserve">w razie </w:t>
      </w:r>
      <w:r w:rsidR="00D66D2A">
        <w:t>jej deportacji zachodzi ryzyko, że</w:t>
      </w:r>
      <w:r w:rsidR="006316AC">
        <w:t xml:space="preserve"> może zostać odnaleziona przez</w:t>
      </w:r>
      <w:r w:rsidRPr="004939EF">
        <w:t xml:space="preserve"> handlarzy ludźmi i </w:t>
      </w:r>
      <w:r w:rsidR="006316AC" w:rsidRPr="004939EF">
        <w:t xml:space="preserve">ponownie </w:t>
      </w:r>
      <w:r w:rsidRPr="004939EF">
        <w:t>poddana wykorzystywaniu seksualnemu.</w:t>
      </w:r>
      <w:r w:rsidR="006316AC">
        <w:t xml:space="preserve"> </w:t>
      </w:r>
    </w:p>
    <w:p w14:paraId="049588E3" w14:textId="3B63CC13" w:rsidR="0060223E" w:rsidRPr="00146637" w:rsidRDefault="0060223E" w:rsidP="006316AC">
      <w:pPr>
        <w:pStyle w:val="Tekstpodstawowy"/>
        <w:ind w:right="714"/>
      </w:pPr>
      <w:r w:rsidRPr="004939EF">
        <w:rPr>
          <w:color w:val="0071BB"/>
        </w:rPr>
        <w:t>W sprawie</w:t>
      </w:r>
      <w:r w:rsidR="006D578E">
        <w:rPr>
          <w:color w:val="0071BB"/>
        </w:rPr>
        <w:t xml:space="preserve"> tej</w:t>
      </w:r>
      <w:r w:rsidRPr="004939EF">
        <w:rPr>
          <w:color w:val="0071BB"/>
        </w:rPr>
        <w:t xml:space="preserve"> Trybunał postanowił zastosować Reguł</w:t>
      </w:r>
      <w:r w:rsidR="00146637">
        <w:rPr>
          <w:color w:val="0071BB"/>
        </w:rPr>
        <w:t>ę</w:t>
      </w:r>
      <w:r w:rsidRPr="004939EF">
        <w:rPr>
          <w:color w:val="0071BB"/>
        </w:rPr>
        <w:t xml:space="preserve"> 39 Regulaminu Trybunału, </w:t>
      </w:r>
      <w:r w:rsidR="006D578E">
        <w:rPr>
          <w:color w:val="0071BB"/>
        </w:rPr>
        <w:t>zwracając się</w:t>
      </w:r>
      <w:r w:rsidR="006D578E" w:rsidRPr="004939EF">
        <w:rPr>
          <w:color w:val="0071BB"/>
        </w:rPr>
        <w:t xml:space="preserve"> </w:t>
      </w:r>
      <w:r w:rsidRPr="004939EF">
        <w:rPr>
          <w:color w:val="0071BB"/>
        </w:rPr>
        <w:t>do rz</w:t>
      </w:r>
      <w:r w:rsidR="00146637">
        <w:rPr>
          <w:color w:val="0071BB"/>
        </w:rPr>
        <w:t xml:space="preserve">ądu Zjednoczonego Królestwa o </w:t>
      </w:r>
      <w:r w:rsidRPr="004939EF">
        <w:rPr>
          <w:color w:val="0071BB"/>
        </w:rPr>
        <w:t xml:space="preserve">wstrzymanie deportacji skarżącej do czasu </w:t>
      </w:r>
      <w:r w:rsidR="009D28E2" w:rsidRPr="00146637">
        <w:rPr>
          <w:color w:val="0070C0"/>
        </w:rPr>
        <w:t xml:space="preserve">rozstrzygnięcia </w:t>
      </w:r>
      <w:r w:rsidR="00D66D2A" w:rsidRPr="00A84643">
        <w:rPr>
          <w:color w:val="0070C0"/>
        </w:rPr>
        <w:t>postępowania</w:t>
      </w:r>
      <w:r w:rsidR="00D66D2A" w:rsidRPr="00146637">
        <w:rPr>
          <w:color w:val="0070C0"/>
        </w:rPr>
        <w:t xml:space="preserve"> </w:t>
      </w:r>
      <w:r w:rsidR="009D28E2" w:rsidRPr="00A84643">
        <w:rPr>
          <w:color w:val="0070C0"/>
        </w:rPr>
        <w:t>przed Trybunałem. Ostatecznie skarga została skreślona z listy w następstwie zawarcia ugody pomiędzy rządem a skarżącą.</w:t>
      </w:r>
    </w:p>
    <w:p w14:paraId="30617BAD" w14:textId="77777777" w:rsidR="0025631D" w:rsidRPr="004939EF" w:rsidRDefault="009D28E2" w:rsidP="00455804">
      <w:pPr>
        <w:pStyle w:val="Nagwek21"/>
        <w:spacing w:before="240" w:after="240"/>
      </w:pPr>
      <w:r w:rsidRPr="004939EF">
        <w:rPr>
          <w:color w:val="7E7E7E"/>
        </w:rPr>
        <w:t>Przypadki wydalenia z</w:t>
      </w:r>
      <w:r w:rsidR="00BB1DD9">
        <w:rPr>
          <w:color w:val="7E7E7E"/>
        </w:rPr>
        <w:t>wiązane z</w:t>
      </w:r>
      <w:r w:rsidRPr="004939EF">
        <w:rPr>
          <w:color w:val="7E7E7E"/>
        </w:rPr>
        <w:t xml:space="preserve"> </w:t>
      </w:r>
      <w:r w:rsidR="00BB1DD9">
        <w:rPr>
          <w:color w:val="7E7E7E"/>
        </w:rPr>
        <w:t>aspektem</w:t>
      </w:r>
      <w:r w:rsidR="00BB1DD9" w:rsidRPr="004939EF">
        <w:rPr>
          <w:color w:val="7E7E7E"/>
        </w:rPr>
        <w:t xml:space="preserve"> </w:t>
      </w:r>
      <w:r w:rsidRPr="004939EF">
        <w:rPr>
          <w:color w:val="7E7E7E"/>
        </w:rPr>
        <w:t xml:space="preserve">zdrowotnym/medycznym </w:t>
      </w:r>
    </w:p>
    <w:p w14:paraId="26D27B4F" w14:textId="77777777" w:rsidR="0025631D" w:rsidRPr="00AC0647" w:rsidRDefault="00AC0647" w:rsidP="001E0356">
      <w:pPr>
        <w:pStyle w:val="Nagwek31"/>
        <w:spacing w:before="120"/>
        <w:rPr>
          <w:color w:val="0070C0"/>
        </w:rPr>
      </w:pPr>
      <w:r w:rsidRPr="00AC0647">
        <w:rPr>
          <w:color w:val="0070C0"/>
        </w:rPr>
        <w:t>D. przeciwko Zjednoczonemu Królestwu (skarga nr 30240/96)</w:t>
      </w:r>
    </w:p>
    <w:p w14:paraId="73D148E8" w14:textId="77777777" w:rsidR="0025631D" w:rsidRPr="004939EF" w:rsidRDefault="009D28E2">
      <w:pPr>
        <w:spacing w:before="63" w:line="218" w:lineRule="exact"/>
        <w:ind w:left="700"/>
        <w:jc w:val="both"/>
        <w:rPr>
          <w:sz w:val="18"/>
        </w:rPr>
      </w:pPr>
      <w:r w:rsidRPr="004939EF">
        <w:rPr>
          <w:color w:val="808080"/>
          <w:sz w:val="18"/>
        </w:rPr>
        <w:t>2 maja 1997</w:t>
      </w:r>
      <w:r w:rsidR="00AC0647">
        <w:rPr>
          <w:color w:val="808080"/>
          <w:sz w:val="18"/>
        </w:rPr>
        <w:t xml:space="preserve"> r.</w:t>
      </w:r>
      <w:r w:rsidRPr="004939EF">
        <w:rPr>
          <w:color w:val="808080"/>
          <w:sz w:val="18"/>
        </w:rPr>
        <w:t xml:space="preserve"> (wyrok</w:t>
      </w:r>
      <w:r w:rsidR="00D3520A" w:rsidRPr="004939EF">
        <w:rPr>
          <w:color w:val="808080"/>
          <w:sz w:val="18"/>
        </w:rPr>
        <w:t>)</w:t>
      </w:r>
    </w:p>
    <w:p w14:paraId="3EE6E9DD" w14:textId="5A8F1899" w:rsidR="00903168" w:rsidRPr="00AC0647" w:rsidRDefault="00903168" w:rsidP="00903168">
      <w:pPr>
        <w:pStyle w:val="Tekstpodstawowy"/>
        <w:ind w:left="699" w:right="716"/>
      </w:pPr>
      <w:r w:rsidRPr="00AC0647">
        <w:t xml:space="preserve">Skarżący, u którego zdiagnozowano HIV (ludzki wirus niedoboru odporności) i </w:t>
      </w:r>
      <w:r w:rsidR="006D578E">
        <w:t xml:space="preserve">który </w:t>
      </w:r>
      <w:r w:rsidR="006D578E" w:rsidRPr="00AC0647">
        <w:t>cierpi</w:t>
      </w:r>
      <w:r w:rsidR="006D578E">
        <w:t>ał</w:t>
      </w:r>
      <w:r w:rsidR="006D578E" w:rsidRPr="00AC0647">
        <w:t xml:space="preserve"> </w:t>
      </w:r>
      <w:r w:rsidRPr="00AC0647">
        <w:t xml:space="preserve">na zespół nabytego niedoboru odporności (AIDS), </w:t>
      </w:r>
      <w:r w:rsidR="006D578E">
        <w:t>twierdził</w:t>
      </w:r>
      <w:r w:rsidR="006316AC">
        <w:t>, że jego wydalenie do S</w:t>
      </w:r>
      <w:r w:rsidR="00601572">
        <w:t>ain</w:t>
      </w:r>
      <w:r w:rsidR="006316AC">
        <w:t>t </w:t>
      </w:r>
      <w:r w:rsidRPr="00AC0647">
        <w:t xml:space="preserve">Kitts </w:t>
      </w:r>
      <w:r w:rsidR="00AC0647" w:rsidRPr="00AC0647">
        <w:t>narazi</w:t>
      </w:r>
      <w:r w:rsidRPr="00AC0647">
        <w:t xml:space="preserve"> go na nieludzkie i poniżające traktowanie.</w:t>
      </w:r>
    </w:p>
    <w:p w14:paraId="3BA6873F" w14:textId="7C74E710" w:rsidR="00887F36" w:rsidRPr="004939EF" w:rsidRDefault="00903168" w:rsidP="0012559B">
      <w:pPr>
        <w:pStyle w:val="Tekstpodstawowy"/>
        <w:ind w:left="699" w:right="716"/>
        <w:rPr>
          <w:color w:val="0071BB"/>
        </w:rPr>
      </w:pPr>
      <w:r w:rsidRPr="004939EF">
        <w:rPr>
          <w:color w:val="0071BB"/>
        </w:rPr>
        <w:t xml:space="preserve">Trybunał zastosował Regułę 39 Regulaminu Trybunału, zwracając się do rządu Zjednoczonego Królestwa o </w:t>
      </w:r>
      <w:r w:rsidR="00BB1DD9">
        <w:rPr>
          <w:color w:val="0071BB"/>
        </w:rPr>
        <w:t>wstrzymanie deportacji</w:t>
      </w:r>
      <w:r w:rsidR="00BB1DD9" w:rsidRPr="006316AC">
        <w:rPr>
          <w:color w:val="0071BB"/>
        </w:rPr>
        <w:t xml:space="preserve"> </w:t>
      </w:r>
      <w:r w:rsidRPr="006316AC">
        <w:rPr>
          <w:color w:val="0071BB"/>
        </w:rPr>
        <w:t xml:space="preserve">skarżącego, </w:t>
      </w:r>
      <w:r w:rsidR="00BB1DD9">
        <w:rPr>
          <w:color w:val="0071BB"/>
        </w:rPr>
        <w:t xml:space="preserve">który </w:t>
      </w:r>
      <w:r w:rsidR="00BB1DD9" w:rsidRPr="006316AC">
        <w:rPr>
          <w:color w:val="0071BB"/>
        </w:rPr>
        <w:t>b</w:t>
      </w:r>
      <w:r w:rsidR="00BB1DD9">
        <w:rPr>
          <w:color w:val="0071BB"/>
        </w:rPr>
        <w:t>ył</w:t>
      </w:r>
      <w:r w:rsidR="00BB1DD9" w:rsidRPr="006316AC">
        <w:rPr>
          <w:color w:val="0071BB"/>
        </w:rPr>
        <w:t xml:space="preserve"> </w:t>
      </w:r>
      <w:r w:rsidRPr="006316AC">
        <w:rPr>
          <w:color w:val="0071BB"/>
        </w:rPr>
        <w:t>nosicielem wirusa HIV w zaawansowanym stadium choroby, pon</w:t>
      </w:r>
      <w:r w:rsidR="00AC0647" w:rsidRPr="006316AC">
        <w:rPr>
          <w:color w:val="0071BB"/>
        </w:rPr>
        <w:t xml:space="preserve">ieważ </w:t>
      </w:r>
      <w:r w:rsidRPr="006316AC">
        <w:rPr>
          <w:color w:val="0071BB"/>
        </w:rPr>
        <w:t>wysłan</w:t>
      </w:r>
      <w:r w:rsidR="00BB1DD9">
        <w:rPr>
          <w:color w:val="0071BB"/>
        </w:rPr>
        <w:t>ie go</w:t>
      </w:r>
      <w:r w:rsidRPr="006316AC">
        <w:rPr>
          <w:color w:val="0071BB"/>
        </w:rPr>
        <w:t xml:space="preserve"> do kraju </w:t>
      </w:r>
      <w:r w:rsidR="006D578E">
        <w:rPr>
          <w:color w:val="0071BB"/>
        </w:rPr>
        <w:t>przeznaczenia</w:t>
      </w:r>
      <w:r w:rsidR="00BB1DD9">
        <w:rPr>
          <w:color w:val="0071BB"/>
        </w:rPr>
        <w:t xml:space="preserve"> pozbawiłby go możliwości otrzymania leczenia</w:t>
      </w:r>
      <w:r w:rsidRPr="006316AC">
        <w:rPr>
          <w:color w:val="0071BB"/>
        </w:rPr>
        <w:t>. W</w:t>
      </w:r>
      <w:r w:rsidRPr="004939EF">
        <w:rPr>
          <w:color w:val="0071BB"/>
        </w:rPr>
        <w:t xml:space="preserve"> </w:t>
      </w:r>
      <w:r w:rsidR="0012559B" w:rsidRPr="006316AC">
        <w:rPr>
          <w:color w:val="0071BB"/>
        </w:rPr>
        <w:t xml:space="preserve">sprawie </w:t>
      </w:r>
      <w:r w:rsidR="006D578E">
        <w:rPr>
          <w:color w:val="0071BB"/>
        </w:rPr>
        <w:t xml:space="preserve">tej </w:t>
      </w:r>
      <w:r w:rsidR="0012559B" w:rsidRPr="006316AC">
        <w:rPr>
          <w:color w:val="0071BB"/>
        </w:rPr>
        <w:t>Trybunał wziął pod u</w:t>
      </w:r>
      <w:r w:rsidRPr="006316AC">
        <w:rPr>
          <w:color w:val="0071BB"/>
        </w:rPr>
        <w:t>wagę „</w:t>
      </w:r>
      <w:r w:rsidR="00253D50">
        <w:rPr>
          <w:color w:val="0071BB"/>
        </w:rPr>
        <w:t>wyjątkowe</w:t>
      </w:r>
      <w:r w:rsidR="00253D50" w:rsidRPr="006316AC">
        <w:rPr>
          <w:color w:val="0071BB"/>
        </w:rPr>
        <w:t xml:space="preserve"> </w:t>
      </w:r>
      <w:r w:rsidRPr="006316AC">
        <w:rPr>
          <w:color w:val="0071BB"/>
        </w:rPr>
        <w:t>okoliczności” i „istotn</w:t>
      </w:r>
      <w:r w:rsidR="00253D50">
        <w:rPr>
          <w:color w:val="0071BB"/>
        </w:rPr>
        <w:t>e</w:t>
      </w:r>
      <w:r w:rsidRPr="006316AC">
        <w:rPr>
          <w:color w:val="0071BB"/>
        </w:rPr>
        <w:t xml:space="preserve"> wzgl</w:t>
      </w:r>
      <w:r w:rsidR="00253D50">
        <w:rPr>
          <w:color w:val="0071BB"/>
        </w:rPr>
        <w:t>ę</w:t>
      </w:r>
      <w:r w:rsidRPr="006316AC">
        <w:rPr>
          <w:color w:val="0071BB"/>
        </w:rPr>
        <w:t>d</w:t>
      </w:r>
      <w:r w:rsidR="00253D50">
        <w:rPr>
          <w:color w:val="0071BB"/>
        </w:rPr>
        <w:t>y</w:t>
      </w:r>
      <w:r w:rsidRPr="006316AC">
        <w:rPr>
          <w:color w:val="0071BB"/>
        </w:rPr>
        <w:t xml:space="preserve"> humanitarn</w:t>
      </w:r>
      <w:r w:rsidR="00253D50">
        <w:rPr>
          <w:color w:val="0071BB"/>
        </w:rPr>
        <w:t>e</w:t>
      </w:r>
      <w:r w:rsidR="00630E01" w:rsidRPr="006316AC">
        <w:rPr>
          <w:color w:val="0071BB"/>
        </w:rPr>
        <w:t xml:space="preserve">”: skarżący </w:t>
      </w:r>
      <w:r w:rsidR="000A3B57">
        <w:rPr>
          <w:color w:val="0071BB"/>
        </w:rPr>
        <w:t>znajdował się w stanie krytycznym</w:t>
      </w:r>
      <w:r w:rsidRPr="006316AC">
        <w:rPr>
          <w:color w:val="0071BB"/>
        </w:rPr>
        <w:t xml:space="preserve"> i wydawał</w:t>
      </w:r>
      <w:r w:rsidR="00BB1DD9">
        <w:rPr>
          <w:color w:val="0071BB"/>
        </w:rPr>
        <w:t>o</w:t>
      </w:r>
      <w:r w:rsidRPr="006316AC">
        <w:rPr>
          <w:color w:val="0071BB"/>
        </w:rPr>
        <w:t xml:space="preserve"> się</w:t>
      </w:r>
      <w:r w:rsidR="00BB1DD9">
        <w:rPr>
          <w:color w:val="0071BB"/>
        </w:rPr>
        <w:t>, że</w:t>
      </w:r>
      <w:r w:rsidRPr="006316AC">
        <w:rPr>
          <w:color w:val="0071BB"/>
        </w:rPr>
        <w:t xml:space="preserve"> </w:t>
      </w:r>
      <w:r w:rsidR="00BB1DD9">
        <w:rPr>
          <w:color w:val="0071BB"/>
        </w:rPr>
        <w:t>niebawem umrze</w:t>
      </w:r>
      <w:r w:rsidRPr="006316AC">
        <w:rPr>
          <w:color w:val="0071BB"/>
        </w:rPr>
        <w:t>, nie można było zagwarantować</w:t>
      </w:r>
      <w:r w:rsidR="00630E01" w:rsidRPr="006316AC">
        <w:rPr>
          <w:color w:val="0071BB"/>
        </w:rPr>
        <w:t xml:space="preserve"> mu</w:t>
      </w:r>
      <w:r w:rsidRPr="006316AC">
        <w:rPr>
          <w:color w:val="0071BB"/>
        </w:rPr>
        <w:t xml:space="preserve"> żadnej opieki pielęgniarskiej ani opieki medy</w:t>
      </w:r>
      <w:r w:rsidR="00630E01" w:rsidRPr="006316AC">
        <w:rPr>
          <w:color w:val="0071BB"/>
        </w:rPr>
        <w:t>cz</w:t>
      </w:r>
      <w:r w:rsidR="0012559B" w:rsidRPr="006316AC">
        <w:rPr>
          <w:color w:val="0071BB"/>
        </w:rPr>
        <w:t>nej w jego kraju pochodzenia, a ponadto</w:t>
      </w:r>
      <w:r w:rsidR="00630E01" w:rsidRPr="006316AC">
        <w:rPr>
          <w:color w:val="0071BB"/>
        </w:rPr>
        <w:t xml:space="preserve"> nie</w:t>
      </w:r>
      <w:r w:rsidRPr="006316AC">
        <w:rPr>
          <w:color w:val="0071BB"/>
        </w:rPr>
        <w:t xml:space="preserve"> miał </w:t>
      </w:r>
      <w:r w:rsidR="0012559B" w:rsidRPr="006316AC">
        <w:rPr>
          <w:color w:val="0071BB"/>
        </w:rPr>
        <w:t>tam rodziny</w:t>
      </w:r>
      <w:r w:rsidR="006D578E">
        <w:rPr>
          <w:color w:val="0071BB"/>
        </w:rPr>
        <w:t>, która</w:t>
      </w:r>
      <w:r w:rsidR="0053119B">
        <w:rPr>
          <w:color w:val="0071BB"/>
        </w:rPr>
        <w:t xml:space="preserve"> by chciała</w:t>
      </w:r>
      <w:r w:rsidR="00630E01" w:rsidRPr="006316AC">
        <w:rPr>
          <w:color w:val="0071BB"/>
        </w:rPr>
        <w:t xml:space="preserve"> lub </w:t>
      </w:r>
      <w:r w:rsidR="0053119B">
        <w:rPr>
          <w:color w:val="0071BB"/>
        </w:rPr>
        <w:t>mogła sprawować nad nim</w:t>
      </w:r>
      <w:r w:rsidRPr="006316AC">
        <w:rPr>
          <w:color w:val="0071BB"/>
        </w:rPr>
        <w:t xml:space="preserve"> opiek</w:t>
      </w:r>
      <w:r w:rsidR="0053119B">
        <w:rPr>
          <w:color w:val="0071BB"/>
        </w:rPr>
        <w:t>ę</w:t>
      </w:r>
      <w:r w:rsidRPr="006316AC">
        <w:rPr>
          <w:color w:val="0071BB"/>
        </w:rPr>
        <w:t xml:space="preserve"> lub </w:t>
      </w:r>
      <w:r w:rsidR="0053119B" w:rsidRPr="006316AC">
        <w:rPr>
          <w:color w:val="0071BB"/>
        </w:rPr>
        <w:t>zapewni</w:t>
      </w:r>
      <w:r w:rsidR="0053119B">
        <w:rPr>
          <w:color w:val="0071BB"/>
        </w:rPr>
        <w:t>ć</w:t>
      </w:r>
      <w:r w:rsidR="0053119B" w:rsidRPr="006316AC">
        <w:rPr>
          <w:color w:val="0071BB"/>
        </w:rPr>
        <w:t xml:space="preserve"> </w:t>
      </w:r>
      <w:r w:rsidRPr="006316AC">
        <w:rPr>
          <w:color w:val="0071BB"/>
        </w:rPr>
        <w:t xml:space="preserve">mu </w:t>
      </w:r>
      <w:r w:rsidR="00630E01" w:rsidRPr="006316AC">
        <w:rPr>
          <w:color w:val="0071BB"/>
        </w:rPr>
        <w:t>choć</w:t>
      </w:r>
      <w:r w:rsidR="00630E01" w:rsidRPr="004939EF">
        <w:rPr>
          <w:color w:val="0071BB"/>
        </w:rPr>
        <w:t xml:space="preserve">by </w:t>
      </w:r>
      <w:r w:rsidRPr="004939EF">
        <w:rPr>
          <w:color w:val="0071BB"/>
        </w:rPr>
        <w:t>podstawowe</w:t>
      </w:r>
      <w:r w:rsidR="00630E01" w:rsidRPr="004939EF">
        <w:rPr>
          <w:color w:val="0071BB"/>
        </w:rPr>
        <w:t xml:space="preserve"> wyżywieni</w:t>
      </w:r>
      <w:r w:rsidR="0053119B">
        <w:rPr>
          <w:color w:val="0071BB"/>
        </w:rPr>
        <w:t>e</w:t>
      </w:r>
      <w:r w:rsidR="006316AC">
        <w:rPr>
          <w:color w:val="0071BB"/>
        </w:rPr>
        <w:t>, schronieni</w:t>
      </w:r>
      <w:r w:rsidR="0053119B">
        <w:rPr>
          <w:color w:val="0071BB"/>
        </w:rPr>
        <w:t>e</w:t>
      </w:r>
      <w:r w:rsidR="006316AC">
        <w:rPr>
          <w:color w:val="0071BB"/>
        </w:rPr>
        <w:t xml:space="preserve"> czy</w:t>
      </w:r>
      <w:r w:rsidRPr="004939EF">
        <w:rPr>
          <w:color w:val="0071BB"/>
        </w:rPr>
        <w:t xml:space="preserve"> </w:t>
      </w:r>
      <w:r w:rsidR="00630E01" w:rsidRPr="004939EF">
        <w:rPr>
          <w:color w:val="0071BB"/>
        </w:rPr>
        <w:t xml:space="preserve">pomoc </w:t>
      </w:r>
      <w:r w:rsidR="00253D50">
        <w:rPr>
          <w:color w:val="0071BB"/>
        </w:rPr>
        <w:t>socjalną</w:t>
      </w:r>
      <w:r w:rsidRPr="004939EF">
        <w:rPr>
          <w:color w:val="0071BB"/>
        </w:rPr>
        <w:t>.</w:t>
      </w:r>
    </w:p>
    <w:p w14:paraId="7E9F4C0E" w14:textId="77777777" w:rsidR="0012559B" w:rsidRPr="0012559B" w:rsidRDefault="0012559B" w:rsidP="00455804">
      <w:pPr>
        <w:pStyle w:val="Nagwek31"/>
        <w:spacing w:before="122"/>
        <w:rPr>
          <w:b w:val="0"/>
          <w:bCs w:val="0"/>
          <w:color w:val="0070C0"/>
          <w:sz w:val="18"/>
        </w:rPr>
      </w:pPr>
      <w:r w:rsidRPr="0012559B">
        <w:rPr>
          <w:color w:val="0070C0"/>
          <w:sz w:val="18"/>
        </w:rPr>
        <w:t>N</w:t>
      </w:r>
      <w:r w:rsidRPr="00A25338">
        <w:rPr>
          <w:color w:val="0070C0"/>
        </w:rPr>
        <w:t>. przeciwko Zjednoczonemu Królestwu (skarga nr 26565/05)</w:t>
      </w:r>
    </w:p>
    <w:p w14:paraId="4035C2ED" w14:textId="77777777" w:rsidR="0025631D" w:rsidRPr="004939EF" w:rsidRDefault="00630E01">
      <w:pPr>
        <w:spacing w:before="60" w:line="218" w:lineRule="exact"/>
        <w:ind w:left="700"/>
        <w:jc w:val="both"/>
        <w:rPr>
          <w:sz w:val="18"/>
        </w:rPr>
      </w:pPr>
      <w:r w:rsidRPr="006316AC">
        <w:rPr>
          <w:color w:val="808080"/>
          <w:sz w:val="18"/>
        </w:rPr>
        <w:t>27 maja</w:t>
      </w:r>
      <w:r w:rsidR="0012559B" w:rsidRPr="006316AC">
        <w:rPr>
          <w:color w:val="808080"/>
          <w:sz w:val="18"/>
        </w:rPr>
        <w:t xml:space="preserve"> 2008 r. </w:t>
      </w:r>
      <w:r w:rsidRPr="006316AC">
        <w:rPr>
          <w:color w:val="808080"/>
          <w:sz w:val="18"/>
        </w:rPr>
        <w:t xml:space="preserve">(Wielka Izba </w:t>
      </w:r>
      <w:r w:rsidR="0012559B" w:rsidRPr="006316AC">
        <w:rPr>
          <w:color w:val="808080"/>
          <w:sz w:val="18"/>
        </w:rPr>
        <w:t>– wyrok</w:t>
      </w:r>
      <w:r w:rsidR="00D3520A" w:rsidRPr="006316AC">
        <w:rPr>
          <w:color w:val="808080"/>
          <w:sz w:val="18"/>
        </w:rPr>
        <w:t>)</w:t>
      </w:r>
    </w:p>
    <w:p w14:paraId="6983D217" w14:textId="5462D2B9" w:rsidR="00887F36" w:rsidRDefault="0012559B" w:rsidP="007F368E">
      <w:pPr>
        <w:pStyle w:val="Tekstpodstawowy"/>
        <w:ind w:right="714"/>
      </w:pPr>
      <w:r w:rsidRPr="0012559B">
        <w:t xml:space="preserve">Skarżąca, </w:t>
      </w:r>
      <w:r w:rsidR="0053119B">
        <w:t xml:space="preserve">u której </w:t>
      </w:r>
      <w:r w:rsidR="006B2A99">
        <w:t>stwierdzono obecność</w:t>
      </w:r>
      <w:r w:rsidR="0053119B">
        <w:t xml:space="preserve"> wirusa HIV</w:t>
      </w:r>
      <w:r w:rsidR="00630E01" w:rsidRPr="0012559B">
        <w:t>, twierdził</w:t>
      </w:r>
      <w:r w:rsidRPr="0012559B">
        <w:t>a, że wydalenie jej do Ugandy spowoduje</w:t>
      </w:r>
      <w:r w:rsidR="00630E01" w:rsidRPr="0012559B">
        <w:t xml:space="preserve"> </w:t>
      </w:r>
      <w:r w:rsidRPr="0012559B">
        <w:t>cierpienie i doprowadzi</w:t>
      </w:r>
      <w:r w:rsidR="00A25338">
        <w:t xml:space="preserve"> ją do</w:t>
      </w:r>
      <w:r w:rsidR="00630E01" w:rsidRPr="0012559B">
        <w:t xml:space="preserve"> przedwczesnej śmierci, co </w:t>
      </w:r>
      <w:r w:rsidR="000A3B57">
        <w:t>było równoznaczne z</w:t>
      </w:r>
      <w:r w:rsidR="00630E01" w:rsidRPr="0012559B">
        <w:t xml:space="preserve"> nieludzki</w:t>
      </w:r>
      <w:r w:rsidR="000A3B57">
        <w:t>m</w:t>
      </w:r>
      <w:r w:rsidR="00630E01" w:rsidRPr="0012559B">
        <w:t xml:space="preserve"> i </w:t>
      </w:r>
      <w:r w:rsidR="000A3B57" w:rsidRPr="0012559B">
        <w:t>poniżając</w:t>
      </w:r>
      <w:r w:rsidR="000A3B57">
        <w:t>ym</w:t>
      </w:r>
      <w:r w:rsidR="000A3B57" w:rsidRPr="0012559B">
        <w:t xml:space="preserve"> </w:t>
      </w:r>
      <w:r w:rsidR="00630E01" w:rsidRPr="0012559B">
        <w:t>traktowani</w:t>
      </w:r>
      <w:r w:rsidR="000A3B57">
        <w:t>em</w:t>
      </w:r>
      <w:r w:rsidR="00630E01" w:rsidRPr="0012559B">
        <w:t>.</w:t>
      </w:r>
    </w:p>
    <w:p w14:paraId="011FADF3" w14:textId="6E3AEECD" w:rsidR="0012559B" w:rsidRPr="0012559B" w:rsidRDefault="0012559B" w:rsidP="0012559B">
      <w:pPr>
        <w:pStyle w:val="Tekstpodstawowy"/>
        <w:ind w:right="714"/>
      </w:pPr>
      <w:r w:rsidRPr="003956F9">
        <w:rPr>
          <w:color w:val="0070C0"/>
        </w:rPr>
        <w:t xml:space="preserve">W sprawie </w:t>
      </w:r>
      <w:r w:rsidR="0053119B">
        <w:rPr>
          <w:color w:val="0070C0"/>
        </w:rPr>
        <w:t xml:space="preserve">tej </w:t>
      </w:r>
      <w:r w:rsidRPr="003956F9">
        <w:rPr>
          <w:color w:val="0070C0"/>
        </w:rPr>
        <w:t>Trybunał postanowił zast</w:t>
      </w:r>
      <w:r w:rsidR="003956F9">
        <w:rPr>
          <w:color w:val="0070C0"/>
        </w:rPr>
        <w:t>osować Regułę 39 Regulaminu Trybunału</w:t>
      </w:r>
      <w:r w:rsidRPr="003956F9">
        <w:rPr>
          <w:color w:val="0070C0"/>
        </w:rPr>
        <w:t xml:space="preserve">, </w:t>
      </w:r>
      <w:r w:rsidR="0053119B">
        <w:rPr>
          <w:color w:val="0070C0"/>
        </w:rPr>
        <w:t>zwracając się</w:t>
      </w:r>
      <w:r w:rsidR="0053119B" w:rsidRPr="003956F9">
        <w:rPr>
          <w:color w:val="0070C0"/>
        </w:rPr>
        <w:t xml:space="preserve"> </w:t>
      </w:r>
      <w:r w:rsidRPr="003956F9">
        <w:rPr>
          <w:color w:val="0070C0"/>
        </w:rPr>
        <w:t>do rządu Zjednoczonego Królestwa o wstrzymanie deportacji skarżącej</w:t>
      </w:r>
      <w:r w:rsidR="003956F9">
        <w:t xml:space="preserve"> </w:t>
      </w:r>
      <w:r w:rsidR="003956F9" w:rsidRPr="004939EF">
        <w:rPr>
          <w:color w:val="0071BB"/>
        </w:rPr>
        <w:t xml:space="preserve">do czasu rozstrzygnięcia toczącego </w:t>
      </w:r>
      <w:r w:rsidR="003956F9" w:rsidRPr="00A84643">
        <w:rPr>
          <w:color w:val="0071BB"/>
        </w:rPr>
        <w:t>się przed Trybunałem postępowania</w:t>
      </w:r>
      <w:r w:rsidR="006316AC">
        <w:rPr>
          <w:color w:val="0071BB"/>
        </w:rPr>
        <w:t xml:space="preserve">. </w:t>
      </w:r>
      <w:r w:rsidR="0053119B">
        <w:rPr>
          <w:color w:val="0071BB"/>
        </w:rPr>
        <w:t xml:space="preserve">Dochodząc </w:t>
      </w:r>
      <w:r w:rsidR="006316AC">
        <w:rPr>
          <w:color w:val="0071BB"/>
        </w:rPr>
        <w:t>w </w:t>
      </w:r>
      <w:r w:rsidR="003956F9">
        <w:rPr>
          <w:color w:val="0071BB"/>
        </w:rPr>
        <w:t>wyroku</w:t>
      </w:r>
      <w:r w:rsidR="0053119B">
        <w:rPr>
          <w:color w:val="0071BB"/>
        </w:rPr>
        <w:t xml:space="preserve"> do wniosku</w:t>
      </w:r>
      <w:r w:rsidR="003956F9">
        <w:rPr>
          <w:color w:val="0071BB"/>
        </w:rPr>
        <w:t xml:space="preserve">, że </w:t>
      </w:r>
      <w:r w:rsidR="0053119B">
        <w:rPr>
          <w:color w:val="0071BB"/>
        </w:rPr>
        <w:t xml:space="preserve">w </w:t>
      </w:r>
      <w:r w:rsidR="003956F9">
        <w:rPr>
          <w:color w:val="0071BB"/>
        </w:rPr>
        <w:t>spraw</w:t>
      </w:r>
      <w:r w:rsidR="0053119B">
        <w:rPr>
          <w:color w:val="0071BB"/>
        </w:rPr>
        <w:t>ie</w:t>
      </w:r>
      <w:r w:rsidR="003956F9">
        <w:rPr>
          <w:color w:val="0071BB"/>
        </w:rPr>
        <w:t xml:space="preserve"> skarżącej nie </w:t>
      </w:r>
      <w:r w:rsidR="00BB1DD9">
        <w:rPr>
          <w:color w:val="0071BB"/>
        </w:rPr>
        <w:t>zachodzą</w:t>
      </w:r>
      <w:r w:rsidR="0053119B">
        <w:rPr>
          <w:color w:val="0071BB"/>
        </w:rPr>
        <w:t xml:space="preserve"> </w:t>
      </w:r>
      <w:r w:rsidR="003956F9">
        <w:rPr>
          <w:color w:val="0071BB"/>
        </w:rPr>
        <w:t>„</w:t>
      </w:r>
      <w:r w:rsidR="000A3B57">
        <w:rPr>
          <w:color w:val="0071BB"/>
        </w:rPr>
        <w:t xml:space="preserve">wyjątkowe </w:t>
      </w:r>
      <w:r w:rsidR="003956F9">
        <w:rPr>
          <w:color w:val="0071BB"/>
        </w:rPr>
        <w:t xml:space="preserve">okoliczności”, Trybunał </w:t>
      </w:r>
      <w:r w:rsidR="0053119B">
        <w:rPr>
          <w:color w:val="0071BB"/>
        </w:rPr>
        <w:t>uznał</w:t>
      </w:r>
      <w:r w:rsidR="003956F9">
        <w:rPr>
          <w:color w:val="0071BB"/>
        </w:rPr>
        <w:t xml:space="preserve">, że wykonanie decyzji o wydaleniu jej do Ugandy nie </w:t>
      </w:r>
      <w:r w:rsidR="0053119B">
        <w:rPr>
          <w:color w:val="0071BB"/>
        </w:rPr>
        <w:t xml:space="preserve">doprowadzi do </w:t>
      </w:r>
      <w:r w:rsidR="003956F9">
        <w:rPr>
          <w:color w:val="0071BB"/>
        </w:rPr>
        <w:t>naruszenia art</w:t>
      </w:r>
      <w:r w:rsidR="006316AC">
        <w:rPr>
          <w:color w:val="0071BB"/>
        </w:rPr>
        <w:t>. 3 </w:t>
      </w:r>
      <w:r w:rsidR="003956F9">
        <w:rPr>
          <w:color w:val="0071BB"/>
        </w:rPr>
        <w:t>Konwencji.</w:t>
      </w:r>
    </w:p>
    <w:p w14:paraId="376104D7" w14:textId="77777777" w:rsidR="0025631D" w:rsidRPr="004939EF" w:rsidRDefault="00630E01" w:rsidP="00455804">
      <w:pPr>
        <w:pStyle w:val="Nagwek31"/>
        <w:spacing w:before="122"/>
        <w:rPr>
          <w:u w:val="none"/>
        </w:rPr>
      </w:pPr>
      <w:proofErr w:type="spellStart"/>
      <w:r w:rsidRPr="004939EF">
        <w:rPr>
          <w:color w:val="0071BB"/>
          <w:u w:val="thick" w:color="0071BB"/>
        </w:rPr>
        <w:t>Paposhvili</w:t>
      </w:r>
      <w:proofErr w:type="spellEnd"/>
      <w:r w:rsidRPr="004939EF">
        <w:rPr>
          <w:color w:val="0071BB"/>
          <w:u w:val="thick" w:color="0071BB"/>
        </w:rPr>
        <w:t xml:space="preserve"> przeciwko</w:t>
      </w:r>
      <w:r w:rsidR="00D3520A" w:rsidRPr="004939EF">
        <w:rPr>
          <w:color w:val="0071BB"/>
          <w:u w:val="thick" w:color="0071BB"/>
        </w:rPr>
        <w:t xml:space="preserve"> Belgi</w:t>
      </w:r>
      <w:r w:rsidRPr="004939EF">
        <w:rPr>
          <w:color w:val="0071BB"/>
          <w:u w:val="thick" w:color="0071BB"/>
        </w:rPr>
        <w:t>i</w:t>
      </w:r>
    </w:p>
    <w:p w14:paraId="2003837A" w14:textId="77777777" w:rsidR="0025631D" w:rsidRPr="004939EF" w:rsidRDefault="00A46FFA">
      <w:pPr>
        <w:spacing w:before="60" w:line="218" w:lineRule="exact"/>
        <w:ind w:left="700"/>
        <w:jc w:val="both"/>
        <w:rPr>
          <w:sz w:val="18"/>
        </w:rPr>
      </w:pPr>
      <w:r>
        <w:rPr>
          <w:color w:val="808080"/>
          <w:sz w:val="18"/>
        </w:rPr>
        <w:t xml:space="preserve">13 grudnia </w:t>
      </w:r>
      <w:r w:rsidR="00630E01" w:rsidRPr="004939EF">
        <w:rPr>
          <w:color w:val="808080"/>
          <w:sz w:val="18"/>
        </w:rPr>
        <w:t>2016</w:t>
      </w:r>
      <w:r w:rsidR="003956F9">
        <w:rPr>
          <w:color w:val="808080"/>
          <w:sz w:val="18"/>
        </w:rPr>
        <w:t xml:space="preserve"> r.</w:t>
      </w:r>
      <w:r w:rsidR="00630E01" w:rsidRPr="004939EF">
        <w:rPr>
          <w:color w:val="808080"/>
          <w:sz w:val="18"/>
        </w:rPr>
        <w:t xml:space="preserve"> (Wielka Izba – wyrok</w:t>
      </w:r>
      <w:r w:rsidR="00D3520A" w:rsidRPr="004939EF">
        <w:rPr>
          <w:color w:val="808080"/>
          <w:sz w:val="18"/>
        </w:rPr>
        <w:t>)</w:t>
      </w:r>
    </w:p>
    <w:p w14:paraId="41D79651" w14:textId="2E948067" w:rsidR="00630E01" w:rsidRPr="004939EF" w:rsidRDefault="0053119B" w:rsidP="004110DE">
      <w:pPr>
        <w:pStyle w:val="Tekstpodstawowy"/>
        <w:ind w:right="715"/>
      </w:pPr>
      <w:r>
        <w:t>S</w:t>
      </w:r>
      <w:r w:rsidR="00630E01" w:rsidRPr="004939EF">
        <w:t xml:space="preserve">prawa dotyczyła </w:t>
      </w:r>
      <w:r w:rsidR="000A3B57">
        <w:t>nakazu</w:t>
      </w:r>
      <w:r>
        <w:t xml:space="preserve"> </w:t>
      </w:r>
      <w:r w:rsidR="00630E01" w:rsidRPr="004939EF">
        <w:t>deportacji skarżącego do Gruzji</w:t>
      </w:r>
      <w:r w:rsidRPr="004939EF">
        <w:t xml:space="preserve"> </w:t>
      </w:r>
      <w:r w:rsidR="00630E01" w:rsidRPr="004939EF">
        <w:t xml:space="preserve">wraz z zakazem ponownego wjazdu do Belgii. Skarżący, który cierpiał na wiele poważnych schorzeń, w tym </w:t>
      </w:r>
      <w:r w:rsidR="00BB1DD9">
        <w:t xml:space="preserve">na </w:t>
      </w:r>
      <w:r w:rsidR="00630E01" w:rsidRPr="004939EF">
        <w:t>przewlekłą białaczkę limf</w:t>
      </w:r>
      <w:r w:rsidR="000A3B57">
        <w:t>atyczną</w:t>
      </w:r>
      <w:r w:rsidR="00630E01" w:rsidRPr="004939EF">
        <w:t xml:space="preserve"> i gruźlic</w:t>
      </w:r>
      <w:r w:rsidR="007F368E">
        <w:t xml:space="preserve">ę, </w:t>
      </w:r>
      <w:r w:rsidR="000A3B57">
        <w:t xml:space="preserve">zarzucił </w:t>
      </w:r>
      <w:r w:rsidR="007F368E">
        <w:t>w szczególności, że </w:t>
      </w:r>
      <w:r w:rsidR="00E53377">
        <w:t>wykazano</w:t>
      </w:r>
      <w:r w:rsidR="00E53377" w:rsidRPr="004939EF">
        <w:t xml:space="preserve"> </w:t>
      </w:r>
      <w:r w:rsidR="00630E01" w:rsidRPr="004939EF">
        <w:t>istotne podstawy</w:t>
      </w:r>
      <w:r w:rsidR="004110DE" w:rsidRPr="004939EF">
        <w:t xml:space="preserve"> d</w:t>
      </w:r>
      <w:r w:rsidR="00BB1DD9">
        <w:t>o</w:t>
      </w:r>
      <w:r w:rsidR="004110DE" w:rsidRPr="004939EF">
        <w:t xml:space="preserve"> uznania, </w:t>
      </w:r>
      <w:r w:rsidR="00630E01" w:rsidRPr="004939EF">
        <w:t xml:space="preserve">że </w:t>
      </w:r>
      <w:r w:rsidR="00E53377">
        <w:t xml:space="preserve">jeśli zostałby wydalony </w:t>
      </w:r>
      <w:r w:rsidR="00630E01" w:rsidRPr="004939EF">
        <w:t xml:space="preserve">do </w:t>
      </w:r>
      <w:r w:rsidR="00630E01" w:rsidRPr="00A46FFA">
        <w:t xml:space="preserve">Gruzji </w:t>
      </w:r>
      <w:r w:rsidR="00E53377">
        <w:t xml:space="preserve">zostałby </w:t>
      </w:r>
      <w:r w:rsidR="004110DE" w:rsidRPr="00A46FFA">
        <w:t xml:space="preserve">realnie </w:t>
      </w:r>
      <w:r w:rsidR="00E53377">
        <w:t>narażony</w:t>
      </w:r>
      <w:r w:rsidRPr="00A46FFA">
        <w:t xml:space="preserve"> </w:t>
      </w:r>
      <w:r>
        <w:t xml:space="preserve">na </w:t>
      </w:r>
      <w:r w:rsidR="004110DE" w:rsidRPr="00A46FFA">
        <w:t>nieludzkie i poniżające traktowanie</w:t>
      </w:r>
      <w:r w:rsidR="00A25338">
        <w:t xml:space="preserve"> i przedwczesn</w:t>
      </w:r>
      <w:r>
        <w:t>ą</w:t>
      </w:r>
      <w:r w:rsidR="00A25338">
        <w:t xml:space="preserve"> śmierć</w:t>
      </w:r>
      <w:r>
        <w:t xml:space="preserve"> w tym kraju</w:t>
      </w:r>
      <w:r w:rsidR="00A25338">
        <w:t xml:space="preserve">. </w:t>
      </w:r>
      <w:r>
        <w:t>Skarżący z</w:t>
      </w:r>
      <w:r w:rsidR="00A25338">
        <w:t>marł w </w:t>
      </w:r>
      <w:r w:rsidR="00630E01" w:rsidRPr="00A46FFA">
        <w:t>czerwcu 2016 r.</w:t>
      </w:r>
      <w:r>
        <w:t xml:space="preserve">, a </w:t>
      </w:r>
      <w:r w:rsidR="00630E01" w:rsidRPr="00A46FFA">
        <w:t xml:space="preserve">jego krewni </w:t>
      </w:r>
      <w:r>
        <w:t xml:space="preserve">w dalszym ciągu </w:t>
      </w:r>
      <w:r w:rsidR="00BB1DD9">
        <w:t>popierali skargę</w:t>
      </w:r>
      <w:r w:rsidR="00630E01" w:rsidRPr="00A46FFA">
        <w:t xml:space="preserve"> przed Trybunałem.</w:t>
      </w:r>
    </w:p>
    <w:p w14:paraId="06AE87B5" w14:textId="76853FC5" w:rsidR="00630E01" w:rsidRPr="00751407" w:rsidRDefault="004110DE" w:rsidP="00751407">
      <w:pPr>
        <w:pStyle w:val="Tekstpodstawowy"/>
        <w:ind w:right="716"/>
        <w:rPr>
          <w:color w:val="0071BB"/>
        </w:rPr>
      </w:pPr>
      <w:r w:rsidRPr="004939EF">
        <w:rPr>
          <w:color w:val="0071BB"/>
        </w:rPr>
        <w:t xml:space="preserve">W lipcu 2010 r., </w:t>
      </w:r>
      <w:r w:rsidR="00E53377">
        <w:rPr>
          <w:color w:val="0071BB"/>
        </w:rPr>
        <w:t>na podstawie</w:t>
      </w:r>
      <w:r w:rsidR="00630E01" w:rsidRPr="004939EF">
        <w:rPr>
          <w:color w:val="0071BB"/>
        </w:rPr>
        <w:t xml:space="preserve"> Reguł</w:t>
      </w:r>
      <w:r w:rsidR="00E53377">
        <w:rPr>
          <w:color w:val="0071BB"/>
        </w:rPr>
        <w:t>y</w:t>
      </w:r>
      <w:r w:rsidR="00630E01" w:rsidRPr="004939EF">
        <w:rPr>
          <w:color w:val="0071BB"/>
        </w:rPr>
        <w:t xml:space="preserve"> 39 Regulaminu Trybunału, Trybunał zwrócił się do rządu belgijskiego, by </w:t>
      </w:r>
      <w:r w:rsidR="00630E01" w:rsidRPr="003956F9">
        <w:rPr>
          <w:color w:val="0071BB"/>
        </w:rPr>
        <w:t xml:space="preserve">nie </w:t>
      </w:r>
      <w:r w:rsidRPr="003956F9">
        <w:rPr>
          <w:color w:val="0071BB"/>
        </w:rPr>
        <w:t xml:space="preserve">wydalał </w:t>
      </w:r>
      <w:r w:rsidR="00630E01" w:rsidRPr="003956F9">
        <w:rPr>
          <w:color w:val="0071BB"/>
        </w:rPr>
        <w:t>skar</w:t>
      </w:r>
      <w:r w:rsidR="00630E01" w:rsidRPr="004939EF">
        <w:rPr>
          <w:color w:val="0071BB"/>
        </w:rPr>
        <w:t xml:space="preserve">żącego </w:t>
      </w:r>
      <w:r w:rsidR="0004538F" w:rsidRPr="004939EF">
        <w:rPr>
          <w:color w:val="0071BB"/>
        </w:rPr>
        <w:t xml:space="preserve">do czasu rozstrzygnięcia postępowania toczącego się przed </w:t>
      </w:r>
      <w:r w:rsidR="003956F9">
        <w:rPr>
          <w:color w:val="0071BB"/>
        </w:rPr>
        <w:t xml:space="preserve">Radą </w:t>
      </w:r>
      <w:r w:rsidR="0053119B">
        <w:rPr>
          <w:color w:val="0071BB"/>
        </w:rPr>
        <w:t>ds. odwołań c</w:t>
      </w:r>
      <w:r w:rsidR="003956F9">
        <w:rPr>
          <w:color w:val="0071BB"/>
        </w:rPr>
        <w:t>udzoziemców</w:t>
      </w:r>
      <w:r w:rsidR="0004538F" w:rsidRPr="004939EF">
        <w:rPr>
          <w:color w:val="0071BB"/>
        </w:rPr>
        <w:t xml:space="preserve">. </w:t>
      </w:r>
      <w:r w:rsidR="0053119B">
        <w:rPr>
          <w:color w:val="0071BB"/>
        </w:rPr>
        <w:t xml:space="preserve">W swoim wyroku </w:t>
      </w:r>
      <w:r w:rsidR="00630E01" w:rsidRPr="004939EF">
        <w:rPr>
          <w:color w:val="0071BB"/>
        </w:rPr>
        <w:t>Wielka Izba uznała w szczególności, że doszło</w:t>
      </w:r>
      <w:r w:rsidR="00191FB9">
        <w:rPr>
          <w:color w:val="0071BB"/>
        </w:rPr>
        <w:t>by do naruszenia art.</w:t>
      </w:r>
      <w:r w:rsidR="00630E01" w:rsidRPr="004939EF">
        <w:rPr>
          <w:color w:val="0071BB"/>
        </w:rPr>
        <w:t xml:space="preserve"> 3 Konwencji, gdyby skarżący zost</w:t>
      </w:r>
      <w:r w:rsidR="00630E01" w:rsidRPr="00A46FFA">
        <w:rPr>
          <w:color w:val="0071BB"/>
        </w:rPr>
        <w:t xml:space="preserve">ał </w:t>
      </w:r>
      <w:r w:rsidR="0004538F" w:rsidRPr="00A46FFA">
        <w:rPr>
          <w:color w:val="0071BB"/>
        </w:rPr>
        <w:t xml:space="preserve">wydalony </w:t>
      </w:r>
      <w:r w:rsidR="007F368E">
        <w:rPr>
          <w:color w:val="0071BB"/>
        </w:rPr>
        <w:t>do Gruzji</w:t>
      </w:r>
      <w:r w:rsidR="00630E01" w:rsidRPr="00A46FFA">
        <w:rPr>
          <w:color w:val="0071BB"/>
        </w:rPr>
        <w:t xml:space="preserve"> bez</w:t>
      </w:r>
      <w:r w:rsidR="00630E01" w:rsidRPr="004939EF">
        <w:rPr>
          <w:color w:val="0071BB"/>
        </w:rPr>
        <w:t xml:space="preserve"> </w:t>
      </w:r>
      <w:r w:rsidR="00E53377">
        <w:rPr>
          <w:color w:val="0071BB"/>
        </w:rPr>
        <w:t>dokonania</w:t>
      </w:r>
      <w:r w:rsidR="00E53377" w:rsidRPr="004939EF">
        <w:rPr>
          <w:color w:val="0071BB"/>
        </w:rPr>
        <w:t xml:space="preserve"> </w:t>
      </w:r>
      <w:r w:rsidR="00630E01" w:rsidRPr="004939EF">
        <w:rPr>
          <w:color w:val="0071BB"/>
        </w:rPr>
        <w:t>pr</w:t>
      </w:r>
      <w:r w:rsidR="00BD167A">
        <w:rPr>
          <w:color w:val="0071BB"/>
        </w:rPr>
        <w:t xml:space="preserve">zez władze belgijskie </w:t>
      </w:r>
      <w:r w:rsidR="0053119B">
        <w:rPr>
          <w:color w:val="0071BB"/>
        </w:rPr>
        <w:t>oceny</w:t>
      </w:r>
      <w:r w:rsidR="00090AFE">
        <w:rPr>
          <w:color w:val="0071BB"/>
        </w:rPr>
        <w:t xml:space="preserve"> zagrożenia</w:t>
      </w:r>
      <w:r w:rsidR="00BD167A">
        <w:rPr>
          <w:color w:val="0071BB"/>
        </w:rPr>
        <w:t xml:space="preserve"> dla </w:t>
      </w:r>
      <w:r w:rsidR="00BD167A">
        <w:rPr>
          <w:color w:val="0071BB"/>
        </w:rPr>
        <w:lastRenderedPageBreak/>
        <w:t>niego</w:t>
      </w:r>
      <w:r w:rsidR="00630E01" w:rsidRPr="004939EF">
        <w:rPr>
          <w:color w:val="0071BB"/>
        </w:rPr>
        <w:t xml:space="preserve"> w świetle informacji dotyczących jego stan</w:t>
      </w:r>
      <w:r w:rsidR="00BD167A">
        <w:rPr>
          <w:color w:val="0071BB"/>
        </w:rPr>
        <w:t>u</w:t>
      </w:r>
      <w:r w:rsidR="0004538F" w:rsidRPr="004939EF">
        <w:rPr>
          <w:color w:val="0071BB"/>
        </w:rPr>
        <w:t xml:space="preserve"> zdrowia i dostępności</w:t>
      </w:r>
      <w:r w:rsidR="00A46FFA">
        <w:rPr>
          <w:color w:val="0071BB"/>
        </w:rPr>
        <w:t xml:space="preserve"> odpowiedniego leczenia w </w:t>
      </w:r>
      <w:r w:rsidR="00630E01" w:rsidRPr="004939EF">
        <w:rPr>
          <w:color w:val="0071BB"/>
        </w:rPr>
        <w:t>Gruzji.</w:t>
      </w:r>
    </w:p>
    <w:p w14:paraId="7098DBE7" w14:textId="77777777" w:rsidR="0025631D" w:rsidRDefault="0004538F" w:rsidP="00A46FFA">
      <w:pPr>
        <w:pStyle w:val="Nagwek21"/>
        <w:spacing w:before="198"/>
        <w:ind w:right="669"/>
        <w:rPr>
          <w:color w:val="7E7E7E"/>
        </w:rPr>
      </w:pPr>
      <w:r w:rsidRPr="004939EF">
        <w:rPr>
          <w:color w:val="7E7E7E"/>
        </w:rPr>
        <w:t xml:space="preserve">Groźba </w:t>
      </w:r>
      <w:r w:rsidR="00090AFE" w:rsidRPr="004939EF">
        <w:rPr>
          <w:color w:val="7E7E7E"/>
        </w:rPr>
        <w:t>wy</w:t>
      </w:r>
      <w:r w:rsidR="00090AFE">
        <w:rPr>
          <w:color w:val="7E7E7E"/>
        </w:rPr>
        <w:t>mierzenia kary</w:t>
      </w:r>
      <w:r w:rsidR="00090AFE" w:rsidRPr="004939EF">
        <w:rPr>
          <w:color w:val="7E7E7E"/>
        </w:rPr>
        <w:t xml:space="preserve"> </w:t>
      </w:r>
      <w:r w:rsidR="00A57B23" w:rsidRPr="004939EF">
        <w:rPr>
          <w:color w:val="7E7E7E"/>
        </w:rPr>
        <w:t>śmierci lub doży</w:t>
      </w:r>
      <w:r w:rsidR="005A17D4">
        <w:rPr>
          <w:color w:val="7E7E7E"/>
        </w:rPr>
        <w:t>wotniego pozbawienia wolności w </w:t>
      </w:r>
      <w:r w:rsidR="00A57B23" w:rsidRPr="004939EF">
        <w:rPr>
          <w:color w:val="7E7E7E"/>
        </w:rPr>
        <w:t>przypadku ekstradycji</w:t>
      </w:r>
      <w:r w:rsidR="00751407">
        <w:rPr>
          <w:rStyle w:val="Odwoanieprzypisudolnego"/>
          <w:color w:val="7E7E7E"/>
        </w:rPr>
        <w:footnoteReference w:id="4"/>
      </w:r>
      <w:r w:rsidR="00A57B23" w:rsidRPr="004939EF">
        <w:rPr>
          <w:color w:val="7E7E7E"/>
        </w:rPr>
        <w:t xml:space="preserve"> </w:t>
      </w:r>
    </w:p>
    <w:p w14:paraId="3339331E" w14:textId="77777777" w:rsidR="00BD167A" w:rsidRPr="00BD167A" w:rsidRDefault="00BD167A" w:rsidP="00BD167A">
      <w:pPr>
        <w:pStyle w:val="Nagwek21"/>
        <w:spacing w:before="198"/>
        <w:rPr>
          <w:color w:val="0070C0"/>
          <w:u w:val="single"/>
        </w:rPr>
      </w:pPr>
      <w:r w:rsidRPr="00BD167A">
        <w:rPr>
          <w:color w:val="0070C0"/>
          <w:sz w:val="20"/>
          <w:szCs w:val="20"/>
          <w:u w:val="single"/>
        </w:rPr>
        <w:t xml:space="preserve">Öcalan </w:t>
      </w:r>
      <w:r>
        <w:rPr>
          <w:color w:val="0070C0"/>
          <w:sz w:val="20"/>
          <w:szCs w:val="20"/>
          <w:u w:val="single"/>
        </w:rPr>
        <w:t>przeciwko Turcji</w:t>
      </w:r>
    </w:p>
    <w:p w14:paraId="346AC5AA" w14:textId="77777777" w:rsidR="0025631D" w:rsidRPr="00F7039A" w:rsidRDefault="00BD167A">
      <w:pPr>
        <w:spacing w:before="60" w:line="218" w:lineRule="exact"/>
        <w:ind w:left="700"/>
        <w:jc w:val="both"/>
        <w:rPr>
          <w:sz w:val="18"/>
        </w:rPr>
      </w:pPr>
      <w:r w:rsidRPr="00F7039A">
        <w:rPr>
          <w:color w:val="808080"/>
          <w:sz w:val="18"/>
        </w:rPr>
        <w:t xml:space="preserve">12 maja 2005 r. </w:t>
      </w:r>
      <w:r w:rsidR="00A57B23" w:rsidRPr="00F7039A">
        <w:rPr>
          <w:color w:val="808080"/>
          <w:sz w:val="18"/>
        </w:rPr>
        <w:t>(Wielka Izba – wyrok</w:t>
      </w:r>
      <w:r w:rsidR="00D3520A" w:rsidRPr="00F7039A">
        <w:rPr>
          <w:color w:val="808080"/>
          <w:sz w:val="18"/>
        </w:rPr>
        <w:t>)</w:t>
      </w:r>
    </w:p>
    <w:p w14:paraId="7F2DD455" w14:textId="77ED4FB8" w:rsidR="001675EA" w:rsidRDefault="00A57B23" w:rsidP="001675EA">
      <w:pPr>
        <w:pStyle w:val="Tekstpodstawowy"/>
        <w:ind w:left="699" w:right="714"/>
        <w:rPr>
          <w:color w:val="0070C0"/>
        </w:rPr>
      </w:pPr>
      <w:r w:rsidRPr="00F7039A">
        <w:rPr>
          <w:color w:val="0070C0"/>
        </w:rPr>
        <w:t xml:space="preserve">W sprawie </w:t>
      </w:r>
      <w:r w:rsidR="00090AFE">
        <w:rPr>
          <w:color w:val="0070C0"/>
        </w:rPr>
        <w:t>tej</w:t>
      </w:r>
      <w:r w:rsidR="00E53377">
        <w:rPr>
          <w:color w:val="0070C0"/>
        </w:rPr>
        <w:t>,</w:t>
      </w:r>
      <w:r w:rsidR="00090AFE">
        <w:rPr>
          <w:color w:val="0070C0"/>
        </w:rPr>
        <w:t xml:space="preserve"> w dniu </w:t>
      </w:r>
      <w:r w:rsidRPr="00F7039A">
        <w:rPr>
          <w:color w:val="0070C0"/>
        </w:rPr>
        <w:t>30 listopada 1999 r.</w:t>
      </w:r>
      <w:r w:rsidR="00E53377">
        <w:rPr>
          <w:color w:val="0070C0"/>
        </w:rPr>
        <w:t>,</w:t>
      </w:r>
      <w:r w:rsidRPr="00F7039A">
        <w:rPr>
          <w:color w:val="0070C0"/>
        </w:rPr>
        <w:t xml:space="preserve"> Trybunał </w:t>
      </w:r>
      <w:r w:rsidRPr="00F7039A">
        <w:rPr>
          <w:color w:val="0070C0"/>
          <w:u w:val="single"/>
        </w:rPr>
        <w:t>postanowił</w:t>
      </w:r>
      <w:r w:rsidRPr="00A25338">
        <w:rPr>
          <w:color w:val="0070C0"/>
        </w:rPr>
        <w:t xml:space="preserve"> </w:t>
      </w:r>
      <w:r w:rsidRPr="00F7039A">
        <w:rPr>
          <w:color w:val="0070C0"/>
        </w:rPr>
        <w:t>zastosować Regułę 39 Regulaminu Trybunału, zwracając się do rządu tureckiego o podjęcie wszelkich niezbędnych kroków w celu zapewn</w:t>
      </w:r>
      <w:r w:rsidR="00BD167A" w:rsidRPr="00F7039A">
        <w:rPr>
          <w:color w:val="0070C0"/>
        </w:rPr>
        <w:t xml:space="preserve">ienia, że </w:t>
      </w:r>
      <w:r w:rsidRPr="00F7039A">
        <w:rPr>
          <w:color w:val="0070C0"/>
        </w:rPr>
        <w:t>wobec skarżącego</w:t>
      </w:r>
      <w:r w:rsidR="00F7039A" w:rsidRPr="00F7039A">
        <w:rPr>
          <w:color w:val="0070C0"/>
        </w:rPr>
        <w:t xml:space="preserve"> nie zostanie wykonana kara śmierci</w:t>
      </w:r>
      <w:r w:rsidRPr="00F7039A">
        <w:rPr>
          <w:color w:val="0070C0"/>
        </w:rPr>
        <w:t xml:space="preserve">, </w:t>
      </w:r>
      <w:r w:rsidR="004D0780">
        <w:rPr>
          <w:color w:val="0070C0"/>
        </w:rPr>
        <w:t>tak by</w:t>
      </w:r>
      <w:r w:rsidRPr="00F7039A">
        <w:rPr>
          <w:color w:val="0070C0"/>
        </w:rPr>
        <w:t xml:space="preserve"> umożliwić Trybunałowi </w:t>
      </w:r>
      <w:r w:rsidR="004D0780">
        <w:rPr>
          <w:color w:val="0070C0"/>
        </w:rPr>
        <w:t>efektywne przeprowadzeni</w:t>
      </w:r>
      <w:r w:rsidR="00B836B9">
        <w:rPr>
          <w:color w:val="0070C0"/>
        </w:rPr>
        <w:t>e</w:t>
      </w:r>
      <w:r w:rsidR="00BD167A" w:rsidRPr="00F7039A">
        <w:rPr>
          <w:color w:val="0070C0"/>
        </w:rPr>
        <w:t xml:space="preserve"> </w:t>
      </w:r>
      <w:r w:rsidR="004D0780">
        <w:rPr>
          <w:color w:val="0070C0"/>
        </w:rPr>
        <w:t>badania</w:t>
      </w:r>
      <w:r w:rsidR="004D0780" w:rsidRPr="00F7039A">
        <w:rPr>
          <w:color w:val="0070C0"/>
        </w:rPr>
        <w:t xml:space="preserve"> </w:t>
      </w:r>
      <w:r w:rsidRPr="00F7039A">
        <w:rPr>
          <w:color w:val="0070C0"/>
        </w:rPr>
        <w:t xml:space="preserve">dopuszczalności i </w:t>
      </w:r>
      <w:r w:rsidR="004D0780">
        <w:rPr>
          <w:color w:val="0070C0"/>
        </w:rPr>
        <w:t>meritum</w:t>
      </w:r>
      <w:r w:rsidR="004D0780" w:rsidRPr="00F7039A">
        <w:rPr>
          <w:color w:val="0070C0"/>
        </w:rPr>
        <w:t xml:space="preserve"> </w:t>
      </w:r>
      <w:r w:rsidR="00090AFE">
        <w:rPr>
          <w:color w:val="0070C0"/>
        </w:rPr>
        <w:t>zarzutów</w:t>
      </w:r>
      <w:r w:rsidR="00090AFE" w:rsidRPr="00F7039A">
        <w:rPr>
          <w:color w:val="0070C0"/>
        </w:rPr>
        <w:t xml:space="preserve"> </w:t>
      </w:r>
      <w:r w:rsidRPr="00F7039A">
        <w:rPr>
          <w:color w:val="0070C0"/>
        </w:rPr>
        <w:t xml:space="preserve">skarżącego </w:t>
      </w:r>
      <w:r w:rsidR="00BB1DD9">
        <w:rPr>
          <w:color w:val="0070C0"/>
        </w:rPr>
        <w:t xml:space="preserve">podniesionych </w:t>
      </w:r>
      <w:r w:rsidRPr="00F7039A">
        <w:rPr>
          <w:color w:val="0070C0"/>
        </w:rPr>
        <w:t>na podst</w:t>
      </w:r>
      <w:r w:rsidR="005A17D4">
        <w:rPr>
          <w:color w:val="0070C0"/>
        </w:rPr>
        <w:t xml:space="preserve">awie Konwencji. Po zniesieniu </w:t>
      </w:r>
      <w:r w:rsidR="004D0780">
        <w:rPr>
          <w:color w:val="0070C0"/>
        </w:rPr>
        <w:t>w </w:t>
      </w:r>
      <w:r w:rsidR="004D0780" w:rsidRPr="00F7039A">
        <w:rPr>
          <w:color w:val="0070C0"/>
        </w:rPr>
        <w:t xml:space="preserve">sierpniu 2002 r. </w:t>
      </w:r>
      <w:r w:rsidR="007967A6">
        <w:rPr>
          <w:color w:val="0070C0"/>
        </w:rPr>
        <w:t>w </w:t>
      </w:r>
      <w:r w:rsidRPr="00F7039A">
        <w:rPr>
          <w:color w:val="0070C0"/>
        </w:rPr>
        <w:t xml:space="preserve">prawie tureckim kary śmierci </w:t>
      </w:r>
      <w:r w:rsidR="004D0780">
        <w:rPr>
          <w:color w:val="0070C0"/>
        </w:rPr>
        <w:t>w czasie</w:t>
      </w:r>
      <w:r w:rsidRPr="00F7039A">
        <w:rPr>
          <w:color w:val="0070C0"/>
        </w:rPr>
        <w:t xml:space="preserve"> pokoju</w:t>
      </w:r>
      <w:r w:rsidR="007967A6" w:rsidRPr="007967A6">
        <w:rPr>
          <w:color w:val="0070C0"/>
        </w:rPr>
        <w:t xml:space="preserve"> </w:t>
      </w:r>
      <w:r w:rsidR="00AB575F">
        <w:rPr>
          <w:color w:val="0070C0"/>
        </w:rPr>
        <w:t>Trybunał</w:t>
      </w:r>
      <w:r w:rsidRPr="00F7039A">
        <w:rPr>
          <w:color w:val="0070C0"/>
        </w:rPr>
        <w:t xml:space="preserve"> </w:t>
      </w:r>
      <w:r w:rsidR="004D0780">
        <w:rPr>
          <w:color w:val="0070C0"/>
        </w:rPr>
        <w:t>B</w:t>
      </w:r>
      <w:r w:rsidRPr="00F7039A">
        <w:rPr>
          <w:color w:val="0070C0"/>
        </w:rPr>
        <w:t xml:space="preserve">ezpieczeństwa </w:t>
      </w:r>
      <w:r w:rsidR="004D0780">
        <w:rPr>
          <w:color w:val="0070C0"/>
        </w:rPr>
        <w:t>P</w:t>
      </w:r>
      <w:r w:rsidRPr="00F7039A">
        <w:rPr>
          <w:color w:val="0070C0"/>
        </w:rPr>
        <w:t xml:space="preserve">aństwa w Ankarze </w:t>
      </w:r>
      <w:r w:rsidR="00B836B9" w:rsidRPr="00F7039A">
        <w:rPr>
          <w:color w:val="0070C0"/>
        </w:rPr>
        <w:t>w październiku 2002 r.</w:t>
      </w:r>
      <w:r w:rsidR="00B836B9">
        <w:rPr>
          <w:color w:val="0070C0"/>
        </w:rPr>
        <w:t xml:space="preserve"> </w:t>
      </w:r>
      <w:r w:rsidRPr="00F7039A">
        <w:rPr>
          <w:color w:val="0070C0"/>
        </w:rPr>
        <w:t xml:space="preserve">zamienił </w:t>
      </w:r>
      <w:r w:rsidR="00090AFE">
        <w:rPr>
          <w:color w:val="0070C0"/>
        </w:rPr>
        <w:t xml:space="preserve">wymierzoną skarżącemu </w:t>
      </w:r>
      <w:r w:rsidRPr="00F7039A">
        <w:rPr>
          <w:color w:val="0070C0"/>
        </w:rPr>
        <w:t>karę</w:t>
      </w:r>
      <w:r w:rsidR="00674D24">
        <w:rPr>
          <w:color w:val="0070C0"/>
        </w:rPr>
        <w:t xml:space="preserve"> </w:t>
      </w:r>
      <w:r w:rsidRPr="00F7039A">
        <w:rPr>
          <w:color w:val="0070C0"/>
        </w:rPr>
        <w:t>śmierci na dożywotnie pozbawienie wolności</w:t>
      </w:r>
      <w:r w:rsidR="00B836B9">
        <w:rPr>
          <w:color w:val="0070C0"/>
        </w:rPr>
        <w:t>.</w:t>
      </w:r>
      <w:r w:rsidRPr="00F7039A">
        <w:rPr>
          <w:color w:val="0070C0"/>
        </w:rPr>
        <w:t xml:space="preserve"> </w:t>
      </w:r>
    </w:p>
    <w:p w14:paraId="24193BCE" w14:textId="77777777" w:rsidR="0025631D" w:rsidRPr="001675EA" w:rsidRDefault="00A57B23" w:rsidP="00455804">
      <w:pPr>
        <w:pStyle w:val="Tekstpodstawowy"/>
        <w:spacing w:before="120"/>
        <w:ind w:left="699" w:right="714"/>
        <w:rPr>
          <w:b/>
        </w:rPr>
      </w:pPr>
      <w:proofErr w:type="spellStart"/>
      <w:r w:rsidRPr="001675EA">
        <w:rPr>
          <w:b/>
          <w:color w:val="0071BB"/>
          <w:u w:val="thick" w:color="0071BB"/>
        </w:rPr>
        <w:t>Nivette</w:t>
      </w:r>
      <w:proofErr w:type="spellEnd"/>
      <w:r w:rsidRPr="001675EA">
        <w:rPr>
          <w:b/>
          <w:color w:val="0071BB"/>
          <w:u w:val="thick" w:color="0071BB"/>
        </w:rPr>
        <w:t xml:space="preserve"> przeciwko</w:t>
      </w:r>
      <w:r w:rsidR="00D3520A" w:rsidRPr="001675EA">
        <w:rPr>
          <w:b/>
          <w:color w:val="0071BB"/>
          <w:u w:val="thick" w:color="0071BB"/>
        </w:rPr>
        <w:t xml:space="preserve"> Franc</w:t>
      </w:r>
      <w:r w:rsidRPr="001675EA">
        <w:rPr>
          <w:b/>
          <w:color w:val="0071BB"/>
          <w:u w:val="thick" w:color="0071BB"/>
        </w:rPr>
        <w:t>ji</w:t>
      </w:r>
    </w:p>
    <w:p w14:paraId="77181E75" w14:textId="77777777" w:rsidR="0025631D" w:rsidRPr="004939EF" w:rsidRDefault="00A57B23">
      <w:pPr>
        <w:spacing w:before="60" w:line="218" w:lineRule="exact"/>
        <w:ind w:left="700"/>
        <w:rPr>
          <w:sz w:val="18"/>
        </w:rPr>
      </w:pPr>
      <w:r w:rsidRPr="004939EF">
        <w:rPr>
          <w:color w:val="808080"/>
          <w:sz w:val="18"/>
        </w:rPr>
        <w:t>3 lipca</w:t>
      </w:r>
      <w:r w:rsidR="00D3520A" w:rsidRPr="004939EF">
        <w:rPr>
          <w:color w:val="808080"/>
          <w:sz w:val="18"/>
        </w:rPr>
        <w:t xml:space="preserve"> 200</w:t>
      </w:r>
      <w:r w:rsidR="00751407">
        <w:rPr>
          <w:color w:val="808080"/>
          <w:sz w:val="18"/>
        </w:rPr>
        <w:t>1 r. (decyzja o dopuszczalności</w:t>
      </w:r>
      <w:r w:rsidR="00D3520A" w:rsidRPr="004939EF">
        <w:rPr>
          <w:color w:val="808080"/>
          <w:sz w:val="18"/>
        </w:rPr>
        <w:t>)</w:t>
      </w:r>
    </w:p>
    <w:p w14:paraId="7355596C" w14:textId="77777777" w:rsidR="00A57B23" w:rsidRPr="00F7039A" w:rsidRDefault="00A57B23" w:rsidP="00751407">
      <w:pPr>
        <w:pStyle w:val="Tekstpodstawowy"/>
        <w:ind w:right="716"/>
      </w:pPr>
      <w:r w:rsidRPr="00F7039A">
        <w:t xml:space="preserve">Skarżący, obywatel amerykański podejrzany o </w:t>
      </w:r>
      <w:r w:rsidR="00090AFE" w:rsidRPr="00F7039A">
        <w:t>za</w:t>
      </w:r>
      <w:r w:rsidR="00090AFE">
        <w:t>bójstwo</w:t>
      </w:r>
      <w:r w:rsidR="00090AFE" w:rsidRPr="00F7039A">
        <w:t xml:space="preserve"> </w:t>
      </w:r>
      <w:r w:rsidRPr="00F7039A">
        <w:t xml:space="preserve">swojej dziewczyny, </w:t>
      </w:r>
      <w:r w:rsidR="006152AA" w:rsidRPr="00F7039A">
        <w:t>podniósł</w:t>
      </w:r>
      <w:r w:rsidRPr="00F7039A">
        <w:t xml:space="preserve"> w szczególności, że jego ekstradycja do Stanów Zjednoczonych </w:t>
      </w:r>
      <w:r w:rsidR="00090AFE">
        <w:t xml:space="preserve">doprowadzi do </w:t>
      </w:r>
      <w:r w:rsidR="00751407" w:rsidRPr="00F7039A">
        <w:t>narusz</w:t>
      </w:r>
      <w:r w:rsidR="00090AFE">
        <w:t>enia</w:t>
      </w:r>
      <w:r w:rsidR="00751407" w:rsidRPr="00F7039A">
        <w:t xml:space="preserve"> art.</w:t>
      </w:r>
      <w:r w:rsidR="007967A6">
        <w:t> 3 </w:t>
      </w:r>
      <w:r w:rsidR="00751407" w:rsidRPr="00F7039A">
        <w:t>Konwencji.</w:t>
      </w:r>
    </w:p>
    <w:p w14:paraId="2C548C3B" w14:textId="77777777" w:rsidR="00A57B23" w:rsidRPr="004939EF" w:rsidRDefault="00751407" w:rsidP="00751407">
      <w:pPr>
        <w:pStyle w:val="Tekstpodstawowy"/>
        <w:ind w:right="716"/>
        <w:rPr>
          <w:color w:val="0070C0"/>
        </w:rPr>
      </w:pPr>
      <w:r w:rsidRPr="00F7039A">
        <w:rPr>
          <w:color w:val="0070C0"/>
        </w:rPr>
        <w:t xml:space="preserve">W </w:t>
      </w:r>
      <w:r w:rsidR="00A57B23" w:rsidRPr="00F7039A">
        <w:rPr>
          <w:color w:val="0070C0"/>
        </w:rPr>
        <w:t xml:space="preserve">sprawie </w:t>
      </w:r>
      <w:r w:rsidR="00090AFE">
        <w:rPr>
          <w:color w:val="0070C0"/>
        </w:rPr>
        <w:t xml:space="preserve">tej </w:t>
      </w:r>
      <w:r w:rsidR="00A57B23" w:rsidRPr="00F7039A">
        <w:rPr>
          <w:color w:val="0070C0"/>
        </w:rPr>
        <w:t>Trybunał postanowił zastosować Regułę 39 Regulaminu Trybunału. Środek ty</w:t>
      </w:r>
      <w:r w:rsidR="006152AA" w:rsidRPr="00F7039A">
        <w:rPr>
          <w:color w:val="0070C0"/>
        </w:rPr>
        <w:t>mczasowy został jednak uchylony</w:t>
      </w:r>
      <w:r w:rsidR="00A57B23" w:rsidRPr="00F7039A">
        <w:rPr>
          <w:color w:val="0070C0"/>
        </w:rPr>
        <w:t xml:space="preserve"> </w:t>
      </w:r>
      <w:r w:rsidR="006152AA" w:rsidRPr="00F7039A">
        <w:rPr>
          <w:color w:val="0070C0"/>
        </w:rPr>
        <w:t xml:space="preserve">w następstwie uznania przez </w:t>
      </w:r>
      <w:r w:rsidR="00A57B23" w:rsidRPr="00F7039A">
        <w:rPr>
          <w:color w:val="0070C0"/>
        </w:rPr>
        <w:t>Trybunał za wystar</w:t>
      </w:r>
      <w:r w:rsidR="006152AA" w:rsidRPr="00F7039A">
        <w:rPr>
          <w:color w:val="0070C0"/>
        </w:rPr>
        <w:t>czające zapewnie</w:t>
      </w:r>
      <w:r w:rsidR="00090AFE">
        <w:rPr>
          <w:color w:val="0070C0"/>
        </w:rPr>
        <w:t>nia</w:t>
      </w:r>
      <w:r w:rsidRPr="00F7039A">
        <w:rPr>
          <w:color w:val="0070C0"/>
        </w:rPr>
        <w:t xml:space="preserve"> </w:t>
      </w:r>
      <w:r w:rsidR="00090AFE" w:rsidRPr="00F7039A">
        <w:rPr>
          <w:color w:val="0070C0"/>
        </w:rPr>
        <w:t>uzyskan</w:t>
      </w:r>
      <w:r w:rsidR="00090AFE">
        <w:rPr>
          <w:color w:val="0070C0"/>
        </w:rPr>
        <w:t>e</w:t>
      </w:r>
      <w:r w:rsidR="00090AFE" w:rsidRPr="00F7039A">
        <w:rPr>
          <w:color w:val="0070C0"/>
        </w:rPr>
        <w:t xml:space="preserve"> </w:t>
      </w:r>
      <w:r w:rsidRPr="00F7039A">
        <w:rPr>
          <w:color w:val="0070C0"/>
        </w:rPr>
        <w:t>od władz Stanów Zjednoczonych przez rząd francuski</w:t>
      </w:r>
      <w:r w:rsidR="006152AA" w:rsidRPr="00F7039A">
        <w:rPr>
          <w:color w:val="0070C0"/>
        </w:rPr>
        <w:t xml:space="preserve">, że skarżący nie zostanie skazany na karę śmierci </w:t>
      </w:r>
      <w:r w:rsidRPr="00F7039A">
        <w:rPr>
          <w:color w:val="0070C0"/>
        </w:rPr>
        <w:t xml:space="preserve">ani </w:t>
      </w:r>
      <w:r w:rsidR="00090AFE">
        <w:rPr>
          <w:color w:val="0070C0"/>
        </w:rPr>
        <w:t xml:space="preserve">na </w:t>
      </w:r>
      <w:r w:rsidRPr="00F7039A">
        <w:rPr>
          <w:color w:val="0070C0"/>
        </w:rPr>
        <w:t>dożywotnie pozbawienie wolności.</w:t>
      </w:r>
    </w:p>
    <w:p w14:paraId="429480FC" w14:textId="77777777" w:rsidR="0025631D" w:rsidRPr="004939EF" w:rsidRDefault="006152AA">
      <w:pPr>
        <w:pStyle w:val="Nagwek31"/>
        <w:spacing w:before="120"/>
        <w:jc w:val="left"/>
        <w:rPr>
          <w:u w:val="none"/>
        </w:rPr>
      </w:pPr>
      <w:r w:rsidRPr="004939EF">
        <w:rPr>
          <w:color w:val="0071BB"/>
          <w:u w:val="thick" w:color="0071BB"/>
        </w:rPr>
        <w:t xml:space="preserve">Babar </w:t>
      </w:r>
      <w:r w:rsidRPr="00751407">
        <w:rPr>
          <w:color w:val="0071BB"/>
          <w:u w:val="thick" w:color="0071BB"/>
        </w:rPr>
        <w:t>Ahmad i Inni</w:t>
      </w:r>
      <w:r w:rsidRPr="004939EF">
        <w:rPr>
          <w:color w:val="0071BB"/>
          <w:u w:val="thick" w:color="0071BB"/>
        </w:rPr>
        <w:t xml:space="preserve"> przeciwko</w:t>
      </w:r>
      <w:r w:rsidR="00D3520A" w:rsidRPr="004939EF">
        <w:rPr>
          <w:color w:val="0071BB"/>
          <w:u w:val="thick" w:color="0071BB"/>
        </w:rPr>
        <w:t xml:space="preserve"> </w:t>
      </w:r>
      <w:r w:rsidRPr="004939EF">
        <w:rPr>
          <w:color w:val="0071BB"/>
          <w:u w:val="thick" w:color="0071BB"/>
        </w:rPr>
        <w:t>Zjednoczonemu Królestwu</w:t>
      </w:r>
    </w:p>
    <w:p w14:paraId="56251D4F" w14:textId="77777777" w:rsidR="0025631D" w:rsidRPr="004939EF" w:rsidRDefault="006152AA">
      <w:pPr>
        <w:spacing w:before="62" w:line="218" w:lineRule="exact"/>
        <w:ind w:left="700"/>
        <w:rPr>
          <w:sz w:val="18"/>
        </w:rPr>
      </w:pPr>
      <w:r w:rsidRPr="004939EF">
        <w:rPr>
          <w:color w:val="808080"/>
          <w:sz w:val="18"/>
        </w:rPr>
        <w:t xml:space="preserve">10 kwietnia </w:t>
      </w:r>
      <w:r w:rsidR="00D3520A" w:rsidRPr="004939EF">
        <w:rPr>
          <w:color w:val="808080"/>
          <w:sz w:val="18"/>
        </w:rPr>
        <w:t>2012</w:t>
      </w:r>
      <w:r w:rsidR="00751407">
        <w:rPr>
          <w:color w:val="808080"/>
          <w:sz w:val="18"/>
        </w:rPr>
        <w:t xml:space="preserve"> r. (wyrok</w:t>
      </w:r>
      <w:r w:rsidR="00D3520A" w:rsidRPr="004939EF">
        <w:rPr>
          <w:color w:val="808080"/>
          <w:sz w:val="18"/>
        </w:rPr>
        <w:t>)</w:t>
      </w:r>
    </w:p>
    <w:p w14:paraId="68E250C4" w14:textId="184BDD2D" w:rsidR="006152AA" w:rsidRPr="004939EF" w:rsidRDefault="00090AFE" w:rsidP="00257DBF">
      <w:pPr>
        <w:pStyle w:val="Tekstpodstawowy"/>
        <w:ind w:right="716"/>
      </w:pPr>
      <w:r>
        <w:t xml:space="preserve">Skarżącym </w:t>
      </w:r>
      <w:r w:rsidR="00257DBF">
        <w:t>p</w:t>
      </w:r>
      <w:r>
        <w:t>rzed</w:t>
      </w:r>
      <w:r w:rsidR="00257DBF">
        <w:t xml:space="preserve">stawiono </w:t>
      </w:r>
      <w:r>
        <w:t>różne zarzuty</w:t>
      </w:r>
      <w:r w:rsidR="00257DBF">
        <w:t xml:space="preserve"> dotycząc</w:t>
      </w:r>
      <w:r>
        <w:t>e</w:t>
      </w:r>
      <w:r w:rsidR="00257DBF">
        <w:t xml:space="preserve"> działalności o charakterze terrorystycznym </w:t>
      </w:r>
      <w:r w:rsidR="006152AA" w:rsidRPr="004939EF">
        <w:t>w Stanach Zjednoczonych</w:t>
      </w:r>
      <w:r>
        <w:t xml:space="preserve"> – kraju</w:t>
      </w:r>
      <w:r w:rsidR="006152AA" w:rsidRPr="004939EF">
        <w:t>, któr</w:t>
      </w:r>
      <w:r>
        <w:t>y</w:t>
      </w:r>
      <w:r w:rsidR="006152AA" w:rsidRPr="004939EF">
        <w:t xml:space="preserve"> domagał się i</w:t>
      </w:r>
      <w:r w:rsidR="007F368E">
        <w:t xml:space="preserve">ch ekstradycji. Skarżący </w:t>
      </w:r>
      <w:r>
        <w:t>twierdzili, że zachodzi obawa</w:t>
      </w:r>
      <w:r w:rsidR="006152AA" w:rsidRPr="004939EF">
        <w:t xml:space="preserve"> </w:t>
      </w:r>
      <w:r w:rsidRPr="004939EF">
        <w:t>odby</w:t>
      </w:r>
      <w:r>
        <w:t>wania przez nich</w:t>
      </w:r>
      <w:r w:rsidRPr="004939EF">
        <w:t xml:space="preserve"> </w:t>
      </w:r>
      <w:r w:rsidR="006152AA" w:rsidRPr="004939EF">
        <w:t xml:space="preserve">kary pozbawienia </w:t>
      </w:r>
      <w:r w:rsidR="006152AA" w:rsidRPr="00F7039A">
        <w:t xml:space="preserve">wolności </w:t>
      </w:r>
      <w:r w:rsidR="00F7039A" w:rsidRPr="00F7039A">
        <w:t>w zakładzie karnym</w:t>
      </w:r>
      <w:r w:rsidR="006152AA" w:rsidRPr="00F7039A">
        <w:t xml:space="preserve"> o zaostrzonym</w:t>
      </w:r>
      <w:r w:rsidR="006152AA" w:rsidRPr="004939EF">
        <w:t xml:space="preserve"> rygorze, gdzie </w:t>
      </w:r>
      <w:r w:rsidR="001D6AF7">
        <w:t>zastosowano by wobec nich</w:t>
      </w:r>
      <w:r w:rsidR="007967A6">
        <w:t xml:space="preserve"> </w:t>
      </w:r>
      <w:r w:rsidR="001D6AF7">
        <w:t xml:space="preserve">specjalne środki administracyjne, </w:t>
      </w:r>
      <w:r>
        <w:t xml:space="preserve">a także obawa wymierzenia im </w:t>
      </w:r>
      <w:r w:rsidR="001D6AF7">
        <w:t xml:space="preserve">nieredukowalnej </w:t>
      </w:r>
      <w:r w:rsidR="00257DBF">
        <w:t>kary</w:t>
      </w:r>
      <w:r w:rsidR="006152AA" w:rsidRPr="004939EF">
        <w:t xml:space="preserve"> dożywotniego pozbawienia wolności.</w:t>
      </w:r>
    </w:p>
    <w:p w14:paraId="4D414CB7" w14:textId="7F7FD7DA" w:rsidR="0091737B" w:rsidRDefault="006152AA" w:rsidP="00257DBF">
      <w:pPr>
        <w:pStyle w:val="Tekstpodstawowy"/>
        <w:ind w:right="716"/>
        <w:rPr>
          <w:color w:val="0071BB"/>
        </w:rPr>
      </w:pPr>
      <w:r w:rsidRPr="004939EF">
        <w:rPr>
          <w:color w:val="0071BB"/>
        </w:rPr>
        <w:t xml:space="preserve">W </w:t>
      </w:r>
      <w:r w:rsidRPr="00F7039A">
        <w:rPr>
          <w:color w:val="0071BB"/>
        </w:rPr>
        <w:t xml:space="preserve">sprawie </w:t>
      </w:r>
      <w:r w:rsidR="00090AFE">
        <w:rPr>
          <w:color w:val="0071BB"/>
        </w:rPr>
        <w:t xml:space="preserve">tej </w:t>
      </w:r>
      <w:r w:rsidRPr="00F7039A">
        <w:rPr>
          <w:color w:val="0071BB"/>
        </w:rPr>
        <w:t xml:space="preserve">Trybunał postanowił zastosować Regułę 39 Regulaminu Trybunału. </w:t>
      </w:r>
      <w:r w:rsidR="001D6AF7">
        <w:rPr>
          <w:color w:val="0071BB"/>
        </w:rPr>
        <w:t>S</w:t>
      </w:r>
      <w:r w:rsidR="00090AFE" w:rsidRPr="00F7039A">
        <w:rPr>
          <w:color w:val="0071BB"/>
        </w:rPr>
        <w:t>tosowani</w:t>
      </w:r>
      <w:r w:rsidR="001D6AF7">
        <w:rPr>
          <w:color w:val="0071BB"/>
        </w:rPr>
        <w:t>e</w:t>
      </w:r>
      <w:r w:rsidR="00090AFE" w:rsidRPr="00F7039A">
        <w:rPr>
          <w:color w:val="0071BB"/>
        </w:rPr>
        <w:t xml:space="preserve"> </w:t>
      </w:r>
      <w:r w:rsidR="0091737B" w:rsidRPr="00F7039A">
        <w:rPr>
          <w:color w:val="0071BB"/>
        </w:rPr>
        <w:t xml:space="preserve">Reguły 39 </w:t>
      </w:r>
      <w:r w:rsidR="001D6AF7">
        <w:rPr>
          <w:color w:val="0071BB"/>
        </w:rPr>
        <w:t>uchylono</w:t>
      </w:r>
      <w:r w:rsidR="00090AFE">
        <w:rPr>
          <w:color w:val="0071BB"/>
        </w:rPr>
        <w:t xml:space="preserve"> </w:t>
      </w:r>
      <w:r w:rsidR="00257DBF" w:rsidRPr="00F7039A">
        <w:rPr>
          <w:color w:val="0071BB"/>
        </w:rPr>
        <w:t xml:space="preserve">w następstwie uznania przez </w:t>
      </w:r>
      <w:r w:rsidR="00F7039A" w:rsidRPr="00F7039A">
        <w:rPr>
          <w:color w:val="0071BB"/>
        </w:rPr>
        <w:t>Trybunał</w:t>
      </w:r>
      <w:r w:rsidR="001D6AF7">
        <w:rPr>
          <w:color w:val="0071BB"/>
        </w:rPr>
        <w:t>,</w:t>
      </w:r>
      <w:r w:rsidR="00F7039A" w:rsidRPr="00F7039A">
        <w:rPr>
          <w:color w:val="0071BB"/>
        </w:rPr>
        <w:t xml:space="preserve"> w </w:t>
      </w:r>
      <w:r w:rsidR="00BB1DD9">
        <w:rPr>
          <w:color w:val="0071BB"/>
        </w:rPr>
        <w:t>jego</w:t>
      </w:r>
      <w:r w:rsidR="00BB1DD9" w:rsidRPr="00F7039A">
        <w:rPr>
          <w:color w:val="0071BB"/>
        </w:rPr>
        <w:t xml:space="preserve"> </w:t>
      </w:r>
      <w:r w:rsidRPr="00F7039A">
        <w:rPr>
          <w:color w:val="0071BB"/>
        </w:rPr>
        <w:t xml:space="preserve">wyroku, że </w:t>
      </w:r>
      <w:r w:rsidR="00090AFE">
        <w:rPr>
          <w:color w:val="0071BB"/>
        </w:rPr>
        <w:t>wymiar</w:t>
      </w:r>
      <w:r w:rsidR="00257DBF" w:rsidRPr="00F7039A">
        <w:rPr>
          <w:color w:val="0071BB"/>
        </w:rPr>
        <w:t xml:space="preserve"> </w:t>
      </w:r>
      <w:r w:rsidRPr="00F7039A">
        <w:rPr>
          <w:color w:val="0071BB"/>
        </w:rPr>
        <w:t>kar</w:t>
      </w:r>
      <w:r w:rsidR="00090AFE">
        <w:rPr>
          <w:color w:val="0071BB"/>
        </w:rPr>
        <w:t>, które mog</w:t>
      </w:r>
      <w:r w:rsidR="001D6AF7">
        <w:rPr>
          <w:color w:val="0071BB"/>
        </w:rPr>
        <w:t>łyby</w:t>
      </w:r>
      <w:r w:rsidR="00090AFE">
        <w:rPr>
          <w:color w:val="0071BB"/>
        </w:rPr>
        <w:t xml:space="preserve"> zostać wymierzone </w:t>
      </w:r>
      <w:r w:rsidR="00090AFE" w:rsidRPr="00F7039A">
        <w:rPr>
          <w:color w:val="0071BB"/>
        </w:rPr>
        <w:t>skarżący</w:t>
      </w:r>
      <w:r w:rsidR="00090AFE">
        <w:rPr>
          <w:color w:val="0071BB"/>
        </w:rPr>
        <w:t>m</w:t>
      </w:r>
      <w:r w:rsidR="0091737B" w:rsidRPr="00F7039A">
        <w:rPr>
          <w:color w:val="0071BB"/>
        </w:rPr>
        <w:t xml:space="preserve"> </w:t>
      </w:r>
      <w:r w:rsidR="007F368E">
        <w:rPr>
          <w:color w:val="0071BB"/>
        </w:rPr>
        <w:t>w </w:t>
      </w:r>
      <w:r w:rsidR="00257DBF" w:rsidRPr="00F7039A">
        <w:rPr>
          <w:color w:val="0071BB"/>
        </w:rPr>
        <w:t xml:space="preserve">przypadku ich </w:t>
      </w:r>
      <w:r w:rsidR="0091737B" w:rsidRPr="00F7039A">
        <w:rPr>
          <w:color w:val="0071BB"/>
        </w:rPr>
        <w:t xml:space="preserve">ekstradycji </w:t>
      </w:r>
      <w:r w:rsidR="00257DBF" w:rsidRPr="00F7039A">
        <w:rPr>
          <w:color w:val="0071BB"/>
        </w:rPr>
        <w:t xml:space="preserve">do Stanów Zjednoczonych, nie </w:t>
      </w:r>
      <w:r w:rsidR="00090AFE">
        <w:rPr>
          <w:color w:val="0071BB"/>
        </w:rPr>
        <w:t xml:space="preserve">doprowadzi do </w:t>
      </w:r>
      <w:r w:rsidR="00257DBF">
        <w:rPr>
          <w:color w:val="0071BB"/>
        </w:rPr>
        <w:t>naruszenia art. 3 Konwencji.</w:t>
      </w:r>
    </w:p>
    <w:p w14:paraId="76CCB803" w14:textId="77777777" w:rsidR="00455804" w:rsidRDefault="00455804" w:rsidP="001D474F">
      <w:pPr>
        <w:shd w:val="pct5" w:color="auto" w:fill="auto"/>
        <w:spacing w:before="240" w:after="240"/>
        <w:ind w:left="709" w:right="669" w:firstLine="284"/>
        <w:rPr>
          <w:sz w:val="24"/>
        </w:rPr>
      </w:pPr>
      <w:r>
        <w:rPr>
          <w:color w:val="252525"/>
          <w:sz w:val="24"/>
        </w:rPr>
        <w:t>Groźba rażącej odmowy ochrony prawnej</w:t>
      </w:r>
    </w:p>
    <w:p w14:paraId="02B34A28" w14:textId="5C3D7A48" w:rsidR="0091737B" w:rsidRPr="004939EF" w:rsidRDefault="0091737B" w:rsidP="0091737B">
      <w:pPr>
        <w:pStyle w:val="Tekstpodstawowy"/>
        <w:spacing w:before="105"/>
        <w:ind w:right="713"/>
        <w:rPr>
          <w:color w:val="404040"/>
        </w:rPr>
      </w:pPr>
      <w:r w:rsidRPr="004939EF">
        <w:t xml:space="preserve">Reguła 39 </w:t>
      </w:r>
      <w:r w:rsidR="00D653E5">
        <w:t>może zostać także zastosowana</w:t>
      </w:r>
      <w:r w:rsidRPr="004939EF">
        <w:t xml:space="preserve"> w sprawach </w:t>
      </w:r>
      <w:r w:rsidR="00D653E5">
        <w:t>dotyczących</w:t>
      </w:r>
      <w:r w:rsidR="00257DBF">
        <w:t xml:space="preserve"> art.</w:t>
      </w:r>
      <w:r w:rsidRPr="004939EF">
        <w:t xml:space="preserve"> 5 (prawo do wolności</w:t>
      </w:r>
      <w:r w:rsidR="00257DBF">
        <w:t xml:space="preserve"> i bezpieczeństwa) oraz art.</w:t>
      </w:r>
      <w:r w:rsidRPr="004939EF">
        <w:t xml:space="preserve"> 6 (prawo do rzetelnego procesu</w:t>
      </w:r>
      <w:r w:rsidR="00D653E5">
        <w:t xml:space="preserve"> sądowego</w:t>
      </w:r>
      <w:r w:rsidRPr="004939EF">
        <w:t xml:space="preserve">) Konwencji, </w:t>
      </w:r>
      <w:r w:rsidR="00457BFA">
        <w:t>w których zachodzi</w:t>
      </w:r>
      <w:r w:rsidRPr="004939EF">
        <w:t xml:space="preserve"> </w:t>
      </w:r>
      <w:r w:rsidR="00457BFA">
        <w:t>obawa</w:t>
      </w:r>
      <w:r w:rsidR="00457BFA" w:rsidRPr="004939EF">
        <w:t xml:space="preserve"> </w:t>
      </w:r>
      <w:r w:rsidRPr="004939EF">
        <w:t xml:space="preserve">„rażącej odmowy </w:t>
      </w:r>
      <w:r w:rsidR="00D653E5">
        <w:t>ochrony prawnej</w:t>
      </w:r>
      <w:r w:rsidRPr="004939EF">
        <w:t>” w przypadku wydalenia lub ekstradycji.</w:t>
      </w:r>
    </w:p>
    <w:p w14:paraId="33309AC0" w14:textId="77777777" w:rsidR="0025631D" w:rsidRPr="004939EF" w:rsidRDefault="0091737B">
      <w:pPr>
        <w:pStyle w:val="Nagwek31"/>
        <w:spacing w:before="118"/>
        <w:jc w:val="left"/>
        <w:rPr>
          <w:u w:val="none"/>
        </w:rPr>
      </w:pPr>
      <w:r w:rsidRPr="004939EF">
        <w:rPr>
          <w:color w:val="0071BB"/>
          <w:u w:val="thick" w:color="0071BB"/>
        </w:rPr>
        <w:t>Soering przeciwko</w:t>
      </w:r>
      <w:r w:rsidR="00D3520A" w:rsidRPr="004939EF">
        <w:rPr>
          <w:color w:val="0071BB"/>
          <w:u w:val="thick" w:color="0071BB"/>
        </w:rPr>
        <w:t xml:space="preserve"> </w:t>
      </w:r>
      <w:r w:rsidRPr="004939EF">
        <w:rPr>
          <w:color w:val="0071BB"/>
          <w:u w:val="thick" w:color="0071BB"/>
        </w:rPr>
        <w:t>Zjednoczonemu Królestwu</w:t>
      </w:r>
    </w:p>
    <w:p w14:paraId="6AAD96C2" w14:textId="77777777" w:rsidR="0025631D" w:rsidRPr="004939EF" w:rsidRDefault="0091737B">
      <w:pPr>
        <w:spacing w:before="63" w:line="218" w:lineRule="exact"/>
        <w:ind w:left="700"/>
        <w:rPr>
          <w:sz w:val="18"/>
        </w:rPr>
      </w:pPr>
      <w:r w:rsidRPr="004939EF">
        <w:rPr>
          <w:color w:val="808080"/>
          <w:sz w:val="18"/>
        </w:rPr>
        <w:t>7 lipca 1989</w:t>
      </w:r>
      <w:r w:rsidR="005E6BAB">
        <w:rPr>
          <w:color w:val="808080"/>
          <w:sz w:val="18"/>
        </w:rPr>
        <w:t xml:space="preserve"> r.</w:t>
      </w:r>
      <w:r w:rsidRPr="004939EF">
        <w:rPr>
          <w:color w:val="808080"/>
          <w:sz w:val="18"/>
        </w:rPr>
        <w:t xml:space="preserve"> (wyrok</w:t>
      </w:r>
      <w:r w:rsidR="00D3520A" w:rsidRPr="004939EF">
        <w:rPr>
          <w:color w:val="808080"/>
          <w:sz w:val="18"/>
        </w:rPr>
        <w:t>)</w:t>
      </w:r>
    </w:p>
    <w:p w14:paraId="207D8D9C" w14:textId="70B5A0B7" w:rsidR="0091737B" w:rsidRPr="007967A6" w:rsidRDefault="0091737B" w:rsidP="00AF517F">
      <w:pPr>
        <w:pStyle w:val="Tekstpodstawowy"/>
        <w:ind w:right="712"/>
        <w:rPr>
          <w:color w:val="0070C0"/>
        </w:rPr>
      </w:pPr>
      <w:r w:rsidRPr="004939EF">
        <w:rPr>
          <w:color w:val="0071BB"/>
        </w:rPr>
        <w:t>W sprawie</w:t>
      </w:r>
      <w:r w:rsidR="00457BFA">
        <w:rPr>
          <w:color w:val="0071BB"/>
        </w:rPr>
        <w:t xml:space="preserve"> tej</w:t>
      </w:r>
      <w:r w:rsidRPr="004939EF">
        <w:rPr>
          <w:color w:val="0071BB"/>
        </w:rPr>
        <w:t xml:space="preserve"> </w:t>
      </w:r>
      <w:r w:rsidR="005E6BAB" w:rsidRPr="004939EF">
        <w:rPr>
          <w:color w:val="0071BB"/>
        </w:rPr>
        <w:t>Trybunał</w:t>
      </w:r>
      <w:r w:rsidRPr="004939EF">
        <w:rPr>
          <w:color w:val="0071BB"/>
        </w:rPr>
        <w:t xml:space="preserve"> </w:t>
      </w:r>
      <w:r w:rsidR="00457BFA">
        <w:rPr>
          <w:color w:val="0071BB"/>
        </w:rPr>
        <w:t>wskazał</w:t>
      </w:r>
      <w:r w:rsidR="00457BFA" w:rsidRPr="004939EF">
        <w:rPr>
          <w:color w:val="0071BB"/>
        </w:rPr>
        <w:t xml:space="preserve"> </w:t>
      </w:r>
      <w:r w:rsidR="005E6BAB">
        <w:rPr>
          <w:color w:val="0071BB"/>
        </w:rPr>
        <w:t>rządowi Zjednoczonego K</w:t>
      </w:r>
      <w:r w:rsidR="006E179B" w:rsidRPr="004939EF">
        <w:rPr>
          <w:color w:val="0071BB"/>
        </w:rPr>
        <w:t>rólestw</w:t>
      </w:r>
      <w:r w:rsidR="005E6BAB">
        <w:rPr>
          <w:color w:val="0071BB"/>
        </w:rPr>
        <w:t>a</w:t>
      </w:r>
      <w:r w:rsidR="006E179B" w:rsidRPr="004939EF">
        <w:rPr>
          <w:color w:val="0071BB"/>
        </w:rPr>
        <w:t xml:space="preserve">, na podstawie Reguły 39 </w:t>
      </w:r>
      <w:r w:rsidR="005E6BAB" w:rsidRPr="004939EF">
        <w:rPr>
          <w:color w:val="0071BB"/>
        </w:rPr>
        <w:t>Regulaminu</w:t>
      </w:r>
      <w:r w:rsidR="006E179B" w:rsidRPr="004939EF">
        <w:rPr>
          <w:color w:val="0071BB"/>
        </w:rPr>
        <w:t xml:space="preserve"> Trybunału, że </w:t>
      </w:r>
      <w:r w:rsidR="00D653E5" w:rsidRPr="004939EF">
        <w:rPr>
          <w:color w:val="0071BB"/>
        </w:rPr>
        <w:t>wska</w:t>
      </w:r>
      <w:r w:rsidR="00D653E5">
        <w:rPr>
          <w:color w:val="0071BB"/>
        </w:rPr>
        <w:t>zane</w:t>
      </w:r>
      <w:r w:rsidR="00D653E5" w:rsidRPr="004939EF">
        <w:rPr>
          <w:color w:val="0071BB"/>
        </w:rPr>
        <w:t xml:space="preserve"> </w:t>
      </w:r>
      <w:r w:rsidR="00D653E5">
        <w:rPr>
          <w:color w:val="0071BB"/>
        </w:rPr>
        <w:t>byłoby wstrzymanie</w:t>
      </w:r>
      <w:r w:rsidR="00D653E5" w:rsidRPr="004939EF">
        <w:rPr>
          <w:color w:val="0071BB"/>
        </w:rPr>
        <w:t xml:space="preserve"> ekstradycji skarżącego do </w:t>
      </w:r>
      <w:r w:rsidR="00D653E5">
        <w:rPr>
          <w:color w:val="0071BB"/>
        </w:rPr>
        <w:t xml:space="preserve">Stanów Zjednoczonych </w:t>
      </w:r>
      <w:r w:rsidR="00457BFA">
        <w:rPr>
          <w:color w:val="0071BB"/>
        </w:rPr>
        <w:t>do czasu rozstrzygnięcia</w:t>
      </w:r>
      <w:r w:rsidR="006E179B" w:rsidRPr="004939EF">
        <w:rPr>
          <w:color w:val="0071BB"/>
        </w:rPr>
        <w:t xml:space="preserve"> toczącego się przed Trybunałem</w:t>
      </w:r>
      <w:r w:rsidR="00457BFA">
        <w:rPr>
          <w:color w:val="0071BB"/>
        </w:rPr>
        <w:t xml:space="preserve"> postępowania</w:t>
      </w:r>
      <w:r w:rsidR="005E6BAB">
        <w:rPr>
          <w:color w:val="0071BB"/>
        </w:rPr>
        <w:t xml:space="preserve">. Trybunał </w:t>
      </w:r>
      <w:r w:rsidR="006E179B" w:rsidRPr="004939EF">
        <w:rPr>
          <w:color w:val="0071BB"/>
        </w:rPr>
        <w:t xml:space="preserve">wyjaśnił w wydanym </w:t>
      </w:r>
      <w:r w:rsidR="006E179B" w:rsidRPr="005A17D4">
        <w:rPr>
          <w:color w:val="0071BB"/>
        </w:rPr>
        <w:t xml:space="preserve">wyroku </w:t>
      </w:r>
      <w:r w:rsidR="00754B2F" w:rsidRPr="005A17D4">
        <w:rPr>
          <w:color w:val="0071BB"/>
        </w:rPr>
        <w:t xml:space="preserve">co do </w:t>
      </w:r>
      <w:r w:rsidR="00D653E5">
        <w:rPr>
          <w:color w:val="0071BB"/>
        </w:rPr>
        <w:t>meritum</w:t>
      </w:r>
      <w:r w:rsidR="00D653E5" w:rsidRPr="005A17D4">
        <w:rPr>
          <w:color w:val="0071BB"/>
        </w:rPr>
        <w:t xml:space="preserve"> </w:t>
      </w:r>
      <w:r w:rsidR="006E179B" w:rsidRPr="005A17D4">
        <w:rPr>
          <w:color w:val="0071BB"/>
        </w:rPr>
        <w:t>sprawy, że</w:t>
      </w:r>
      <w:r w:rsidR="005E6BAB" w:rsidRPr="005A17D4">
        <w:rPr>
          <w:color w:val="0071BB"/>
        </w:rPr>
        <w:t xml:space="preserve"> </w:t>
      </w:r>
      <w:r w:rsidR="006E179B" w:rsidRPr="007967A6">
        <w:rPr>
          <w:color w:val="0070C0"/>
        </w:rPr>
        <w:t xml:space="preserve">zarzut </w:t>
      </w:r>
      <w:r w:rsidR="00754B2F" w:rsidRPr="007967A6">
        <w:rPr>
          <w:color w:val="0070C0"/>
        </w:rPr>
        <w:lastRenderedPageBreak/>
        <w:t xml:space="preserve">można podnieść </w:t>
      </w:r>
      <w:r w:rsidR="00F7039A" w:rsidRPr="007967A6">
        <w:rPr>
          <w:color w:val="0070C0"/>
        </w:rPr>
        <w:t>w </w:t>
      </w:r>
      <w:r w:rsidR="006E179B" w:rsidRPr="007967A6">
        <w:rPr>
          <w:color w:val="0070C0"/>
        </w:rPr>
        <w:t>drod</w:t>
      </w:r>
      <w:r w:rsidR="00754B2F" w:rsidRPr="007967A6">
        <w:rPr>
          <w:color w:val="0070C0"/>
        </w:rPr>
        <w:t>ze wyjątku na podstawie art.</w:t>
      </w:r>
      <w:r w:rsidR="006E179B" w:rsidRPr="007967A6">
        <w:rPr>
          <w:color w:val="0070C0"/>
        </w:rPr>
        <w:t xml:space="preserve"> 6 </w:t>
      </w:r>
      <w:r w:rsidR="00754B2F" w:rsidRPr="007967A6">
        <w:rPr>
          <w:color w:val="0070C0"/>
        </w:rPr>
        <w:t>Konwencji</w:t>
      </w:r>
      <w:r w:rsidR="006E179B" w:rsidRPr="007967A6">
        <w:rPr>
          <w:color w:val="0070C0"/>
        </w:rPr>
        <w:t xml:space="preserve"> </w:t>
      </w:r>
      <w:r w:rsidR="00754B2F" w:rsidRPr="007967A6">
        <w:rPr>
          <w:color w:val="0070C0"/>
        </w:rPr>
        <w:t>w związku z decyzją</w:t>
      </w:r>
      <w:r w:rsidR="00F7039A" w:rsidRPr="007967A6">
        <w:rPr>
          <w:color w:val="0070C0"/>
        </w:rPr>
        <w:t xml:space="preserve"> o ekstradycji w </w:t>
      </w:r>
      <w:r w:rsidR="006E179B" w:rsidRPr="007967A6">
        <w:rPr>
          <w:color w:val="0070C0"/>
        </w:rPr>
        <w:t>okoliczności</w:t>
      </w:r>
      <w:r w:rsidR="00FE7536" w:rsidRPr="007967A6">
        <w:rPr>
          <w:color w:val="0070C0"/>
        </w:rPr>
        <w:t xml:space="preserve">ach, w </w:t>
      </w:r>
      <w:r w:rsidR="00F7039A" w:rsidRPr="007967A6">
        <w:rPr>
          <w:color w:val="0070C0"/>
        </w:rPr>
        <w:t xml:space="preserve">których </w:t>
      </w:r>
      <w:r w:rsidR="004A2D3F">
        <w:rPr>
          <w:color w:val="0070C0"/>
        </w:rPr>
        <w:t>uciekinier doznał</w:t>
      </w:r>
      <w:r w:rsidR="00457BFA" w:rsidRPr="007967A6">
        <w:rPr>
          <w:color w:val="0070C0"/>
        </w:rPr>
        <w:t xml:space="preserve"> </w:t>
      </w:r>
      <w:r w:rsidR="00754B2F" w:rsidRPr="007967A6">
        <w:rPr>
          <w:color w:val="0070C0"/>
        </w:rPr>
        <w:t xml:space="preserve">lub </w:t>
      </w:r>
      <w:r w:rsidR="00457BFA">
        <w:rPr>
          <w:color w:val="0070C0"/>
        </w:rPr>
        <w:t>które</w:t>
      </w:r>
      <w:r w:rsidR="004A2D3F">
        <w:rPr>
          <w:color w:val="0070C0"/>
        </w:rPr>
        <w:t>mu</w:t>
      </w:r>
      <w:r w:rsidR="00457BFA">
        <w:rPr>
          <w:color w:val="0070C0"/>
        </w:rPr>
        <w:t xml:space="preserve"> </w:t>
      </w:r>
      <w:r w:rsidR="00754B2F" w:rsidRPr="007967A6">
        <w:rPr>
          <w:color w:val="0070C0"/>
        </w:rPr>
        <w:t xml:space="preserve">grozi </w:t>
      </w:r>
      <w:r w:rsidR="00457BFA">
        <w:rPr>
          <w:color w:val="0070C0"/>
        </w:rPr>
        <w:t xml:space="preserve">rażąca </w:t>
      </w:r>
      <w:r w:rsidR="00FE7536" w:rsidRPr="007967A6">
        <w:rPr>
          <w:color w:val="0070C0"/>
        </w:rPr>
        <w:t>odmow</w:t>
      </w:r>
      <w:r w:rsidR="00457BFA">
        <w:rPr>
          <w:color w:val="0070C0"/>
        </w:rPr>
        <w:t>a</w:t>
      </w:r>
      <w:r w:rsidR="00FE7536" w:rsidRPr="007967A6">
        <w:rPr>
          <w:color w:val="0070C0"/>
        </w:rPr>
        <w:t xml:space="preserve"> prawa do</w:t>
      </w:r>
      <w:r w:rsidR="006E179B" w:rsidRPr="007967A6">
        <w:rPr>
          <w:color w:val="0070C0"/>
        </w:rPr>
        <w:t xml:space="preserve"> </w:t>
      </w:r>
      <w:r w:rsidR="004A2D3F">
        <w:rPr>
          <w:color w:val="0070C0"/>
        </w:rPr>
        <w:t>ochrony prawnej</w:t>
      </w:r>
      <w:r w:rsidR="006E179B" w:rsidRPr="007967A6">
        <w:rPr>
          <w:color w:val="0070C0"/>
        </w:rPr>
        <w:t xml:space="preserve"> w kraju</w:t>
      </w:r>
      <w:r w:rsidR="00754B2F" w:rsidRPr="007967A6">
        <w:rPr>
          <w:color w:val="0070C0"/>
        </w:rPr>
        <w:t xml:space="preserve"> </w:t>
      </w:r>
      <w:r w:rsidR="00457BFA">
        <w:rPr>
          <w:color w:val="0070C0"/>
        </w:rPr>
        <w:t>wnioskującym</w:t>
      </w:r>
      <w:r w:rsidR="006E179B" w:rsidRPr="007967A6">
        <w:rPr>
          <w:color w:val="0070C0"/>
        </w:rPr>
        <w:t xml:space="preserve">. </w:t>
      </w:r>
      <w:r w:rsidR="00457BFA">
        <w:rPr>
          <w:color w:val="0070C0"/>
        </w:rPr>
        <w:t>W</w:t>
      </w:r>
      <w:r w:rsidR="006E179B" w:rsidRPr="007967A6">
        <w:rPr>
          <w:color w:val="0070C0"/>
        </w:rPr>
        <w:t xml:space="preserve"> </w:t>
      </w:r>
      <w:r w:rsidR="00FA1394">
        <w:rPr>
          <w:color w:val="0070C0"/>
        </w:rPr>
        <w:t>okolicznościach</w:t>
      </w:r>
      <w:r w:rsidR="00FA1394" w:rsidRPr="007967A6">
        <w:rPr>
          <w:color w:val="0070C0"/>
        </w:rPr>
        <w:t xml:space="preserve"> </w:t>
      </w:r>
      <w:r w:rsidR="006E179B" w:rsidRPr="007967A6">
        <w:rPr>
          <w:color w:val="0070C0"/>
        </w:rPr>
        <w:t xml:space="preserve">przedmiotowej sprawy </w:t>
      </w:r>
      <w:r w:rsidR="00FA1394">
        <w:rPr>
          <w:color w:val="0070C0"/>
        </w:rPr>
        <w:t xml:space="preserve">taka obawa jednak </w:t>
      </w:r>
      <w:r w:rsidR="006E179B" w:rsidRPr="007967A6">
        <w:rPr>
          <w:color w:val="0070C0"/>
        </w:rPr>
        <w:t xml:space="preserve">nie </w:t>
      </w:r>
      <w:r w:rsidR="00457BFA">
        <w:rPr>
          <w:color w:val="0070C0"/>
        </w:rPr>
        <w:t>zachodziła</w:t>
      </w:r>
      <w:r w:rsidR="006E179B" w:rsidRPr="007967A6">
        <w:rPr>
          <w:color w:val="0070C0"/>
        </w:rPr>
        <w:t>.</w:t>
      </w:r>
      <w:r w:rsidR="00457BFA">
        <w:rPr>
          <w:color w:val="0070C0"/>
        </w:rPr>
        <w:t>”</w:t>
      </w:r>
    </w:p>
    <w:p w14:paraId="0BAE5A30" w14:textId="77777777" w:rsidR="0025631D" w:rsidRPr="005A17D4" w:rsidRDefault="006E179B" w:rsidP="006E179B">
      <w:pPr>
        <w:pStyle w:val="Nagwek31"/>
        <w:ind w:left="699"/>
        <w:jc w:val="left"/>
        <w:rPr>
          <w:u w:val="none"/>
        </w:rPr>
      </w:pPr>
      <w:proofErr w:type="spellStart"/>
      <w:r w:rsidRPr="005A17D4">
        <w:rPr>
          <w:color w:val="0071BB"/>
          <w:u w:val="thick" w:color="0071BB"/>
        </w:rPr>
        <w:t>Othman</w:t>
      </w:r>
      <w:proofErr w:type="spellEnd"/>
      <w:r w:rsidRPr="005A17D4">
        <w:rPr>
          <w:color w:val="0071BB"/>
          <w:u w:val="thick" w:color="0071BB"/>
        </w:rPr>
        <w:t xml:space="preserve"> (Abu </w:t>
      </w:r>
      <w:proofErr w:type="spellStart"/>
      <w:r w:rsidRPr="005A17D4">
        <w:rPr>
          <w:color w:val="0071BB"/>
          <w:u w:val="thick" w:color="0071BB"/>
        </w:rPr>
        <w:t>Qatada</w:t>
      </w:r>
      <w:proofErr w:type="spellEnd"/>
      <w:r w:rsidRPr="005A17D4">
        <w:rPr>
          <w:color w:val="0071BB"/>
          <w:u w:val="thick" w:color="0071BB"/>
        </w:rPr>
        <w:t>) przeciwko Zjednoczonemu Królestwu</w:t>
      </w:r>
    </w:p>
    <w:p w14:paraId="3AC6A5F9" w14:textId="77777777" w:rsidR="0025631D" w:rsidRPr="005A17D4" w:rsidRDefault="006E179B">
      <w:pPr>
        <w:spacing w:before="61" w:line="218" w:lineRule="exact"/>
        <w:ind w:left="700"/>
        <w:rPr>
          <w:sz w:val="18"/>
        </w:rPr>
      </w:pPr>
      <w:r w:rsidRPr="005A17D4">
        <w:rPr>
          <w:color w:val="808080"/>
          <w:sz w:val="18"/>
        </w:rPr>
        <w:t>17 stycznia 2012</w:t>
      </w:r>
      <w:r w:rsidR="00754B2F" w:rsidRPr="005A17D4">
        <w:rPr>
          <w:color w:val="808080"/>
          <w:sz w:val="18"/>
        </w:rPr>
        <w:t xml:space="preserve"> r.</w:t>
      </w:r>
      <w:r w:rsidRPr="005A17D4">
        <w:rPr>
          <w:color w:val="808080"/>
          <w:sz w:val="18"/>
        </w:rPr>
        <w:t xml:space="preserve"> (wyrok</w:t>
      </w:r>
      <w:r w:rsidR="00D3520A" w:rsidRPr="005A17D4">
        <w:rPr>
          <w:color w:val="808080"/>
          <w:sz w:val="18"/>
        </w:rPr>
        <w:t>)</w:t>
      </w:r>
    </w:p>
    <w:p w14:paraId="71DA26AF" w14:textId="77E6394D" w:rsidR="006E179B" w:rsidRPr="005A17D4" w:rsidRDefault="006E179B">
      <w:pPr>
        <w:pStyle w:val="Tekstpodstawowy"/>
        <w:ind w:left="699" w:right="714"/>
      </w:pPr>
      <w:r w:rsidRPr="005A17D4">
        <w:t xml:space="preserve">Skarżący, obywatel Jordanii, podejrzewany o powiązania z </w:t>
      </w:r>
      <w:r w:rsidR="002E57D3">
        <w:t>A</w:t>
      </w:r>
      <w:r w:rsidRPr="005A17D4">
        <w:t>l-</w:t>
      </w:r>
      <w:r w:rsidR="002E57D3">
        <w:t>Kaid</w:t>
      </w:r>
      <w:r w:rsidR="004A2D3F">
        <w:t>ą</w:t>
      </w:r>
      <w:r w:rsidRPr="005A17D4">
        <w:t xml:space="preserve">, </w:t>
      </w:r>
      <w:r w:rsidR="00086030" w:rsidRPr="005A17D4">
        <w:t>po</w:t>
      </w:r>
      <w:r w:rsidR="00AF517F" w:rsidRPr="005A17D4">
        <w:t>dniósł w </w:t>
      </w:r>
      <w:r w:rsidR="00421CD4" w:rsidRPr="005A17D4">
        <w:t>szczególności, ż</w:t>
      </w:r>
      <w:r w:rsidR="00086030" w:rsidRPr="005A17D4">
        <w:t xml:space="preserve">e </w:t>
      </w:r>
      <w:r w:rsidR="007D46A7">
        <w:t>zachodzi</w:t>
      </w:r>
      <w:r w:rsidR="00086030" w:rsidRPr="005A17D4">
        <w:t xml:space="preserve"> </w:t>
      </w:r>
      <w:r w:rsidR="00AF517F" w:rsidRPr="005A17D4">
        <w:t>realn</w:t>
      </w:r>
      <w:r w:rsidR="007D46A7">
        <w:t>a</w:t>
      </w:r>
      <w:r w:rsidR="00AF517F" w:rsidRPr="005A17D4">
        <w:t xml:space="preserve"> </w:t>
      </w:r>
      <w:r w:rsidR="007D46A7">
        <w:t>obawa</w:t>
      </w:r>
      <w:r w:rsidR="00FE7536" w:rsidRPr="005A17D4">
        <w:t xml:space="preserve"> rażącej odmowy </w:t>
      </w:r>
      <w:r w:rsidR="004A2D3F">
        <w:t>ochrony prawnej</w:t>
      </w:r>
      <w:r w:rsidR="007F368E">
        <w:t xml:space="preserve"> w razie jego deportacji</w:t>
      </w:r>
      <w:r w:rsidR="00FE7536" w:rsidRPr="005A17D4">
        <w:t xml:space="preserve"> </w:t>
      </w:r>
      <w:r w:rsidR="004A2D3F">
        <w:t>w związku z możliwym użyciem</w:t>
      </w:r>
      <w:r w:rsidR="001F1C26">
        <w:t xml:space="preserve"> w jego nowym procesie sądowym</w:t>
      </w:r>
      <w:r w:rsidR="00FE7536" w:rsidRPr="005A17D4">
        <w:t xml:space="preserve"> </w:t>
      </w:r>
      <w:r w:rsidR="007D46A7" w:rsidRPr="005A17D4">
        <w:t>dowodów uzyskanych w drodze tortur</w:t>
      </w:r>
      <w:r w:rsidR="00FE7536" w:rsidRPr="005A17D4">
        <w:t>.</w:t>
      </w:r>
    </w:p>
    <w:p w14:paraId="590AF09F" w14:textId="10821985" w:rsidR="005D152E" w:rsidRPr="005A17D4" w:rsidRDefault="00FE7536" w:rsidP="00421CD4">
      <w:pPr>
        <w:pStyle w:val="Tekstpodstawowy"/>
        <w:ind w:left="699" w:right="714"/>
        <w:rPr>
          <w:color w:val="0070C0"/>
        </w:rPr>
      </w:pPr>
      <w:r w:rsidRPr="005A17D4">
        <w:rPr>
          <w:color w:val="0071BB"/>
        </w:rPr>
        <w:t xml:space="preserve">Trybunał zalecił rządowi Zjednoczonego Królestwa, na mocy Reguły 39 Regulaminu Trybunału, </w:t>
      </w:r>
      <w:r w:rsidR="007D46A7">
        <w:rPr>
          <w:color w:val="0071BB"/>
        </w:rPr>
        <w:t xml:space="preserve">zastosowanie </w:t>
      </w:r>
      <w:r w:rsidRPr="005A17D4">
        <w:rPr>
          <w:color w:val="0071BB"/>
        </w:rPr>
        <w:t>środ</w:t>
      </w:r>
      <w:r w:rsidR="007D46A7">
        <w:rPr>
          <w:color w:val="0071BB"/>
        </w:rPr>
        <w:t>ka</w:t>
      </w:r>
      <w:r w:rsidRPr="005A17D4">
        <w:rPr>
          <w:color w:val="0071BB"/>
        </w:rPr>
        <w:t xml:space="preserve"> tymczasow</w:t>
      </w:r>
      <w:r w:rsidR="007D46A7">
        <w:rPr>
          <w:color w:val="0071BB"/>
        </w:rPr>
        <w:t>ego</w:t>
      </w:r>
      <w:r w:rsidRPr="005A17D4">
        <w:rPr>
          <w:color w:val="0071BB"/>
        </w:rPr>
        <w:t xml:space="preserve"> w celu zapobieżenia wydaleniu skarżącego do czasu rozpoznania przez Trybunał jego skargi. </w:t>
      </w:r>
      <w:r w:rsidR="0070630A" w:rsidRPr="005A17D4">
        <w:rPr>
          <w:color w:val="0071BB"/>
        </w:rPr>
        <w:t xml:space="preserve">W wyroku </w:t>
      </w:r>
      <w:r w:rsidR="00421CD4" w:rsidRPr="005A17D4">
        <w:rPr>
          <w:color w:val="0071BB"/>
        </w:rPr>
        <w:t xml:space="preserve">co do </w:t>
      </w:r>
      <w:r w:rsidR="001F1C26">
        <w:rPr>
          <w:color w:val="0071BB"/>
        </w:rPr>
        <w:t>meritum</w:t>
      </w:r>
      <w:r w:rsidR="001F1C26" w:rsidRPr="005A17D4">
        <w:rPr>
          <w:color w:val="0071BB"/>
        </w:rPr>
        <w:t xml:space="preserve"> </w:t>
      </w:r>
      <w:r w:rsidR="00421CD4" w:rsidRPr="005A17D4">
        <w:rPr>
          <w:color w:val="0071BB"/>
        </w:rPr>
        <w:t>sprawy</w:t>
      </w:r>
      <w:r w:rsidR="0070630A" w:rsidRPr="005A17D4">
        <w:rPr>
          <w:color w:val="0071BB"/>
        </w:rPr>
        <w:t xml:space="preserve"> Trybunał po ra</w:t>
      </w:r>
      <w:r w:rsidR="00421CD4" w:rsidRPr="005A17D4">
        <w:rPr>
          <w:color w:val="0071BB"/>
        </w:rPr>
        <w:t>z pierwszy doszedł do wniosku, ż</w:t>
      </w:r>
      <w:r w:rsidR="0070630A" w:rsidRPr="005A17D4">
        <w:rPr>
          <w:color w:val="0071BB"/>
        </w:rPr>
        <w:t xml:space="preserve">e wydalenie skutkowałoby naruszeniem </w:t>
      </w:r>
      <w:r w:rsidR="00421CD4" w:rsidRPr="005A17D4">
        <w:rPr>
          <w:color w:val="0071BB"/>
        </w:rPr>
        <w:t xml:space="preserve">art. </w:t>
      </w:r>
      <w:r w:rsidR="0070630A" w:rsidRPr="005A17D4">
        <w:rPr>
          <w:color w:val="0071BB"/>
        </w:rPr>
        <w:t xml:space="preserve">6 Konwencji. </w:t>
      </w:r>
      <w:r w:rsidR="001F1C26">
        <w:rPr>
          <w:color w:val="0071BB"/>
        </w:rPr>
        <w:t>Stwierdzenie</w:t>
      </w:r>
      <w:r w:rsidR="001F1C26" w:rsidRPr="005A17D4">
        <w:rPr>
          <w:color w:val="0071BB"/>
        </w:rPr>
        <w:t xml:space="preserve"> </w:t>
      </w:r>
      <w:r w:rsidR="0070630A" w:rsidRPr="005A17D4">
        <w:rPr>
          <w:color w:val="0071BB"/>
        </w:rPr>
        <w:t xml:space="preserve">to </w:t>
      </w:r>
      <w:r w:rsidR="007D46A7">
        <w:rPr>
          <w:color w:val="0071BB"/>
        </w:rPr>
        <w:t xml:space="preserve">stanowiło </w:t>
      </w:r>
      <w:r w:rsidR="001F1C26">
        <w:rPr>
          <w:color w:val="0071BB"/>
        </w:rPr>
        <w:t>odzwierciedlenie</w:t>
      </w:r>
      <w:r w:rsidR="001F1C26" w:rsidRPr="005A17D4">
        <w:rPr>
          <w:color w:val="0071BB"/>
        </w:rPr>
        <w:t xml:space="preserve"> </w:t>
      </w:r>
      <w:r w:rsidR="005D152E" w:rsidRPr="005A17D4">
        <w:rPr>
          <w:color w:val="0070C0"/>
        </w:rPr>
        <w:t>międzynarodow</w:t>
      </w:r>
      <w:r w:rsidR="007D46A7">
        <w:rPr>
          <w:color w:val="0070C0"/>
        </w:rPr>
        <w:t>ego</w:t>
      </w:r>
      <w:r w:rsidR="005D152E" w:rsidRPr="005A17D4">
        <w:rPr>
          <w:color w:val="0070C0"/>
        </w:rPr>
        <w:t xml:space="preserve"> k</w:t>
      </w:r>
      <w:r w:rsidR="00421CD4" w:rsidRPr="005A17D4">
        <w:rPr>
          <w:color w:val="0070C0"/>
        </w:rPr>
        <w:t>onsensus</w:t>
      </w:r>
      <w:r w:rsidR="007D46A7">
        <w:rPr>
          <w:color w:val="0070C0"/>
        </w:rPr>
        <w:t>u co do tego</w:t>
      </w:r>
      <w:r w:rsidR="00421CD4" w:rsidRPr="005A17D4">
        <w:rPr>
          <w:color w:val="0070C0"/>
        </w:rPr>
        <w:t>, że dopuszczenie dowodów uzyskanych</w:t>
      </w:r>
      <w:r w:rsidR="007F368E">
        <w:rPr>
          <w:color w:val="0070C0"/>
        </w:rPr>
        <w:t xml:space="preserve"> w wyniku</w:t>
      </w:r>
      <w:r w:rsidR="005D152E" w:rsidRPr="005A17D4">
        <w:rPr>
          <w:color w:val="0070C0"/>
        </w:rPr>
        <w:t xml:space="preserve"> tortur </w:t>
      </w:r>
      <w:r w:rsidR="007D46A7">
        <w:rPr>
          <w:color w:val="0070C0"/>
        </w:rPr>
        <w:t>jest sprzeczne z</w:t>
      </w:r>
      <w:r w:rsidR="007D46A7" w:rsidRPr="005A17D4">
        <w:rPr>
          <w:color w:val="0070C0"/>
        </w:rPr>
        <w:t xml:space="preserve"> </w:t>
      </w:r>
      <w:r w:rsidR="005D152E" w:rsidRPr="005A17D4">
        <w:rPr>
          <w:color w:val="0070C0"/>
        </w:rPr>
        <w:t>praw</w:t>
      </w:r>
      <w:r w:rsidR="007D46A7">
        <w:rPr>
          <w:color w:val="0070C0"/>
        </w:rPr>
        <w:t>em</w:t>
      </w:r>
      <w:r w:rsidR="005D152E" w:rsidRPr="005A17D4">
        <w:rPr>
          <w:color w:val="0070C0"/>
        </w:rPr>
        <w:t xml:space="preserve"> do rzetelnego procesu</w:t>
      </w:r>
      <w:r w:rsidR="001F1C26">
        <w:rPr>
          <w:color w:val="0070C0"/>
        </w:rPr>
        <w:t xml:space="preserve"> sądowego</w:t>
      </w:r>
      <w:r w:rsidR="005D152E" w:rsidRPr="005A17D4">
        <w:rPr>
          <w:color w:val="0070C0"/>
        </w:rPr>
        <w:t>.</w:t>
      </w:r>
    </w:p>
    <w:p w14:paraId="13BDF714" w14:textId="77777777" w:rsidR="005D152E" w:rsidRPr="005A17D4" w:rsidRDefault="005D152E">
      <w:pPr>
        <w:pStyle w:val="Tekstpodstawowy"/>
        <w:ind w:left="699" w:right="714"/>
        <w:rPr>
          <w:color w:val="0071BB"/>
        </w:rPr>
      </w:pPr>
    </w:p>
    <w:p w14:paraId="79BC82A5" w14:textId="77777777" w:rsidR="0025631D" w:rsidRDefault="00421CD4" w:rsidP="001675EA">
      <w:pPr>
        <w:pStyle w:val="Tekstpodstawowy"/>
        <w:ind w:left="699" w:right="714"/>
        <w:rPr>
          <w:color w:val="000000" w:themeColor="text1"/>
        </w:rPr>
      </w:pPr>
      <w:r w:rsidRPr="005A17D4">
        <w:rPr>
          <w:i/>
          <w:iCs/>
        </w:rPr>
        <w:t>Zobacz także:</w:t>
      </w:r>
      <w:r w:rsidR="00AF517F" w:rsidRPr="005A17D4">
        <w:rPr>
          <w:i/>
          <w:iCs/>
        </w:rPr>
        <w:t xml:space="preserve"> </w:t>
      </w:r>
      <w:r w:rsidRPr="005A17D4">
        <w:rPr>
          <w:b/>
          <w:bCs/>
          <w:i/>
          <w:iCs/>
          <w:color w:val="0070C0"/>
          <w:u w:val="single"/>
        </w:rPr>
        <w:t>Ismoiloy i Inni przeciwko Rosji</w:t>
      </w:r>
      <w:r w:rsidRPr="005A17D4">
        <w:rPr>
          <w:i/>
          <w:iCs/>
          <w:color w:val="0070C0"/>
        </w:rPr>
        <w:t xml:space="preserve">, </w:t>
      </w:r>
      <w:r w:rsidRPr="005A17D4">
        <w:rPr>
          <w:color w:val="000000" w:themeColor="text1"/>
        </w:rPr>
        <w:t xml:space="preserve">wyrok z </w:t>
      </w:r>
      <w:r w:rsidR="007D46A7">
        <w:rPr>
          <w:color w:val="000000" w:themeColor="text1"/>
        </w:rPr>
        <w:t xml:space="preserve">dnia </w:t>
      </w:r>
      <w:r w:rsidRPr="005A17D4">
        <w:rPr>
          <w:color w:val="000000" w:themeColor="text1"/>
        </w:rPr>
        <w:t>24 kwietnia 2008 r.</w:t>
      </w:r>
    </w:p>
    <w:p w14:paraId="6D490D45" w14:textId="77777777" w:rsidR="00455804" w:rsidRPr="00455804" w:rsidRDefault="00455804" w:rsidP="001D474F">
      <w:pPr>
        <w:shd w:val="pct5" w:color="auto" w:fill="auto"/>
        <w:spacing w:before="240" w:after="240"/>
        <w:ind w:left="709" w:right="669" w:firstLine="284"/>
        <w:rPr>
          <w:color w:val="252525"/>
          <w:sz w:val="24"/>
        </w:rPr>
      </w:pPr>
      <w:r>
        <w:rPr>
          <w:color w:val="252525"/>
          <w:sz w:val="24"/>
        </w:rPr>
        <w:t>Zagrożenie dla życia prywatnego i rodzinnego</w:t>
      </w:r>
    </w:p>
    <w:p w14:paraId="4D4B649F" w14:textId="588FC2E6" w:rsidR="00F11EF5" w:rsidRPr="007207FA" w:rsidRDefault="00F11EF5" w:rsidP="00421CD4">
      <w:pPr>
        <w:pStyle w:val="Tekstpodstawowy"/>
        <w:spacing w:before="96"/>
        <w:ind w:right="718"/>
      </w:pPr>
      <w:r w:rsidRPr="007207FA">
        <w:t xml:space="preserve">W drodze wyjątku, Regułę 39 Regulaminu </w:t>
      </w:r>
      <w:r w:rsidR="00421CD4" w:rsidRPr="007207FA">
        <w:t xml:space="preserve">Trybunału </w:t>
      </w:r>
      <w:r w:rsidRPr="007207FA">
        <w:t>stosuje się w sprawa</w:t>
      </w:r>
      <w:r w:rsidR="00421CD4" w:rsidRPr="007207FA">
        <w:t xml:space="preserve">ch </w:t>
      </w:r>
      <w:r w:rsidR="00834E01">
        <w:t>dotyczących</w:t>
      </w:r>
      <w:r w:rsidR="00421CD4" w:rsidRPr="007207FA">
        <w:t xml:space="preserve"> art.</w:t>
      </w:r>
      <w:r w:rsidRPr="007207FA">
        <w:t xml:space="preserve"> 8 </w:t>
      </w:r>
      <w:r w:rsidR="00834E01" w:rsidRPr="007207FA">
        <w:t xml:space="preserve">Konwencji </w:t>
      </w:r>
      <w:r w:rsidRPr="007207FA">
        <w:t>(prawo do poszanowania życia prywatnego i rodzinnego)</w:t>
      </w:r>
      <w:r w:rsidR="00421CD4" w:rsidRPr="007207FA">
        <w:t xml:space="preserve">, </w:t>
      </w:r>
      <w:r w:rsidR="007D46A7">
        <w:t>w których</w:t>
      </w:r>
      <w:r w:rsidR="007D46A7" w:rsidRPr="007207FA">
        <w:t xml:space="preserve"> </w:t>
      </w:r>
      <w:r w:rsidR="00834E01">
        <w:t>istnieje</w:t>
      </w:r>
      <w:r w:rsidR="00834E01" w:rsidRPr="007207FA">
        <w:t xml:space="preserve"> </w:t>
      </w:r>
      <w:r w:rsidR="00421CD4" w:rsidRPr="007207FA">
        <w:t xml:space="preserve">potencjalnie nieodwracalne </w:t>
      </w:r>
      <w:r w:rsidR="007D46A7">
        <w:t xml:space="preserve">zagrożenie </w:t>
      </w:r>
      <w:r w:rsidR="00AF517F" w:rsidRPr="007207FA">
        <w:t>dla życia prywatnego i </w:t>
      </w:r>
      <w:r w:rsidRPr="007207FA">
        <w:t>rodzinnego</w:t>
      </w:r>
      <w:r w:rsidR="00AF517F" w:rsidRPr="007207FA">
        <w:t>.</w:t>
      </w:r>
    </w:p>
    <w:p w14:paraId="606018C0" w14:textId="77777777" w:rsidR="0025631D" w:rsidRPr="00421CD4" w:rsidRDefault="00F11EF5" w:rsidP="00F11EF5">
      <w:pPr>
        <w:pStyle w:val="Tekstpodstawowy"/>
        <w:spacing w:before="96"/>
        <w:ind w:right="718"/>
        <w:rPr>
          <w:b/>
          <w:bCs/>
        </w:rPr>
      </w:pPr>
      <w:r w:rsidRPr="00421CD4">
        <w:rPr>
          <w:b/>
          <w:bCs/>
          <w:color w:val="0071BB"/>
          <w:u w:val="thick" w:color="0071BB"/>
        </w:rPr>
        <w:t>Amrollahi przeciwko</w:t>
      </w:r>
      <w:r w:rsidR="00D3520A" w:rsidRPr="00421CD4">
        <w:rPr>
          <w:b/>
          <w:bCs/>
          <w:color w:val="0071BB"/>
          <w:u w:val="thick" w:color="0071BB"/>
        </w:rPr>
        <w:t xml:space="preserve"> D</w:t>
      </w:r>
      <w:r w:rsidR="005D5623" w:rsidRPr="00421CD4">
        <w:rPr>
          <w:b/>
          <w:bCs/>
          <w:color w:val="0071BB"/>
          <w:u w:val="thick" w:color="0071BB"/>
        </w:rPr>
        <w:t>anii</w:t>
      </w:r>
    </w:p>
    <w:p w14:paraId="61A27AA7" w14:textId="77777777" w:rsidR="0025631D" w:rsidRPr="004939EF" w:rsidRDefault="00F11EF5">
      <w:pPr>
        <w:spacing w:before="63" w:line="218" w:lineRule="exact"/>
        <w:ind w:left="700"/>
        <w:jc w:val="both"/>
        <w:rPr>
          <w:sz w:val="18"/>
        </w:rPr>
      </w:pPr>
      <w:r w:rsidRPr="004939EF">
        <w:rPr>
          <w:color w:val="808080"/>
          <w:sz w:val="18"/>
        </w:rPr>
        <w:t>11 lipca</w:t>
      </w:r>
      <w:r w:rsidR="00D3520A" w:rsidRPr="004939EF">
        <w:rPr>
          <w:color w:val="808080"/>
          <w:sz w:val="18"/>
        </w:rPr>
        <w:t xml:space="preserve"> 2002</w:t>
      </w:r>
      <w:r w:rsidRPr="004939EF">
        <w:rPr>
          <w:color w:val="808080"/>
          <w:sz w:val="18"/>
        </w:rPr>
        <w:t xml:space="preserve"> r.</w:t>
      </w:r>
      <w:r w:rsidR="00421CD4">
        <w:rPr>
          <w:color w:val="808080"/>
          <w:sz w:val="18"/>
        </w:rPr>
        <w:t xml:space="preserve"> (wyrok</w:t>
      </w:r>
      <w:r w:rsidR="00D3520A" w:rsidRPr="004939EF">
        <w:rPr>
          <w:color w:val="808080"/>
          <w:sz w:val="18"/>
        </w:rPr>
        <w:t>)</w:t>
      </w:r>
    </w:p>
    <w:p w14:paraId="31485101" w14:textId="7BD66C97" w:rsidR="005D5623" w:rsidRPr="007207FA" w:rsidRDefault="00F11EF5" w:rsidP="005D5623">
      <w:pPr>
        <w:pStyle w:val="Tekstpodstawowy"/>
        <w:ind w:right="714" w:hanging="1"/>
      </w:pPr>
      <w:r w:rsidRPr="007207FA">
        <w:t xml:space="preserve">Skarżący </w:t>
      </w:r>
      <w:r w:rsidR="00834E01">
        <w:t>zarzucił</w:t>
      </w:r>
      <w:r w:rsidRPr="007207FA">
        <w:t xml:space="preserve">, że jego deportacja do Iranu </w:t>
      </w:r>
      <w:r w:rsidR="009840E9" w:rsidRPr="007207FA">
        <w:t>spowoduje zerwanie</w:t>
      </w:r>
      <w:r w:rsidR="005D5623" w:rsidRPr="007207FA">
        <w:t xml:space="preserve"> więzów </w:t>
      </w:r>
      <w:r w:rsidRPr="007207FA">
        <w:t xml:space="preserve">rodzinnych z </w:t>
      </w:r>
      <w:r w:rsidR="005D5623" w:rsidRPr="007207FA">
        <w:t xml:space="preserve">jego </w:t>
      </w:r>
      <w:r w:rsidRPr="007207FA">
        <w:t xml:space="preserve">żoną, dwójką dzieci </w:t>
      </w:r>
      <w:r w:rsidR="00D05CA5">
        <w:t>i</w:t>
      </w:r>
      <w:r w:rsidR="00D05CA5" w:rsidRPr="007207FA">
        <w:t xml:space="preserve"> </w:t>
      </w:r>
      <w:r w:rsidRPr="007207FA">
        <w:t xml:space="preserve">synową, </w:t>
      </w:r>
      <w:r w:rsidR="00D05CA5">
        <w:t>będącymi obywatelami Danii, jako że</w:t>
      </w:r>
      <w:r w:rsidR="00D05CA5" w:rsidRPr="007207FA">
        <w:t xml:space="preserve"> </w:t>
      </w:r>
      <w:r w:rsidRPr="007207FA">
        <w:t>nie można oczekiwać</w:t>
      </w:r>
      <w:r w:rsidR="00D05CA5">
        <w:t xml:space="preserve"> od nich</w:t>
      </w:r>
      <w:r w:rsidR="005D5623" w:rsidRPr="007207FA">
        <w:t xml:space="preserve"> </w:t>
      </w:r>
      <w:r w:rsidR="00D05CA5" w:rsidRPr="007207FA">
        <w:t>uda</w:t>
      </w:r>
      <w:r w:rsidR="00D05CA5">
        <w:t>nia</w:t>
      </w:r>
      <w:r w:rsidR="00D05CA5" w:rsidRPr="007207FA">
        <w:t xml:space="preserve"> </w:t>
      </w:r>
      <w:r w:rsidR="005D5623" w:rsidRPr="007207FA">
        <w:t xml:space="preserve">się </w:t>
      </w:r>
      <w:r w:rsidR="00D05CA5">
        <w:t>wraz z</w:t>
      </w:r>
      <w:r w:rsidR="005D5623" w:rsidRPr="007207FA">
        <w:t xml:space="preserve"> nim do Iranu. </w:t>
      </w:r>
    </w:p>
    <w:p w14:paraId="3E586243" w14:textId="5186D799" w:rsidR="005D5623" w:rsidRPr="004939EF" w:rsidRDefault="005D5623" w:rsidP="00AF517F">
      <w:pPr>
        <w:pStyle w:val="Tekstpodstawowy"/>
        <w:ind w:right="714" w:hanging="1"/>
        <w:rPr>
          <w:color w:val="0070C0"/>
        </w:rPr>
      </w:pPr>
      <w:r w:rsidRPr="004939EF">
        <w:rPr>
          <w:color w:val="0070C0"/>
        </w:rPr>
        <w:t xml:space="preserve">W sprawie </w:t>
      </w:r>
      <w:r w:rsidR="00D05CA5">
        <w:rPr>
          <w:color w:val="0070C0"/>
        </w:rPr>
        <w:t xml:space="preserve">tej </w:t>
      </w:r>
      <w:r w:rsidRPr="004939EF">
        <w:rPr>
          <w:color w:val="0070C0"/>
        </w:rPr>
        <w:t xml:space="preserve">Trybunał </w:t>
      </w:r>
      <w:r w:rsidR="00D05CA5">
        <w:rPr>
          <w:color w:val="0070C0"/>
        </w:rPr>
        <w:t>postanowił</w:t>
      </w:r>
      <w:r w:rsidRPr="004939EF">
        <w:rPr>
          <w:color w:val="0070C0"/>
        </w:rPr>
        <w:t xml:space="preserve"> </w:t>
      </w:r>
      <w:r w:rsidR="00D05CA5" w:rsidRPr="004939EF">
        <w:rPr>
          <w:color w:val="0070C0"/>
        </w:rPr>
        <w:t>zastosowa</w:t>
      </w:r>
      <w:r w:rsidR="00D05CA5">
        <w:rPr>
          <w:color w:val="0070C0"/>
        </w:rPr>
        <w:t>ć</w:t>
      </w:r>
      <w:r w:rsidR="00D05CA5" w:rsidRPr="004939EF">
        <w:rPr>
          <w:color w:val="0070C0"/>
        </w:rPr>
        <w:t xml:space="preserve"> </w:t>
      </w:r>
      <w:r w:rsidRPr="004939EF">
        <w:rPr>
          <w:color w:val="0070C0"/>
        </w:rPr>
        <w:t>Reguł</w:t>
      </w:r>
      <w:r w:rsidR="00D05CA5">
        <w:rPr>
          <w:color w:val="0070C0"/>
        </w:rPr>
        <w:t>ę</w:t>
      </w:r>
      <w:r w:rsidRPr="004939EF">
        <w:rPr>
          <w:color w:val="0070C0"/>
        </w:rPr>
        <w:t xml:space="preserve"> 39 Regulaminu Trybuna</w:t>
      </w:r>
      <w:r w:rsidR="00AF517F">
        <w:rPr>
          <w:color w:val="0070C0"/>
        </w:rPr>
        <w:t>łu w celu zapobieżenia wydaleniu</w:t>
      </w:r>
      <w:r w:rsidRPr="004939EF">
        <w:rPr>
          <w:color w:val="0070C0"/>
        </w:rPr>
        <w:t xml:space="preserve"> skarżącego d</w:t>
      </w:r>
      <w:r w:rsidR="005D5A75">
        <w:rPr>
          <w:color w:val="0070C0"/>
        </w:rPr>
        <w:t>o czasu rozpatrzenia jego skargi</w:t>
      </w:r>
      <w:r w:rsidRPr="004939EF">
        <w:rPr>
          <w:color w:val="0070C0"/>
        </w:rPr>
        <w:t xml:space="preserve">. </w:t>
      </w:r>
      <w:r w:rsidR="00D05CA5">
        <w:rPr>
          <w:color w:val="0070C0"/>
        </w:rPr>
        <w:t xml:space="preserve">Ostatecznie </w:t>
      </w:r>
      <w:r w:rsidRPr="004939EF">
        <w:rPr>
          <w:color w:val="0070C0"/>
        </w:rPr>
        <w:t>Trybunał stwierdził</w:t>
      </w:r>
      <w:r w:rsidRPr="005D5A75">
        <w:rPr>
          <w:color w:val="0070C0"/>
        </w:rPr>
        <w:t>,</w:t>
      </w:r>
      <w:r w:rsidR="005D5A75" w:rsidRPr="005D5A75">
        <w:rPr>
          <w:color w:val="0070C0"/>
        </w:rPr>
        <w:t xml:space="preserve"> że</w:t>
      </w:r>
      <w:r w:rsidRPr="005D5A75">
        <w:rPr>
          <w:color w:val="0070C0"/>
        </w:rPr>
        <w:t xml:space="preserve"> deportacja skarżącego</w:t>
      </w:r>
      <w:r w:rsidRPr="004939EF">
        <w:rPr>
          <w:color w:val="0070C0"/>
        </w:rPr>
        <w:t xml:space="preserve"> do Iranu </w:t>
      </w:r>
      <w:r w:rsidR="005D5A75">
        <w:rPr>
          <w:color w:val="0070C0"/>
        </w:rPr>
        <w:t>naruszy</w:t>
      </w:r>
      <w:r w:rsidR="00834E01">
        <w:rPr>
          <w:color w:val="0070C0"/>
        </w:rPr>
        <w:t>łaby</w:t>
      </w:r>
      <w:r w:rsidR="005D5A75">
        <w:rPr>
          <w:color w:val="0070C0"/>
        </w:rPr>
        <w:t xml:space="preserve"> art.</w:t>
      </w:r>
      <w:r w:rsidR="005A17D4">
        <w:rPr>
          <w:color w:val="0070C0"/>
        </w:rPr>
        <w:t> 8 </w:t>
      </w:r>
      <w:r w:rsidRPr="004939EF">
        <w:rPr>
          <w:color w:val="0070C0"/>
        </w:rPr>
        <w:t>Konwencji.</w:t>
      </w:r>
    </w:p>
    <w:p w14:paraId="5FBE8871" w14:textId="77777777" w:rsidR="0025631D" w:rsidRPr="004939EF" w:rsidRDefault="005D5623">
      <w:pPr>
        <w:pStyle w:val="Nagwek31"/>
        <w:rPr>
          <w:u w:val="none"/>
        </w:rPr>
      </w:pPr>
      <w:proofErr w:type="spellStart"/>
      <w:r w:rsidRPr="004939EF">
        <w:rPr>
          <w:color w:val="0071BB"/>
          <w:u w:val="thick" w:color="0071BB"/>
        </w:rPr>
        <w:t>Eskinazi</w:t>
      </w:r>
      <w:proofErr w:type="spellEnd"/>
      <w:r w:rsidRPr="004939EF">
        <w:rPr>
          <w:color w:val="0071BB"/>
          <w:u w:val="thick" w:color="0071BB"/>
        </w:rPr>
        <w:t xml:space="preserve"> i </w:t>
      </w:r>
      <w:proofErr w:type="spellStart"/>
      <w:r w:rsidRPr="004939EF">
        <w:rPr>
          <w:color w:val="0071BB"/>
          <w:u w:val="thick" w:color="0071BB"/>
        </w:rPr>
        <w:t>Chelouche</w:t>
      </w:r>
      <w:proofErr w:type="spellEnd"/>
      <w:r w:rsidRPr="004939EF">
        <w:rPr>
          <w:color w:val="0071BB"/>
          <w:u w:val="thick" w:color="0071BB"/>
        </w:rPr>
        <w:t xml:space="preserve"> prz</w:t>
      </w:r>
      <w:r w:rsidR="00AF517F">
        <w:rPr>
          <w:color w:val="0071BB"/>
          <w:u w:val="thick" w:color="0071BB"/>
        </w:rPr>
        <w:t>e</w:t>
      </w:r>
      <w:r w:rsidRPr="004939EF">
        <w:rPr>
          <w:color w:val="0071BB"/>
          <w:u w:val="thick" w:color="0071BB"/>
        </w:rPr>
        <w:t xml:space="preserve">ciwko </w:t>
      </w:r>
      <w:r w:rsidR="00D3520A" w:rsidRPr="004939EF">
        <w:rPr>
          <w:color w:val="0071BB"/>
          <w:u w:val="thick" w:color="0071BB"/>
        </w:rPr>
        <w:t>Tur</w:t>
      </w:r>
      <w:r w:rsidRPr="004939EF">
        <w:rPr>
          <w:color w:val="0071BB"/>
          <w:u w:val="thick" w:color="0071BB"/>
        </w:rPr>
        <w:t>cji</w:t>
      </w:r>
    </w:p>
    <w:p w14:paraId="2B854AAB" w14:textId="77777777" w:rsidR="0025631D" w:rsidRPr="00AF517F" w:rsidRDefault="005D5A75">
      <w:pPr>
        <w:spacing w:before="60" w:line="218" w:lineRule="exact"/>
        <w:ind w:left="700"/>
        <w:jc w:val="both"/>
        <w:rPr>
          <w:sz w:val="18"/>
        </w:rPr>
      </w:pPr>
      <w:r w:rsidRPr="00AF517F">
        <w:rPr>
          <w:color w:val="808080"/>
          <w:sz w:val="18"/>
        </w:rPr>
        <w:t>6 grudnia</w:t>
      </w:r>
      <w:r w:rsidR="00D3520A" w:rsidRPr="00AF517F">
        <w:rPr>
          <w:color w:val="808080"/>
          <w:sz w:val="18"/>
        </w:rPr>
        <w:t xml:space="preserve"> 2005</w:t>
      </w:r>
      <w:r w:rsidRPr="00AF517F">
        <w:rPr>
          <w:color w:val="808080"/>
          <w:sz w:val="18"/>
        </w:rPr>
        <w:t xml:space="preserve"> r. (decyzja o dopuszczalności</w:t>
      </w:r>
      <w:r w:rsidR="00D3520A" w:rsidRPr="00AF517F">
        <w:rPr>
          <w:color w:val="808080"/>
          <w:sz w:val="18"/>
        </w:rPr>
        <w:t>)</w:t>
      </w:r>
    </w:p>
    <w:p w14:paraId="338E4003" w14:textId="167A9C3A" w:rsidR="008F1A90" w:rsidRPr="007207FA" w:rsidRDefault="00D05CA5" w:rsidP="00ED161E">
      <w:pPr>
        <w:spacing w:before="59"/>
        <w:ind w:left="700" w:right="720"/>
        <w:jc w:val="both"/>
        <w:rPr>
          <w:sz w:val="20"/>
        </w:rPr>
      </w:pPr>
      <w:r>
        <w:rPr>
          <w:sz w:val="20"/>
        </w:rPr>
        <w:t>S</w:t>
      </w:r>
      <w:r w:rsidR="008F1A90" w:rsidRPr="007207FA">
        <w:rPr>
          <w:sz w:val="20"/>
        </w:rPr>
        <w:t xml:space="preserve">prawa dotyczyła </w:t>
      </w:r>
      <w:r w:rsidR="00834E01" w:rsidRPr="007207FA">
        <w:rPr>
          <w:sz w:val="20"/>
        </w:rPr>
        <w:t>obowiązk</w:t>
      </w:r>
      <w:r w:rsidR="00834E01">
        <w:rPr>
          <w:sz w:val="20"/>
        </w:rPr>
        <w:t>u</w:t>
      </w:r>
      <w:r w:rsidR="00834E01" w:rsidRPr="007207FA">
        <w:rPr>
          <w:sz w:val="20"/>
        </w:rPr>
        <w:t xml:space="preserve"> </w:t>
      </w:r>
      <w:r w:rsidR="008F1A90" w:rsidRPr="007207FA">
        <w:rPr>
          <w:sz w:val="20"/>
        </w:rPr>
        <w:t xml:space="preserve">powrotu </w:t>
      </w:r>
      <w:r w:rsidR="005D5623" w:rsidRPr="007207FA">
        <w:rPr>
          <w:sz w:val="20"/>
        </w:rPr>
        <w:t xml:space="preserve">dziecka do </w:t>
      </w:r>
      <w:r w:rsidR="00ED161E" w:rsidRPr="007207FA">
        <w:rPr>
          <w:sz w:val="20"/>
        </w:rPr>
        <w:t>Izraela</w:t>
      </w:r>
      <w:r w:rsidR="008C237D" w:rsidRPr="007207FA">
        <w:rPr>
          <w:sz w:val="20"/>
        </w:rPr>
        <w:t xml:space="preserve"> na </w:t>
      </w:r>
      <w:r>
        <w:rPr>
          <w:sz w:val="20"/>
        </w:rPr>
        <w:t>podstawie</w:t>
      </w:r>
      <w:r w:rsidRPr="007207FA">
        <w:rPr>
          <w:sz w:val="20"/>
        </w:rPr>
        <w:t xml:space="preserve"> </w:t>
      </w:r>
      <w:r w:rsidR="00ED161E" w:rsidRPr="007207FA">
        <w:rPr>
          <w:sz w:val="20"/>
        </w:rPr>
        <w:t>K</w:t>
      </w:r>
      <w:r w:rsidR="005D5623" w:rsidRPr="007207FA">
        <w:rPr>
          <w:sz w:val="20"/>
        </w:rPr>
        <w:t>onwencji</w:t>
      </w:r>
      <w:r w:rsidR="008F1A90" w:rsidRPr="007207FA">
        <w:rPr>
          <w:sz w:val="20"/>
        </w:rPr>
        <w:t xml:space="preserve"> haskiej z 1980 r. d</w:t>
      </w:r>
      <w:r w:rsidR="005D5623" w:rsidRPr="007207FA">
        <w:rPr>
          <w:sz w:val="20"/>
        </w:rPr>
        <w:t xml:space="preserve">otyczącej cywilnych aspektów uprowadzenia dziecka za </w:t>
      </w:r>
      <w:r w:rsidR="00ED161E" w:rsidRPr="007207FA">
        <w:rPr>
          <w:sz w:val="20"/>
        </w:rPr>
        <w:t>granicę. Skarżący</w:t>
      </w:r>
      <w:r w:rsidR="008F1A90" w:rsidRPr="007207FA">
        <w:rPr>
          <w:sz w:val="20"/>
        </w:rPr>
        <w:t xml:space="preserve">, dziecko </w:t>
      </w:r>
      <w:r w:rsidR="00ED161E" w:rsidRPr="007207FA">
        <w:rPr>
          <w:sz w:val="20"/>
        </w:rPr>
        <w:t>wraz ze swoją matką, twierdzili</w:t>
      </w:r>
      <w:r w:rsidR="005D5623" w:rsidRPr="007207FA">
        <w:rPr>
          <w:sz w:val="20"/>
        </w:rPr>
        <w:t xml:space="preserve"> w szczególności, że odesłanie dziecka</w:t>
      </w:r>
      <w:r w:rsidR="008C237D" w:rsidRPr="007207FA">
        <w:rPr>
          <w:sz w:val="20"/>
        </w:rPr>
        <w:t xml:space="preserve"> do Iz</w:t>
      </w:r>
      <w:r w:rsidR="007F368E" w:rsidRPr="007207FA">
        <w:rPr>
          <w:sz w:val="20"/>
        </w:rPr>
        <w:t>rael</w:t>
      </w:r>
      <w:r w:rsidR="008C237D" w:rsidRPr="007207FA">
        <w:rPr>
          <w:sz w:val="20"/>
        </w:rPr>
        <w:t>a</w:t>
      </w:r>
      <w:r w:rsidR="005D5623" w:rsidRPr="007207FA">
        <w:rPr>
          <w:sz w:val="20"/>
        </w:rPr>
        <w:t xml:space="preserve"> </w:t>
      </w:r>
      <w:r w:rsidR="00ED161E" w:rsidRPr="007207FA">
        <w:rPr>
          <w:sz w:val="20"/>
        </w:rPr>
        <w:t xml:space="preserve">skutkowałoby </w:t>
      </w:r>
      <w:r w:rsidR="008F1A90" w:rsidRPr="007207FA">
        <w:rPr>
          <w:sz w:val="20"/>
        </w:rPr>
        <w:t>naruszenie</w:t>
      </w:r>
      <w:r w:rsidR="00ED161E" w:rsidRPr="007207FA">
        <w:rPr>
          <w:sz w:val="20"/>
        </w:rPr>
        <w:t>m art.</w:t>
      </w:r>
      <w:r w:rsidR="005D5623" w:rsidRPr="007207FA">
        <w:rPr>
          <w:sz w:val="20"/>
        </w:rPr>
        <w:t xml:space="preserve"> 8 Konwencji.</w:t>
      </w:r>
    </w:p>
    <w:p w14:paraId="733A8E46" w14:textId="13C185BE" w:rsidR="005D5623" w:rsidRPr="00AF517F" w:rsidRDefault="008F1A90" w:rsidP="00ED161E">
      <w:pPr>
        <w:spacing w:before="59"/>
        <w:ind w:left="700" w:right="720"/>
        <w:jc w:val="both"/>
        <w:rPr>
          <w:color w:val="0070C0"/>
          <w:sz w:val="20"/>
        </w:rPr>
      </w:pPr>
      <w:r w:rsidRPr="004939EF">
        <w:rPr>
          <w:color w:val="0070C0"/>
          <w:sz w:val="20"/>
        </w:rPr>
        <w:t xml:space="preserve">Wykonanie </w:t>
      </w:r>
      <w:r w:rsidR="00ED161E">
        <w:rPr>
          <w:color w:val="0070C0"/>
          <w:sz w:val="20"/>
        </w:rPr>
        <w:t xml:space="preserve">wyroku </w:t>
      </w:r>
      <w:r w:rsidRPr="004939EF">
        <w:rPr>
          <w:color w:val="0070C0"/>
          <w:sz w:val="20"/>
        </w:rPr>
        <w:t xml:space="preserve">nakazującego powrót dziecka </w:t>
      </w:r>
      <w:r w:rsidR="00D05CA5">
        <w:rPr>
          <w:color w:val="0070C0"/>
          <w:sz w:val="20"/>
        </w:rPr>
        <w:t>wstrzymano</w:t>
      </w:r>
      <w:r w:rsidR="00D05CA5" w:rsidRPr="004939EF">
        <w:rPr>
          <w:color w:val="0070C0"/>
          <w:sz w:val="20"/>
        </w:rPr>
        <w:t xml:space="preserve"> </w:t>
      </w:r>
      <w:r w:rsidR="00642E3A">
        <w:rPr>
          <w:color w:val="0070C0"/>
          <w:sz w:val="20"/>
        </w:rPr>
        <w:t>w związku ze</w:t>
      </w:r>
      <w:r w:rsidRPr="004939EF">
        <w:rPr>
          <w:color w:val="0070C0"/>
          <w:sz w:val="20"/>
        </w:rPr>
        <w:t xml:space="preserve"> </w:t>
      </w:r>
      <w:r w:rsidR="00D05CA5" w:rsidRPr="004939EF">
        <w:rPr>
          <w:color w:val="0070C0"/>
          <w:sz w:val="20"/>
        </w:rPr>
        <w:t>środk</w:t>
      </w:r>
      <w:r w:rsidR="00642E3A">
        <w:rPr>
          <w:color w:val="0070C0"/>
          <w:sz w:val="20"/>
        </w:rPr>
        <w:t>iem</w:t>
      </w:r>
      <w:r w:rsidR="00D05CA5" w:rsidRPr="004939EF">
        <w:rPr>
          <w:color w:val="0070C0"/>
          <w:sz w:val="20"/>
        </w:rPr>
        <w:t xml:space="preserve"> </w:t>
      </w:r>
      <w:r w:rsidR="00642E3A" w:rsidRPr="004939EF">
        <w:rPr>
          <w:color w:val="0070C0"/>
          <w:sz w:val="20"/>
        </w:rPr>
        <w:t>tymczasow</w:t>
      </w:r>
      <w:r w:rsidR="00642E3A">
        <w:rPr>
          <w:color w:val="0070C0"/>
          <w:sz w:val="20"/>
        </w:rPr>
        <w:t>ym</w:t>
      </w:r>
      <w:r w:rsidR="00642E3A" w:rsidRPr="004939EF">
        <w:rPr>
          <w:color w:val="0070C0"/>
          <w:sz w:val="20"/>
        </w:rPr>
        <w:t xml:space="preserve"> zalecon</w:t>
      </w:r>
      <w:r w:rsidR="00642E3A">
        <w:rPr>
          <w:color w:val="0070C0"/>
          <w:sz w:val="20"/>
        </w:rPr>
        <w:t>ym</w:t>
      </w:r>
      <w:r w:rsidR="00642E3A" w:rsidRPr="004939EF">
        <w:rPr>
          <w:color w:val="0070C0"/>
          <w:sz w:val="20"/>
        </w:rPr>
        <w:t xml:space="preserve"> </w:t>
      </w:r>
      <w:r w:rsidRPr="004939EF">
        <w:rPr>
          <w:color w:val="0070C0"/>
          <w:sz w:val="20"/>
        </w:rPr>
        <w:t>przez Trybunał rządowi</w:t>
      </w:r>
      <w:r w:rsidR="005A17D4">
        <w:rPr>
          <w:color w:val="0070C0"/>
          <w:sz w:val="20"/>
        </w:rPr>
        <w:t xml:space="preserve"> tureckiemu zgodnie z Regułą 39 </w:t>
      </w:r>
      <w:r w:rsidRPr="004939EF">
        <w:rPr>
          <w:color w:val="0070C0"/>
          <w:sz w:val="20"/>
        </w:rPr>
        <w:t xml:space="preserve">Regulaminu Trybunału. Po rozpoznaniu </w:t>
      </w:r>
      <w:r w:rsidR="009B1547" w:rsidRPr="00AF517F">
        <w:rPr>
          <w:color w:val="0070C0"/>
          <w:sz w:val="20"/>
        </w:rPr>
        <w:t>skargi</w:t>
      </w:r>
      <w:r w:rsidRPr="00AF517F">
        <w:rPr>
          <w:color w:val="0070C0"/>
          <w:sz w:val="20"/>
        </w:rPr>
        <w:t xml:space="preserve"> Trybunał uznał ją za niedopuszczalną jako </w:t>
      </w:r>
      <w:r w:rsidR="00642E3A">
        <w:rPr>
          <w:color w:val="0070C0"/>
          <w:sz w:val="20"/>
        </w:rPr>
        <w:t>oczywiście bezzasadną</w:t>
      </w:r>
      <w:r w:rsidR="00FC5518" w:rsidRPr="00AF517F">
        <w:rPr>
          <w:color w:val="0070C0"/>
          <w:sz w:val="20"/>
        </w:rPr>
        <w:t xml:space="preserve"> </w:t>
      </w:r>
      <w:r w:rsidRPr="00AF517F">
        <w:rPr>
          <w:color w:val="0070C0"/>
          <w:sz w:val="20"/>
        </w:rPr>
        <w:t xml:space="preserve">i </w:t>
      </w:r>
      <w:r w:rsidR="00642E3A">
        <w:rPr>
          <w:color w:val="0070C0"/>
          <w:sz w:val="20"/>
        </w:rPr>
        <w:t>zdecydował o uchyleniu</w:t>
      </w:r>
      <w:r w:rsidRPr="00AF517F">
        <w:rPr>
          <w:color w:val="0070C0"/>
          <w:sz w:val="20"/>
        </w:rPr>
        <w:t xml:space="preserve"> </w:t>
      </w:r>
      <w:r w:rsidR="00D05CA5" w:rsidRPr="00AF517F">
        <w:rPr>
          <w:color w:val="0070C0"/>
          <w:sz w:val="20"/>
        </w:rPr>
        <w:t>przedmiotow</w:t>
      </w:r>
      <w:r w:rsidR="00642E3A">
        <w:rPr>
          <w:color w:val="0070C0"/>
          <w:sz w:val="20"/>
        </w:rPr>
        <w:t>ego</w:t>
      </w:r>
      <w:r w:rsidR="00D05CA5" w:rsidRPr="00AF517F">
        <w:rPr>
          <w:color w:val="0070C0"/>
          <w:sz w:val="20"/>
        </w:rPr>
        <w:t xml:space="preserve"> środ</w:t>
      </w:r>
      <w:r w:rsidR="00D05CA5">
        <w:rPr>
          <w:color w:val="0070C0"/>
          <w:sz w:val="20"/>
        </w:rPr>
        <w:t>k</w:t>
      </w:r>
      <w:r w:rsidR="00642E3A">
        <w:rPr>
          <w:color w:val="0070C0"/>
          <w:sz w:val="20"/>
        </w:rPr>
        <w:t>a</w:t>
      </w:r>
      <w:r w:rsidR="00D05CA5" w:rsidRPr="00AF517F">
        <w:rPr>
          <w:color w:val="0070C0"/>
          <w:sz w:val="20"/>
        </w:rPr>
        <w:t xml:space="preserve"> </w:t>
      </w:r>
      <w:r w:rsidRPr="00AF517F">
        <w:rPr>
          <w:color w:val="0070C0"/>
          <w:sz w:val="20"/>
        </w:rPr>
        <w:t>tymczasow</w:t>
      </w:r>
      <w:r w:rsidR="00642E3A">
        <w:rPr>
          <w:color w:val="0070C0"/>
          <w:sz w:val="20"/>
        </w:rPr>
        <w:t>ego</w:t>
      </w:r>
      <w:r w:rsidRPr="00AF517F">
        <w:rPr>
          <w:color w:val="0070C0"/>
          <w:sz w:val="20"/>
        </w:rPr>
        <w:t>.</w:t>
      </w:r>
    </w:p>
    <w:p w14:paraId="287115CF" w14:textId="77777777" w:rsidR="00ED161E" w:rsidRDefault="008F1A90" w:rsidP="00ED161E">
      <w:pPr>
        <w:spacing w:before="59"/>
        <w:ind w:left="700" w:right="720"/>
        <w:jc w:val="both"/>
        <w:rPr>
          <w:sz w:val="20"/>
        </w:rPr>
      </w:pPr>
      <w:r w:rsidRPr="007207FA">
        <w:rPr>
          <w:i/>
          <w:sz w:val="20"/>
        </w:rPr>
        <w:t>Zobacz także</w:t>
      </w:r>
      <w:r w:rsidRPr="007207FA">
        <w:rPr>
          <w:sz w:val="20"/>
        </w:rPr>
        <w:t>, między innymi</w:t>
      </w:r>
      <w:r w:rsidRPr="00AF517F">
        <w:rPr>
          <w:color w:val="404040"/>
          <w:sz w:val="20"/>
        </w:rPr>
        <w:t xml:space="preserve"> </w:t>
      </w:r>
      <w:r w:rsidRPr="00AF517F">
        <w:rPr>
          <w:b/>
          <w:i/>
          <w:color w:val="0071BB"/>
          <w:sz w:val="20"/>
          <w:u w:val="thick" w:color="0071BB"/>
        </w:rPr>
        <w:t>Neulinger i Shuruk przeciwko</w:t>
      </w:r>
      <w:r w:rsidRPr="004939EF">
        <w:rPr>
          <w:b/>
          <w:i/>
          <w:color w:val="0071BB"/>
          <w:sz w:val="20"/>
          <w:u w:val="thick" w:color="0071BB"/>
        </w:rPr>
        <w:t xml:space="preserve"> Szwajcarii</w:t>
      </w:r>
      <w:r w:rsidR="00ED161E">
        <w:rPr>
          <w:color w:val="404040"/>
          <w:sz w:val="20"/>
        </w:rPr>
        <w:t xml:space="preserve">, </w:t>
      </w:r>
      <w:r w:rsidR="00ED161E" w:rsidRPr="00ED3BFF">
        <w:rPr>
          <w:sz w:val="20"/>
        </w:rPr>
        <w:t xml:space="preserve">wyrok </w:t>
      </w:r>
      <w:r w:rsidR="00ED161E" w:rsidRPr="007207FA">
        <w:rPr>
          <w:sz w:val="20"/>
        </w:rPr>
        <w:t>(Wielka Izba) z</w:t>
      </w:r>
      <w:r w:rsidRPr="007207FA">
        <w:rPr>
          <w:sz w:val="20"/>
        </w:rPr>
        <w:t xml:space="preserve"> </w:t>
      </w:r>
      <w:r w:rsidR="00D05CA5">
        <w:rPr>
          <w:sz w:val="20"/>
        </w:rPr>
        <w:t xml:space="preserve">dnia </w:t>
      </w:r>
      <w:r w:rsidRPr="007207FA">
        <w:rPr>
          <w:sz w:val="20"/>
        </w:rPr>
        <w:t>6 lipca 2010</w:t>
      </w:r>
      <w:r w:rsidR="00ED161E" w:rsidRPr="007207FA">
        <w:rPr>
          <w:sz w:val="20"/>
        </w:rPr>
        <w:t xml:space="preserve"> r.</w:t>
      </w:r>
      <w:r w:rsidRPr="004939EF">
        <w:rPr>
          <w:color w:val="404040"/>
          <w:sz w:val="20"/>
        </w:rPr>
        <w:t>;</w:t>
      </w:r>
      <w:r w:rsidR="00ED161E" w:rsidRPr="00ED161E">
        <w:rPr>
          <w:b/>
          <w:bCs/>
          <w:i/>
          <w:iCs/>
          <w:sz w:val="20"/>
          <w:szCs w:val="20"/>
        </w:rPr>
        <w:t xml:space="preserve"> </w:t>
      </w:r>
      <w:r w:rsidR="00ED161E">
        <w:rPr>
          <w:b/>
          <w:bCs/>
          <w:i/>
          <w:iCs/>
          <w:color w:val="0070C0"/>
          <w:sz w:val="20"/>
          <w:szCs w:val="20"/>
          <w:u w:val="single"/>
        </w:rPr>
        <w:t>B. przeciwko Belgii</w:t>
      </w:r>
      <w:r w:rsidR="00ED161E" w:rsidRPr="00ED161E">
        <w:rPr>
          <w:b/>
          <w:bCs/>
          <w:i/>
          <w:iCs/>
          <w:color w:val="0070C0"/>
          <w:sz w:val="20"/>
          <w:szCs w:val="20"/>
          <w:u w:val="single"/>
        </w:rPr>
        <w:t xml:space="preserve"> (</w:t>
      </w:r>
      <w:r w:rsidR="00ED161E">
        <w:rPr>
          <w:b/>
          <w:bCs/>
          <w:i/>
          <w:iCs/>
          <w:color w:val="0070C0"/>
          <w:sz w:val="20"/>
          <w:szCs w:val="20"/>
          <w:u w:val="single"/>
        </w:rPr>
        <w:t>skarga nr</w:t>
      </w:r>
      <w:r w:rsidR="00ED161E" w:rsidRPr="00ED161E">
        <w:rPr>
          <w:b/>
          <w:bCs/>
          <w:i/>
          <w:iCs/>
          <w:color w:val="0070C0"/>
          <w:sz w:val="20"/>
          <w:szCs w:val="20"/>
          <w:u w:val="single"/>
        </w:rPr>
        <w:t xml:space="preserve"> 4320/11)</w:t>
      </w:r>
      <w:r w:rsidR="00ED161E">
        <w:rPr>
          <w:sz w:val="20"/>
          <w:szCs w:val="20"/>
        </w:rPr>
        <w:t>,</w:t>
      </w:r>
      <w:r w:rsidR="00AF517F">
        <w:rPr>
          <w:color w:val="404040"/>
          <w:sz w:val="20"/>
        </w:rPr>
        <w:t xml:space="preserve"> </w:t>
      </w:r>
      <w:r w:rsidR="00AF517F" w:rsidRPr="007207FA">
        <w:rPr>
          <w:sz w:val="20"/>
        </w:rPr>
        <w:t>wyrok z </w:t>
      </w:r>
      <w:r w:rsidR="00D05CA5">
        <w:rPr>
          <w:sz w:val="20"/>
        </w:rPr>
        <w:t xml:space="preserve">dnia </w:t>
      </w:r>
      <w:r w:rsidR="00AF517F" w:rsidRPr="007207FA">
        <w:rPr>
          <w:sz w:val="20"/>
        </w:rPr>
        <w:t>10 </w:t>
      </w:r>
      <w:r w:rsidRPr="007207FA">
        <w:rPr>
          <w:sz w:val="20"/>
        </w:rPr>
        <w:t xml:space="preserve">lipca 2012 r. </w:t>
      </w:r>
    </w:p>
    <w:p w14:paraId="5FF38FE6" w14:textId="77777777" w:rsidR="00ED161E" w:rsidRPr="00ED161E" w:rsidRDefault="00ED161E" w:rsidP="00455804">
      <w:pPr>
        <w:spacing w:before="120"/>
        <w:ind w:left="700" w:right="720"/>
        <w:jc w:val="both"/>
        <w:rPr>
          <w:b/>
          <w:bCs/>
          <w:color w:val="0070C0"/>
          <w:sz w:val="20"/>
          <w:u w:val="single"/>
        </w:rPr>
      </w:pPr>
      <w:r w:rsidRPr="00ED161E">
        <w:rPr>
          <w:b/>
          <w:bCs/>
          <w:color w:val="0070C0"/>
          <w:sz w:val="20"/>
          <w:szCs w:val="20"/>
          <w:u w:val="single"/>
        </w:rPr>
        <w:t>Soares de Melo przeciwko Portugalii</w:t>
      </w:r>
    </w:p>
    <w:p w14:paraId="1DE443A6" w14:textId="77777777" w:rsidR="00ED161E" w:rsidRDefault="008F1A90" w:rsidP="00ED161E">
      <w:pPr>
        <w:spacing w:before="61" w:line="218" w:lineRule="exact"/>
        <w:ind w:left="700"/>
        <w:jc w:val="both"/>
        <w:rPr>
          <w:color w:val="808080"/>
          <w:sz w:val="18"/>
        </w:rPr>
      </w:pPr>
      <w:r w:rsidRPr="004939EF">
        <w:rPr>
          <w:color w:val="808080"/>
          <w:sz w:val="18"/>
        </w:rPr>
        <w:t>16 lutego 2016</w:t>
      </w:r>
      <w:r w:rsidR="00ED161E">
        <w:rPr>
          <w:color w:val="808080"/>
          <w:sz w:val="18"/>
        </w:rPr>
        <w:t xml:space="preserve"> r.</w:t>
      </w:r>
      <w:r w:rsidRPr="004939EF">
        <w:rPr>
          <w:color w:val="808080"/>
          <w:sz w:val="18"/>
        </w:rPr>
        <w:t xml:space="preserve"> (wyrok</w:t>
      </w:r>
      <w:r w:rsidR="00D3520A" w:rsidRPr="004939EF">
        <w:rPr>
          <w:color w:val="808080"/>
          <w:sz w:val="18"/>
        </w:rPr>
        <w:t>)</w:t>
      </w:r>
    </w:p>
    <w:p w14:paraId="5903E9A8" w14:textId="77777777" w:rsidR="009B1547" w:rsidRPr="00ED161E" w:rsidRDefault="008F1A90" w:rsidP="00BC6ABE">
      <w:pPr>
        <w:spacing w:before="61" w:line="218" w:lineRule="exact"/>
        <w:ind w:left="700" w:right="669"/>
        <w:jc w:val="both"/>
        <w:rPr>
          <w:sz w:val="20"/>
          <w:szCs w:val="20"/>
        </w:rPr>
      </w:pPr>
      <w:r w:rsidRPr="00ED161E">
        <w:rPr>
          <w:sz w:val="20"/>
          <w:szCs w:val="20"/>
        </w:rPr>
        <w:t xml:space="preserve">Sprawa dotyczyła nakazu </w:t>
      </w:r>
      <w:r w:rsidR="009B1547" w:rsidRPr="00ED161E">
        <w:rPr>
          <w:sz w:val="20"/>
          <w:szCs w:val="20"/>
        </w:rPr>
        <w:t>umieszczenia siedmiorga z dzieci skarż</w:t>
      </w:r>
      <w:r w:rsidR="00BC6ABE">
        <w:rPr>
          <w:sz w:val="20"/>
          <w:szCs w:val="20"/>
        </w:rPr>
        <w:t xml:space="preserve">ącej w </w:t>
      </w:r>
      <w:r w:rsidR="00D05CA5">
        <w:rPr>
          <w:sz w:val="20"/>
          <w:szCs w:val="20"/>
        </w:rPr>
        <w:t xml:space="preserve">placówce </w:t>
      </w:r>
      <w:r w:rsidR="00BC6ABE">
        <w:rPr>
          <w:sz w:val="20"/>
          <w:szCs w:val="20"/>
        </w:rPr>
        <w:t xml:space="preserve">opiekuńczej w </w:t>
      </w:r>
      <w:r w:rsidR="009B1547" w:rsidRPr="00ED161E">
        <w:rPr>
          <w:sz w:val="20"/>
          <w:szCs w:val="20"/>
        </w:rPr>
        <w:t>celu</w:t>
      </w:r>
      <w:r w:rsidR="001C2A56">
        <w:rPr>
          <w:sz w:val="20"/>
          <w:szCs w:val="20"/>
        </w:rPr>
        <w:t xml:space="preserve"> ich</w:t>
      </w:r>
      <w:r w:rsidR="009B1547" w:rsidRPr="00ED161E">
        <w:rPr>
          <w:sz w:val="20"/>
          <w:szCs w:val="20"/>
        </w:rPr>
        <w:t xml:space="preserve"> </w:t>
      </w:r>
      <w:r w:rsidR="00D05CA5">
        <w:rPr>
          <w:sz w:val="20"/>
          <w:szCs w:val="20"/>
        </w:rPr>
        <w:t xml:space="preserve">przysposobienia </w:t>
      </w:r>
      <w:r w:rsidR="008C237D">
        <w:rPr>
          <w:sz w:val="20"/>
          <w:szCs w:val="20"/>
        </w:rPr>
        <w:t xml:space="preserve">i </w:t>
      </w:r>
      <w:r w:rsidR="00D05CA5">
        <w:rPr>
          <w:sz w:val="20"/>
          <w:szCs w:val="20"/>
        </w:rPr>
        <w:t xml:space="preserve">zakazu </w:t>
      </w:r>
      <w:r w:rsidR="00AF517F">
        <w:rPr>
          <w:sz w:val="20"/>
          <w:szCs w:val="20"/>
        </w:rPr>
        <w:t>kontakt</w:t>
      </w:r>
      <w:r w:rsidR="00D05CA5">
        <w:rPr>
          <w:sz w:val="20"/>
          <w:szCs w:val="20"/>
        </w:rPr>
        <w:t>owania się skarżącej</w:t>
      </w:r>
      <w:r w:rsidR="00AF517F">
        <w:rPr>
          <w:sz w:val="20"/>
          <w:szCs w:val="20"/>
        </w:rPr>
        <w:t xml:space="preserve"> z dziećmi</w:t>
      </w:r>
      <w:r w:rsidR="009B1547" w:rsidRPr="00ED161E">
        <w:rPr>
          <w:sz w:val="20"/>
          <w:szCs w:val="20"/>
        </w:rPr>
        <w:t>.</w:t>
      </w:r>
    </w:p>
    <w:p w14:paraId="0627AE46" w14:textId="02347988" w:rsidR="008F1A90" w:rsidRPr="00BC6ABE" w:rsidRDefault="009B1547" w:rsidP="00BC6ABE">
      <w:pPr>
        <w:pStyle w:val="Tekstpodstawowy"/>
        <w:ind w:left="699" w:right="716"/>
        <w:rPr>
          <w:color w:val="0071BB"/>
        </w:rPr>
      </w:pPr>
      <w:r w:rsidRPr="00ED161E">
        <w:rPr>
          <w:color w:val="0071BB"/>
        </w:rPr>
        <w:t xml:space="preserve">W </w:t>
      </w:r>
      <w:r w:rsidR="008F1A90" w:rsidRPr="00ED161E">
        <w:rPr>
          <w:color w:val="0071BB"/>
        </w:rPr>
        <w:t xml:space="preserve">sprawie </w:t>
      </w:r>
      <w:r w:rsidR="00D05CA5">
        <w:rPr>
          <w:color w:val="0071BB"/>
        </w:rPr>
        <w:t xml:space="preserve">tej </w:t>
      </w:r>
      <w:r w:rsidR="008F1A90" w:rsidRPr="00ED161E">
        <w:rPr>
          <w:color w:val="0071BB"/>
        </w:rPr>
        <w:t>Trybunał uwzględnił wniosek skarżącej o z</w:t>
      </w:r>
      <w:r w:rsidR="00BC6ABE">
        <w:rPr>
          <w:color w:val="0071BB"/>
        </w:rPr>
        <w:t xml:space="preserve">astosowanie środka </w:t>
      </w:r>
      <w:r w:rsidR="00BC6ABE">
        <w:rPr>
          <w:color w:val="0071BB"/>
        </w:rPr>
        <w:lastRenderedPageBreak/>
        <w:t>tymczasowego</w:t>
      </w:r>
      <w:r w:rsidR="008F1A90" w:rsidRPr="00ED161E">
        <w:rPr>
          <w:color w:val="0071BB"/>
        </w:rPr>
        <w:t xml:space="preserve"> </w:t>
      </w:r>
      <w:r w:rsidRPr="00ED161E">
        <w:rPr>
          <w:color w:val="0071BB"/>
        </w:rPr>
        <w:t xml:space="preserve">przyznającego </w:t>
      </w:r>
      <w:r w:rsidR="008F1A90" w:rsidRPr="00ED161E">
        <w:rPr>
          <w:color w:val="0071BB"/>
        </w:rPr>
        <w:t xml:space="preserve">jej prawo do kontaktu z dziećmi. W swoim wyroku </w:t>
      </w:r>
      <w:r w:rsidRPr="00ED161E">
        <w:rPr>
          <w:color w:val="0071BB"/>
        </w:rPr>
        <w:t xml:space="preserve">Trybunał </w:t>
      </w:r>
      <w:r w:rsidR="008F1A90" w:rsidRPr="00ED161E">
        <w:rPr>
          <w:color w:val="0071BB"/>
        </w:rPr>
        <w:t>stwierdz</w:t>
      </w:r>
      <w:r w:rsidRPr="00ED161E">
        <w:rPr>
          <w:color w:val="0071BB"/>
        </w:rPr>
        <w:t xml:space="preserve">ił, </w:t>
      </w:r>
      <w:r w:rsidR="00BC6ABE">
        <w:rPr>
          <w:color w:val="0071BB"/>
        </w:rPr>
        <w:t>że doszło do naruszenia art.</w:t>
      </w:r>
      <w:r w:rsidR="008F1A90" w:rsidRPr="00ED161E">
        <w:rPr>
          <w:color w:val="0071BB"/>
        </w:rPr>
        <w:t xml:space="preserve"> 8 Konwencji, </w:t>
      </w:r>
      <w:r w:rsidR="00AF517F" w:rsidRPr="00AF517F">
        <w:rPr>
          <w:color w:val="0071BB"/>
        </w:rPr>
        <w:t>stwierdzając w </w:t>
      </w:r>
      <w:r w:rsidR="008F1A90" w:rsidRPr="00AF517F">
        <w:rPr>
          <w:color w:val="0071BB"/>
        </w:rPr>
        <w:t>szczególności, że sądy portugalskie</w:t>
      </w:r>
      <w:r w:rsidR="00BC6ABE" w:rsidRPr="00AF517F">
        <w:rPr>
          <w:color w:val="0071BB"/>
        </w:rPr>
        <w:t>,</w:t>
      </w:r>
      <w:r w:rsidR="008F1A90" w:rsidRPr="00AF517F">
        <w:rPr>
          <w:color w:val="0071BB"/>
        </w:rPr>
        <w:t xml:space="preserve"> </w:t>
      </w:r>
      <w:r w:rsidR="00BC6ABE" w:rsidRPr="00AF517F">
        <w:rPr>
          <w:color w:val="0071BB"/>
        </w:rPr>
        <w:t xml:space="preserve">podejmując środki w zakresie </w:t>
      </w:r>
      <w:r w:rsidR="008F1A90" w:rsidRPr="00AF517F">
        <w:rPr>
          <w:color w:val="0071BB"/>
        </w:rPr>
        <w:t>nakazani</w:t>
      </w:r>
      <w:r w:rsidR="00BC6ABE" w:rsidRPr="00AF517F">
        <w:rPr>
          <w:color w:val="0071BB"/>
        </w:rPr>
        <w:t>a</w:t>
      </w:r>
      <w:r w:rsidRPr="00AF517F">
        <w:rPr>
          <w:color w:val="0071BB"/>
        </w:rPr>
        <w:t xml:space="preserve"> umieszczenia dzieci skarżącej w </w:t>
      </w:r>
      <w:r w:rsidR="001C2A56">
        <w:rPr>
          <w:color w:val="0071BB"/>
        </w:rPr>
        <w:t>placówce</w:t>
      </w:r>
      <w:r w:rsidR="001C2A56" w:rsidRPr="00AF517F">
        <w:rPr>
          <w:color w:val="0071BB"/>
        </w:rPr>
        <w:t xml:space="preserve"> </w:t>
      </w:r>
      <w:r w:rsidRPr="00AF517F">
        <w:rPr>
          <w:color w:val="0071BB"/>
        </w:rPr>
        <w:t>opiekuńczej w celu ich przysposobienia</w:t>
      </w:r>
      <w:r w:rsidR="00AF517F" w:rsidRPr="00AF517F">
        <w:rPr>
          <w:color w:val="0071BB"/>
        </w:rPr>
        <w:t>,</w:t>
      </w:r>
      <w:r w:rsidR="008F1A90" w:rsidRPr="00AF517F">
        <w:rPr>
          <w:color w:val="0071BB"/>
        </w:rPr>
        <w:t xml:space="preserve"> nie </w:t>
      </w:r>
      <w:r w:rsidRPr="00AF517F">
        <w:rPr>
          <w:color w:val="0071BB"/>
        </w:rPr>
        <w:t xml:space="preserve">zachowały </w:t>
      </w:r>
      <w:r w:rsidR="00D75A1A">
        <w:rPr>
          <w:color w:val="0071BB"/>
        </w:rPr>
        <w:t>odpowiedniej</w:t>
      </w:r>
      <w:r w:rsidR="00D75A1A" w:rsidRPr="00AF517F">
        <w:rPr>
          <w:color w:val="0071BB"/>
        </w:rPr>
        <w:t xml:space="preserve"> </w:t>
      </w:r>
      <w:r w:rsidR="008F1A90" w:rsidRPr="00AF517F">
        <w:rPr>
          <w:color w:val="0071BB"/>
        </w:rPr>
        <w:t>równowagi między interesami</w:t>
      </w:r>
      <w:r w:rsidR="00BC6ABE" w:rsidRPr="00AF517F">
        <w:rPr>
          <w:color w:val="0071BB"/>
        </w:rPr>
        <w:t xml:space="preserve"> stron</w:t>
      </w:r>
      <w:r w:rsidR="008F1A90" w:rsidRPr="00AF517F">
        <w:rPr>
          <w:color w:val="0071BB"/>
        </w:rPr>
        <w:t xml:space="preserve">, </w:t>
      </w:r>
      <w:r w:rsidR="001C2A56">
        <w:rPr>
          <w:color w:val="0071BB"/>
        </w:rPr>
        <w:t xml:space="preserve">oraz że </w:t>
      </w:r>
      <w:r w:rsidR="008F1A90" w:rsidRPr="00AF517F">
        <w:rPr>
          <w:color w:val="0071BB"/>
        </w:rPr>
        <w:t xml:space="preserve">władze portugalskie powinny ponownie </w:t>
      </w:r>
      <w:r w:rsidR="001C2A56">
        <w:rPr>
          <w:color w:val="0071BB"/>
        </w:rPr>
        <w:t>ocenić</w:t>
      </w:r>
      <w:r w:rsidR="001C2A56" w:rsidRPr="00AF517F">
        <w:rPr>
          <w:color w:val="0071BB"/>
        </w:rPr>
        <w:t xml:space="preserve"> </w:t>
      </w:r>
      <w:r w:rsidR="00BC6ABE" w:rsidRPr="00AF517F">
        <w:rPr>
          <w:color w:val="0071BB"/>
        </w:rPr>
        <w:t>sytuację skarżącej</w:t>
      </w:r>
      <w:r w:rsidR="008F1A90" w:rsidRPr="00AF517F">
        <w:rPr>
          <w:color w:val="0071BB"/>
        </w:rPr>
        <w:t xml:space="preserve"> w celu podjęcia odpowiednich środków</w:t>
      </w:r>
      <w:r w:rsidR="00AF517F">
        <w:rPr>
          <w:color w:val="0071BB"/>
        </w:rPr>
        <w:t xml:space="preserve"> </w:t>
      </w:r>
      <w:r w:rsidR="001C2A56">
        <w:rPr>
          <w:color w:val="0071BB"/>
        </w:rPr>
        <w:t>leżących</w:t>
      </w:r>
      <w:r w:rsidR="001C2A56" w:rsidRPr="00AF517F">
        <w:rPr>
          <w:color w:val="0071BB"/>
        </w:rPr>
        <w:t xml:space="preserve"> </w:t>
      </w:r>
      <w:r w:rsidR="008F1A90" w:rsidRPr="00AF517F">
        <w:rPr>
          <w:color w:val="0071BB"/>
        </w:rPr>
        <w:t>w najlepszym interesie dzieci.</w:t>
      </w:r>
    </w:p>
    <w:p w14:paraId="39AB014A" w14:textId="1DF1CADF" w:rsidR="00455804" w:rsidRPr="001D474F" w:rsidRDefault="001D474F" w:rsidP="001D474F">
      <w:pPr>
        <w:shd w:val="pct5" w:color="auto" w:fill="auto"/>
        <w:spacing w:before="240" w:after="240"/>
        <w:ind w:left="851" w:right="669" w:hanging="131"/>
        <w:rPr>
          <w:color w:val="252525"/>
          <w:sz w:val="24"/>
          <w:shd w:val="pct5" w:color="auto" w:fill="auto"/>
        </w:rPr>
      </w:pPr>
      <w:r>
        <w:rPr>
          <w:color w:val="252525"/>
          <w:sz w:val="24"/>
        </w:rPr>
        <w:t xml:space="preserve">  </w:t>
      </w:r>
      <w:r w:rsidR="00455804" w:rsidRPr="001D474F">
        <w:rPr>
          <w:color w:val="252525"/>
          <w:sz w:val="24"/>
        </w:rPr>
        <w:t>Szczególna</w:t>
      </w:r>
      <w:r w:rsidR="00455804" w:rsidRPr="001D474F">
        <w:rPr>
          <w:color w:val="252525"/>
          <w:sz w:val="24"/>
          <w:shd w:val="pct5" w:color="auto" w:fill="auto"/>
        </w:rPr>
        <w:t xml:space="preserve"> sytuacja wydalenia/ekstradycji do innego Państwa-Strony </w:t>
      </w:r>
      <w:r>
        <w:rPr>
          <w:color w:val="252525"/>
          <w:sz w:val="24"/>
          <w:shd w:val="pct5" w:color="auto" w:fill="auto"/>
        </w:rPr>
        <w:t xml:space="preserve">  </w:t>
      </w:r>
      <w:r w:rsidR="00455804" w:rsidRPr="001D474F">
        <w:rPr>
          <w:color w:val="252525"/>
          <w:sz w:val="24"/>
          <w:shd w:val="pct5" w:color="auto" w:fill="auto"/>
        </w:rPr>
        <w:t>Konwencji</w:t>
      </w:r>
    </w:p>
    <w:p w14:paraId="7990D571" w14:textId="18EA36F2" w:rsidR="0025631D" w:rsidRPr="004939EF" w:rsidRDefault="00FC5518" w:rsidP="00455804">
      <w:pPr>
        <w:pStyle w:val="Tekstpodstawowy"/>
        <w:spacing w:before="105"/>
        <w:ind w:right="714"/>
        <w:rPr>
          <w:sz w:val="11"/>
        </w:rPr>
      </w:pPr>
      <w:r w:rsidRPr="004939EF">
        <w:t xml:space="preserve">Chociaż </w:t>
      </w:r>
      <w:r w:rsidR="001C2A56">
        <w:t>domniemywa się</w:t>
      </w:r>
      <w:r w:rsidRPr="004939EF">
        <w:t xml:space="preserve">, że Układające się Państwa zapewnią niezbędne gwarancje, aby </w:t>
      </w:r>
      <w:r w:rsidR="00F43209">
        <w:t xml:space="preserve">skarżący nie </w:t>
      </w:r>
      <w:r w:rsidR="001C2A56">
        <w:t>został</w:t>
      </w:r>
      <w:r w:rsidR="001C2A56" w:rsidRPr="004939EF">
        <w:t xml:space="preserve"> </w:t>
      </w:r>
      <w:r w:rsidRPr="004939EF">
        <w:t xml:space="preserve">poddany złemu traktowaniu i nadal korzystał z praw </w:t>
      </w:r>
      <w:r w:rsidRPr="00AF517F">
        <w:t>wynikających z Konwencji po wysłaniu</w:t>
      </w:r>
      <w:r w:rsidR="008260D7" w:rsidRPr="00AF517F">
        <w:t xml:space="preserve"> go do takiego </w:t>
      </w:r>
      <w:r w:rsidR="001C2A56">
        <w:t>p</w:t>
      </w:r>
      <w:r w:rsidRPr="00AF517F">
        <w:t xml:space="preserve">aństwa, w niektórych przypadkach zastosowano </w:t>
      </w:r>
      <w:r w:rsidR="008260D7" w:rsidRPr="00AF517F">
        <w:t>Regułę 39 Regulaminu Trybunału</w:t>
      </w:r>
      <w:r w:rsidRPr="00AF517F">
        <w:t xml:space="preserve">, aby zapobiec </w:t>
      </w:r>
      <w:r w:rsidR="008260D7" w:rsidRPr="00AF517F">
        <w:t xml:space="preserve">wydaleniu skarżącego do innego </w:t>
      </w:r>
      <w:r w:rsidR="00D75A1A">
        <w:t>p</w:t>
      </w:r>
      <w:r w:rsidR="00F43209" w:rsidRPr="00AF517F">
        <w:t>aństwa</w:t>
      </w:r>
      <w:r w:rsidR="00D75A1A">
        <w:t xml:space="preserve"> członkowskiego</w:t>
      </w:r>
      <w:r w:rsidR="00F43209" w:rsidRPr="00AF517F">
        <w:t xml:space="preserve"> Rady Europy</w:t>
      </w:r>
      <w:r w:rsidR="00F43209" w:rsidRPr="00AF517F">
        <w:rPr>
          <w:rStyle w:val="Odwoanieprzypisudolnego"/>
        </w:rPr>
        <w:footnoteReference w:id="5"/>
      </w:r>
      <w:r w:rsidR="00F43209" w:rsidRPr="00AF517F">
        <w:t>.</w:t>
      </w:r>
      <w:bookmarkStart w:id="0" w:name="_bookmark4"/>
      <w:bookmarkEnd w:id="0"/>
    </w:p>
    <w:p w14:paraId="44594490" w14:textId="77777777" w:rsidR="0025631D" w:rsidRDefault="008260D7" w:rsidP="00455804">
      <w:pPr>
        <w:pStyle w:val="Nagwek11"/>
        <w:spacing w:before="240" w:after="240"/>
        <w:jc w:val="left"/>
        <w:rPr>
          <w:color w:val="404040"/>
        </w:rPr>
      </w:pPr>
      <w:r w:rsidRPr="004939EF">
        <w:rPr>
          <w:color w:val="404040"/>
        </w:rPr>
        <w:t xml:space="preserve">Inne </w:t>
      </w:r>
      <w:r w:rsidR="001C2A56">
        <w:rPr>
          <w:color w:val="404040"/>
        </w:rPr>
        <w:t xml:space="preserve">przypadki </w:t>
      </w:r>
      <w:r w:rsidRPr="004939EF">
        <w:rPr>
          <w:color w:val="404040"/>
        </w:rPr>
        <w:t>zastosowania środków tymczasowych</w:t>
      </w:r>
    </w:p>
    <w:p w14:paraId="15AF968F" w14:textId="1FA28AAA" w:rsidR="00455804" w:rsidRPr="001D474F" w:rsidRDefault="001E0356" w:rsidP="001D474F">
      <w:pPr>
        <w:spacing w:before="240" w:after="240"/>
        <w:ind w:left="700" w:right="717"/>
        <w:jc w:val="both"/>
        <w:rPr>
          <w:color w:val="252525"/>
          <w:sz w:val="24"/>
          <w:shd w:val="pct5" w:color="auto" w:fill="auto"/>
        </w:rPr>
      </w:pPr>
      <w:r>
        <w:rPr>
          <w:color w:val="252525"/>
          <w:sz w:val="24"/>
          <w:shd w:val="pct5" w:color="auto" w:fill="auto"/>
        </w:rPr>
        <w:t xml:space="preserve">  </w:t>
      </w:r>
      <w:r w:rsidR="00455804" w:rsidRPr="001D474F">
        <w:rPr>
          <w:color w:val="252525"/>
          <w:sz w:val="24"/>
          <w:shd w:val="pct5" w:color="auto" w:fill="auto"/>
        </w:rPr>
        <w:t>Zdrowie i warunki pozbawienia wolności</w:t>
      </w:r>
    </w:p>
    <w:p w14:paraId="62CDE5D6" w14:textId="77777777" w:rsidR="0025631D" w:rsidRPr="004939EF" w:rsidRDefault="008260D7">
      <w:pPr>
        <w:pStyle w:val="Nagwek31"/>
        <w:spacing w:before="105"/>
        <w:rPr>
          <w:u w:val="none"/>
        </w:rPr>
      </w:pPr>
      <w:proofErr w:type="spellStart"/>
      <w:r w:rsidRPr="004939EF">
        <w:rPr>
          <w:color w:val="0071BB"/>
          <w:u w:val="thick" w:color="0071BB"/>
        </w:rPr>
        <w:t>Kotsaftis</w:t>
      </w:r>
      <w:proofErr w:type="spellEnd"/>
      <w:r w:rsidRPr="004939EF">
        <w:rPr>
          <w:color w:val="0071BB"/>
          <w:u w:val="thick" w:color="0071BB"/>
        </w:rPr>
        <w:t xml:space="preserve"> przeciwko</w:t>
      </w:r>
      <w:r w:rsidR="00D3520A" w:rsidRPr="004939EF">
        <w:rPr>
          <w:color w:val="0071BB"/>
          <w:u w:val="thick" w:color="0071BB"/>
        </w:rPr>
        <w:t xml:space="preserve"> Gre</w:t>
      </w:r>
      <w:r w:rsidRPr="004939EF">
        <w:rPr>
          <w:color w:val="0071BB"/>
          <w:u w:val="thick" w:color="0071BB"/>
        </w:rPr>
        <w:t>cji</w:t>
      </w:r>
    </w:p>
    <w:p w14:paraId="0FF71F22" w14:textId="77777777" w:rsidR="0025631D" w:rsidRPr="004939EF" w:rsidRDefault="008260D7">
      <w:pPr>
        <w:spacing w:before="63" w:line="218" w:lineRule="exact"/>
        <w:ind w:left="700"/>
        <w:jc w:val="both"/>
        <w:rPr>
          <w:sz w:val="18"/>
        </w:rPr>
      </w:pPr>
      <w:r w:rsidRPr="004939EF">
        <w:rPr>
          <w:color w:val="808080"/>
          <w:sz w:val="18"/>
        </w:rPr>
        <w:t>12 czerwca 2008</w:t>
      </w:r>
      <w:r w:rsidR="00F43209">
        <w:rPr>
          <w:color w:val="808080"/>
          <w:sz w:val="18"/>
        </w:rPr>
        <w:t xml:space="preserve"> r.</w:t>
      </w:r>
      <w:r w:rsidRPr="004939EF">
        <w:rPr>
          <w:color w:val="808080"/>
          <w:sz w:val="18"/>
        </w:rPr>
        <w:t xml:space="preserve"> (wyrok</w:t>
      </w:r>
      <w:r w:rsidR="00D3520A" w:rsidRPr="004939EF">
        <w:rPr>
          <w:color w:val="808080"/>
          <w:sz w:val="18"/>
        </w:rPr>
        <w:t>)</w:t>
      </w:r>
    </w:p>
    <w:p w14:paraId="16720D68" w14:textId="77777777" w:rsidR="008260D7" w:rsidRPr="004939EF" w:rsidRDefault="001C2A56" w:rsidP="008260D7">
      <w:pPr>
        <w:pStyle w:val="Tekstpodstawowy"/>
        <w:ind w:right="714"/>
      </w:pPr>
      <w:r>
        <w:t>S</w:t>
      </w:r>
      <w:r w:rsidR="008260D7" w:rsidRPr="004939EF">
        <w:t xml:space="preserve">prawa dotyczyła warunków pozbawienia wolności i braku </w:t>
      </w:r>
      <w:r>
        <w:t xml:space="preserve">zapewnienia </w:t>
      </w:r>
      <w:r w:rsidR="008260D7" w:rsidRPr="004939EF">
        <w:t>odpowiedn</w:t>
      </w:r>
      <w:r w:rsidR="008C237D">
        <w:t xml:space="preserve">iej opieki medycznej </w:t>
      </w:r>
      <w:r>
        <w:t>osadzonemu, który</w:t>
      </w:r>
      <w:r w:rsidRPr="004939EF">
        <w:t xml:space="preserve"> cierpi</w:t>
      </w:r>
      <w:r>
        <w:t>ał</w:t>
      </w:r>
      <w:r w:rsidRPr="004939EF">
        <w:t xml:space="preserve"> </w:t>
      </w:r>
      <w:r w:rsidR="008260D7" w:rsidRPr="004939EF">
        <w:t>na marskość wątroby wywołaną zapaleniem wątroby typu B.</w:t>
      </w:r>
    </w:p>
    <w:p w14:paraId="30790F25" w14:textId="026346E7" w:rsidR="008260D7" w:rsidRPr="004939EF" w:rsidRDefault="008260D7" w:rsidP="008260D7">
      <w:pPr>
        <w:pStyle w:val="Tekstpodstawowy"/>
        <w:ind w:right="714"/>
        <w:rPr>
          <w:color w:val="0070C0"/>
        </w:rPr>
      </w:pPr>
      <w:r w:rsidRPr="004939EF">
        <w:rPr>
          <w:color w:val="0070C0"/>
        </w:rPr>
        <w:t xml:space="preserve">W sprawie </w:t>
      </w:r>
      <w:r w:rsidR="001C2A56">
        <w:rPr>
          <w:color w:val="0070C0"/>
        </w:rPr>
        <w:t xml:space="preserve">tej </w:t>
      </w:r>
      <w:r w:rsidRPr="004939EF">
        <w:rPr>
          <w:color w:val="0070C0"/>
        </w:rPr>
        <w:t xml:space="preserve">Trybunał wezwał Grecję do nakazania przeniesienia skarżącego do specjalistycznego </w:t>
      </w:r>
      <w:r w:rsidR="001C2A56">
        <w:rPr>
          <w:color w:val="0070C0"/>
        </w:rPr>
        <w:t>ośrodka</w:t>
      </w:r>
      <w:r w:rsidR="001C2A56" w:rsidRPr="004939EF">
        <w:rPr>
          <w:color w:val="0070C0"/>
        </w:rPr>
        <w:t xml:space="preserve"> </w:t>
      </w:r>
      <w:r w:rsidRPr="004939EF">
        <w:rPr>
          <w:color w:val="0070C0"/>
        </w:rPr>
        <w:t>medycznego</w:t>
      </w:r>
      <w:r w:rsidR="001C2A56">
        <w:rPr>
          <w:color w:val="0070C0"/>
        </w:rPr>
        <w:t xml:space="preserve"> </w:t>
      </w:r>
      <w:r w:rsidR="00567861">
        <w:rPr>
          <w:color w:val="0070C0"/>
        </w:rPr>
        <w:t>by mógł poddać się</w:t>
      </w:r>
      <w:r w:rsidR="00F43209">
        <w:rPr>
          <w:color w:val="0070C0"/>
        </w:rPr>
        <w:t xml:space="preserve"> wszystki</w:t>
      </w:r>
      <w:r w:rsidR="001C2A56">
        <w:rPr>
          <w:color w:val="0070C0"/>
        </w:rPr>
        <w:t>m</w:t>
      </w:r>
      <w:r w:rsidR="00F43209">
        <w:rPr>
          <w:color w:val="0070C0"/>
        </w:rPr>
        <w:t xml:space="preserve"> niezbędn</w:t>
      </w:r>
      <w:r w:rsidR="001C2A56">
        <w:rPr>
          <w:color w:val="0070C0"/>
        </w:rPr>
        <w:t>ym</w:t>
      </w:r>
      <w:r w:rsidR="00F43209">
        <w:rPr>
          <w:color w:val="0070C0"/>
        </w:rPr>
        <w:t xml:space="preserve"> badani</w:t>
      </w:r>
      <w:r w:rsidR="001C2A56">
        <w:rPr>
          <w:color w:val="0070C0"/>
        </w:rPr>
        <w:t>om</w:t>
      </w:r>
      <w:r w:rsidR="00F43209">
        <w:rPr>
          <w:color w:val="0070C0"/>
        </w:rPr>
        <w:t xml:space="preserve"> i </w:t>
      </w:r>
      <w:r w:rsidR="00567861" w:rsidRPr="004939EF">
        <w:rPr>
          <w:color w:val="0070C0"/>
        </w:rPr>
        <w:t>pozosta</w:t>
      </w:r>
      <w:r w:rsidR="00567861">
        <w:rPr>
          <w:color w:val="0070C0"/>
        </w:rPr>
        <w:t>ć</w:t>
      </w:r>
      <w:r w:rsidR="00567861" w:rsidRPr="004939EF">
        <w:rPr>
          <w:color w:val="0070C0"/>
        </w:rPr>
        <w:t xml:space="preserve"> </w:t>
      </w:r>
      <w:r w:rsidRPr="004939EF">
        <w:rPr>
          <w:color w:val="0070C0"/>
        </w:rPr>
        <w:t xml:space="preserve">w szpitalu, dopóki </w:t>
      </w:r>
      <w:r w:rsidR="001C2A56">
        <w:rPr>
          <w:color w:val="0070C0"/>
        </w:rPr>
        <w:t>prowadzący go</w:t>
      </w:r>
      <w:r w:rsidR="001C2A56" w:rsidRPr="004939EF">
        <w:rPr>
          <w:color w:val="0070C0"/>
        </w:rPr>
        <w:t xml:space="preserve"> </w:t>
      </w:r>
      <w:r w:rsidRPr="004939EF">
        <w:rPr>
          <w:color w:val="0070C0"/>
        </w:rPr>
        <w:t xml:space="preserve">lekarze nie uznają, że może wrócić do </w:t>
      </w:r>
      <w:r w:rsidR="00F43209">
        <w:rPr>
          <w:color w:val="0070C0"/>
        </w:rPr>
        <w:t xml:space="preserve">zakładu karnego </w:t>
      </w:r>
      <w:r w:rsidRPr="004939EF">
        <w:rPr>
          <w:color w:val="0070C0"/>
        </w:rPr>
        <w:t>bez narażenia życia.</w:t>
      </w:r>
    </w:p>
    <w:p w14:paraId="2F46D968" w14:textId="77777777" w:rsidR="0025631D" w:rsidRPr="004939EF" w:rsidRDefault="008260D7" w:rsidP="008260D7">
      <w:pPr>
        <w:pStyle w:val="Nagwek31"/>
        <w:spacing w:before="118"/>
        <w:rPr>
          <w:u w:val="none"/>
        </w:rPr>
      </w:pPr>
      <w:proofErr w:type="spellStart"/>
      <w:r w:rsidRPr="004939EF">
        <w:rPr>
          <w:color w:val="0071BB"/>
          <w:u w:val="thick" w:color="0071BB"/>
        </w:rPr>
        <w:t>Paladi</w:t>
      </w:r>
      <w:proofErr w:type="spellEnd"/>
      <w:r w:rsidRPr="004939EF">
        <w:rPr>
          <w:color w:val="0071BB"/>
          <w:u w:val="thick" w:color="0071BB"/>
        </w:rPr>
        <w:t xml:space="preserve"> przeciwko</w:t>
      </w:r>
      <w:r w:rsidR="00D3520A" w:rsidRPr="004939EF">
        <w:rPr>
          <w:color w:val="0071BB"/>
          <w:u w:val="thick" w:color="0071BB"/>
        </w:rPr>
        <w:t xml:space="preserve"> </w:t>
      </w:r>
      <w:r w:rsidRPr="004939EF">
        <w:rPr>
          <w:color w:val="0071BB"/>
          <w:u w:val="thick" w:color="0071BB"/>
        </w:rPr>
        <w:t>Republice Mołdawii</w:t>
      </w:r>
    </w:p>
    <w:p w14:paraId="4C0F31E3" w14:textId="77777777" w:rsidR="0025631D" w:rsidRPr="004939EF" w:rsidRDefault="00F43209">
      <w:pPr>
        <w:spacing w:before="62" w:line="218" w:lineRule="exact"/>
        <w:ind w:left="700"/>
        <w:jc w:val="both"/>
        <w:rPr>
          <w:sz w:val="18"/>
        </w:rPr>
      </w:pPr>
      <w:r>
        <w:rPr>
          <w:color w:val="808080"/>
          <w:sz w:val="18"/>
        </w:rPr>
        <w:t>10 marca</w:t>
      </w:r>
      <w:r w:rsidR="008260D7" w:rsidRPr="004939EF">
        <w:rPr>
          <w:color w:val="808080"/>
          <w:sz w:val="18"/>
        </w:rPr>
        <w:t xml:space="preserve"> 2009 </w:t>
      </w:r>
      <w:r>
        <w:rPr>
          <w:color w:val="808080"/>
          <w:sz w:val="18"/>
        </w:rPr>
        <w:t xml:space="preserve">r. </w:t>
      </w:r>
      <w:r w:rsidR="008260D7" w:rsidRPr="004939EF">
        <w:rPr>
          <w:color w:val="808080"/>
          <w:sz w:val="18"/>
        </w:rPr>
        <w:t>(Wielka Izba – wyrok</w:t>
      </w:r>
      <w:r w:rsidR="00D3520A" w:rsidRPr="004939EF">
        <w:rPr>
          <w:color w:val="808080"/>
          <w:sz w:val="18"/>
        </w:rPr>
        <w:t>)</w:t>
      </w:r>
    </w:p>
    <w:p w14:paraId="7DF9B9C3" w14:textId="21972EB2" w:rsidR="008260D7" w:rsidRPr="004939EF" w:rsidRDefault="008260D7" w:rsidP="003E14FD">
      <w:pPr>
        <w:pStyle w:val="Tekstpodstawowy"/>
        <w:ind w:right="715"/>
      </w:pPr>
      <w:r w:rsidRPr="00AF517F">
        <w:t>Skarżący, który cierpiał na wie</w:t>
      </w:r>
      <w:r w:rsidR="00A3035A" w:rsidRPr="00AF517F">
        <w:t>le poważnych chorób,</w:t>
      </w:r>
      <w:r w:rsidRPr="00AF517F">
        <w:t xml:space="preserve"> </w:t>
      </w:r>
      <w:r w:rsidR="00567861">
        <w:t xml:space="preserve">zarzucił </w:t>
      </w:r>
      <w:r w:rsidRPr="00AF517F">
        <w:t>w szczególności, że pomimo zaleceń lekarzy</w:t>
      </w:r>
      <w:r w:rsidR="003E14FD" w:rsidRPr="00AF517F">
        <w:t>,</w:t>
      </w:r>
      <w:r w:rsidRPr="00AF517F">
        <w:t xml:space="preserve"> nie otrzymał odpowiedniej opieki medycznej </w:t>
      </w:r>
      <w:r w:rsidR="00567861">
        <w:t>podczas osadzenia w toku postępowania sądowego</w:t>
      </w:r>
      <w:r w:rsidRPr="00AF517F">
        <w:t>.</w:t>
      </w:r>
    </w:p>
    <w:p w14:paraId="7058680C" w14:textId="7DD4C7F6" w:rsidR="008260D7" w:rsidRPr="003E14FD" w:rsidRDefault="00A3035A" w:rsidP="003E14FD">
      <w:pPr>
        <w:pStyle w:val="Tekstpodstawowy"/>
        <w:ind w:right="715"/>
        <w:rPr>
          <w:color w:val="0070C0"/>
        </w:rPr>
      </w:pPr>
      <w:r w:rsidRPr="004939EF">
        <w:rPr>
          <w:color w:val="0070C0"/>
        </w:rPr>
        <w:t>W sprawie</w:t>
      </w:r>
      <w:r w:rsidR="008260D7" w:rsidRPr="004939EF">
        <w:rPr>
          <w:color w:val="0070C0"/>
        </w:rPr>
        <w:t xml:space="preserve"> </w:t>
      </w:r>
      <w:r w:rsidR="001C2A56">
        <w:rPr>
          <w:color w:val="0070C0"/>
        </w:rPr>
        <w:t xml:space="preserve">tej </w:t>
      </w:r>
      <w:r w:rsidR="008260D7" w:rsidRPr="004939EF">
        <w:rPr>
          <w:color w:val="0070C0"/>
        </w:rPr>
        <w:t xml:space="preserve">Trybunał postanowił </w:t>
      </w:r>
      <w:r w:rsidRPr="00346422">
        <w:rPr>
          <w:color w:val="0070C0"/>
        </w:rPr>
        <w:t xml:space="preserve">zalecić </w:t>
      </w:r>
      <w:r w:rsidR="003E14FD" w:rsidRPr="00346422">
        <w:rPr>
          <w:color w:val="0070C0"/>
        </w:rPr>
        <w:t xml:space="preserve">rządowi </w:t>
      </w:r>
      <w:r w:rsidR="003E14FD">
        <w:rPr>
          <w:color w:val="0070C0"/>
        </w:rPr>
        <w:t xml:space="preserve">mołdawskiemu środek tymczasowy, </w:t>
      </w:r>
      <w:r w:rsidR="008260D7" w:rsidRPr="004939EF">
        <w:rPr>
          <w:color w:val="0070C0"/>
        </w:rPr>
        <w:t xml:space="preserve">zgodnie z Regułą 39 Regulaminu Trybunału, mający na celu zapewnienie </w:t>
      </w:r>
      <w:r w:rsidR="001C2A56">
        <w:rPr>
          <w:color w:val="0070C0"/>
        </w:rPr>
        <w:t>dalszego</w:t>
      </w:r>
      <w:r w:rsidR="001C2A56" w:rsidRPr="004939EF">
        <w:rPr>
          <w:color w:val="0070C0"/>
        </w:rPr>
        <w:t xml:space="preserve"> </w:t>
      </w:r>
      <w:r w:rsidR="008260D7" w:rsidRPr="004939EF">
        <w:rPr>
          <w:color w:val="0070C0"/>
        </w:rPr>
        <w:t>leczenia skarżącego w sp</w:t>
      </w:r>
      <w:r w:rsidRPr="004939EF">
        <w:rPr>
          <w:color w:val="0070C0"/>
        </w:rPr>
        <w:t>ecjalistycznym szpitalu</w:t>
      </w:r>
      <w:r w:rsidRPr="00AF517F">
        <w:rPr>
          <w:color w:val="0070C0"/>
        </w:rPr>
        <w:t>, do czasu</w:t>
      </w:r>
      <w:r w:rsidR="003E14FD" w:rsidRPr="00AF517F">
        <w:rPr>
          <w:color w:val="0070C0"/>
        </w:rPr>
        <w:t xml:space="preserve"> </w:t>
      </w:r>
      <w:r w:rsidR="00567861">
        <w:rPr>
          <w:color w:val="0070C0"/>
        </w:rPr>
        <w:t>aż Trybunał będzie mógł zbadać jego sprawę</w:t>
      </w:r>
      <w:r w:rsidR="008260D7" w:rsidRPr="00AF517F">
        <w:rPr>
          <w:color w:val="0070C0"/>
        </w:rPr>
        <w:t>.</w:t>
      </w:r>
    </w:p>
    <w:p w14:paraId="0A9C7818" w14:textId="77777777" w:rsidR="0025631D" w:rsidRPr="004939EF" w:rsidRDefault="00A3035A">
      <w:pPr>
        <w:pStyle w:val="Nagwek31"/>
        <w:spacing w:before="118"/>
        <w:ind w:left="699"/>
        <w:rPr>
          <w:u w:val="none"/>
        </w:rPr>
      </w:pPr>
      <w:proofErr w:type="spellStart"/>
      <w:r w:rsidRPr="004939EF">
        <w:rPr>
          <w:color w:val="0071BB"/>
          <w:u w:val="thick" w:color="0071BB"/>
        </w:rPr>
        <w:t>Aleksanyan</w:t>
      </w:r>
      <w:proofErr w:type="spellEnd"/>
      <w:r w:rsidRPr="004939EF">
        <w:rPr>
          <w:color w:val="0071BB"/>
          <w:u w:val="thick" w:color="0071BB"/>
        </w:rPr>
        <w:t xml:space="preserve"> przeciwko </w:t>
      </w:r>
      <w:r w:rsidR="00D3520A" w:rsidRPr="004939EF">
        <w:rPr>
          <w:color w:val="0071BB"/>
          <w:u w:val="thick" w:color="0071BB"/>
        </w:rPr>
        <w:t>R</w:t>
      </w:r>
      <w:r w:rsidRPr="004939EF">
        <w:rPr>
          <w:color w:val="0071BB"/>
          <w:u w:val="thick" w:color="0071BB"/>
        </w:rPr>
        <w:t>osji</w:t>
      </w:r>
    </w:p>
    <w:p w14:paraId="2FB7DB34" w14:textId="77777777" w:rsidR="0025631D" w:rsidRPr="004939EF" w:rsidRDefault="003E14FD" w:rsidP="003E14FD">
      <w:pPr>
        <w:spacing w:before="63" w:line="218" w:lineRule="exact"/>
        <w:ind w:left="700"/>
        <w:jc w:val="both"/>
        <w:rPr>
          <w:sz w:val="18"/>
        </w:rPr>
      </w:pPr>
      <w:r>
        <w:rPr>
          <w:color w:val="808080"/>
          <w:sz w:val="18"/>
        </w:rPr>
        <w:t>22 grudnia</w:t>
      </w:r>
      <w:r w:rsidR="00D3520A" w:rsidRPr="004939EF">
        <w:rPr>
          <w:color w:val="808080"/>
          <w:sz w:val="18"/>
        </w:rPr>
        <w:t xml:space="preserve"> 2008</w:t>
      </w:r>
      <w:r>
        <w:rPr>
          <w:color w:val="808080"/>
          <w:sz w:val="18"/>
        </w:rPr>
        <w:t xml:space="preserve"> r.</w:t>
      </w:r>
      <w:r w:rsidR="00D3520A" w:rsidRPr="004939EF">
        <w:rPr>
          <w:color w:val="808080"/>
          <w:sz w:val="18"/>
        </w:rPr>
        <w:t xml:space="preserve"> (</w:t>
      </w:r>
      <w:r>
        <w:rPr>
          <w:color w:val="808080"/>
          <w:sz w:val="18"/>
        </w:rPr>
        <w:t>wyrok)</w:t>
      </w:r>
    </w:p>
    <w:p w14:paraId="3B61335B" w14:textId="77777777" w:rsidR="00A3035A" w:rsidRPr="002A46EA" w:rsidRDefault="00A3035A" w:rsidP="002A46EA">
      <w:pPr>
        <w:pStyle w:val="Tekstpodstawowy"/>
        <w:ind w:right="718"/>
      </w:pPr>
      <w:r w:rsidRPr="002A46EA">
        <w:t>Sprawa dotyczyła w szczególności braku</w:t>
      </w:r>
      <w:r w:rsidR="00904729">
        <w:t xml:space="preserve"> pomocy medycznej na rzecz</w:t>
      </w:r>
      <w:r w:rsidR="002A46EA">
        <w:t xml:space="preserve"> osadzonego</w:t>
      </w:r>
      <w:r w:rsidR="001C2A56">
        <w:t>, u którego stwierdzono obecność wirusa HIV</w:t>
      </w:r>
      <w:r w:rsidRPr="002A46EA">
        <w:t>.</w:t>
      </w:r>
    </w:p>
    <w:p w14:paraId="1AFBFF41" w14:textId="77777777" w:rsidR="00A3035A" w:rsidRPr="004939EF" w:rsidRDefault="00A3035A" w:rsidP="00346422">
      <w:pPr>
        <w:pStyle w:val="Tekstpodstawowy"/>
        <w:ind w:right="718"/>
        <w:rPr>
          <w:color w:val="0071BB"/>
        </w:rPr>
      </w:pPr>
      <w:r w:rsidRPr="004939EF">
        <w:rPr>
          <w:color w:val="0071BB"/>
        </w:rPr>
        <w:t xml:space="preserve">W sprawie </w:t>
      </w:r>
      <w:r w:rsidR="006B2A99">
        <w:rPr>
          <w:color w:val="0071BB"/>
        </w:rPr>
        <w:t xml:space="preserve">tej </w:t>
      </w:r>
      <w:r w:rsidRPr="004939EF">
        <w:rPr>
          <w:color w:val="0071BB"/>
        </w:rPr>
        <w:t>Trybunał zwrócił się do rządu r</w:t>
      </w:r>
      <w:r w:rsidR="005A17D4">
        <w:rPr>
          <w:color w:val="0071BB"/>
        </w:rPr>
        <w:t>osyjskiego, zgodnie z Regułą 39 </w:t>
      </w:r>
      <w:r w:rsidRPr="004939EF">
        <w:rPr>
          <w:color w:val="0071BB"/>
        </w:rPr>
        <w:t>Regulaminu Tryb</w:t>
      </w:r>
      <w:r w:rsidR="00904729">
        <w:rPr>
          <w:color w:val="0071BB"/>
        </w:rPr>
        <w:t>unału, o niezwłoczne zapewnienie</w:t>
      </w:r>
      <w:r w:rsidR="00346422">
        <w:rPr>
          <w:color w:val="0071BB"/>
        </w:rPr>
        <w:t xml:space="preserve"> skarżącemu</w:t>
      </w:r>
      <w:r w:rsidRPr="004939EF">
        <w:rPr>
          <w:color w:val="0071BB"/>
        </w:rPr>
        <w:t>, za pomocą odpowiednich środków, leczenia szpitalnego w specjalistycznym szpitalu. Miesiąc później Trybunał potwierdził ten środek, a ponadto wezwa</w:t>
      </w:r>
      <w:r w:rsidR="002A46EA">
        <w:rPr>
          <w:color w:val="0071BB"/>
        </w:rPr>
        <w:t xml:space="preserve">ł władze rosyjskie do </w:t>
      </w:r>
      <w:r w:rsidR="002A46EA" w:rsidRPr="00904729">
        <w:rPr>
          <w:color w:val="0071BB"/>
        </w:rPr>
        <w:t>powołania dwustronnej</w:t>
      </w:r>
      <w:r w:rsidRPr="00904729">
        <w:rPr>
          <w:color w:val="0071BB"/>
        </w:rPr>
        <w:t xml:space="preserve"> komisji lekarskiej, w celu zdiagnozowania pro</w:t>
      </w:r>
      <w:r w:rsidR="00904729">
        <w:rPr>
          <w:color w:val="0071BB"/>
        </w:rPr>
        <w:t>blemów zdrowotnych skarżącego i </w:t>
      </w:r>
      <w:r w:rsidRPr="00904729">
        <w:rPr>
          <w:color w:val="0071BB"/>
        </w:rPr>
        <w:t>zaproponowania leczenia.</w:t>
      </w:r>
    </w:p>
    <w:p w14:paraId="13F3FFFB" w14:textId="77777777" w:rsidR="001E0356" w:rsidRDefault="001E0356">
      <w:pPr>
        <w:pStyle w:val="Nagwek31"/>
        <w:rPr>
          <w:color w:val="0071BB"/>
          <w:u w:val="thick" w:color="0071BB"/>
        </w:rPr>
      </w:pPr>
    </w:p>
    <w:p w14:paraId="507C283E" w14:textId="77777777" w:rsidR="0025631D" w:rsidRPr="004939EF" w:rsidRDefault="00BB2436">
      <w:pPr>
        <w:pStyle w:val="Nagwek31"/>
        <w:rPr>
          <w:u w:val="none"/>
        </w:rPr>
      </w:pPr>
      <w:proofErr w:type="spellStart"/>
      <w:r w:rsidRPr="004939EF">
        <w:rPr>
          <w:color w:val="0071BB"/>
          <w:u w:val="thick" w:color="0071BB"/>
        </w:rPr>
        <w:lastRenderedPageBreak/>
        <w:t>Salakhov</w:t>
      </w:r>
      <w:proofErr w:type="spellEnd"/>
      <w:r w:rsidRPr="004939EF">
        <w:rPr>
          <w:color w:val="0071BB"/>
          <w:u w:val="thick" w:color="0071BB"/>
        </w:rPr>
        <w:t xml:space="preserve"> i </w:t>
      </w:r>
      <w:proofErr w:type="spellStart"/>
      <w:r w:rsidRPr="004939EF">
        <w:rPr>
          <w:color w:val="0071BB"/>
          <w:u w:val="thick" w:color="0071BB"/>
        </w:rPr>
        <w:t>Islyamova</w:t>
      </w:r>
      <w:proofErr w:type="spellEnd"/>
      <w:r w:rsidRPr="004939EF">
        <w:rPr>
          <w:color w:val="0071BB"/>
          <w:u w:val="thick" w:color="0071BB"/>
        </w:rPr>
        <w:t xml:space="preserve"> przeciwko</w:t>
      </w:r>
      <w:r w:rsidR="00D3520A" w:rsidRPr="004939EF">
        <w:rPr>
          <w:color w:val="0071BB"/>
          <w:u w:val="thick" w:color="0071BB"/>
        </w:rPr>
        <w:t xml:space="preserve"> Ukrai</w:t>
      </w:r>
      <w:r w:rsidRPr="004939EF">
        <w:rPr>
          <w:color w:val="0071BB"/>
          <w:u w:val="thick" w:color="0071BB"/>
        </w:rPr>
        <w:t>nie</w:t>
      </w:r>
    </w:p>
    <w:p w14:paraId="4620C53D" w14:textId="77777777" w:rsidR="0025631D" w:rsidRPr="004939EF" w:rsidRDefault="00BB2436">
      <w:pPr>
        <w:spacing w:before="60"/>
        <w:ind w:left="700"/>
        <w:jc w:val="both"/>
        <w:rPr>
          <w:sz w:val="18"/>
        </w:rPr>
      </w:pPr>
      <w:r w:rsidRPr="004939EF">
        <w:rPr>
          <w:color w:val="808080"/>
          <w:sz w:val="18"/>
        </w:rPr>
        <w:t>14 marca</w:t>
      </w:r>
      <w:r w:rsidR="00D3520A" w:rsidRPr="004939EF">
        <w:rPr>
          <w:color w:val="808080"/>
          <w:sz w:val="18"/>
        </w:rPr>
        <w:t xml:space="preserve"> 2013</w:t>
      </w:r>
      <w:r w:rsidRPr="004939EF">
        <w:rPr>
          <w:color w:val="808080"/>
          <w:sz w:val="18"/>
        </w:rPr>
        <w:t xml:space="preserve"> r. (wyrok</w:t>
      </w:r>
      <w:r w:rsidR="00D3520A" w:rsidRPr="004939EF">
        <w:rPr>
          <w:color w:val="808080"/>
          <w:sz w:val="18"/>
        </w:rPr>
        <w:t>)</w:t>
      </w:r>
    </w:p>
    <w:p w14:paraId="723B9285" w14:textId="21267E0B" w:rsidR="00BB2436" w:rsidRPr="004939EF" w:rsidRDefault="006B2A99" w:rsidP="00014B2E">
      <w:pPr>
        <w:spacing w:before="59"/>
        <w:ind w:left="700" w:right="717"/>
        <w:jc w:val="both"/>
        <w:rPr>
          <w:sz w:val="20"/>
        </w:rPr>
      </w:pPr>
      <w:r>
        <w:rPr>
          <w:sz w:val="20"/>
        </w:rPr>
        <w:t>S</w:t>
      </w:r>
      <w:r w:rsidR="00BB2436" w:rsidRPr="004939EF">
        <w:rPr>
          <w:sz w:val="20"/>
        </w:rPr>
        <w:t xml:space="preserve">prawa dotyczyła braku </w:t>
      </w:r>
      <w:r>
        <w:rPr>
          <w:sz w:val="20"/>
        </w:rPr>
        <w:t xml:space="preserve">zapewnienia </w:t>
      </w:r>
      <w:r w:rsidR="00BB2436" w:rsidRPr="004939EF">
        <w:rPr>
          <w:sz w:val="20"/>
        </w:rPr>
        <w:t>odpowiednie</w:t>
      </w:r>
      <w:r w:rsidR="00014B2E">
        <w:rPr>
          <w:sz w:val="20"/>
        </w:rPr>
        <w:t xml:space="preserve">j opieki medycznej </w:t>
      </w:r>
      <w:r w:rsidR="00922176">
        <w:rPr>
          <w:sz w:val="20"/>
        </w:rPr>
        <w:t>osadzonemu</w:t>
      </w:r>
      <w:r w:rsidR="00BB2436" w:rsidRPr="00904729">
        <w:rPr>
          <w:sz w:val="20"/>
        </w:rPr>
        <w:t xml:space="preserve">, który zmarł na AIDS dwa tygodnie po zwolnieniu go z </w:t>
      </w:r>
      <w:r w:rsidR="00922176">
        <w:rPr>
          <w:sz w:val="20"/>
        </w:rPr>
        <w:t>jednostki penitencjarnej</w:t>
      </w:r>
      <w:r w:rsidR="00BB2436" w:rsidRPr="00904729">
        <w:rPr>
          <w:sz w:val="20"/>
        </w:rPr>
        <w:t>.</w:t>
      </w:r>
    </w:p>
    <w:p w14:paraId="7270DE97" w14:textId="77777777" w:rsidR="00BB2436" w:rsidRPr="004939EF" w:rsidRDefault="00BB2436" w:rsidP="00BB2436">
      <w:pPr>
        <w:spacing w:before="59"/>
        <w:ind w:left="700" w:right="717"/>
        <w:jc w:val="both"/>
        <w:rPr>
          <w:color w:val="0070C0"/>
          <w:sz w:val="20"/>
        </w:rPr>
      </w:pPr>
      <w:r w:rsidRPr="004939EF">
        <w:rPr>
          <w:color w:val="0070C0"/>
          <w:sz w:val="20"/>
        </w:rPr>
        <w:t xml:space="preserve">W sprawie </w:t>
      </w:r>
      <w:r w:rsidR="006B2A99">
        <w:rPr>
          <w:color w:val="0070C0"/>
          <w:sz w:val="20"/>
        </w:rPr>
        <w:t xml:space="preserve">tej </w:t>
      </w:r>
      <w:r w:rsidR="00014B2E">
        <w:rPr>
          <w:color w:val="0070C0"/>
          <w:sz w:val="20"/>
        </w:rPr>
        <w:t>Trybunał zalecił rządowi ukraińskiemu</w:t>
      </w:r>
      <w:r w:rsidR="005A17D4">
        <w:rPr>
          <w:color w:val="0070C0"/>
          <w:sz w:val="20"/>
        </w:rPr>
        <w:t>, zgodnie z Regułą 39 </w:t>
      </w:r>
      <w:r w:rsidRPr="004939EF">
        <w:rPr>
          <w:color w:val="0070C0"/>
          <w:sz w:val="20"/>
        </w:rPr>
        <w:t>Regulaminu Trybunału, aby niezwłocznie przeniósł pierwszego skarżącego do szpitala w celu odpowiedniego leczenia.</w:t>
      </w:r>
    </w:p>
    <w:p w14:paraId="6F1844CF" w14:textId="5E2AA972" w:rsidR="00014B2E" w:rsidRDefault="00BB2436" w:rsidP="00014B2E">
      <w:pPr>
        <w:spacing w:before="59"/>
        <w:ind w:left="700" w:right="717"/>
        <w:jc w:val="both"/>
        <w:rPr>
          <w:sz w:val="20"/>
        </w:rPr>
      </w:pPr>
      <w:r w:rsidRPr="007207FA">
        <w:rPr>
          <w:i/>
          <w:sz w:val="20"/>
        </w:rPr>
        <w:t>Zobacz także</w:t>
      </w:r>
      <w:r w:rsidRPr="007207FA">
        <w:rPr>
          <w:sz w:val="20"/>
        </w:rPr>
        <w:t>, między innymi:</w:t>
      </w:r>
      <w:r w:rsidRPr="004939EF">
        <w:rPr>
          <w:color w:val="404040"/>
          <w:sz w:val="20"/>
        </w:rPr>
        <w:t xml:space="preserve"> </w:t>
      </w:r>
      <w:r w:rsidRPr="004939EF">
        <w:rPr>
          <w:b/>
          <w:i/>
          <w:color w:val="0071BB"/>
          <w:sz w:val="20"/>
          <w:u w:val="thick" w:color="0071BB"/>
        </w:rPr>
        <w:t>Ghvaladze przeciwko Gruzji</w:t>
      </w:r>
      <w:r w:rsidRPr="004939EF">
        <w:rPr>
          <w:color w:val="404040"/>
          <w:sz w:val="20"/>
        </w:rPr>
        <w:t xml:space="preserve">, </w:t>
      </w:r>
      <w:r w:rsidRPr="007207FA">
        <w:rPr>
          <w:sz w:val="20"/>
        </w:rPr>
        <w:t>decyzja (częśc</w:t>
      </w:r>
      <w:r w:rsidR="00904729" w:rsidRPr="007207FA">
        <w:rPr>
          <w:sz w:val="20"/>
        </w:rPr>
        <w:t>iowa) z </w:t>
      </w:r>
      <w:r w:rsidR="006B2A99">
        <w:rPr>
          <w:sz w:val="20"/>
        </w:rPr>
        <w:t xml:space="preserve">dnia </w:t>
      </w:r>
      <w:r w:rsidR="00904729" w:rsidRPr="007207FA">
        <w:rPr>
          <w:sz w:val="20"/>
        </w:rPr>
        <w:t>11 </w:t>
      </w:r>
      <w:r w:rsidRPr="007207FA">
        <w:rPr>
          <w:sz w:val="20"/>
        </w:rPr>
        <w:t>września 2007</w:t>
      </w:r>
      <w:r w:rsidR="00560603" w:rsidRPr="007207FA">
        <w:rPr>
          <w:sz w:val="20"/>
        </w:rPr>
        <w:t xml:space="preserve"> r.</w:t>
      </w:r>
      <w:r w:rsidRPr="007207FA">
        <w:rPr>
          <w:sz w:val="20"/>
        </w:rPr>
        <w:t>;</w:t>
      </w:r>
      <w:r w:rsidRPr="004939EF">
        <w:rPr>
          <w:color w:val="404040"/>
          <w:sz w:val="20"/>
        </w:rPr>
        <w:t xml:space="preserve"> </w:t>
      </w:r>
      <w:r w:rsidRPr="004939EF">
        <w:rPr>
          <w:b/>
          <w:i/>
          <w:color w:val="0071BB"/>
          <w:sz w:val="20"/>
          <w:u w:val="thick" w:color="0071BB"/>
        </w:rPr>
        <w:t>Prezec przeciwko Chorwacji</w:t>
      </w:r>
      <w:r w:rsidRPr="004939EF">
        <w:rPr>
          <w:color w:val="404040"/>
          <w:sz w:val="20"/>
        </w:rPr>
        <w:t xml:space="preserve">, </w:t>
      </w:r>
      <w:r w:rsidRPr="007207FA">
        <w:rPr>
          <w:sz w:val="20"/>
        </w:rPr>
        <w:t xml:space="preserve">decyzja </w:t>
      </w:r>
      <w:r w:rsidR="005A17D4" w:rsidRPr="007207FA">
        <w:rPr>
          <w:sz w:val="20"/>
        </w:rPr>
        <w:t>z</w:t>
      </w:r>
      <w:r w:rsidR="00014B2E" w:rsidRPr="007207FA">
        <w:rPr>
          <w:sz w:val="20"/>
        </w:rPr>
        <w:t xml:space="preserve"> </w:t>
      </w:r>
      <w:r w:rsidR="006B2A99">
        <w:rPr>
          <w:sz w:val="20"/>
        </w:rPr>
        <w:t xml:space="preserve">dnia </w:t>
      </w:r>
      <w:r w:rsidR="00014B2E" w:rsidRPr="007207FA">
        <w:rPr>
          <w:sz w:val="20"/>
        </w:rPr>
        <w:t>28 sierpnia</w:t>
      </w:r>
      <w:r w:rsidRPr="007207FA">
        <w:rPr>
          <w:sz w:val="20"/>
        </w:rPr>
        <w:t xml:space="preserve"> 2008</w:t>
      </w:r>
      <w:r w:rsidR="00014B2E" w:rsidRPr="007207FA">
        <w:rPr>
          <w:sz w:val="20"/>
        </w:rPr>
        <w:t xml:space="preserve"> r.</w:t>
      </w:r>
      <w:r w:rsidRPr="007207FA">
        <w:rPr>
          <w:sz w:val="20"/>
        </w:rPr>
        <w:t xml:space="preserve">; </w:t>
      </w:r>
      <w:r w:rsidRPr="004939EF">
        <w:rPr>
          <w:b/>
          <w:i/>
          <w:color w:val="0071BB"/>
          <w:sz w:val="20"/>
          <w:u w:val="thick" w:color="0071BB"/>
        </w:rPr>
        <w:t>Grori przeciwko Albani</w:t>
      </w:r>
      <w:r w:rsidR="00014B2E">
        <w:rPr>
          <w:b/>
          <w:i/>
          <w:color w:val="0071BB"/>
          <w:sz w:val="20"/>
          <w:u w:val="thick" w:color="0071BB"/>
        </w:rPr>
        <w:t>i</w:t>
      </w:r>
      <w:r w:rsidRPr="004939EF">
        <w:rPr>
          <w:color w:val="404040"/>
          <w:sz w:val="20"/>
        </w:rPr>
        <w:t xml:space="preserve">, </w:t>
      </w:r>
      <w:r w:rsidRPr="007207FA">
        <w:rPr>
          <w:sz w:val="20"/>
        </w:rPr>
        <w:t xml:space="preserve">wyrok z </w:t>
      </w:r>
      <w:r w:rsidR="006B2A99">
        <w:rPr>
          <w:sz w:val="20"/>
        </w:rPr>
        <w:t xml:space="preserve">dnia </w:t>
      </w:r>
      <w:r w:rsidRPr="007207FA">
        <w:rPr>
          <w:sz w:val="20"/>
        </w:rPr>
        <w:t>7 lipca 2009</w:t>
      </w:r>
      <w:r w:rsidR="00560603" w:rsidRPr="007207FA">
        <w:rPr>
          <w:sz w:val="20"/>
        </w:rPr>
        <w:t xml:space="preserve"> r.</w:t>
      </w:r>
      <w:r w:rsidRPr="007207FA">
        <w:rPr>
          <w:sz w:val="20"/>
        </w:rPr>
        <w:t>;</w:t>
      </w:r>
      <w:r w:rsidRPr="004939EF">
        <w:rPr>
          <w:color w:val="404040"/>
          <w:sz w:val="20"/>
        </w:rPr>
        <w:t xml:space="preserve"> </w:t>
      </w:r>
      <w:r w:rsidRPr="004939EF">
        <w:rPr>
          <w:b/>
          <w:i/>
          <w:color w:val="0071BB"/>
          <w:sz w:val="20"/>
          <w:u w:val="thick" w:color="0071BB"/>
        </w:rPr>
        <w:t>Bamouhammad przeciwko Belgi</w:t>
      </w:r>
      <w:r w:rsidR="003B6615" w:rsidRPr="004939EF">
        <w:rPr>
          <w:b/>
          <w:i/>
          <w:color w:val="0071BB"/>
          <w:sz w:val="20"/>
          <w:u w:val="thick" w:color="0071BB"/>
        </w:rPr>
        <w:t>i</w:t>
      </w:r>
      <w:r w:rsidRPr="004939EF">
        <w:rPr>
          <w:color w:val="404040"/>
          <w:sz w:val="20"/>
        </w:rPr>
        <w:t xml:space="preserve">, </w:t>
      </w:r>
      <w:r w:rsidR="003B6615" w:rsidRPr="007207FA">
        <w:rPr>
          <w:sz w:val="20"/>
        </w:rPr>
        <w:t xml:space="preserve">wyrok z </w:t>
      </w:r>
      <w:r w:rsidR="006B2A99">
        <w:rPr>
          <w:sz w:val="20"/>
        </w:rPr>
        <w:t xml:space="preserve">dnia </w:t>
      </w:r>
      <w:r w:rsidRPr="007207FA">
        <w:rPr>
          <w:sz w:val="20"/>
        </w:rPr>
        <w:t xml:space="preserve">17 </w:t>
      </w:r>
      <w:r w:rsidR="003B6615" w:rsidRPr="007207FA">
        <w:rPr>
          <w:sz w:val="20"/>
        </w:rPr>
        <w:t xml:space="preserve">listopada </w:t>
      </w:r>
      <w:r w:rsidRPr="007207FA">
        <w:rPr>
          <w:sz w:val="20"/>
        </w:rPr>
        <w:t>2015</w:t>
      </w:r>
      <w:r w:rsidR="00560603" w:rsidRPr="007207FA">
        <w:rPr>
          <w:sz w:val="20"/>
        </w:rPr>
        <w:t xml:space="preserve"> r</w:t>
      </w:r>
      <w:r w:rsidRPr="007207FA">
        <w:rPr>
          <w:sz w:val="20"/>
        </w:rPr>
        <w:t>.</w:t>
      </w:r>
    </w:p>
    <w:p w14:paraId="40452634" w14:textId="39AE57ED" w:rsidR="0086569E" w:rsidRPr="007207FA" w:rsidRDefault="001E0356" w:rsidP="00455804">
      <w:pPr>
        <w:spacing w:before="240" w:after="240"/>
        <w:ind w:left="700" w:right="717"/>
        <w:jc w:val="both"/>
        <w:rPr>
          <w:sz w:val="20"/>
        </w:rPr>
      </w:pPr>
      <w:r>
        <w:rPr>
          <w:color w:val="252525"/>
          <w:sz w:val="24"/>
          <w:shd w:val="pct5" w:color="auto" w:fill="auto"/>
        </w:rPr>
        <w:t xml:space="preserve">  </w:t>
      </w:r>
      <w:r w:rsidR="00455804" w:rsidRPr="00455804">
        <w:rPr>
          <w:color w:val="252525"/>
          <w:sz w:val="24"/>
          <w:shd w:val="pct5" w:color="auto" w:fill="auto"/>
        </w:rPr>
        <w:t>Zapobieganie zniszczeniu dowodu niezbędnego do rozpoznania skargi</w:t>
      </w:r>
    </w:p>
    <w:p w14:paraId="1114A014" w14:textId="77777777" w:rsidR="00014B2E" w:rsidRPr="00014B2E" w:rsidRDefault="00014B2E" w:rsidP="00014B2E">
      <w:pPr>
        <w:spacing w:before="59"/>
        <w:ind w:left="700" w:right="717"/>
        <w:jc w:val="both"/>
        <w:rPr>
          <w:b/>
          <w:bCs/>
          <w:color w:val="0070C0"/>
          <w:sz w:val="20"/>
          <w:u w:val="single"/>
        </w:rPr>
      </w:pPr>
      <w:r>
        <w:rPr>
          <w:b/>
          <w:bCs/>
          <w:color w:val="0070C0"/>
          <w:sz w:val="20"/>
          <w:szCs w:val="20"/>
          <w:u w:val="single"/>
        </w:rPr>
        <w:t>Evans przeciwko Zjednoczonemu Królestwu</w:t>
      </w:r>
      <w:r w:rsidRPr="00014B2E">
        <w:rPr>
          <w:b/>
          <w:bCs/>
          <w:color w:val="0070C0"/>
          <w:sz w:val="20"/>
          <w:szCs w:val="20"/>
          <w:u w:val="single"/>
        </w:rPr>
        <w:t xml:space="preserve"> </w:t>
      </w:r>
    </w:p>
    <w:p w14:paraId="5F4DE1E0" w14:textId="77777777" w:rsidR="003B6615" w:rsidRPr="00014B2E" w:rsidRDefault="00014B2E" w:rsidP="00014B2E">
      <w:pPr>
        <w:spacing w:before="60" w:line="218" w:lineRule="exact"/>
        <w:ind w:left="700"/>
        <w:rPr>
          <w:sz w:val="18"/>
        </w:rPr>
      </w:pPr>
      <w:r>
        <w:rPr>
          <w:color w:val="808080"/>
          <w:sz w:val="18"/>
        </w:rPr>
        <w:t>10 kwietnia</w:t>
      </w:r>
      <w:r w:rsidR="00D3520A" w:rsidRPr="004939EF">
        <w:rPr>
          <w:color w:val="808080"/>
          <w:sz w:val="18"/>
        </w:rPr>
        <w:t xml:space="preserve"> 2007</w:t>
      </w:r>
      <w:r>
        <w:rPr>
          <w:color w:val="808080"/>
          <w:sz w:val="18"/>
        </w:rPr>
        <w:t xml:space="preserve"> r. (Wielka Izba – wyrok</w:t>
      </w:r>
      <w:r w:rsidR="00D3520A" w:rsidRPr="004939EF">
        <w:rPr>
          <w:color w:val="808080"/>
          <w:sz w:val="18"/>
        </w:rPr>
        <w:t>)</w:t>
      </w:r>
    </w:p>
    <w:p w14:paraId="49DF3A92" w14:textId="069621F1" w:rsidR="003B6615" w:rsidRPr="004939EF" w:rsidRDefault="003B6615" w:rsidP="003B6615">
      <w:pPr>
        <w:pStyle w:val="Tekstpodstawowy"/>
        <w:ind w:left="699" w:right="716"/>
        <w:rPr>
          <w:color w:val="0071BB"/>
        </w:rPr>
      </w:pPr>
      <w:r w:rsidRPr="007207FA">
        <w:t xml:space="preserve">Skarżąca </w:t>
      </w:r>
      <w:r w:rsidR="00922176">
        <w:t>zarzuciła</w:t>
      </w:r>
      <w:r w:rsidRPr="007207FA">
        <w:t xml:space="preserve">, że prawo krajowe </w:t>
      </w:r>
      <w:r w:rsidR="006B2A99">
        <w:t>umożliwia</w:t>
      </w:r>
      <w:r w:rsidR="006B2A99" w:rsidRPr="007207FA">
        <w:t xml:space="preserve"> </w:t>
      </w:r>
      <w:r w:rsidRPr="007207FA">
        <w:t xml:space="preserve">jej byłemu partnerowi skuteczne </w:t>
      </w:r>
      <w:r w:rsidR="006B2A99">
        <w:t>cofnięcie</w:t>
      </w:r>
      <w:r w:rsidR="006B2A99" w:rsidRPr="007207FA">
        <w:t xml:space="preserve"> </w:t>
      </w:r>
      <w:r w:rsidR="00FA1394">
        <w:t xml:space="preserve">wyrażonej przez niego </w:t>
      </w:r>
      <w:r w:rsidRPr="007207FA">
        <w:t>zgod</w:t>
      </w:r>
      <w:r w:rsidR="006B2A99">
        <w:t>y</w:t>
      </w:r>
      <w:r w:rsidRPr="007207FA">
        <w:t xml:space="preserve"> n</w:t>
      </w:r>
      <w:r w:rsidR="00005295" w:rsidRPr="007207FA">
        <w:t>a przechowywanie i wykorzyst</w:t>
      </w:r>
      <w:r w:rsidRPr="007207FA">
        <w:t>anie przez nią zarodków</w:t>
      </w:r>
      <w:r w:rsidR="006B2A99">
        <w:t>, które wspólnie stworzyli</w:t>
      </w:r>
      <w:r w:rsidRPr="007207FA">
        <w:t xml:space="preserve">, </w:t>
      </w:r>
      <w:r w:rsidR="006B2A99">
        <w:t>pozbawiając</w:t>
      </w:r>
      <w:r w:rsidR="006B2A99" w:rsidRPr="007207FA">
        <w:t xml:space="preserve"> </w:t>
      </w:r>
      <w:r w:rsidRPr="007207FA">
        <w:t>j</w:t>
      </w:r>
      <w:r w:rsidR="006B2A99">
        <w:t>ą</w:t>
      </w:r>
      <w:r w:rsidRPr="007207FA">
        <w:t xml:space="preserve"> </w:t>
      </w:r>
      <w:r w:rsidR="006B2A99">
        <w:t xml:space="preserve">tym samym możliwości </w:t>
      </w:r>
      <w:r w:rsidRPr="007207FA">
        <w:t>posiadani</w:t>
      </w:r>
      <w:r w:rsidR="006B2A99">
        <w:t>a</w:t>
      </w:r>
      <w:r w:rsidRPr="007207FA">
        <w:t xml:space="preserve"> dziecka, z którym byłaby genetycznie spokrewniona</w:t>
      </w:r>
      <w:r w:rsidRPr="004939EF">
        <w:rPr>
          <w:color w:val="0071BB"/>
        </w:rPr>
        <w:t>.</w:t>
      </w:r>
    </w:p>
    <w:p w14:paraId="13D6D7F8" w14:textId="77777777" w:rsidR="003B6615" w:rsidRPr="004939EF" w:rsidRDefault="003B6615" w:rsidP="003B6615">
      <w:pPr>
        <w:pStyle w:val="Tekstpodstawowy"/>
        <w:ind w:left="699" w:right="716"/>
        <w:rPr>
          <w:color w:val="0071BB"/>
        </w:rPr>
      </w:pPr>
      <w:r w:rsidRPr="004939EF">
        <w:rPr>
          <w:color w:val="0071BB"/>
        </w:rPr>
        <w:t>Trybunał zwrócił się, zgodnie z Regułą 39 Regulaminu Trybunału, do rząd</w:t>
      </w:r>
      <w:r w:rsidR="00005295" w:rsidRPr="004939EF">
        <w:rPr>
          <w:color w:val="0071BB"/>
        </w:rPr>
        <w:t>u</w:t>
      </w:r>
      <w:r w:rsidRPr="004939EF">
        <w:rPr>
          <w:color w:val="0071BB"/>
        </w:rPr>
        <w:t xml:space="preserve"> Zjednoczonego Królestwa, aby ten podjął odpowiednie środki w celu zapobieżenia zniszczeniu zarodków przez klinikę </w:t>
      </w:r>
      <w:r w:rsidRPr="00014B2E">
        <w:rPr>
          <w:color w:val="0071BB"/>
        </w:rPr>
        <w:t>przed rozpoznaniem sprawy przez Trybunał.</w:t>
      </w:r>
    </w:p>
    <w:p w14:paraId="0051BE5B" w14:textId="77777777" w:rsidR="0025631D" w:rsidRDefault="003B6615" w:rsidP="00674D24">
      <w:pPr>
        <w:spacing w:before="99"/>
        <w:ind w:firstLine="699"/>
        <w:rPr>
          <w:sz w:val="20"/>
        </w:rPr>
      </w:pPr>
      <w:r w:rsidRPr="007207FA">
        <w:rPr>
          <w:i/>
          <w:sz w:val="20"/>
        </w:rPr>
        <w:t>Zobacz także</w:t>
      </w:r>
      <w:r w:rsidRPr="004939EF">
        <w:rPr>
          <w:i/>
          <w:color w:val="404040"/>
          <w:sz w:val="20"/>
        </w:rPr>
        <w:t xml:space="preserve"> </w:t>
      </w:r>
      <w:r w:rsidR="00D3520A" w:rsidRPr="004939EF">
        <w:rPr>
          <w:b/>
          <w:i/>
          <w:color w:val="0071BB"/>
          <w:sz w:val="20"/>
          <w:u w:val="thick" w:color="0071BB"/>
        </w:rPr>
        <w:t xml:space="preserve">Knecht </w:t>
      </w:r>
      <w:r w:rsidRPr="004939EF">
        <w:rPr>
          <w:b/>
          <w:i/>
          <w:color w:val="0071BB"/>
          <w:sz w:val="20"/>
          <w:u w:val="thick" w:color="0071BB"/>
        </w:rPr>
        <w:t>przeciwko Rumunii</w:t>
      </w:r>
      <w:r w:rsidRPr="004939EF">
        <w:rPr>
          <w:color w:val="404040"/>
          <w:sz w:val="20"/>
        </w:rPr>
        <w:t xml:space="preserve">, </w:t>
      </w:r>
      <w:r w:rsidRPr="007207FA">
        <w:rPr>
          <w:sz w:val="20"/>
        </w:rPr>
        <w:t xml:space="preserve">wyrok z </w:t>
      </w:r>
      <w:r w:rsidR="006B2A99">
        <w:rPr>
          <w:sz w:val="20"/>
        </w:rPr>
        <w:t xml:space="preserve">dnia </w:t>
      </w:r>
      <w:r w:rsidRPr="007207FA">
        <w:rPr>
          <w:sz w:val="20"/>
        </w:rPr>
        <w:t>2 października</w:t>
      </w:r>
      <w:r w:rsidR="00D3520A" w:rsidRPr="007207FA">
        <w:rPr>
          <w:sz w:val="20"/>
        </w:rPr>
        <w:t xml:space="preserve"> 2012</w:t>
      </w:r>
      <w:r w:rsidR="00014B2E" w:rsidRPr="007207FA">
        <w:rPr>
          <w:sz w:val="20"/>
        </w:rPr>
        <w:t xml:space="preserve"> r.</w:t>
      </w:r>
    </w:p>
    <w:p w14:paraId="2C81B147" w14:textId="706FF377" w:rsidR="00455804" w:rsidRPr="001D474F" w:rsidRDefault="001E0356" w:rsidP="001D474F">
      <w:pPr>
        <w:spacing w:before="240" w:after="240"/>
        <w:ind w:left="700" w:right="717"/>
        <w:jc w:val="both"/>
        <w:rPr>
          <w:color w:val="252525"/>
          <w:sz w:val="24"/>
          <w:shd w:val="pct5" w:color="auto" w:fill="auto"/>
        </w:rPr>
      </w:pPr>
      <w:r>
        <w:rPr>
          <w:color w:val="252525"/>
          <w:sz w:val="24"/>
          <w:shd w:val="pct5" w:color="auto" w:fill="auto"/>
        </w:rPr>
        <w:t xml:space="preserve">  </w:t>
      </w:r>
      <w:r w:rsidR="00455804" w:rsidRPr="001D474F">
        <w:rPr>
          <w:color w:val="252525"/>
          <w:sz w:val="24"/>
          <w:shd w:val="pct5" w:color="auto" w:fill="auto"/>
        </w:rPr>
        <w:t>Prawo do rzetelnego procesu sądowego i pomocy prawnej</w:t>
      </w:r>
    </w:p>
    <w:p w14:paraId="38BC9C01" w14:textId="48A0C662" w:rsidR="00014B2E" w:rsidRPr="007207FA" w:rsidRDefault="00014B2E" w:rsidP="0081758D">
      <w:pPr>
        <w:pStyle w:val="Tekstpodstawowy"/>
        <w:spacing w:before="105"/>
        <w:ind w:right="-31"/>
      </w:pPr>
      <w:r w:rsidRPr="007207FA">
        <w:t xml:space="preserve">Reguła 39 Regulaminu Trybunału </w:t>
      </w:r>
      <w:r w:rsidR="0081758D" w:rsidRPr="007207FA">
        <w:t>była s</w:t>
      </w:r>
      <w:r w:rsidRPr="007207FA">
        <w:t>tosowana przez Trybunał</w:t>
      </w:r>
      <w:r w:rsidR="003B6615" w:rsidRPr="007207FA">
        <w:t xml:space="preserve"> </w:t>
      </w:r>
      <w:r w:rsidR="00005295" w:rsidRPr="007207FA">
        <w:t xml:space="preserve">z urzędu </w:t>
      </w:r>
      <w:r w:rsidR="00904729" w:rsidRPr="007207FA">
        <w:t>w </w:t>
      </w:r>
      <w:r w:rsidR="00A36455">
        <w:t>wyjątkowych</w:t>
      </w:r>
      <w:r w:rsidR="00A36455" w:rsidRPr="007207FA">
        <w:t xml:space="preserve"> </w:t>
      </w:r>
      <w:r w:rsidR="00005295" w:rsidRPr="007207FA">
        <w:t>sprawach w celu zapewnienia skarżący</w:t>
      </w:r>
      <w:r w:rsidR="007E090F">
        <w:t>m</w:t>
      </w:r>
      <w:r w:rsidR="00005295" w:rsidRPr="007207FA">
        <w:t xml:space="preserve"> </w:t>
      </w:r>
      <w:r w:rsidR="007E090F">
        <w:t xml:space="preserve">możliwości </w:t>
      </w:r>
      <w:r w:rsidR="00005295" w:rsidRPr="007207FA">
        <w:t>skorzy</w:t>
      </w:r>
      <w:r w:rsidR="00ED3BFF">
        <w:t>sta</w:t>
      </w:r>
      <w:r w:rsidR="006B2A99">
        <w:t>nia</w:t>
      </w:r>
      <w:r w:rsidR="00ED3BFF">
        <w:t xml:space="preserve"> z </w:t>
      </w:r>
      <w:r w:rsidR="006B2A99">
        <w:t>odpowiedniej pomocy prawnej</w:t>
      </w:r>
      <w:r w:rsidR="00ED3BFF">
        <w:t xml:space="preserve"> w </w:t>
      </w:r>
      <w:r w:rsidRPr="007207FA">
        <w:t>postępowaniu</w:t>
      </w:r>
      <w:r w:rsidR="00005295" w:rsidRPr="007207FA">
        <w:t xml:space="preserve"> sądowym</w:t>
      </w:r>
      <w:r w:rsidR="00A36455">
        <w:t>.</w:t>
      </w:r>
    </w:p>
    <w:p w14:paraId="36B999D9" w14:textId="77777777" w:rsidR="00014B2E" w:rsidRPr="00014B2E" w:rsidRDefault="00014B2E" w:rsidP="001E0356">
      <w:pPr>
        <w:pStyle w:val="Tekstpodstawowy"/>
        <w:spacing w:before="120"/>
        <w:ind w:right="-31"/>
        <w:rPr>
          <w:color w:val="0070C0"/>
          <w:u w:val="single"/>
        </w:rPr>
      </w:pPr>
      <w:r>
        <w:rPr>
          <w:b/>
          <w:bCs/>
          <w:color w:val="0070C0"/>
          <w:u w:val="single"/>
        </w:rPr>
        <w:t>Öcalan przeciwko</w:t>
      </w:r>
      <w:r w:rsidRPr="00014B2E">
        <w:rPr>
          <w:b/>
          <w:bCs/>
          <w:color w:val="0070C0"/>
          <w:u w:val="single"/>
        </w:rPr>
        <w:t xml:space="preserve"> Tur</w:t>
      </w:r>
      <w:r>
        <w:rPr>
          <w:b/>
          <w:bCs/>
          <w:color w:val="0070C0"/>
          <w:u w:val="single"/>
        </w:rPr>
        <w:t>cji</w:t>
      </w:r>
    </w:p>
    <w:p w14:paraId="094FD840" w14:textId="77777777" w:rsidR="0025631D" w:rsidRPr="004939EF" w:rsidRDefault="00005295" w:rsidP="00904729">
      <w:pPr>
        <w:spacing w:before="60" w:line="218" w:lineRule="exact"/>
        <w:ind w:left="700" w:right="-31"/>
        <w:rPr>
          <w:sz w:val="18"/>
        </w:rPr>
      </w:pPr>
      <w:r w:rsidRPr="004939EF">
        <w:rPr>
          <w:color w:val="808080"/>
          <w:sz w:val="18"/>
        </w:rPr>
        <w:t>12 maja 2005</w:t>
      </w:r>
      <w:r w:rsidR="00014B2E">
        <w:rPr>
          <w:color w:val="808080"/>
          <w:sz w:val="18"/>
        </w:rPr>
        <w:t xml:space="preserve"> r.</w:t>
      </w:r>
      <w:r w:rsidRPr="004939EF">
        <w:rPr>
          <w:color w:val="808080"/>
          <w:sz w:val="18"/>
        </w:rPr>
        <w:t xml:space="preserve"> (Wielka Izba – wyrok</w:t>
      </w:r>
      <w:r w:rsidR="00D3520A" w:rsidRPr="004939EF">
        <w:rPr>
          <w:color w:val="808080"/>
          <w:sz w:val="18"/>
        </w:rPr>
        <w:t>)</w:t>
      </w:r>
    </w:p>
    <w:p w14:paraId="5727CE7D" w14:textId="77047A63" w:rsidR="00005295" w:rsidRPr="00014B2E" w:rsidRDefault="00005295" w:rsidP="00904729">
      <w:pPr>
        <w:pStyle w:val="Tekstpodstawowy"/>
        <w:ind w:right="-31"/>
        <w:rPr>
          <w:color w:val="0070C0"/>
        </w:rPr>
      </w:pPr>
      <w:r w:rsidRPr="00904729">
        <w:rPr>
          <w:color w:val="0070C0"/>
        </w:rPr>
        <w:t xml:space="preserve">W sprawie </w:t>
      </w:r>
      <w:r w:rsidR="006B2A99">
        <w:rPr>
          <w:color w:val="0070C0"/>
        </w:rPr>
        <w:t xml:space="preserve">tej </w:t>
      </w:r>
      <w:r w:rsidRPr="00904729">
        <w:rPr>
          <w:color w:val="0070C0"/>
        </w:rPr>
        <w:t xml:space="preserve">Trybunał </w:t>
      </w:r>
      <w:r w:rsidR="006B2A99">
        <w:rPr>
          <w:color w:val="0070C0"/>
        </w:rPr>
        <w:t>zwrócił się</w:t>
      </w:r>
      <w:r w:rsidR="006B2A99" w:rsidRPr="00904729">
        <w:rPr>
          <w:color w:val="0070C0"/>
        </w:rPr>
        <w:t xml:space="preserve"> </w:t>
      </w:r>
      <w:r w:rsidRPr="00904729">
        <w:rPr>
          <w:color w:val="0070C0"/>
        </w:rPr>
        <w:t xml:space="preserve">do </w:t>
      </w:r>
      <w:r w:rsidR="00014B2E" w:rsidRPr="00904729">
        <w:rPr>
          <w:color w:val="0070C0"/>
        </w:rPr>
        <w:t>rządu tureckiego</w:t>
      </w:r>
      <w:r w:rsidRPr="00904729">
        <w:rPr>
          <w:color w:val="0070C0"/>
        </w:rPr>
        <w:t>, by ten zastosował środki tymczasowe w rozumieniu Reguły 39 Regulami</w:t>
      </w:r>
      <w:r w:rsidR="00904729" w:rsidRPr="00904729">
        <w:rPr>
          <w:color w:val="0070C0"/>
        </w:rPr>
        <w:t>nu Trybunału, w szczególności w </w:t>
      </w:r>
      <w:r w:rsidRPr="00904729">
        <w:rPr>
          <w:color w:val="0070C0"/>
        </w:rPr>
        <w:t xml:space="preserve">celu </w:t>
      </w:r>
      <w:r w:rsidR="00014B2E" w:rsidRPr="00904729">
        <w:rPr>
          <w:color w:val="0070C0"/>
        </w:rPr>
        <w:t>zapewni</w:t>
      </w:r>
      <w:r w:rsidR="00AB575F">
        <w:rPr>
          <w:color w:val="0070C0"/>
        </w:rPr>
        <w:t>e</w:t>
      </w:r>
      <w:r w:rsidR="00014B2E" w:rsidRPr="00904729">
        <w:rPr>
          <w:color w:val="0070C0"/>
        </w:rPr>
        <w:t>nia</w:t>
      </w:r>
      <w:r w:rsidR="00AB575F">
        <w:rPr>
          <w:color w:val="0070C0"/>
        </w:rPr>
        <w:t>, że wymogi</w:t>
      </w:r>
      <w:r w:rsidR="00795868" w:rsidRPr="00904729">
        <w:rPr>
          <w:color w:val="0070C0"/>
        </w:rPr>
        <w:t xml:space="preserve"> </w:t>
      </w:r>
      <w:r w:rsidR="008479DA" w:rsidRPr="00904729">
        <w:rPr>
          <w:color w:val="0070C0"/>
        </w:rPr>
        <w:t>art.</w:t>
      </w:r>
      <w:r w:rsidRPr="00904729">
        <w:rPr>
          <w:color w:val="0070C0"/>
        </w:rPr>
        <w:t xml:space="preserve"> 6 </w:t>
      </w:r>
      <w:r w:rsidR="00AB575F" w:rsidRPr="00904729">
        <w:rPr>
          <w:color w:val="0070C0"/>
        </w:rPr>
        <w:t xml:space="preserve">Konwencji </w:t>
      </w:r>
      <w:r w:rsidRPr="00904729">
        <w:rPr>
          <w:color w:val="0070C0"/>
        </w:rPr>
        <w:t>(prawo do rzetelnego procesu</w:t>
      </w:r>
      <w:r w:rsidR="00AB575F">
        <w:rPr>
          <w:color w:val="0070C0"/>
        </w:rPr>
        <w:t xml:space="preserve"> sądowego</w:t>
      </w:r>
      <w:r w:rsidRPr="00904729">
        <w:rPr>
          <w:color w:val="0070C0"/>
        </w:rPr>
        <w:t xml:space="preserve">) </w:t>
      </w:r>
      <w:r w:rsidR="00AB575F">
        <w:rPr>
          <w:color w:val="0070C0"/>
        </w:rPr>
        <w:t xml:space="preserve">zostaną spełnione </w:t>
      </w:r>
      <w:r w:rsidRPr="00904729">
        <w:rPr>
          <w:color w:val="0070C0"/>
        </w:rPr>
        <w:t xml:space="preserve">w </w:t>
      </w:r>
      <w:r w:rsidR="00904729" w:rsidRPr="00904729">
        <w:rPr>
          <w:color w:val="0070C0"/>
        </w:rPr>
        <w:t>postępowaniu</w:t>
      </w:r>
      <w:r w:rsidR="004E5DEC">
        <w:rPr>
          <w:color w:val="0070C0"/>
        </w:rPr>
        <w:t>, które</w:t>
      </w:r>
      <w:r w:rsidRPr="00904729">
        <w:rPr>
          <w:color w:val="0070C0"/>
        </w:rPr>
        <w:t xml:space="preserve"> </w:t>
      </w:r>
      <w:r w:rsidR="004E5DEC" w:rsidRPr="00904729">
        <w:rPr>
          <w:color w:val="0070C0"/>
        </w:rPr>
        <w:t>wszczęt</w:t>
      </w:r>
      <w:r w:rsidR="004E5DEC">
        <w:rPr>
          <w:color w:val="0070C0"/>
        </w:rPr>
        <w:t>o</w:t>
      </w:r>
      <w:r w:rsidR="004E5DEC" w:rsidRPr="00904729">
        <w:rPr>
          <w:color w:val="0070C0"/>
        </w:rPr>
        <w:t xml:space="preserve"> </w:t>
      </w:r>
      <w:r w:rsidRPr="00904729">
        <w:rPr>
          <w:color w:val="0070C0"/>
        </w:rPr>
        <w:t>prze</w:t>
      </w:r>
      <w:r w:rsidRPr="00014B2E">
        <w:rPr>
          <w:color w:val="0070C0"/>
        </w:rPr>
        <w:t>ciwko skarżącemu prz</w:t>
      </w:r>
      <w:r w:rsidR="008479DA">
        <w:rPr>
          <w:color w:val="0070C0"/>
        </w:rPr>
        <w:t xml:space="preserve">ed </w:t>
      </w:r>
      <w:r w:rsidR="00AB575F">
        <w:rPr>
          <w:color w:val="0070C0"/>
        </w:rPr>
        <w:t>Trybunałem</w:t>
      </w:r>
      <w:r w:rsidR="008479DA">
        <w:rPr>
          <w:color w:val="0070C0"/>
        </w:rPr>
        <w:t xml:space="preserve"> </w:t>
      </w:r>
      <w:r w:rsidR="00AB575F">
        <w:rPr>
          <w:color w:val="0070C0"/>
        </w:rPr>
        <w:t>B</w:t>
      </w:r>
      <w:r w:rsidR="008479DA">
        <w:rPr>
          <w:color w:val="0070C0"/>
        </w:rPr>
        <w:t xml:space="preserve">ezpieczeństwa </w:t>
      </w:r>
      <w:r w:rsidR="00AB575F">
        <w:rPr>
          <w:color w:val="0070C0"/>
        </w:rPr>
        <w:t>N</w:t>
      </w:r>
      <w:r w:rsidR="008479DA">
        <w:rPr>
          <w:color w:val="0070C0"/>
        </w:rPr>
        <w:t>arodowego</w:t>
      </w:r>
      <w:r w:rsidR="00795868" w:rsidRPr="00014B2E">
        <w:rPr>
          <w:color w:val="0070C0"/>
        </w:rPr>
        <w:t xml:space="preserve">, a także w celu </w:t>
      </w:r>
      <w:r w:rsidR="00836F49">
        <w:rPr>
          <w:color w:val="0070C0"/>
        </w:rPr>
        <w:t xml:space="preserve">zapewnienia </w:t>
      </w:r>
      <w:r w:rsidRPr="00014B2E">
        <w:rPr>
          <w:color w:val="0070C0"/>
        </w:rPr>
        <w:t>skarżące</w:t>
      </w:r>
      <w:r w:rsidR="00795868" w:rsidRPr="00014B2E">
        <w:rPr>
          <w:color w:val="0070C0"/>
        </w:rPr>
        <w:t xml:space="preserve">mu </w:t>
      </w:r>
      <w:r w:rsidR="00836F49">
        <w:rPr>
          <w:color w:val="0070C0"/>
        </w:rPr>
        <w:t xml:space="preserve">możliwości </w:t>
      </w:r>
      <w:r w:rsidR="00795868" w:rsidRPr="00014B2E">
        <w:rPr>
          <w:color w:val="0070C0"/>
        </w:rPr>
        <w:t xml:space="preserve">skutecznego </w:t>
      </w:r>
      <w:r w:rsidR="004E5DEC">
        <w:rPr>
          <w:color w:val="0070C0"/>
        </w:rPr>
        <w:t>s</w:t>
      </w:r>
      <w:r w:rsidR="00795868" w:rsidRPr="00014B2E">
        <w:rPr>
          <w:color w:val="0070C0"/>
        </w:rPr>
        <w:t>korzystania z przysługującego mu prawa</w:t>
      </w:r>
      <w:r w:rsidRPr="00014B2E">
        <w:rPr>
          <w:color w:val="0070C0"/>
        </w:rPr>
        <w:t xml:space="preserve"> wniesienia skar</w:t>
      </w:r>
      <w:r w:rsidR="00560603">
        <w:rPr>
          <w:color w:val="0070C0"/>
        </w:rPr>
        <w:t xml:space="preserve">gi indywidualnej do Trybunału </w:t>
      </w:r>
      <w:r w:rsidRPr="00014B2E">
        <w:rPr>
          <w:color w:val="0070C0"/>
        </w:rPr>
        <w:t>przez pełnomocników</w:t>
      </w:r>
      <w:r w:rsidR="004E5DEC">
        <w:rPr>
          <w:color w:val="0070C0"/>
        </w:rPr>
        <w:t xml:space="preserve"> z wyboru</w:t>
      </w:r>
      <w:r w:rsidRPr="00014B2E">
        <w:rPr>
          <w:color w:val="0070C0"/>
        </w:rPr>
        <w:t>.</w:t>
      </w:r>
    </w:p>
    <w:p w14:paraId="2D2976F1" w14:textId="77777777" w:rsidR="008479DA" w:rsidRPr="009919D9" w:rsidRDefault="008479DA" w:rsidP="001E0356">
      <w:pPr>
        <w:spacing w:before="120" w:line="218" w:lineRule="exact"/>
        <w:ind w:left="700"/>
        <w:rPr>
          <w:color w:val="0070C0"/>
          <w:sz w:val="18"/>
          <w:u w:val="single"/>
        </w:rPr>
      </w:pPr>
      <w:r w:rsidRPr="009919D9">
        <w:rPr>
          <w:b/>
          <w:bCs/>
          <w:color w:val="0070C0"/>
          <w:sz w:val="20"/>
          <w:szCs w:val="20"/>
          <w:u w:val="single"/>
        </w:rPr>
        <w:t>X. przeciwko Chorwacji (skarga nr 11223/04)</w:t>
      </w:r>
    </w:p>
    <w:p w14:paraId="2AC4B3C0" w14:textId="77777777" w:rsidR="0025631D" w:rsidRPr="004939EF" w:rsidRDefault="00795868">
      <w:pPr>
        <w:spacing w:before="60" w:line="218" w:lineRule="exact"/>
        <w:ind w:left="700"/>
        <w:rPr>
          <w:sz w:val="18"/>
        </w:rPr>
      </w:pPr>
      <w:r w:rsidRPr="004939EF">
        <w:rPr>
          <w:color w:val="808080"/>
          <w:sz w:val="18"/>
        </w:rPr>
        <w:t>17 lipca 2008</w:t>
      </w:r>
      <w:r w:rsidR="008479DA">
        <w:rPr>
          <w:color w:val="808080"/>
          <w:sz w:val="18"/>
        </w:rPr>
        <w:t xml:space="preserve"> r.</w:t>
      </w:r>
      <w:r w:rsidRPr="004939EF">
        <w:rPr>
          <w:color w:val="808080"/>
          <w:sz w:val="18"/>
        </w:rPr>
        <w:t xml:space="preserve"> (wyrok</w:t>
      </w:r>
      <w:r w:rsidR="00D3520A" w:rsidRPr="004939EF">
        <w:rPr>
          <w:color w:val="808080"/>
          <w:sz w:val="18"/>
        </w:rPr>
        <w:t>)</w:t>
      </w:r>
    </w:p>
    <w:p w14:paraId="57308911" w14:textId="01D822DA" w:rsidR="00795868" w:rsidRPr="007207FA" w:rsidRDefault="00795868" w:rsidP="00904729">
      <w:pPr>
        <w:pStyle w:val="Tekstpodstawowy"/>
        <w:tabs>
          <w:tab w:val="left" w:pos="9750"/>
        </w:tabs>
        <w:spacing w:before="1"/>
        <w:ind w:right="-31"/>
      </w:pPr>
      <w:r w:rsidRPr="007207FA">
        <w:t xml:space="preserve">Skarżąca </w:t>
      </w:r>
      <w:r w:rsidR="00836F49">
        <w:t>zarzuciła</w:t>
      </w:r>
      <w:r w:rsidRPr="007207FA">
        <w:t xml:space="preserve">, że jej córka została </w:t>
      </w:r>
      <w:r w:rsidR="004E5DEC">
        <w:t>przysposobiona</w:t>
      </w:r>
      <w:r w:rsidR="00904729" w:rsidRPr="007207FA">
        <w:t xml:space="preserve"> bez jej wiedzy </w:t>
      </w:r>
      <w:r w:rsidR="00BA4A93" w:rsidRPr="007207FA">
        <w:t>i </w:t>
      </w:r>
      <w:r w:rsidRPr="007207FA">
        <w:t>zgody.</w:t>
      </w:r>
    </w:p>
    <w:p w14:paraId="7C07337A" w14:textId="6EAEA799" w:rsidR="00795868" w:rsidRDefault="00795868" w:rsidP="00904729">
      <w:pPr>
        <w:pStyle w:val="Tekstpodstawowy"/>
        <w:tabs>
          <w:tab w:val="left" w:pos="9750"/>
        </w:tabs>
        <w:spacing w:before="1"/>
        <w:ind w:right="-31"/>
        <w:rPr>
          <w:color w:val="0070C0"/>
        </w:rPr>
      </w:pPr>
      <w:r w:rsidRPr="008479DA">
        <w:rPr>
          <w:color w:val="0070C0"/>
        </w:rPr>
        <w:t xml:space="preserve">W </w:t>
      </w:r>
      <w:r w:rsidR="00904729">
        <w:rPr>
          <w:color w:val="0070C0"/>
        </w:rPr>
        <w:t xml:space="preserve">sprawie </w:t>
      </w:r>
      <w:r w:rsidR="004E5DEC">
        <w:rPr>
          <w:color w:val="0070C0"/>
        </w:rPr>
        <w:t xml:space="preserve">ten </w:t>
      </w:r>
      <w:r w:rsidR="00904729">
        <w:rPr>
          <w:color w:val="0070C0"/>
        </w:rPr>
        <w:t>Trybunał zalecił rządowi chorwackiemu</w:t>
      </w:r>
      <w:r w:rsidRPr="008479DA">
        <w:rPr>
          <w:color w:val="0070C0"/>
        </w:rPr>
        <w:t>, na podstawie Reguły 39 Regulaminu Tryb</w:t>
      </w:r>
      <w:r w:rsidR="00904729">
        <w:rPr>
          <w:color w:val="0070C0"/>
        </w:rPr>
        <w:t>unału, by ten wyznaczył pełnomocnika</w:t>
      </w:r>
      <w:r w:rsidRPr="008479DA">
        <w:rPr>
          <w:color w:val="0070C0"/>
        </w:rPr>
        <w:t xml:space="preserve"> do reprezentowania skarżącej w postępowaniu przed Trybunałem, ponieważ </w:t>
      </w:r>
      <w:r w:rsidR="004E5DEC">
        <w:rPr>
          <w:color w:val="0070C0"/>
        </w:rPr>
        <w:t xml:space="preserve">jako osoba </w:t>
      </w:r>
      <w:r w:rsidRPr="008479DA">
        <w:rPr>
          <w:color w:val="0070C0"/>
        </w:rPr>
        <w:t>cierpiąc</w:t>
      </w:r>
      <w:r w:rsidR="004E5DEC">
        <w:rPr>
          <w:color w:val="0070C0"/>
        </w:rPr>
        <w:t>a</w:t>
      </w:r>
      <w:r w:rsidRPr="008479DA">
        <w:rPr>
          <w:color w:val="0070C0"/>
        </w:rPr>
        <w:t xml:space="preserve"> na schizofrenię paranoidalną</w:t>
      </w:r>
      <w:r w:rsidR="004E5DEC">
        <w:rPr>
          <w:color w:val="0070C0"/>
        </w:rPr>
        <w:t xml:space="preserve"> </w:t>
      </w:r>
      <w:r w:rsidR="00836F49">
        <w:rPr>
          <w:color w:val="0070C0"/>
        </w:rPr>
        <w:t>była pozbawiona</w:t>
      </w:r>
      <w:r w:rsidR="00A936B0">
        <w:rPr>
          <w:color w:val="0070C0"/>
        </w:rPr>
        <w:t xml:space="preserve">, </w:t>
      </w:r>
      <w:r w:rsidRPr="008479DA">
        <w:rPr>
          <w:color w:val="0070C0"/>
        </w:rPr>
        <w:t xml:space="preserve">w </w:t>
      </w:r>
      <w:r w:rsidR="00A936B0">
        <w:rPr>
          <w:color w:val="0070C0"/>
        </w:rPr>
        <w:t>rozumieniu</w:t>
      </w:r>
      <w:r w:rsidR="00A936B0" w:rsidRPr="008479DA">
        <w:rPr>
          <w:color w:val="0070C0"/>
        </w:rPr>
        <w:t xml:space="preserve"> </w:t>
      </w:r>
      <w:r w:rsidRPr="008479DA">
        <w:rPr>
          <w:color w:val="0070C0"/>
        </w:rPr>
        <w:t xml:space="preserve">przepisów </w:t>
      </w:r>
      <w:r w:rsidR="008479DA">
        <w:rPr>
          <w:color w:val="0070C0"/>
        </w:rPr>
        <w:t>prawa krajowego</w:t>
      </w:r>
      <w:r w:rsidR="00A936B0">
        <w:rPr>
          <w:color w:val="0070C0"/>
        </w:rPr>
        <w:t>,</w:t>
      </w:r>
      <w:r w:rsidR="004E5DEC">
        <w:rPr>
          <w:color w:val="0070C0"/>
        </w:rPr>
        <w:t xml:space="preserve"> </w:t>
      </w:r>
      <w:r w:rsidRPr="008479DA">
        <w:rPr>
          <w:color w:val="0070C0"/>
        </w:rPr>
        <w:t>zdolności</w:t>
      </w:r>
      <w:r w:rsidR="00A936B0">
        <w:rPr>
          <w:color w:val="0070C0"/>
        </w:rPr>
        <w:t xml:space="preserve"> do czynności prawnych i</w:t>
      </w:r>
      <w:r w:rsidR="004E5DEC">
        <w:rPr>
          <w:color w:val="0070C0"/>
        </w:rPr>
        <w:t xml:space="preserve"> ustanowienia pełnomocnika procesowego</w:t>
      </w:r>
      <w:r w:rsidRPr="008479DA">
        <w:rPr>
          <w:color w:val="0070C0"/>
        </w:rPr>
        <w:t>.</w:t>
      </w:r>
    </w:p>
    <w:p w14:paraId="4565831B" w14:textId="11DC0A4E" w:rsidR="001D474F" w:rsidRPr="001D474F" w:rsidRDefault="001E0356" w:rsidP="001D474F">
      <w:pPr>
        <w:spacing w:before="240" w:after="240"/>
        <w:ind w:left="700" w:right="717"/>
        <w:jc w:val="both"/>
        <w:rPr>
          <w:color w:val="252525"/>
          <w:sz w:val="24"/>
          <w:shd w:val="pct5" w:color="auto" w:fill="auto"/>
        </w:rPr>
      </w:pPr>
      <w:r>
        <w:rPr>
          <w:color w:val="252525"/>
          <w:sz w:val="24"/>
          <w:shd w:val="pct5" w:color="auto" w:fill="auto"/>
        </w:rPr>
        <w:t xml:space="preserve">  </w:t>
      </w:r>
      <w:r w:rsidR="001D474F" w:rsidRPr="001D474F">
        <w:rPr>
          <w:color w:val="252525"/>
          <w:sz w:val="24"/>
          <w:shd w:val="pct5" w:color="auto" w:fill="auto"/>
        </w:rPr>
        <w:t>Wstrzymanie wykonania orzeczenia zezwalającego na zaprzestanie podawania pokarmu i wody w sposób umożliwiający sztuczne podtrzymanie życia pacjenta w stanie całkowitej zależności</w:t>
      </w:r>
    </w:p>
    <w:p w14:paraId="12B00499" w14:textId="77777777" w:rsidR="001E0356" w:rsidRDefault="001E0356">
      <w:pPr>
        <w:pStyle w:val="Nagwek31"/>
        <w:spacing w:before="105"/>
        <w:jc w:val="left"/>
        <w:rPr>
          <w:color w:val="0071BB"/>
          <w:u w:val="thick" w:color="0071BB"/>
        </w:rPr>
      </w:pPr>
    </w:p>
    <w:p w14:paraId="5B4804BC" w14:textId="77777777" w:rsidR="0025631D" w:rsidRPr="004939EF" w:rsidRDefault="00D9736E" w:rsidP="001E0356">
      <w:pPr>
        <w:pStyle w:val="Nagwek31"/>
        <w:spacing w:before="240"/>
        <w:jc w:val="left"/>
        <w:rPr>
          <w:u w:val="none"/>
        </w:rPr>
      </w:pPr>
      <w:r w:rsidRPr="004939EF">
        <w:rPr>
          <w:color w:val="0071BB"/>
          <w:u w:val="thick" w:color="0071BB"/>
        </w:rPr>
        <w:lastRenderedPageBreak/>
        <w:t>Lambert i Inni przeciwko</w:t>
      </w:r>
      <w:r w:rsidR="00D3520A" w:rsidRPr="004939EF">
        <w:rPr>
          <w:color w:val="0071BB"/>
          <w:u w:val="thick" w:color="0071BB"/>
        </w:rPr>
        <w:t xml:space="preserve"> Franc</w:t>
      </w:r>
      <w:r w:rsidRPr="004939EF">
        <w:rPr>
          <w:color w:val="0071BB"/>
          <w:u w:val="thick" w:color="0071BB"/>
        </w:rPr>
        <w:t>ji</w:t>
      </w:r>
    </w:p>
    <w:p w14:paraId="74EA7975" w14:textId="77777777" w:rsidR="0025631D" w:rsidRPr="004939EF" w:rsidRDefault="008479DA">
      <w:pPr>
        <w:spacing w:before="63" w:line="218" w:lineRule="exact"/>
        <w:ind w:left="700"/>
        <w:rPr>
          <w:sz w:val="18"/>
        </w:rPr>
      </w:pPr>
      <w:r>
        <w:rPr>
          <w:color w:val="808080"/>
          <w:sz w:val="18"/>
        </w:rPr>
        <w:t xml:space="preserve">5 czerwca </w:t>
      </w:r>
      <w:r w:rsidR="00D3520A" w:rsidRPr="004939EF">
        <w:rPr>
          <w:color w:val="808080"/>
          <w:sz w:val="18"/>
        </w:rPr>
        <w:t>2015</w:t>
      </w:r>
      <w:r>
        <w:rPr>
          <w:color w:val="808080"/>
          <w:sz w:val="18"/>
        </w:rPr>
        <w:t xml:space="preserve"> r. (Wielka Izba – wyrok)</w:t>
      </w:r>
    </w:p>
    <w:p w14:paraId="6242838D" w14:textId="082CEA94" w:rsidR="00D9736E" w:rsidRPr="004939EF" w:rsidRDefault="00D9736E" w:rsidP="00904729">
      <w:pPr>
        <w:pStyle w:val="Tekstpodstawowy"/>
        <w:ind w:left="699" w:right="-31"/>
        <w:rPr>
          <w:color w:val="0071BB"/>
        </w:rPr>
      </w:pPr>
      <w:r w:rsidRPr="004939EF">
        <w:t xml:space="preserve">Skarżącymi byli </w:t>
      </w:r>
      <w:r w:rsidRPr="008E1331">
        <w:t>rodzice, przyrodni brat i siostra Vincenta</w:t>
      </w:r>
      <w:r w:rsidRPr="004939EF">
        <w:t xml:space="preserve"> Lamberta, który doznał obrażeń głowy </w:t>
      </w:r>
      <w:r w:rsidRPr="008E1331">
        <w:t>w wypadku drogowym w 2008 r., w wyn</w:t>
      </w:r>
      <w:r w:rsidR="00904729">
        <w:t>iku czego był tetraplegikiem. W </w:t>
      </w:r>
      <w:r w:rsidRPr="008E1331">
        <w:t xml:space="preserve">szczególności skarżyli </w:t>
      </w:r>
      <w:r w:rsidR="004E5DEC">
        <w:t xml:space="preserve">się </w:t>
      </w:r>
      <w:r w:rsidRPr="008E1331">
        <w:t xml:space="preserve">oni </w:t>
      </w:r>
      <w:r w:rsidR="004E5DEC">
        <w:t xml:space="preserve">na </w:t>
      </w:r>
      <w:r w:rsidRPr="008E1331">
        <w:t xml:space="preserve">wyrok </w:t>
      </w:r>
      <w:r w:rsidR="00A936B0">
        <w:t>z dnia</w:t>
      </w:r>
      <w:r w:rsidR="004E5DEC">
        <w:t xml:space="preserve"> </w:t>
      </w:r>
      <w:r w:rsidRPr="008E1331">
        <w:t xml:space="preserve">24 czerwca 2014 r. przez francuską </w:t>
      </w:r>
      <w:r w:rsidR="004E5DEC">
        <w:t xml:space="preserve">radę stanu </w:t>
      </w:r>
      <w:r w:rsidRPr="008E1331">
        <w:rPr>
          <w:i/>
          <w:iCs/>
        </w:rPr>
        <w:t>Conseil d’État</w:t>
      </w:r>
      <w:r w:rsidRPr="008E1331">
        <w:t xml:space="preserve">, która uznała za zgodną z prawem podjętą przez lekarza </w:t>
      </w:r>
      <w:r w:rsidR="00AB179A">
        <w:t>prowadzącego</w:t>
      </w:r>
      <w:r w:rsidR="00AB179A" w:rsidRPr="008E1331">
        <w:t xml:space="preserve"> </w:t>
      </w:r>
      <w:r w:rsidRPr="008E1331">
        <w:t xml:space="preserve">Vincenta Lamberta </w:t>
      </w:r>
      <w:r w:rsidR="00AB179A">
        <w:t xml:space="preserve">decyzję </w:t>
      </w:r>
      <w:r w:rsidRPr="008E1331">
        <w:t xml:space="preserve">o zaprzestaniu </w:t>
      </w:r>
      <w:r w:rsidR="00AB179A">
        <w:t>sztucznego podawania</w:t>
      </w:r>
      <w:r w:rsidR="00AB179A" w:rsidRPr="008E1331">
        <w:t xml:space="preserve"> </w:t>
      </w:r>
      <w:r w:rsidR="00AB179A">
        <w:t xml:space="preserve"> pokarmu i wody</w:t>
      </w:r>
      <w:r w:rsidRPr="008E1331">
        <w:t>.</w:t>
      </w:r>
    </w:p>
    <w:p w14:paraId="2CBD906A" w14:textId="6C7778AF" w:rsidR="009919D9" w:rsidRDefault="00D9736E" w:rsidP="00560603">
      <w:pPr>
        <w:pStyle w:val="Tekstpodstawowy"/>
        <w:ind w:left="699" w:right="-31"/>
        <w:rPr>
          <w:color w:val="0070C0"/>
        </w:rPr>
      </w:pPr>
      <w:r w:rsidRPr="008E1331">
        <w:rPr>
          <w:color w:val="0070C0"/>
        </w:rPr>
        <w:t xml:space="preserve">W dniu 24 czerwca 2014 r., po zapoznaniu się z wyrokiem wydanym przez </w:t>
      </w:r>
      <w:r w:rsidRPr="008E1331">
        <w:rPr>
          <w:i/>
          <w:iCs/>
          <w:color w:val="0070C0"/>
        </w:rPr>
        <w:t>Conseil d'État</w:t>
      </w:r>
      <w:r w:rsidRPr="008E1331">
        <w:rPr>
          <w:color w:val="0070C0"/>
        </w:rPr>
        <w:t xml:space="preserve">, Izba, której przydzielono sprawę, postanowiła </w:t>
      </w:r>
      <w:r w:rsidR="008E1331">
        <w:rPr>
          <w:color w:val="0070C0"/>
        </w:rPr>
        <w:t>zalecić rządowi francuskiemu, aby</w:t>
      </w:r>
      <w:r w:rsidRPr="008E1331">
        <w:rPr>
          <w:color w:val="0070C0"/>
        </w:rPr>
        <w:t xml:space="preserve"> zgodnie z Regułą 39 Regulaminu Trybunału</w:t>
      </w:r>
      <w:r w:rsidR="008E1331">
        <w:rPr>
          <w:color w:val="0070C0"/>
        </w:rPr>
        <w:t>,</w:t>
      </w:r>
      <w:r w:rsidRPr="008E1331">
        <w:rPr>
          <w:color w:val="0070C0"/>
        </w:rPr>
        <w:t xml:space="preserve"> </w:t>
      </w:r>
      <w:r w:rsidR="00AB179A">
        <w:rPr>
          <w:color w:val="0070C0"/>
        </w:rPr>
        <w:t xml:space="preserve">mając na uwadze </w:t>
      </w:r>
      <w:r w:rsidRPr="008E1331">
        <w:rPr>
          <w:color w:val="0070C0"/>
        </w:rPr>
        <w:t xml:space="preserve">interes stron i </w:t>
      </w:r>
      <w:r w:rsidR="00AB179A" w:rsidRPr="008E1331">
        <w:rPr>
          <w:color w:val="0070C0"/>
        </w:rPr>
        <w:t>prawidłow</w:t>
      </w:r>
      <w:r w:rsidR="00AB179A">
        <w:rPr>
          <w:color w:val="0070C0"/>
        </w:rPr>
        <w:t>y</w:t>
      </w:r>
      <w:r w:rsidR="00AB179A" w:rsidRPr="008E1331">
        <w:rPr>
          <w:color w:val="0070C0"/>
        </w:rPr>
        <w:t xml:space="preserve"> </w:t>
      </w:r>
      <w:r w:rsidR="00AB179A">
        <w:rPr>
          <w:color w:val="0070C0"/>
        </w:rPr>
        <w:t>przebieg</w:t>
      </w:r>
      <w:r w:rsidR="00AB179A" w:rsidRPr="008E1331">
        <w:rPr>
          <w:color w:val="0070C0"/>
        </w:rPr>
        <w:t xml:space="preserve"> </w:t>
      </w:r>
      <w:r w:rsidRPr="008E1331">
        <w:rPr>
          <w:color w:val="0070C0"/>
        </w:rPr>
        <w:t>postępowania przed Trybunałe</w:t>
      </w:r>
      <w:r w:rsidR="008E1331">
        <w:rPr>
          <w:color w:val="0070C0"/>
        </w:rPr>
        <w:t>m, wstrzymał</w:t>
      </w:r>
      <w:r w:rsidRPr="008E1331">
        <w:rPr>
          <w:color w:val="0070C0"/>
        </w:rPr>
        <w:t xml:space="preserve"> wykonanie wyroku </w:t>
      </w:r>
      <w:r w:rsidRPr="008E1331">
        <w:rPr>
          <w:i/>
          <w:iCs/>
          <w:color w:val="0070C0"/>
        </w:rPr>
        <w:t>Conseil d'État</w:t>
      </w:r>
      <w:r w:rsidRPr="008E1331">
        <w:rPr>
          <w:color w:val="0070C0"/>
        </w:rPr>
        <w:t xml:space="preserve"> na czas trwania postępowania przed Trybunałem. W wyroku z </w:t>
      </w:r>
      <w:r w:rsidR="00AB179A">
        <w:rPr>
          <w:color w:val="0070C0"/>
        </w:rPr>
        <w:t xml:space="preserve">dnia </w:t>
      </w:r>
      <w:r w:rsidRPr="008E1331">
        <w:rPr>
          <w:color w:val="0070C0"/>
        </w:rPr>
        <w:t xml:space="preserve">5 czerwca 2015 r. Wielka Izba stwierdziła, że </w:t>
      </w:r>
      <w:r w:rsidR="009526DC">
        <w:rPr>
          <w:color w:val="0070C0"/>
        </w:rPr>
        <w:t xml:space="preserve">w przypadku </w:t>
      </w:r>
      <w:r w:rsidR="00AB179A" w:rsidRPr="008E1331">
        <w:rPr>
          <w:color w:val="0070C0"/>
        </w:rPr>
        <w:t>wykonani</w:t>
      </w:r>
      <w:r w:rsidR="009526DC">
        <w:rPr>
          <w:color w:val="0070C0"/>
        </w:rPr>
        <w:t>a</w:t>
      </w:r>
      <w:r w:rsidR="00AB179A" w:rsidRPr="008E1331">
        <w:rPr>
          <w:color w:val="0070C0"/>
        </w:rPr>
        <w:t xml:space="preserve"> wyroku </w:t>
      </w:r>
      <w:r w:rsidR="00AB179A" w:rsidRPr="008E1331">
        <w:rPr>
          <w:i/>
          <w:iCs/>
          <w:color w:val="0070C0"/>
        </w:rPr>
        <w:t>Conseil d’État</w:t>
      </w:r>
      <w:r w:rsidR="00AB179A" w:rsidRPr="008E1331">
        <w:rPr>
          <w:color w:val="0070C0"/>
        </w:rPr>
        <w:t xml:space="preserve"> </w:t>
      </w:r>
      <w:r w:rsidRPr="008E1331">
        <w:rPr>
          <w:color w:val="0070C0"/>
        </w:rPr>
        <w:t>ni</w:t>
      </w:r>
      <w:r w:rsidR="00191FB9">
        <w:rPr>
          <w:color w:val="0070C0"/>
        </w:rPr>
        <w:t xml:space="preserve">e </w:t>
      </w:r>
      <w:r w:rsidR="009526DC">
        <w:rPr>
          <w:color w:val="0070C0"/>
        </w:rPr>
        <w:t xml:space="preserve">dojdzie </w:t>
      </w:r>
      <w:r w:rsidR="00191FB9">
        <w:rPr>
          <w:color w:val="0070C0"/>
        </w:rPr>
        <w:t>do naruszenia art.</w:t>
      </w:r>
      <w:r w:rsidRPr="008E1331">
        <w:rPr>
          <w:color w:val="0070C0"/>
        </w:rPr>
        <w:t xml:space="preserve"> 2 </w:t>
      </w:r>
      <w:r w:rsidR="009526DC" w:rsidRPr="008E1331">
        <w:rPr>
          <w:color w:val="0070C0"/>
        </w:rPr>
        <w:t xml:space="preserve">Konwencji </w:t>
      </w:r>
      <w:r w:rsidRPr="008E1331">
        <w:rPr>
          <w:color w:val="0070C0"/>
        </w:rPr>
        <w:t>(prawo do życia).</w:t>
      </w:r>
    </w:p>
    <w:p w14:paraId="4FF060DC" w14:textId="3118E74D" w:rsidR="001D474F" w:rsidRPr="001D474F" w:rsidRDefault="001E0356" w:rsidP="001D474F">
      <w:pPr>
        <w:spacing w:before="240" w:after="240"/>
        <w:ind w:left="700" w:right="717"/>
        <w:jc w:val="both"/>
        <w:rPr>
          <w:color w:val="252525"/>
          <w:sz w:val="24"/>
          <w:shd w:val="pct5" w:color="auto" w:fill="auto"/>
        </w:rPr>
      </w:pPr>
      <w:r>
        <w:rPr>
          <w:color w:val="252525"/>
          <w:sz w:val="24"/>
          <w:shd w:val="pct5" w:color="auto" w:fill="auto"/>
        </w:rPr>
        <w:t xml:space="preserve">  </w:t>
      </w:r>
      <w:r w:rsidR="001D474F" w:rsidRPr="001D474F">
        <w:rPr>
          <w:color w:val="252525"/>
          <w:sz w:val="24"/>
          <w:shd w:val="pct5" w:color="auto" w:fill="auto"/>
        </w:rPr>
        <w:t>Wstrzymanie wykonania decyzji o wydaleniu</w:t>
      </w:r>
    </w:p>
    <w:p w14:paraId="7F5A0453" w14:textId="774C92A2" w:rsidR="0025631D" w:rsidRPr="009919D9" w:rsidRDefault="00D9736E" w:rsidP="001E0356">
      <w:pPr>
        <w:pStyle w:val="Tekstpodstawowy"/>
        <w:spacing w:before="120"/>
        <w:ind w:left="699" w:right="-31"/>
        <w:rPr>
          <w:b/>
          <w:bCs/>
          <w:color w:val="0070C0"/>
        </w:rPr>
      </w:pPr>
      <w:proofErr w:type="spellStart"/>
      <w:r w:rsidRPr="009919D9">
        <w:rPr>
          <w:b/>
          <w:bCs/>
          <w:color w:val="0071BB"/>
          <w:u w:val="thick" w:color="0071BB"/>
        </w:rPr>
        <w:t>Yordanova</w:t>
      </w:r>
      <w:proofErr w:type="spellEnd"/>
      <w:r w:rsidRPr="009919D9">
        <w:rPr>
          <w:b/>
          <w:bCs/>
          <w:color w:val="0071BB"/>
          <w:u w:val="thick" w:color="0071BB"/>
        </w:rPr>
        <w:t xml:space="preserve"> i Inni przeciwko </w:t>
      </w:r>
      <w:r w:rsidR="00DD0C53" w:rsidRPr="009919D9">
        <w:rPr>
          <w:b/>
          <w:bCs/>
          <w:color w:val="0071BB"/>
          <w:u w:val="thick" w:color="0071BB"/>
        </w:rPr>
        <w:t>Buł</w:t>
      </w:r>
      <w:r w:rsidR="00D3520A" w:rsidRPr="009919D9">
        <w:rPr>
          <w:b/>
          <w:bCs/>
          <w:color w:val="0071BB"/>
          <w:u w:val="thick" w:color="0071BB"/>
        </w:rPr>
        <w:t>gari</w:t>
      </w:r>
      <w:r w:rsidRPr="009919D9">
        <w:rPr>
          <w:b/>
          <w:bCs/>
          <w:color w:val="0071BB"/>
          <w:u w:val="thick" w:color="0071BB"/>
        </w:rPr>
        <w:t>i</w:t>
      </w:r>
    </w:p>
    <w:p w14:paraId="3B64F1D8" w14:textId="77777777" w:rsidR="00DD0C53" w:rsidRDefault="00D9736E" w:rsidP="00DD0C53">
      <w:pPr>
        <w:spacing w:before="60" w:line="218" w:lineRule="exact"/>
        <w:ind w:left="700"/>
        <w:rPr>
          <w:sz w:val="18"/>
        </w:rPr>
      </w:pPr>
      <w:r w:rsidRPr="004939EF">
        <w:rPr>
          <w:color w:val="808080"/>
          <w:sz w:val="18"/>
        </w:rPr>
        <w:t xml:space="preserve">24 kwietnia 2012 </w:t>
      </w:r>
      <w:r w:rsidR="00DD0C53">
        <w:rPr>
          <w:color w:val="808080"/>
          <w:sz w:val="18"/>
        </w:rPr>
        <w:t xml:space="preserve">r. </w:t>
      </w:r>
      <w:r w:rsidRPr="004939EF">
        <w:rPr>
          <w:color w:val="808080"/>
          <w:sz w:val="18"/>
        </w:rPr>
        <w:t>(wyrok</w:t>
      </w:r>
      <w:r w:rsidR="00D3520A" w:rsidRPr="004939EF">
        <w:rPr>
          <w:color w:val="808080"/>
          <w:sz w:val="18"/>
        </w:rPr>
        <w:t>)</w:t>
      </w:r>
    </w:p>
    <w:p w14:paraId="4A52400A" w14:textId="77777777" w:rsidR="009526DC" w:rsidRDefault="00AB179A" w:rsidP="001675EA">
      <w:pPr>
        <w:spacing w:before="60" w:line="218" w:lineRule="exact"/>
        <w:ind w:left="70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3C0DF7" w:rsidRPr="003C0DF7">
        <w:rPr>
          <w:sz w:val="20"/>
          <w:szCs w:val="20"/>
        </w:rPr>
        <w:t>prawa dotyczyła zaplanowanej przez</w:t>
      </w:r>
      <w:r w:rsidR="00A41F95" w:rsidRPr="003C0DF7">
        <w:rPr>
          <w:sz w:val="20"/>
          <w:szCs w:val="20"/>
        </w:rPr>
        <w:t xml:space="preserve"> władz</w:t>
      </w:r>
      <w:r w:rsidR="003C0DF7" w:rsidRPr="003C0DF7">
        <w:rPr>
          <w:sz w:val="20"/>
          <w:szCs w:val="20"/>
        </w:rPr>
        <w:t>e bułgarskie</w:t>
      </w:r>
      <w:r w:rsidR="00A41F95" w:rsidRPr="003C0DF7">
        <w:rPr>
          <w:sz w:val="20"/>
          <w:szCs w:val="20"/>
        </w:rPr>
        <w:t xml:space="preserve"> eksmisji Romów </w:t>
      </w:r>
      <w:r w:rsidR="00BA4A93">
        <w:rPr>
          <w:sz w:val="20"/>
          <w:szCs w:val="20"/>
        </w:rPr>
        <w:t>z </w:t>
      </w:r>
      <w:r w:rsidR="003C0DF7" w:rsidRPr="003C0DF7">
        <w:rPr>
          <w:sz w:val="20"/>
          <w:szCs w:val="20"/>
        </w:rPr>
        <w:t xml:space="preserve">zasiedlonych przez nich terenów </w:t>
      </w:r>
      <w:r w:rsidR="00A41F95" w:rsidRPr="003C0DF7">
        <w:rPr>
          <w:sz w:val="20"/>
          <w:szCs w:val="20"/>
        </w:rPr>
        <w:t xml:space="preserve">miejskich </w:t>
      </w:r>
      <w:r w:rsidR="003C0DF7" w:rsidRPr="003C0DF7">
        <w:rPr>
          <w:sz w:val="20"/>
          <w:szCs w:val="20"/>
        </w:rPr>
        <w:t xml:space="preserve">w Batalova Vodenitsa </w:t>
      </w:r>
      <w:r w:rsidR="00A41F95" w:rsidRPr="003C0DF7">
        <w:rPr>
          <w:sz w:val="20"/>
          <w:szCs w:val="20"/>
        </w:rPr>
        <w:t xml:space="preserve">na </w:t>
      </w:r>
      <w:r w:rsidR="003C0DF7" w:rsidRPr="003C0DF7">
        <w:rPr>
          <w:sz w:val="20"/>
          <w:szCs w:val="20"/>
        </w:rPr>
        <w:t>terenie</w:t>
      </w:r>
      <w:r w:rsidR="00560603">
        <w:rPr>
          <w:sz w:val="20"/>
          <w:szCs w:val="20"/>
        </w:rPr>
        <w:t xml:space="preserve"> Sofii</w:t>
      </w:r>
      <w:r w:rsidR="00A41F95" w:rsidRPr="00BA4A93">
        <w:rPr>
          <w:sz w:val="20"/>
          <w:szCs w:val="20"/>
        </w:rPr>
        <w:t>.</w:t>
      </w:r>
      <w:r w:rsidR="00BA4A93">
        <w:rPr>
          <w:sz w:val="20"/>
          <w:szCs w:val="20"/>
        </w:rPr>
        <w:t xml:space="preserve"> </w:t>
      </w:r>
    </w:p>
    <w:p w14:paraId="2A9EB187" w14:textId="468EB831" w:rsidR="00011D9D" w:rsidRPr="00011D9D" w:rsidRDefault="00BA4A93" w:rsidP="001675EA">
      <w:pPr>
        <w:spacing w:before="60" w:line="218" w:lineRule="exact"/>
        <w:ind w:left="700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W </w:t>
      </w:r>
      <w:r w:rsidR="00A41F95" w:rsidRPr="006409DC">
        <w:rPr>
          <w:color w:val="0070C0"/>
          <w:sz w:val="20"/>
          <w:szCs w:val="20"/>
        </w:rPr>
        <w:t xml:space="preserve"> sprawie </w:t>
      </w:r>
      <w:r w:rsidR="00AB179A">
        <w:rPr>
          <w:color w:val="0070C0"/>
          <w:sz w:val="20"/>
          <w:szCs w:val="20"/>
        </w:rPr>
        <w:t xml:space="preserve">tej </w:t>
      </w:r>
      <w:r w:rsidR="00A41F95" w:rsidRPr="006409DC">
        <w:rPr>
          <w:color w:val="0070C0"/>
          <w:sz w:val="20"/>
          <w:szCs w:val="20"/>
        </w:rPr>
        <w:t>w czerwcu 2008 r. Trybunał zalecił rządowi bułgarskie</w:t>
      </w:r>
      <w:r w:rsidR="00AD5619" w:rsidRPr="006409DC">
        <w:rPr>
          <w:color w:val="0070C0"/>
          <w:sz w:val="20"/>
          <w:szCs w:val="20"/>
        </w:rPr>
        <w:t>mu</w:t>
      </w:r>
      <w:r w:rsidR="006409DC" w:rsidRPr="006409DC">
        <w:rPr>
          <w:color w:val="0070C0"/>
          <w:sz w:val="20"/>
          <w:szCs w:val="20"/>
        </w:rPr>
        <w:t>,</w:t>
      </w:r>
      <w:r w:rsidR="00AD5619" w:rsidRPr="006409DC">
        <w:rPr>
          <w:color w:val="0070C0"/>
          <w:sz w:val="20"/>
          <w:szCs w:val="20"/>
        </w:rPr>
        <w:t xml:space="preserve"> na podstawie </w:t>
      </w:r>
      <w:r w:rsidR="00AB179A">
        <w:rPr>
          <w:color w:val="0070C0"/>
          <w:sz w:val="20"/>
          <w:szCs w:val="20"/>
        </w:rPr>
        <w:t xml:space="preserve">decyzji o </w:t>
      </w:r>
      <w:r w:rsidR="00AB179A" w:rsidRPr="006409DC">
        <w:rPr>
          <w:color w:val="0070C0"/>
          <w:sz w:val="20"/>
          <w:szCs w:val="20"/>
        </w:rPr>
        <w:t>zastosowan</w:t>
      </w:r>
      <w:r w:rsidR="00AB179A">
        <w:rPr>
          <w:color w:val="0070C0"/>
          <w:sz w:val="20"/>
          <w:szCs w:val="20"/>
        </w:rPr>
        <w:t>iu</w:t>
      </w:r>
      <w:r w:rsidR="00AB179A" w:rsidRPr="006409DC">
        <w:rPr>
          <w:color w:val="0070C0"/>
          <w:sz w:val="20"/>
          <w:szCs w:val="20"/>
        </w:rPr>
        <w:t xml:space="preserve"> </w:t>
      </w:r>
      <w:r w:rsidR="006409DC" w:rsidRPr="006409DC">
        <w:rPr>
          <w:color w:val="0070C0"/>
          <w:sz w:val="20"/>
          <w:szCs w:val="20"/>
        </w:rPr>
        <w:t>środka tymczasowego</w:t>
      </w:r>
      <w:r w:rsidR="00AD5619" w:rsidRPr="006409DC">
        <w:rPr>
          <w:color w:val="0070C0"/>
          <w:sz w:val="20"/>
          <w:szCs w:val="20"/>
        </w:rPr>
        <w:t>, aby</w:t>
      </w:r>
      <w:r w:rsidR="003C0DF7" w:rsidRPr="006409DC">
        <w:rPr>
          <w:color w:val="0070C0"/>
          <w:sz w:val="20"/>
          <w:szCs w:val="20"/>
        </w:rPr>
        <w:t xml:space="preserve"> </w:t>
      </w:r>
      <w:r w:rsidR="006409DC" w:rsidRPr="006409DC">
        <w:rPr>
          <w:color w:val="0070C0"/>
          <w:sz w:val="20"/>
          <w:szCs w:val="20"/>
        </w:rPr>
        <w:t xml:space="preserve">ten </w:t>
      </w:r>
      <w:r w:rsidR="00560603">
        <w:rPr>
          <w:color w:val="0070C0"/>
          <w:sz w:val="20"/>
          <w:szCs w:val="20"/>
        </w:rPr>
        <w:t>wstrzymał</w:t>
      </w:r>
      <w:r w:rsidR="003C0DF7" w:rsidRPr="006409DC">
        <w:rPr>
          <w:color w:val="0070C0"/>
          <w:sz w:val="20"/>
          <w:szCs w:val="20"/>
        </w:rPr>
        <w:t xml:space="preserve"> się z eksmisją skarżących </w:t>
      </w:r>
      <w:r w:rsidR="00A41F95" w:rsidRPr="006409DC">
        <w:rPr>
          <w:color w:val="0070C0"/>
          <w:sz w:val="20"/>
          <w:szCs w:val="20"/>
        </w:rPr>
        <w:t>do czasu</w:t>
      </w:r>
      <w:r w:rsidR="003C0DF7" w:rsidRPr="006409DC">
        <w:rPr>
          <w:color w:val="0070C0"/>
          <w:sz w:val="20"/>
          <w:szCs w:val="20"/>
        </w:rPr>
        <w:t xml:space="preserve"> </w:t>
      </w:r>
      <w:r w:rsidR="006409DC" w:rsidRPr="006409DC">
        <w:rPr>
          <w:color w:val="0070C0"/>
          <w:sz w:val="20"/>
          <w:szCs w:val="20"/>
        </w:rPr>
        <w:t xml:space="preserve">zapewnienia </w:t>
      </w:r>
      <w:r w:rsidR="003C0DF7" w:rsidRPr="006409DC">
        <w:rPr>
          <w:color w:val="0070C0"/>
          <w:sz w:val="20"/>
          <w:szCs w:val="20"/>
        </w:rPr>
        <w:t>Trybunał</w:t>
      </w:r>
      <w:r w:rsidR="006409DC" w:rsidRPr="006409DC">
        <w:rPr>
          <w:color w:val="0070C0"/>
          <w:sz w:val="20"/>
          <w:szCs w:val="20"/>
        </w:rPr>
        <w:t>u przez władze</w:t>
      </w:r>
      <w:r w:rsidR="006C32EB">
        <w:rPr>
          <w:color w:val="0070C0"/>
          <w:sz w:val="20"/>
          <w:szCs w:val="20"/>
        </w:rPr>
        <w:t xml:space="preserve">, że zastosowały </w:t>
      </w:r>
      <w:r w:rsidR="003C0DF7" w:rsidRPr="006409DC">
        <w:rPr>
          <w:color w:val="0070C0"/>
          <w:sz w:val="20"/>
          <w:szCs w:val="20"/>
        </w:rPr>
        <w:t>środk</w:t>
      </w:r>
      <w:r w:rsidR="006C32EB">
        <w:rPr>
          <w:color w:val="0070C0"/>
          <w:sz w:val="20"/>
          <w:szCs w:val="20"/>
        </w:rPr>
        <w:t>i</w:t>
      </w:r>
      <w:r w:rsidR="00560603">
        <w:rPr>
          <w:color w:val="0070C0"/>
          <w:sz w:val="20"/>
          <w:szCs w:val="20"/>
        </w:rPr>
        <w:t xml:space="preserve"> w celu zabezpieczenia mieszkań</w:t>
      </w:r>
      <w:r w:rsidR="003C0DF7" w:rsidRPr="006409DC">
        <w:rPr>
          <w:color w:val="0070C0"/>
          <w:sz w:val="20"/>
          <w:szCs w:val="20"/>
        </w:rPr>
        <w:t xml:space="preserve"> dla dzieci, osób w podeszłym wieku, osób niepełnosprawnych lub osób, które z innego powodu znajdują się w trudnym położeniu. Burmistrz </w:t>
      </w:r>
      <w:r w:rsidR="006409DC" w:rsidRPr="006409DC">
        <w:rPr>
          <w:color w:val="0070C0"/>
          <w:sz w:val="20"/>
          <w:szCs w:val="20"/>
        </w:rPr>
        <w:t xml:space="preserve">dzielnicy </w:t>
      </w:r>
      <w:r w:rsidR="003C0DF7" w:rsidRPr="006409DC">
        <w:rPr>
          <w:color w:val="0070C0"/>
          <w:sz w:val="20"/>
          <w:szCs w:val="20"/>
        </w:rPr>
        <w:t>poinformował</w:t>
      </w:r>
      <w:r w:rsidR="00560603">
        <w:rPr>
          <w:color w:val="0070C0"/>
          <w:sz w:val="20"/>
          <w:szCs w:val="20"/>
        </w:rPr>
        <w:t>a</w:t>
      </w:r>
      <w:r w:rsidR="003C0DF7" w:rsidRPr="006409DC">
        <w:rPr>
          <w:color w:val="0070C0"/>
          <w:sz w:val="20"/>
          <w:szCs w:val="20"/>
        </w:rPr>
        <w:t xml:space="preserve"> </w:t>
      </w:r>
      <w:r w:rsidR="00011D9D" w:rsidRPr="006409DC">
        <w:rPr>
          <w:color w:val="0070C0"/>
          <w:sz w:val="20"/>
          <w:szCs w:val="20"/>
        </w:rPr>
        <w:t>Trybunał, że wstrzymał</w:t>
      </w:r>
      <w:r w:rsidR="00011D9D">
        <w:rPr>
          <w:color w:val="0070C0"/>
          <w:sz w:val="20"/>
          <w:szCs w:val="20"/>
        </w:rPr>
        <w:t>a</w:t>
      </w:r>
      <w:r w:rsidR="00011D9D" w:rsidRPr="006409DC">
        <w:rPr>
          <w:color w:val="0070C0"/>
          <w:sz w:val="20"/>
          <w:szCs w:val="20"/>
        </w:rPr>
        <w:t xml:space="preserve"> wykonanie </w:t>
      </w:r>
      <w:r w:rsidR="00011D9D">
        <w:rPr>
          <w:color w:val="0070C0"/>
          <w:sz w:val="20"/>
          <w:szCs w:val="20"/>
        </w:rPr>
        <w:t xml:space="preserve">decyzji o </w:t>
      </w:r>
      <w:r w:rsidR="00011D9D" w:rsidRPr="006409DC">
        <w:rPr>
          <w:color w:val="0070C0"/>
          <w:sz w:val="20"/>
          <w:szCs w:val="20"/>
        </w:rPr>
        <w:t>eksmisji do czasu roz</w:t>
      </w:r>
      <w:r w:rsidR="00011D9D">
        <w:rPr>
          <w:color w:val="0070C0"/>
          <w:sz w:val="20"/>
          <w:szCs w:val="20"/>
        </w:rPr>
        <w:t>wiązania</w:t>
      </w:r>
      <w:r w:rsidR="00011D9D" w:rsidRPr="006409DC">
        <w:rPr>
          <w:color w:val="0070C0"/>
          <w:sz w:val="20"/>
          <w:szCs w:val="20"/>
        </w:rPr>
        <w:t xml:space="preserve"> problemów mieszk</w:t>
      </w:r>
      <w:r w:rsidR="00011D9D">
        <w:rPr>
          <w:color w:val="0070C0"/>
          <w:sz w:val="20"/>
          <w:szCs w:val="20"/>
        </w:rPr>
        <w:t xml:space="preserve">aniowych mieszkańców osiedla. Następnie </w:t>
      </w:r>
      <w:r w:rsidR="00011D9D" w:rsidRPr="006409DC">
        <w:rPr>
          <w:color w:val="0070C0"/>
          <w:sz w:val="20"/>
          <w:szCs w:val="20"/>
        </w:rPr>
        <w:t xml:space="preserve">Trybunał uchylił </w:t>
      </w:r>
      <w:r w:rsidR="00011D9D">
        <w:rPr>
          <w:color w:val="0070C0"/>
          <w:sz w:val="20"/>
          <w:szCs w:val="20"/>
        </w:rPr>
        <w:t xml:space="preserve">zastosowany </w:t>
      </w:r>
      <w:r w:rsidR="00011D9D" w:rsidRPr="006409DC">
        <w:rPr>
          <w:color w:val="0070C0"/>
          <w:sz w:val="20"/>
          <w:szCs w:val="20"/>
        </w:rPr>
        <w:t>środek tymczasowy.</w:t>
      </w:r>
    </w:p>
    <w:p w14:paraId="250D5B84" w14:textId="77777777" w:rsidR="0025631D" w:rsidRPr="006409DC" w:rsidRDefault="006409DC" w:rsidP="00011D9D">
      <w:pPr>
        <w:spacing w:before="59"/>
        <w:ind w:left="700" w:right="719"/>
        <w:jc w:val="both"/>
        <w:rPr>
          <w:color w:val="404040"/>
          <w:sz w:val="20"/>
          <w:szCs w:val="20"/>
        </w:rPr>
      </w:pPr>
      <w:r w:rsidRPr="007207FA">
        <w:rPr>
          <w:i/>
          <w:sz w:val="20"/>
          <w:szCs w:val="20"/>
        </w:rPr>
        <w:t>Zobacz także</w:t>
      </w:r>
      <w:r w:rsidRPr="007207FA">
        <w:rPr>
          <w:sz w:val="20"/>
          <w:szCs w:val="20"/>
        </w:rPr>
        <w:t>, między innymi</w:t>
      </w:r>
      <w:r w:rsidR="00D3520A" w:rsidRPr="007207FA">
        <w:rPr>
          <w:sz w:val="20"/>
          <w:szCs w:val="20"/>
        </w:rPr>
        <w:t>:</w:t>
      </w:r>
      <w:r w:rsidRPr="006409DC">
        <w:rPr>
          <w:color w:val="404040"/>
          <w:sz w:val="20"/>
          <w:szCs w:val="20"/>
        </w:rPr>
        <w:t xml:space="preserve"> </w:t>
      </w:r>
      <w:r w:rsidRPr="006409DC">
        <w:rPr>
          <w:b/>
          <w:bCs/>
          <w:i/>
          <w:iCs/>
          <w:color w:val="0070C0"/>
          <w:sz w:val="20"/>
          <w:szCs w:val="20"/>
          <w:u w:val="single"/>
        </w:rPr>
        <w:t>A.M.B. i Inni przeciwko Hiszpanii (skarga nr 77842/12)</w:t>
      </w:r>
      <w:r w:rsidRPr="006409DC">
        <w:rPr>
          <w:color w:val="404040"/>
          <w:sz w:val="20"/>
          <w:szCs w:val="20"/>
        </w:rPr>
        <w:t xml:space="preserve">, </w:t>
      </w:r>
      <w:r w:rsidRPr="007207FA">
        <w:rPr>
          <w:sz w:val="20"/>
          <w:szCs w:val="20"/>
        </w:rPr>
        <w:t xml:space="preserve">decyzja o dopuszczalności z </w:t>
      </w:r>
      <w:r w:rsidR="00AB179A">
        <w:rPr>
          <w:sz w:val="20"/>
          <w:szCs w:val="20"/>
        </w:rPr>
        <w:t xml:space="preserve">dnia </w:t>
      </w:r>
      <w:r w:rsidRPr="007207FA">
        <w:rPr>
          <w:sz w:val="20"/>
          <w:szCs w:val="20"/>
        </w:rPr>
        <w:t>28 stycznia</w:t>
      </w:r>
      <w:r w:rsidR="00D3520A" w:rsidRPr="007207FA">
        <w:rPr>
          <w:sz w:val="20"/>
          <w:szCs w:val="20"/>
        </w:rPr>
        <w:t xml:space="preserve"> 2014</w:t>
      </w:r>
      <w:r w:rsidRPr="007207FA">
        <w:rPr>
          <w:sz w:val="20"/>
          <w:szCs w:val="20"/>
        </w:rPr>
        <w:t xml:space="preserve"> r.</w:t>
      </w:r>
      <w:r w:rsidR="00D3520A" w:rsidRPr="007207FA">
        <w:rPr>
          <w:sz w:val="20"/>
          <w:szCs w:val="20"/>
        </w:rPr>
        <w:t>;</w:t>
      </w:r>
      <w:r w:rsidR="00560603">
        <w:rPr>
          <w:color w:val="404040"/>
          <w:sz w:val="20"/>
          <w:szCs w:val="20"/>
        </w:rPr>
        <w:t xml:space="preserve"> </w:t>
      </w:r>
      <w:r w:rsidRPr="00560603">
        <w:rPr>
          <w:b/>
          <w:bCs/>
          <w:i/>
          <w:iCs/>
          <w:color w:val="0070C0"/>
          <w:sz w:val="20"/>
          <w:szCs w:val="20"/>
          <w:u w:val="single"/>
        </w:rPr>
        <w:t>Raji i</w:t>
      </w:r>
      <w:r w:rsidR="00560603" w:rsidRPr="00560603">
        <w:rPr>
          <w:b/>
          <w:bCs/>
          <w:i/>
          <w:iCs/>
          <w:color w:val="0070C0"/>
          <w:sz w:val="20"/>
          <w:szCs w:val="20"/>
          <w:u w:val="single"/>
        </w:rPr>
        <w:t xml:space="preserve"> Inni</w:t>
      </w:r>
      <w:r w:rsidRPr="00560603">
        <w:rPr>
          <w:b/>
          <w:bCs/>
          <w:i/>
          <w:iCs/>
          <w:color w:val="0070C0"/>
          <w:sz w:val="20"/>
          <w:szCs w:val="20"/>
          <w:u w:val="single"/>
        </w:rPr>
        <w:t xml:space="preserve"> przeciwko Hiszpanii</w:t>
      </w:r>
      <w:r w:rsidRPr="006409DC">
        <w:rPr>
          <w:sz w:val="20"/>
          <w:szCs w:val="20"/>
        </w:rPr>
        <w:t>,</w:t>
      </w:r>
      <w:r w:rsidRPr="006409DC">
        <w:rPr>
          <w:color w:val="404040"/>
          <w:sz w:val="20"/>
          <w:szCs w:val="20"/>
        </w:rPr>
        <w:t xml:space="preserve"> </w:t>
      </w:r>
      <w:r w:rsidRPr="007207FA">
        <w:rPr>
          <w:sz w:val="20"/>
          <w:szCs w:val="20"/>
        </w:rPr>
        <w:t>decyzja (skreślenie</w:t>
      </w:r>
      <w:r w:rsidR="00AB179A">
        <w:rPr>
          <w:sz w:val="20"/>
          <w:szCs w:val="20"/>
        </w:rPr>
        <w:t xml:space="preserve"> skargi</w:t>
      </w:r>
      <w:r w:rsidRPr="007207FA">
        <w:rPr>
          <w:sz w:val="20"/>
          <w:szCs w:val="20"/>
        </w:rPr>
        <w:t>) z</w:t>
      </w:r>
      <w:r w:rsidR="00D3520A" w:rsidRPr="007207FA">
        <w:rPr>
          <w:sz w:val="20"/>
          <w:szCs w:val="20"/>
        </w:rPr>
        <w:t xml:space="preserve"> </w:t>
      </w:r>
      <w:r w:rsidR="00AB179A">
        <w:rPr>
          <w:sz w:val="20"/>
          <w:szCs w:val="20"/>
        </w:rPr>
        <w:t xml:space="preserve">dnia </w:t>
      </w:r>
      <w:r w:rsidR="00D3520A" w:rsidRPr="007207FA">
        <w:rPr>
          <w:sz w:val="20"/>
          <w:szCs w:val="20"/>
        </w:rPr>
        <w:t xml:space="preserve">16 </w:t>
      </w:r>
      <w:r w:rsidRPr="007207FA">
        <w:rPr>
          <w:sz w:val="20"/>
          <w:szCs w:val="20"/>
        </w:rPr>
        <w:t xml:space="preserve">grudnia </w:t>
      </w:r>
      <w:r w:rsidR="00D3520A" w:rsidRPr="007207FA">
        <w:rPr>
          <w:sz w:val="20"/>
          <w:szCs w:val="20"/>
        </w:rPr>
        <w:t>2014</w:t>
      </w:r>
      <w:r w:rsidRPr="007207FA">
        <w:rPr>
          <w:sz w:val="20"/>
          <w:szCs w:val="20"/>
        </w:rPr>
        <w:t xml:space="preserve"> r.</w:t>
      </w:r>
      <w:r w:rsidR="00D3520A" w:rsidRPr="007207FA">
        <w:rPr>
          <w:sz w:val="20"/>
          <w:szCs w:val="20"/>
        </w:rPr>
        <w:t>;</w:t>
      </w:r>
    </w:p>
    <w:p w14:paraId="10A2C7AA" w14:textId="77777777" w:rsidR="00C21E4E" w:rsidRDefault="00C21E4E">
      <w:pPr>
        <w:pStyle w:val="Nagwek11"/>
        <w:jc w:val="left"/>
        <w:rPr>
          <w:color w:val="0071BB"/>
        </w:rPr>
      </w:pPr>
    </w:p>
    <w:p w14:paraId="22D7189D" w14:textId="77777777" w:rsidR="0025631D" w:rsidRPr="004939EF" w:rsidRDefault="008B5B86" w:rsidP="001D474F">
      <w:pPr>
        <w:pStyle w:val="Nagwek11"/>
        <w:spacing w:after="240"/>
        <w:jc w:val="left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494FA7" wp14:editId="1681796F">
                <wp:simplePos x="0" y="0"/>
                <wp:positionH relativeFrom="page">
                  <wp:posOffset>895985</wp:posOffset>
                </wp:positionH>
                <wp:positionV relativeFrom="paragraph">
                  <wp:posOffset>278130</wp:posOffset>
                </wp:positionV>
                <wp:extent cx="5768340" cy="0"/>
                <wp:effectExtent l="0" t="0" r="0" b="0"/>
                <wp:wrapTopAndBottom/>
                <wp:docPr id="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7D18BD2" id="Line 4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9pt" to="524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" strokecolor="#999" strokeweight="1.44pt">
                <o:lock v:ext="edit" shapetype="f"/>
                <w10:wrap type="topAndBottom" anchorx="page"/>
              </v:line>
            </w:pict>
          </mc:Fallback>
        </mc:AlternateContent>
      </w:r>
      <w:r w:rsidR="00D3520A" w:rsidRPr="004939EF">
        <w:rPr>
          <w:color w:val="0071BB"/>
        </w:rPr>
        <w:t>Ob</w:t>
      </w:r>
      <w:r w:rsidR="00AD5619" w:rsidRPr="004939EF">
        <w:rPr>
          <w:color w:val="0071BB"/>
        </w:rPr>
        <w:t xml:space="preserve">owiązek zastosowania </w:t>
      </w:r>
      <w:r w:rsidR="00AB179A">
        <w:rPr>
          <w:color w:val="0071BB"/>
        </w:rPr>
        <w:t xml:space="preserve">się do </w:t>
      </w:r>
      <w:r w:rsidR="00AD5619" w:rsidRPr="004939EF">
        <w:rPr>
          <w:color w:val="0071BB"/>
        </w:rPr>
        <w:t>środków tymczasowych</w:t>
      </w:r>
    </w:p>
    <w:p w14:paraId="30D813C8" w14:textId="18231A7F" w:rsidR="00E60C4D" w:rsidRPr="001D474F" w:rsidRDefault="00AB179A" w:rsidP="001D474F">
      <w:pPr>
        <w:spacing w:before="60" w:line="218" w:lineRule="exact"/>
        <w:ind w:left="700"/>
        <w:jc w:val="both"/>
        <w:rPr>
          <w:sz w:val="20"/>
          <w:szCs w:val="20"/>
        </w:rPr>
      </w:pPr>
      <w:r w:rsidRPr="001D474F">
        <w:rPr>
          <w:sz w:val="20"/>
          <w:szCs w:val="20"/>
        </w:rPr>
        <w:t>Chociaż</w:t>
      </w:r>
      <w:r w:rsidR="00B36356" w:rsidRPr="001D474F">
        <w:rPr>
          <w:sz w:val="20"/>
          <w:szCs w:val="20"/>
        </w:rPr>
        <w:t xml:space="preserve"> środki tymczasowe </w:t>
      </w:r>
      <w:r w:rsidR="006409DC" w:rsidRPr="001D474F">
        <w:rPr>
          <w:sz w:val="20"/>
          <w:szCs w:val="20"/>
        </w:rPr>
        <w:t xml:space="preserve">przewidziane </w:t>
      </w:r>
      <w:r w:rsidR="00B36356" w:rsidRPr="001D474F">
        <w:rPr>
          <w:sz w:val="20"/>
          <w:szCs w:val="20"/>
        </w:rPr>
        <w:t xml:space="preserve">są </w:t>
      </w:r>
      <w:r w:rsidRPr="001D474F">
        <w:rPr>
          <w:sz w:val="20"/>
          <w:szCs w:val="20"/>
        </w:rPr>
        <w:t xml:space="preserve">wyłącznie </w:t>
      </w:r>
      <w:r w:rsidR="00B36356" w:rsidRPr="001D474F">
        <w:rPr>
          <w:sz w:val="20"/>
          <w:szCs w:val="20"/>
        </w:rPr>
        <w:t xml:space="preserve">w </w:t>
      </w:r>
      <w:r w:rsidR="006409DC" w:rsidRPr="001D474F">
        <w:rPr>
          <w:sz w:val="20"/>
          <w:szCs w:val="20"/>
        </w:rPr>
        <w:t>Regulaminie</w:t>
      </w:r>
      <w:r w:rsidR="00B36356" w:rsidRPr="001D474F">
        <w:rPr>
          <w:sz w:val="20"/>
          <w:szCs w:val="20"/>
        </w:rPr>
        <w:t xml:space="preserve"> Trybunału, </w:t>
      </w:r>
      <w:r w:rsidRPr="001D474F">
        <w:rPr>
          <w:sz w:val="20"/>
          <w:szCs w:val="20"/>
        </w:rPr>
        <w:t xml:space="preserve">a </w:t>
      </w:r>
      <w:r w:rsidR="00B36356" w:rsidRPr="001D474F">
        <w:rPr>
          <w:sz w:val="20"/>
          <w:szCs w:val="20"/>
        </w:rPr>
        <w:t>nie w</w:t>
      </w:r>
      <w:r w:rsidR="006409DC" w:rsidRPr="001D474F">
        <w:rPr>
          <w:sz w:val="20"/>
          <w:szCs w:val="20"/>
        </w:rPr>
        <w:t xml:space="preserve"> </w:t>
      </w:r>
      <w:r w:rsidR="005100E5" w:rsidRPr="001D474F">
        <w:rPr>
          <w:sz w:val="20"/>
          <w:szCs w:val="20"/>
        </w:rPr>
        <w:t xml:space="preserve">Europejskiej </w:t>
      </w:r>
      <w:r w:rsidR="00D847F1" w:rsidRPr="001D474F">
        <w:rPr>
          <w:sz w:val="20"/>
          <w:szCs w:val="20"/>
        </w:rPr>
        <w:t xml:space="preserve">Konwencji Praw Człowieka </w:t>
      </w:r>
      <w:r w:rsidR="005100E5" w:rsidRPr="001D474F">
        <w:rPr>
          <w:sz w:val="20"/>
          <w:szCs w:val="20"/>
        </w:rPr>
        <w:t>i podstawowych wolności</w:t>
      </w:r>
      <w:r w:rsidR="00B36356" w:rsidRPr="001D474F">
        <w:rPr>
          <w:sz w:val="20"/>
          <w:szCs w:val="20"/>
        </w:rPr>
        <w:t xml:space="preserve">, </w:t>
      </w:r>
      <w:r w:rsidRPr="001D474F">
        <w:rPr>
          <w:sz w:val="20"/>
          <w:szCs w:val="20"/>
        </w:rPr>
        <w:t xml:space="preserve">to </w:t>
      </w:r>
      <w:r w:rsidR="00B36356" w:rsidRPr="001D474F">
        <w:rPr>
          <w:sz w:val="20"/>
          <w:szCs w:val="20"/>
        </w:rPr>
        <w:t xml:space="preserve">Państwa-Strony </w:t>
      </w:r>
      <w:r w:rsidRPr="001D474F">
        <w:rPr>
          <w:sz w:val="20"/>
          <w:szCs w:val="20"/>
        </w:rPr>
        <w:t>mają obowiązek się do nich stosować</w:t>
      </w:r>
      <w:r w:rsidR="00B36356" w:rsidRPr="001D474F">
        <w:rPr>
          <w:sz w:val="20"/>
          <w:szCs w:val="20"/>
        </w:rPr>
        <w:t>. Dwa wyroki Wielkiej Izby (</w:t>
      </w:r>
      <w:r w:rsidRPr="001D474F">
        <w:rPr>
          <w:sz w:val="20"/>
          <w:szCs w:val="20"/>
        </w:rPr>
        <w:t xml:space="preserve">zob. </w:t>
      </w:r>
      <w:r w:rsidR="00B36356" w:rsidRPr="001D474F">
        <w:rPr>
          <w:sz w:val="20"/>
          <w:szCs w:val="20"/>
        </w:rPr>
        <w:t xml:space="preserve">poniżej) </w:t>
      </w:r>
      <w:r w:rsidRPr="001D474F">
        <w:rPr>
          <w:sz w:val="20"/>
          <w:szCs w:val="20"/>
        </w:rPr>
        <w:t xml:space="preserve">umożliwiły </w:t>
      </w:r>
      <w:r w:rsidR="00E60C4D" w:rsidRPr="001D474F">
        <w:rPr>
          <w:sz w:val="20"/>
          <w:szCs w:val="20"/>
        </w:rPr>
        <w:t>Trybunałowi</w:t>
      </w:r>
      <w:r w:rsidR="00B36356" w:rsidRPr="001D474F">
        <w:rPr>
          <w:sz w:val="20"/>
          <w:szCs w:val="20"/>
        </w:rPr>
        <w:t xml:space="preserve"> </w:t>
      </w:r>
      <w:r w:rsidR="00FA1394" w:rsidRPr="001D474F">
        <w:rPr>
          <w:sz w:val="20"/>
          <w:szCs w:val="20"/>
        </w:rPr>
        <w:t>doprecyzowanie</w:t>
      </w:r>
      <w:r w:rsidR="00BA4A93" w:rsidRPr="001D474F">
        <w:rPr>
          <w:sz w:val="20"/>
          <w:szCs w:val="20"/>
        </w:rPr>
        <w:t xml:space="preserve"> tego obowiązku, w </w:t>
      </w:r>
      <w:r w:rsidR="00B36356" w:rsidRPr="001D474F">
        <w:rPr>
          <w:sz w:val="20"/>
          <w:szCs w:val="20"/>
        </w:rPr>
        <w:t>szc</w:t>
      </w:r>
      <w:r w:rsidR="00E60C4D" w:rsidRPr="001D474F">
        <w:rPr>
          <w:sz w:val="20"/>
          <w:szCs w:val="20"/>
        </w:rPr>
        <w:t xml:space="preserve">zególności </w:t>
      </w:r>
      <w:r w:rsidRPr="001D474F">
        <w:rPr>
          <w:sz w:val="20"/>
          <w:szCs w:val="20"/>
        </w:rPr>
        <w:t xml:space="preserve">na gruncie </w:t>
      </w:r>
      <w:r w:rsidR="00E60C4D" w:rsidRPr="001D474F">
        <w:rPr>
          <w:sz w:val="20"/>
          <w:szCs w:val="20"/>
        </w:rPr>
        <w:t>art.</w:t>
      </w:r>
      <w:r w:rsidR="00B36356" w:rsidRPr="001D474F">
        <w:rPr>
          <w:sz w:val="20"/>
          <w:szCs w:val="20"/>
        </w:rPr>
        <w:t xml:space="preserve"> 34 (skargi indywidual</w:t>
      </w:r>
      <w:r w:rsidR="00E60C4D" w:rsidRPr="001D474F">
        <w:rPr>
          <w:sz w:val="20"/>
          <w:szCs w:val="20"/>
        </w:rPr>
        <w:t xml:space="preserve">ne) </w:t>
      </w:r>
      <w:r w:rsidR="008A7E82" w:rsidRPr="001D474F">
        <w:rPr>
          <w:sz w:val="20"/>
          <w:szCs w:val="20"/>
        </w:rPr>
        <w:t>E</w:t>
      </w:r>
      <w:r w:rsidRPr="001D474F">
        <w:rPr>
          <w:sz w:val="20"/>
          <w:szCs w:val="20"/>
        </w:rPr>
        <w:t xml:space="preserve">uropejskiej </w:t>
      </w:r>
      <w:r w:rsidR="00D847F1" w:rsidRPr="001D474F">
        <w:rPr>
          <w:sz w:val="20"/>
          <w:szCs w:val="20"/>
        </w:rPr>
        <w:t>Konwencji Praw Człowieka</w:t>
      </w:r>
      <w:r w:rsidR="00B36356" w:rsidRPr="001D474F">
        <w:rPr>
          <w:sz w:val="20"/>
          <w:szCs w:val="20"/>
        </w:rPr>
        <w:t>.</w:t>
      </w:r>
    </w:p>
    <w:p w14:paraId="5B9C83B3" w14:textId="77777777" w:rsidR="001D474F" w:rsidRPr="00E60C4D" w:rsidRDefault="001D474F" w:rsidP="001D474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91" w:after="118"/>
        <w:ind w:left="709" w:right="-40"/>
        <w:rPr>
          <w:b/>
          <w:bCs/>
        </w:rPr>
      </w:pPr>
      <w:r w:rsidRPr="00E60C4D">
        <w:rPr>
          <w:b/>
          <w:bCs/>
        </w:rPr>
        <w:t>Art</w:t>
      </w:r>
      <w:r>
        <w:rPr>
          <w:b/>
          <w:bCs/>
        </w:rPr>
        <w:t>ykuł</w:t>
      </w:r>
      <w:r w:rsidRPr="00E60C4D">
        <w:rPr>
          <w:b/>
          <w:bCs/>
        </w:rPr>
        <w:t xml:space="preserve"> 34  Konwencji (skargi indywidualne)</w:t>
      </w:r>
      <w:r>
        <w:rPr>
          <w:b/>
          <w:bCs/>
        </w:rPr>
        <w:t xml:space="preserve"> </w:t>
      </w:r>
      <w:r w:rsidRPr="009C415A">
        <w:t>stanowi:</w:t>
      </w:r>
    </w:p>
    <w:p w14:paraId="1E756151" w14:textId="77777777" w:rsidR="001D474F" w:rsidRPr="007207FA" w:rsidRDefault="001D474F" w:rsidP="001D474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91" w:after="118"/>
        <w:ind w:left="709" w:right="-40"/>
      </w:pPr>
      <w:r w:rsidRPr="007207FA">
        <w:t>„Trybunał może przyjmować skargi każdej osoby, organizacji pozarządowej lub grupy jednostek, która uważa, że stała się ofiarą naruszenia przez jedną z Wysokich Układających się Stron praw zawartych w niniejszej konwencji lub jej protokołach. Wysokie Układające się Strony zobowiązują się nie przeszkadzać w żaden sposób skutecznemu wykonywaniu tego prawa.”</w:t>
      </w:r>
    </w:p>
    <w:p w14:paraId="5E49542F" w14:textId="77777777" w:rsidR="0025631D" w:rsidRPr="004939EF" w:rsidRDefault="00B36356" w:rsidP="001D474F">
      <w:pPr>
        <w:pStyle w:val="Nagwek31"/>
        <w:spacing w:before="120"/>
        <w:rPr>
          <w:u w:val="none"/>
        </w:rPr>
      </w:pPr>
      <w:proofErr w:type="spellStart"/>
      <w:r w:rsidRPr="004939EF">
        <w:rPr>
          <w:color w:val="0071BB"/>
          <w:u w:val="thick" w:color="0071BB"/>
        </w:rPr>
        <w:t>Mamatkulov</w:t>
      </w:r>
      <w:proofErr w:type="spellEnd"/>
      <w:r w:rsidRPr="004939EF">
        <w:rPr>
          <w:color w:val="0071BB"/>
          <w:u w:val="thick" w:color="0071BB"/>
        </w:rPr>
        <w:t xml:space="preserve"> i </w:t>
      </w:r>
      <w:proofErr w:type="spellStart"/>
      <w:r w:rsidRPr="004939EF">
        <w:rPr>
          <w:color w:val="0071BB"/>
          <w:u w:val="thick" w:color="0071BB"/>
        </w:rPr>
        <w:t>Askarov</w:t>
      </w:r>
      <w:proofErr w:type="spellEnd"/>
      <w:r w:rsidRPr="004939EF">
        <w:rPr>
          <w:color w:val="0071BB"/>
          <w:u w:val="thick" w:color="0071BB"/>
        </w:rPr>
        <w:t xml:space="preserve"> przeciwko</w:t>
      </w:r>
      <w:r w:rsidR="00D3520A" w:rsidRPr="004939EF">
        <w:rPr>
          <w:color w:val="0071BB"/>
          <w:u w:val="thick" w:color="0071BB"/>
        </w:rPr>
        <w:t xml:space="preserve"> Tur</w:t>
      </w:r>
      <w:r w:rsidRPr="004939EF">
        <w:rPr>
          <w:color w:val="0071BB"/>
          <w:u w:val="thick" w:color="0071BB"/>
        </w:rPr>
        <w:t>cji</w:t>
      </w:r>
    </w:p>
    <w:p w14:paraId="3E2F6A43" w14:textId="77777777" w:rsidR="0025631D" w:rsidRPr="004939EF" w:rsidRDefault="00B36356">
      <w:pPr>
        <w:spacing w:before="61"/>
        <w:ind w:left="700"/>
        <w:jc w:val="both"/>
        <w:rPr>
          <w:sz w:val="18"/>
        </w:rPr>
      </w:pPr>
      <w:r w:rsidRPr="004939EF">
        <w:rPr>
          <w:color w:val="808080"/>
          <w:sz w:val="18"/>
        </w:rPr>
        <w:t>4 lutego 2005</w:t>
      </w:r>
      <w:r w:rsidR="005A7523">
        <w:rPr>
          <w:color w:val="808080"/>
          <w:sz w:val="18"/>
        </w:rPr>
        <w:t xml:space="preserve"> r.</w:t>
      </w:r>
      <w:r w:rsidRPr="004939EF">
        <w:rPr>
          <w:color w:val="808080"/>
          <w:sz w:val="18"/>
        </w:rPr>
        <w:t xml:space="preserve"> (Wielka Izba – wyrok</w:t>
      </w:r>
      <w:r w:rsidR="00D3520A" w:rsidRPr="004939EF">
        <w:rPr>
          <w:color w:val="808080"/>
          <w:sz w:val="18"/>
        </w:rPr>
        <w:t>)</w:t>
      </w:r>
    </w:p>
    <w:p w14:paraId="3C0C685A" w14:textId="7E4ED91A" w:rsidR="00B36356" w:rsidRPr="007207FA" w:rsidRDefault="00B36356" w:rsidP="00F57542">
      <w:pPr>
        <w:pStyle w:val="Tekstpodstawowy"/>
        <w:spacing w:before="1"/>
        <w:ind w:right="714"/>
      </w:pPr>
      <w:r w:rsidRPr="007207FA">
        <w:t>Skarżącymi byli dwaj obywatele Uzbekistanu i członkowie partii opozycyj</w:t>
      </w:r>
      <w:r w:rsidR="005A7523" w:rsidRPr="007207FA">
        <w:t>nej w </w:t>
      </w:r>
      <w:r w:rsidRPr="007207FA">
        <w:t>Uzbekistanie</w:t>
      </w:r>
      <w:r w:rsidR="005A7523" w:rsidRPr="007207FA">
        <w:t xml:space="preserve">. </w:t>
      </w:r>
      <w:r w:rsidR="00AB179A">
        <w:t>Zatrzymano</w:t>
      </w:r>
      <w:r w:rsidR="00AB179A" w:rsidRPr="007207FA">
        <w:t xml:space="preserve"> </w:t>
      </w:r>
      <w:r w:rsidR="005A7523" w:rsidRPr="007207FA">
        <w:t>ich</w:t>
      </w:r>
      <w:r w:rsidRPr="007207FA">
        <w:t xml:space="preserve"> </w:t>
      </w:r>
      <w:r w:rsidR="005A7523" w:rsidRPr="007207FA">
        <w:t xml:space="preserve">w </w:t>
      </w:r>
      <w:r w:rsidRPr="007207FA">
        <w:t xml:space="preserve">Turcji </w:t>
      </w:r>
      <w:r w:rsidR="00F57542" w:rsidRPr="007207FA">
        <w:t xml:space="preserve">w związku z podejrzeniem </w:t>
      </w:r>
      <w:r w:rsidR="009919D9" w:rsidRPr="007207FA">
        <w:t xml:space="preserve">zabójstwa i próby zamachu, a następnie </w:t>
      </w:r>
      <w:r w:rsidR="008A7E82">
        <w:t xml:space="preserve">dokonano ich ekstradycji </w:t>
      </w:r>
      <w:r w:rsidRPr="007207FA">
        <w:t xml:space="preserve">do Uzbekistanu pomimo środka tymczasowego </w:t>
      </w:r>
      <w:r w:rsidR="005A7523" w:rsidRPr="007207FA">
        <w:t xml:space="preserve">zaleconego </w:t>
      </w:r>
      <w:r w:rsidRPr="007207FA">
        <w:t xml:space="preserve">przez Trybunał na podstawie Reguły 39 Regulaminu Trybunału. Ich </w:t>
      </w:r>
      <w:r w:rsidR="00AB179A" w:rsidRPr="007207FA">
        <w:t>p</w:t>
      </w:r>
      <w:r w:rsidR="00AB179A">
        <w:t>ełnomocnicy</w:t>
      </w:r>
      <w:r w:rsidR="00AB179A" w:rsidRPr="007207FA">
        <w:t xml:space="preserve"> </w:t>
      </w:r>
      <w:r w:rsidRPr="007207FA">
        <w:t>utrzymywa</w:t>
      </w:r>
      <w:r w:rsidR="005A7523" w:rsidRPr="007207FA">
        <w:t>li w szczególności, że dokonując</w:t>
      </w:r>
      <w:r w:rsidRPr="007207FA">
        <w:t xml:space="preserve"> ekstradycji skarżących</w:t>
      </w:r>
      <w:r w:rsidR="00F57542" w:rsidRPr="007207FA">
        <w:t>,</w:t>
      </w:r>
      <w:r w:rsidRPr="007207FA">
        <w:t xml:space="preserve"> Turcja nie wywiązała się ze swoich </w:t>
      </w:r>
      <w:r w:rsidR="005A7523" w:rsidRPr="007207FA">
        <w:t>obowiązków wynikających z Konwencji</w:t>
      </w:r>
      <w:r w:rsidR="00AB179A">
        <w:t>,</w:t>
      </w:r>
      <w:r w:rsidR="009919D9" w:rsidRPr="007207FA">
        <w:t xml:space="preserve"> postępując </w:t>
      </w:r>
      <w:r w:rsidR="00AB179A">
        <w:t>wbrew</w:t>
      </w:r>
      <w:r w:rsidR="009919D9" w:rsidRPr="007207FA">
        <w:t> </w:t>
      </w:r>
      <w:r w:rsidR="00AB179A" w:rsidRPr="007207FA">
        <w:t>zaleceni</w:t>
      </w:r>
      <w:r w:rsidR="00AB179A">
        <w:t>om</w:t>
      </w:r>
      <w:r w:rsidR="00AB179A" w:rsidRPr="007207FA">
        <w:t xml:space="preserve"> </w:t>
      </w:r>
      <w:r w:rsidRPr="007207FA">
        <w:t>udzielonym przez Trybunał na podstawie Reguły 39 Regulaminu Trybunału.</w:t>
      </w:r>
    </w:p>
    <w:p w14:paraId="430C20A2" w14:textId="25C6600A" w:rsidR="00FA60C2" w:rsidRPr="005A7523" w:rsidRDefault="00B36356" w:rsidP="005A7523">
      <w:pPr>
        <w:pStyle w:val="Tekstpodstawowy"/>
        <w:ind w:left="699" w:right="715"/>
        <w:rPr>
          <w:color w:val="E26C09"/>
        </w:rPr>
      </w:pPr>
      <w:r w:rsidRPr="005A7523">
        <w:rPr>
          <w:color w:val="E26C09"/>
        </w:rPr>
        <w:lastRenderedPageBreak/>
        <w:t xml:space="preserve">W przedmiotowym wyroku Trybunał </w:t>
      </w:r>
      <w:r w:rsidR="005A7523">
        <w:rPr>
          <w:color w:val="E26C09"/>
        </w:rPr>
        <w:t>po raz pierwszy</w:t>
      </w:r>
      <w:r w:rsidR="00CB64B8">
        <w:rPr>
          <w:color w:val="E26C09"/>
        </w:rPr>
        <w:t xml:space="preserve"> uznał</w:t>
      </w:r>
      <w:r w:rsidR="005A7523">
        <w:rPr>
          <w:color w:val="E26C09"/>
        </w:rPr>
        <w:t xml:space="preserve">, że Państwo </w:t>
      </w:r>
      <w:r w:rsidRPr="005A7523">
        <w:rPr>
          <w:color w:val="E26C09"/>
        </w:rPr>
        <w:t>-</w:t>
      </w:r>
      <w:r w:rsidR="005A7523">
        <w:rPr>
          <w:color w:val="E26C09"/>
        </w:rPr>
        <w:t xml:space="preserve"> </w:t>
      </w:r>
      <w:r w:rsidRPr="005A7523">
        <w:rPr>
          <w:color w:val="E26C09"/>
        </w:rPr>
        <w:t xml:space="preserve">Strona </w:t>
      </w:r>
      <w:r w:rsidR="007B30DE">
        <w:rPr>
          <w:color w:val="E26C09"/>
        </w:rPr>
        <w:t xml:space="preserve">nie stosując się do </w:t>
      </w:r>
      <w:r w:rsidR="007B30DE" w:rsidRPr="005A7523">
        <w:rPr>
          <w:color w:val="E26C09"/>
        </w:rPr>
        <w:t>środka tymczasowego zaleconego n</w:t>
      </w:r>
      <w:r w:rsidR="007B30DE">
        <w:rPr>
          <w:color w:val="E26C09"/>
        </w:rPr>
        <w:t>a mocy Reguły 39 Regulaminu Trybunału</w:t>
      </w:r>
      <w:r w:rsidR="007B30DE" w:rsidRPr="005A7523">
        <w:rPr>
          <w:color w:val="E26C09"/>
        </w:rPr>
        <w:t xml:space="preserve"> </w:t>
      </w:r>
      <w:r w:rsidRPr="005A7523">
        <w:rPr>
          <w:color w:val="E26C09"/>
        </w:rPr>
        <w:t>nie spełnił</w:t>
      </w:r>
      <w:r w:rsidR="00FA60C2" w:rsidRPr="005A7523">
        <w:rPr>
          <w:color w:val="E26C09"/>
        </w:rPr>
        <w:t>o swoj</w:t>
      </w:r>
      <w:r w:rsidR="005A7523">
        <w:rPr>
          <w:color w:val="E26C09"/>
        </w:rPr>
        <w:t>e</w:t>
      </w:r>
      <w:r w:rsidR="00FA60C2" w:rsidRPr="005A7523">
        <w:rPr>
          <w:color w:val="E26C09"/>
        </w:rPr>
        <w:t>go obowiązku wynikającego</w:t>
      </w:r>
      <w:r w:rsidR="00191FB9">
        <w:rPr>
          <w:color w:val="E26C09"/>
        </w:rPr>
        <w:t xml:space="preserve"> z art.</w:t>
      </w:r>
      <w:r w:rsidRPr="005A7523">
        <w:rPr>
          <w:color w:val="E26C09"/>
        </w:rPr>
        <w:t xml:space="preserve"> 34 Konwencji</w:t>
      </w:r>
      <w:r w:rsidR="007B30DE">
        <w:rPr>
          <w:color w:val="E26C09"/>
        </w:rPr>
        <w:t>.</w:t>
      </w:r>
    </w:p>
    <w:p w14:paraId="434CBBD2" w14:textId="518304D1" w:rsidR="00495AC9" w:rsidRPr="00B35CBE" w:rsidRDefault="00B36356" w:rsidP="00B35CBE">
      <w:pPr>
        <w:pStyle w:val="Tekstpodstawowy"/>
        <w:ind w:left="699" w:right="715"/>
        <w:rPr>
          <w:color w:val="0070C0"/>
        </w:rPr>
      </w:pPr>
      <w:r w:rsidRPr="005A7523">
        <w:rPr>
          <w:color w:val="0070C0"/>
        </w:rPr>
        <w:t xml:space="preserve">Trybunał </w:t>
      </w:r>
      <w:r w:rsidR="00FA60C2" w:rsidRPr="005A7523">
        <w:rPr>
          <w:color w:val="0070C0"/>
        </w:rPr>
        <w:t xml:space="preserve">w szczególności </w:t>
      </w:r>
      <w:r w:rsidRPr="005A7523">
        <w:rPr>
          <w:color w:val="0070C0"/>
        </w:rPr>
        <w:t xml:space="preserve">wskazał, że </w:t>
      </w:r>
      <w:r w:rsidR="00CB64B8">
        <w:rPr>
          <w:color w:val="0070C0"/>
        </w:rPr>
        <w:t>w ramach</w:t>
      </w:r>
      <w:r w:rsidRPr="005A7523">
        <w:rPr>
          <w:color w:val="0070C0"/>
        </w:rPr>
        <w:t xml:space="preserve"> systemu </w:t>
      </w:r>
      <w:r w:rsidR="007B30DE">
        <w:rPr>
          <w:color w:val="0070C0"/>
        </w:rPr>
        <w:t>konwencyjnego</w:t>
      </w:r>
      <w:r w:rsidR="005A7523">
        <w:rPr>
          <w:color w:val="0070C0"/>
        </w:rPr>
        <w:t>,</w:t>
      </w:r>
      <w:r w:rsidRPr="005A7523">
        <w:rPr>
          <w:color w:val="0070C0"/>
        </w:rPr>
        <w:t xml:space="preserve"> </w:t>
      </w:r>
      <w:r w:rsidR="007B30DE">
        <w:rPr>
          <w:color w:val="0070C0"/>
        </w:rPr>
        <w:t xml:space="preserve">środki tymczasowe </w:t>
      </w:r>
      <w:r w:rsidR="00FA60C2" w:rsidRPr="005A7523">
        <w:rPr>
          <w:color w:val="0070C0"/>
        </w:rPr>
        <w:t>konsekwentnie stosowane w praktyce</w:t>
      </w:r>
      <w:r w:rsidR="00CB64B8">
        <w:rPr>
          <w:color w:val="0070C0"/>
        </w:rPr>
        <w:t xml:space="preserve"> </w:t>
      </w:r>
      <w:r w:rsidRPr="005A7523">
        <w:rPr>
          <w:color w:val="0070C0"/>
        </w:rPr>
        <w:t xml:space="preserve">odgrywają </w:t>
      </w:r>
      <w:r w:rsidR="005A7523">
        <w:rPr>
          <w:color w:val="0070C0"/>
        </w:rPr>
        <w:t>istotną rolę w unikaniu</w:t>
      </w:r>
      <w:r w:rsidRPr="005A7523">
        <w:rPr>
          <w:color w:val="0070C0"/>
        </w:rPr>
        <w:t xml:space="preserve"> nieodwracalnych sytuacji, które uniemożliwiłyby Trybunałowi odpow</w:t>
      </w:r>
      <w:r w:rsidR="00B35CBE">
        <w:rPr>
          <w:color w:val="0070C0"/>
        </w:rPr>
        <w:t>iednie rozpoznanie skargi, a w stosownych okolicznościach,</w:t>
      </w:r>
      <w:r w:rsidRPr="005A7523">
        <w:rPr>
          <w:color w:val="0070C0"/>
        </w:rPr>
        <w:t xml:space="preserve"> </w:t>
      </w:r>
      <w:r w:rsidR="003928D2">
        <w:rPr>
          <w:color w:val="0070C0"/>
        </w:rPr>
        <w:t xml:space="preserve">służą </w:t>
      </w:r>
      <w:r w:rsidRPr="005A7523">
        <w:rPr>
          <w:color w:val="0070C0"/>
        </w:rPr>
        <w:t>zapewn</w:t>
      </w:r>
      <w:r w:rsidR="003928D2">
        <w:rPr>
          <w:color w:val="0070C0"/>
        </w:rPr>
        <w:t>ieniu</w:t>
      </w:r>
      <w:r w:rsidRPr="005A7523">
        <w:rPr>
          <w:color w:val="0070C0"/>
        </w:rPr>
        <w:t xml:space="preserve"> skarżącemu prakt</w:t>
      </w:r>
      <w:r w:rsidR="009919D9">
        <w:rPr>
          <w:color w:val="0070C0"/>
        </w:rPr>
        <w:t>ycznych i </w:t>
      </w:r>
      <w:r w:rsidR="00FA60C2" w:rsidRPr="005A7523">
        <w:rPr>
          <w:color w:val="0070C0"/>
        </w:rPr>
        <w:t>skutecznych korzyści płynących</w:t>
      </w:r>
      <w:r w:rsidRPr="005A7523">
        <w:rPr>
          <w:color w:val="0070C0"/>
        </w:rPr>
        <w:t xml:space="preserve"> z </w:t>
      </w:r>
      <w:r w:rsidR="00B35CBE">
        <w:rPr>
          <w:color w:val="0070C0"/>
        </w:rPr>
        <w:t xml:space="preserve">dochodzonych </w:t>
      </w:r>
      <w:r w:rsidRPr="005A7523">
        <w:rPr>
          <w:color w:val="0070C0"/>
        </w:rPr>
        <w:t xml:space="preserve">praw </w:t>
      </w:r>
      <w:r w:rsidR="00CB64B8">
        <w:rPr>
          <w:color w:val="0070C0"/>
        </w:rPr>
        <w:t>wynikających z Konwencji</w:t>
      </w:r>
      <w:r w:rsidRPr="005A7523">
        <w:rPr>
          <w:color w:val="0070C0"/>
        </w:rPr>
        <w:t xml:space="preserve">. </w:t>
      </w:r>
      <w:r w:rsidR="00FA60C2" w:rsidRPr="005A7523">
        <w:rPr>
          <w:color w:val="0070C0"/>
        </w:rPr>
        <w:t>Zatem n</w:t>
      </w:r>
      <w:r w:rsidRPr="005A7523">
        <w:rPr>
          <w:color w:val="0070C0"/>
        </w:rPr>
        <w:t>iezastosowanie</w:t>
      </w:r>
      <w:r w:rsidR="00B35CBE" w:rsidRPr="00B35CBE">
        <w:rPr>
          <w:color w:val="0070C0"/>
        </w:rPr>
        <w:t xml:space="preserve"> </w:t>
      </w:r>
      <w:r w:rsidR="00CB64B8">
        <w:rPr>
          <w:color w:val="0070C0"/>
        </w:rPr>
        <w:t xml:space="preserve">się do </w:t>
      </w:r>
      <w:r w:rsidR="00CB64B8" w:rsidRPr="00B35CBE">
        <w:rPr>
          <w:color w:val="0070C0"/>
        </w:rPr>
        <w:t>środków tymczasowych</w:t>
      </w:r>
      <w:r w:rsidR="00CB64B8" w:rsidRPr="005A7523">
        <w:rPr>
          <w:color w:val="0070C0"/>
        </w:rPr>
        <w:t xml:space="preserve"> </w:t>
      </w:r>
      <w:r w:rsidR="00B35CBE" w:rsidRPr="005A7523">
        <w:rPr>
          <w:color w:val="0070C0"/>
        </w:rPr>
        <w:t>w tych warunkach</w:t>
      </w:r>
      <w:r w:rsidRPr="005A7523">
        <w:rPr>
          <w:color w:val="0070C0"/>
        </w:rPr>
        <w:t xml:space="preserve"> przez </w:t>
      </w:r>
      <w:r w:rsidR="00494B5E">
        <w:rPr>
          <w:color w:val="0070C0"/>
        </w:rPr>
        <w:t>P</w:t>
      </w:r>
      <w:r w:rsidRPr="00B35CBE">
        <w:rPr>
          <w:color w:val="0070C0"/>
        </w:rPr>
        <w:t xml:space="preserve">aństwo, które ratyfikowało Konwencję, </w:t>
      </w:r>
      <w:r w:rsidR="00CB64B8">
        <w:rPr>
          <w:color w:val="0070C0"/>
        </w:rPr>
        <w:t>ograniczyłoby</w:t>
      </w:r>
      <w:r w:rsidR="00CB64B8" w:rsidRPr="00B35CBE">
        <w:rPr>
          <w:color w:val="0070C0"/>
        </w:rPr>
        <w:t xml:space="preserve"> </w:t>
      </w:r>
      <w:r w:rsidRPr="00B35CBE">
        <w:rPr>
          <w:color w:val="0070C0"/>
        </w:rPr>
        <w:t xml:space="preserve">skuteczność prawa do skargi indywidualnej, </w:t>
      </w:r>
      <w:r w:rsidR="00B35CBE" w:rsidRPr="00B35CBE">
        <w:rPr>
          <w:color w:val="0070C0"/>
        </w:rPr>
        <w:t>za</w:t>
      </w:r>
      <w:r w:rsidRPr="00B35CBE">
        <w:rPr>
          <w:color w:val="0070C0"/>
        </w:rPr>
        <w:t>gwar</w:t>
      </w:r>
      <w:r w:rsidR="00FA60C2" w:rsidRPr="00B35CBE">
        <w:rPr>
          <w:color w:val="0070C0"/>
        </w:rPr>
        <w:t xml:space="preserve">antowanego na mocy </w:t>
      </w:r>
      <w:r w:rsidR="00B35CBE" w:rsidRPr="00B35CBE">
        <w:rPr>
          <w:color w:val="0070C0"/>
        </w:rPr>
        <w:t xml:space="preserve">art. </w:t>
      </w:r>
      <w:r w:rsidR="00FA60C2" w:rsidRPr="00B35CBE">
        <w:rPr>
          <w:color w:val="0070C0"/>
        </w:rPr>
        <w:t>34,</w:t>
      </w:r>
      <w:r w:rsidR="00F57542">
        <w:rPr>
          <w:color w:val="0070C0"/>
        </w:rPr>
        <w:t xml:space="preserve"> a także formalne zobowiązanie</w:t>
      </w:r>
      <w:r w:rsidR="00494B5E">
        <w:rPr>
          <w:color w:val="0070C0"/>
        </w:rPr>
        <w:t xml:space="preserve"> P</w:t>
      </w:r>
      <w:r w:rsidR="00FA60C2" w:rsidRPr="00B35CBE">
        <w:rPr>
          <w:color w:val="0070C0"/>
        </w:rPr>
        <w:t xml:space="preserve">aństwa w </w:t>
      </w:r>
      <w:r w:rsidR="00B35CBE" w:rsidRPr="00B35CBE">
        <w:rPr>
          <w:color w:val="0070C0"/>
        </w:rPr>
        <w:t xml:space="preserve">art. </w:t>
      </w:r>
      <w:r w:rsidR="00FA60C2" w:rsidRPr="00B35CBE">
        <w:rPr>
          <w:color w:val="0070C0"/>
        </w:rPr>
        <w:t xml:space="preserve">1 do ochrony praw i wolności </w:t>
      </w:r>
      <w:r w:rsidR="00CB64B8">
        <w:rPr>
          <w:color w:val="0070C0"/>
        </w:rPr>
        <w:t>wynikających z Konwencji</w:t>
      </w:r>
      <w:r w:rsidR="00495AC9" w:rsidRPr="00B35CBE">
        <w:rPr>
          <w:color w:val="0070C0"/>
        </w:rPr>
        <w:t>.</w:t>
      </w:r>
      <w:r w:rsidR="00495AC9" w:rsidRPr="005A7523">
        <w:rPr>
          <w:color w:val="0070C0"/>
        </w:rPr>
        <w:t xml:space="preserve"> </w:t>
      </w:r>
    </w:p>
    <w:p w14:paraId="71CE4060" w14:textId="3E24F6FB" w:rsidR="00495AC9" w:rsidRPr="00B35CBE" w:rsidRDefault="00495AC9" w:rsidP="00494B5E">
      <w:pPr>
        <w:pStyle w:val="Tekstpodstawowy"/>
        <w:ind w:left="699" w:right="715"/>
        <w:rPr>
          <w:color w:val="0070C0"/>
        </w:rPr>
      </w:pPr>
      <w:r w:rsidRPr="00B35CBE">
        <w:rPr>
          <w:color w:val="0070C0"/>
        </w:rPr>
        <w:t>Ponadto</w:t>
      </w:r>
      <w:r w:rsidR="00FD60FB">
        <w:rPr>
          <w:color w:val="0070C0"/>
        </w:rPr>
        <w:t xml:space="preserve">, </w:t>
      </w:r>
      <w:r w:rsidR="00CB64B8">
        <w:rPr>
          <w:color w:val="0070C0"/>
        </w:rPr>
        <w:t xml:space="preserve">z okoliczności </w:t>
      </w:r>
      <w:r w:rsidR="00FD60FB">
        <w:rPr>
          <w:color w:val="0070C0"/>
        </w:rPr>
        <w:t>faktyczny</w:t>
      </w:r>
      <w:r w:rsidR="00CB64B8">
        <w:rPr>
          <w:color w:val="0070C0"/>
        </w:rPr>
        <w:t>ch</w:t>
      </w:r>
      <w:r w:rsidR="00FD60FB">
        <w:rPr>
          <w:color w:val="0070C0"/>
        </w:rPr>
        <w:t xml:space="preserve"> sprawy wyraźnie</w:t>
      </w:r>
      <w:r w:rsidR="00CB64B8">
        <w:rPr>
          <w:color w:val="0070C0"/>
        </w:rPr>
        <w:t xml:space="preserve"> wynikało</w:t>
      </w:r>
      <w:r w:rsidRPr="00B35CBE">
        <w:rPr>
          <w:color w:val="0070C0"/>
        </w:rPr>
        <w:t xml:space="preserve">, że wskutek ekstradycji skarżących do </w:t>
      </w:r>
      <w:r w:rsidRPr="009919D9">
        <w:rPr>
          <w:color w:val="0070C0"/>
        </w:rPr>
        <w:t>Uzbekistanu Trybunał nie miał możliwości w</w:t>
      </w:r>
      <w:r w:rsidR="00FD60FB" w:rsidRPr="009919D9">
        <w:rPr>
          <w:color w:val="0070C0"/>
        </w:rPr>
        <w:t>łaściwego rozpoznania ich skarg</w:t>
      </w:r>
      <w:r w:rsidRPr="009919D9">
        <w:rPr>
          <w:color w:val="0070C0"/>
        </w:rPr>
        <w:t xml:space="preserve"> zgodnie ze swoją ugruntowaną praktyką w podobnych</w:t>
      </w:r>
      <w:r w:rsidRPr="00B35CBE">
        <w:rPr>
          <w:color w:val="0070C0"/>
        </w:rPr>
        <w:t xml:space="preserve"> sprawach,</w:t>
      </w:r>
      <w:r w:rsidR="00ED0EAC" w:rsidRPr="00B35CBE">
        <w:rPr>
          <w:color w:val="0070C0"/>
        </w:rPr>
        <w:t xml:space="preserve"> a ostatecznie nie miał możliwości </w:t>
      </w:r>
      <w:r w:rsidR="00CB64B8">
        <w:rPr>
          <w:color w:val="0070C0"/>
        </w:rPr>
        <w:t xml:space="preserve">zapewnienia </w:t>
      </w:r>
      <w:r w:rsidR="00ED0EAC" w:rsidRPr="00B35CBE">
        <w:rPr>
          <w:color w:val="0070C0"/>
        </w:rPr>
        <w:t>i</w:t>
      </w:r>
      <w:r w:rsidR="00CB64B8">
        <w:rPr>
          <w:color w:val="0070C0"/>
        </w:rPr>
        <w:t>m</w:t>
      </w:r>
      <w:r w:rsidR="00FA1394">
        <w:rPr>
          <w:color w:val="0070C0"/>
        </w:rPr>
        <w:t xml:space="preserve"> </w:t>
      </w:r>
      <w:r w:rsidR="00251E98">
        <w:rPr>
          <w:color w:val="0070C0"/>
        </w:rPr>
        <w:t xml:space="preserve">niezbędnej </w:t>
      </w:r>
      <w:r w:rsidR="00ED0EAC" w:rsidRPr="00B35CBE">
        <w:rPr>
          <w:color w:val="0070C0"/>
        </w:rPr>
        <w:t xml:space="preserve">ochrony przed zarzucanymi </w:t>
      </w:r>
      <w:r w:rsidR="009919D9">
        <w:rPr>
          <w:color w:val="0070C0"/>
        </w:rPr>
        <w:t xml:space="preserve">naruszeniami Konwencji. </w:t>
      </w:r>
      <w:r w:rsidR="00251E98">
        <w:rPr>
          <w:color w:val="0070C0"/>
        </w:rPr>
        <w:t>W rezultacie</w:t>
      </w:r>
      <w:r w:rsidR="00ED0EAC" w:rsidRPr="00B35CBE">
        <w:rPr>
          <w:color w:val="0070C0"/>
        </w:rPr>
        <w:t xml:space="preserve"> skarżącym utrudniono skuteczne skorzystanie z przysługującego im prawa do skargi indywidualnej z</w:t>
      </w:r>
      <w:r w:rsidR="00494B5E">
        <w:rPr>
          <w:color w:val="0070C0"/>
        </w:rPr>
        <w:t>agwarantowanego na mocy art.</w:t>
      </w:r>
      <w:r w:rsidR="00ED0EAC" w:rsidRPr="00B35CBE">
        <w:rPr>
          <w:color w:val="0070C0"/>
        </w:rPr>
        <w:t xml:space="preserve"> 34 Konwencji, </w:t>
      </w:r>
      <w:r w:rsidR="00494B5E">
        <w:rPr>
          <w:color w:val="0070C0"/>
        </w:rPr>
        <w:t>które to prawo ekstradycja skar</w:t>
      </w:r>
      <w:r w:rsidR="00ED0EAC" w:rsidRPr="00B35CBE">
        <w:rPr>
          <w:color w:val="0070C0"/>
        </w:rPr>
        <w:t>ż</w:t>
      </w:r>
      <w:r w:rsidR="00494B5E">
        <w:rPr>
          <w:color w:val="0070C0"/>
        </w:rPr>
        <w:t>ąc</w:t>
      </w:r>
      <w:r w:rsidR="00ED0EAC" w:rsidRPr="00B35CBE">
        <w:rPr>
          <w:color w:val="0070C0"/>
        </w:rPr>
        <w:t xml:space="preserve">ych uczyniła </w:t>
      </w:r>
      <w:r w:rsidR="00CB64B8">
        <w:rPr>
          <w:color w:val="0070C0"/>
        </w:rPr>
        <w:t>bezprzedmiotowym</w:t>
      </w:r>
      <w:r w:rsidR="00ED0EAC" w:rsidRPr="00B35CBE">
        <w:rPr>
          <w:color w:val="0070C0"/>
        </w:rPr>
        <w:t xml:space="preserve">. </w:t>
      </w:r>
    </w:p>
    <w:p w14:paraId="1088A1F5" w14:textId="2C1187B4" w:rsidR="00B36356" w:rsidRPr="00B35CBE" w:rsidRDefault="00CB64B8" w:rsidP="00494B5E">
      <w:pPr>
        <w:pStyle w:val="Tekstpodstawowy"/>
        <w:ind w:left="699" w:right="715"/>
        <w:rPr>
          <w:color w:val="0070C0"/>
        </w:rPr>
      </w:pPr>
      <w:r>
        <w:rPr>
          <w:color w:val="0070C0"/>
        </w:rPr>
        <w:t>Wreszcie</w:t>
      </w:r>
      <w:r w:rsidR="00494B5E">
        <w:rPr>
          <w:color w:val="0070C0"/>
        </w:rPr>
        <w:t xml:space="preserve"> Trybunał </w:t>
      </w:r>
      <w:r w:rsidR="00CB19CD">
        <w:rPr>
          <w:color w:val="0070C0"/>
        </w:rPr>
        <w:t>powtórzył</w:t>
      </w:r>
      <w:r w:rsidR="00494B5E">
        <w:rPr>
          <w:color w:val="0070C0"/>
        </w:rPr>
        <w:t>, że na mocy art.</w:t>
      </w:r>
      <w:r w:rsidR="00ED0EAC" w:rsidRPr="00B35CBE">
        <w:rPr>
          <w:color w:val="0070C0"/>
        </w:rPr>
        <w:t xml:space="preserve"> 34, </w:t>
      </w:r>
      <w:r>
        <w:rPr>
          <w:color w:val="0070C0"/>
        </w:rPr>
        <w:t>p</w:t>
      </w:r>
      <w:r w:rsidR="00ED0EAC" w:rsidRPr="00B35CBE">
        <w:rPr>
          <w:color w:val="0070C0"/>
        </w:rPr>
        <w:t>ańs</w:t>
      </w:r>
      <w:r w:rsidR="00494B5E">
        <w:rPr>
          <w:color w:val="0070C0"/>
        </w:rPr>
        <w:t>twa, które ratyfikowały</w:t>
      </w:r>
      <w:r w:rsidR="00ED0EAC" w:rsidRPr="00B35CBE">
        <w:rPr>
          <w:color w:val="0070C0"/>
        </w:rPr>
        <w:t xml:space="preserve"> Konwencję, </w:t>
      </w:r>
      <w:r w:rsidR="00B36356" w:rsidRPr="00B35CBE">
        <w:rPr>
          <w:color w:val="0070C0"/>
        </w:rPr>
        <w:t>zobowiązały się d</w:t>
      </w:r>
      <w:r w:rsidR="00F57542">
        <w:rPr>
          <w:color w:val="0070C0"/>
        </w:rPr>
        <w:t>o powstrzymania się od wszelkiego działania</w:t>
      </w:r>
      <w:r w:rsidR="00B36356" w:rsidRPr="00B35CBE">
        <w:rPr>
          <w:color w:val="0070C0"/>
        </w:rPr>
        <w:t xml:space="preserve"> lub </w:t>
      </w:r>
      <w:r w:rsidR="00BA4A93">
        <w:rPr>
          <w:color w:val="0070C0"/>
        </w:rPr>
        <w:t>zaniechania</w:t>
      </w:r>
      <w:r w:rsidR="00F57542">
        <w:rPr>
          <w:color w:val="0070C0"/>
        </w:rPr>
        <w:t>, które może</w:t>
      </w:r>
      <w:r w:rsidR="00B36356" w:rsidRPr="00B35CBE">
        <w:rPr>
          <w:color w:val="0070C0"/>
        </w:rPr>
        <w:t xml:space="preserve"> utrudnić skuteczne korzystanie przez </w:t>
      </w:r>
      <w:r w:rsidR="00CB19CD" w:rsidRPr="00B35CBE">
        <w:rPr>
          <w:color w:val="0070C0"/>
        </w:rPr>
        <w:t>skarżąc</w:t>
      </w:r>
      <w:r w:rsidR="00CB19CD">
        <w:rPr>
          <w:color w:val="0070C0"/>
        </w:rPr>
        <w:t>ych</w:t>
      </w:r>
      <w:r w:rsidR="00CB19CD" w:rsidRPr="00B35CBE">
        <w:rPr>
          <w:color w:val="0070C0"/>
        </w:rPr>
        <w:t xml:space="preserve"> </w:t>
      </w:r>
      <w:r w:rsidR="00B36356" w:rsidRPr="00B35CBE">
        <w:rPr>
          <w:color w:val="0070C0"/>
        </w:rPr>
        <w:t xml:space="preserve">z prawa do skargi indywidualnej. Niezastosowanie </w:t>
      </w:r>
      <w:r>
        <w:rPr>
          <w:color w:val="0070C0"/>
        </w:rPr>
        <w:t xml:space="preserve">się do </w:t>
      </w:r>
      <w:r w:rsidR="00B36356" w:rsidRPr="00B35CBE">
        <w:rPr>
          <w:color w:val="0070C0"/>
        </w:rPr>
        <w:t>środków tymczasowych należy uznać za uniemożliwienie Trybuna</w:t>
      </w:r>
      <w:r w:rsidR="00ED0EAC" w:rsidRPr="00B35CBE">
        <w:rPr>
          <w:color w:val="0070C0"/>
        </w:rPr>
        <w:t xml:space="preserve">łowi skutecznego </w:t>
      </w:r>
      <w:r w:rsidR="00841B30">
        <w:rPr>
          <w:color w:val="0070C0"/>
        </w:rPr>
        <w:t>zbadania</w:t>
      </w:r>
      <w:r w:rsidR="00841B30" w:rsidRPr="00B35CBE">
        <w:rPr>
          <w:color w:val="0070C0"/>
        </w:rPr>
        <w:t xml:space="preserve"> </w:t>
      </w:r>
      <w:r w:rsidR="00841B30">
        <w:rPr>
          <w:color w:val="0070C0"/>
        </w:rPr>
        <w:t>zarzutów</w:t>
      </w:r>
      <w:r w:rsidR="00841B30" w:rsidRPr="00B35CBE">
        <w:rPr>
          <w:color w:val="0070C0"/>
        </w:rPr>
        <w:t xml:space="preserve"> </w:t>
      </w:r>
      <w:r w:rsidR="00ED0EAC" w:rsidRPr="00B35CBE">
        <w:rPr>
          <w:color w:val="0070C0"/>
        </w:rPr>
        <w:t>skarżących</w:t>
      </w:r>
      <w:r w:rsidR="00B36356" w:rsidRPr="00B35CBE">
        <w:rPr>
          <w:color w:val="0070C0"/>
        </w:rPr>
        <w:t xml:space="preserve"> oraz </w:t>
      </w:r>
      <w:r w:rsidR="00841B30">
        <w:rPr>
          <w:color w:val="0070C0"/>
        </w:rPr>
        <w:t xml:space="preserve">za </w:t>
      </w:r>
      <w:r w:rsidR="00B36356" w:rsidRPr="00B35CBE">
        <w:rPr>
          <w:color w:val="0070C0"/>
        </w:rPr>
        <w:t xml:space="preserve">utrudnianie skutecznego wykonywania </w:t>
      </w:r>
      <w:r w:rsidR="00ED0EAC" w:rsidRPr="00B35CBE">
        <w:rPr>
          <w:color w:val="0070C0"/>
        </w:rPr>
        <w:t xml:space="preserve">ich </w:t>
      </w:r>
      <w:r w:rsidR="00B36356" w:rsidRPr="00B35CBE">
        <w:rPr>
          <w:color w:val="0070C0"/>
        </w:rPr>
        <w:t>praw</w:t>
      </w:r>
      <w:r w:rsidR="00841B30">
        <w:rPr>
          <w:color w:val="0070C0"/>
        </w:rPr>
        <w:t>a</w:t>
      </w:r>
      <w:r w:rsidR="00B36356" w:rsidRPr="00B35CBE">
        <w:rPr>
          <w:color w:val="0070C0"/>
        </w:rPr>
        <w:t xml:space="preserve">, </w:t>
      </w:r>
      <w:r w:rsidR="00E448AE" w:rsidRPr="00B35CBE">
        <w:rPr>
          <w:color w:val="0070C0"/>
        </w:rPr>
        <w:t xml:space="preserve">a </w:t>
      </w:r>
      <w:r>
        <w:rPr>
          <w:color w:val="0070C0"/>
        </w:rPr>
        <w:t>tym samym</w:t>
      </w:r>
      <w:r w:rsidRPr="00B35CBE">
        <w:rPr>
          <w:color w:val="0070C0"/>
        </w:rPr>
        <w:t xml:space="preserve"> </w:t>
      </w:r>
      <w:r w:rsidR="00B36356" w:rsidRPr="00B35CBE">
        <w:rPr>
          <w:color w:val="0070C0"/>
        </w:rPr>
        <w:t xml:space="preserve">za naruszenie </w:t>
      </w:r>
      <w:r w:rsidR="00494B5E">
        <w:rPr>
          <w:color w:val="0070C0"/>
        </w:rPr>
        <w:t xml:space="preserve">art. </w:t>
      </w:r>
      <w:r w:rsidR="00B36356" w:rsidRPr="00B35CBE">
        <w:rPr>
          <w:color w:val="0070C0"/>
        </w:rPr>
        <w:t>34.</w:t>
      </w:r>
    </w:p>
    <w:p w14:paraId="4B4E2737" w14:textId="77777777" w:rsidR="0025631D" w:rsidRPr="004939EF" w:rsidRDefault="0025631D">
      <w:pPr>
        <w:pStyle w:val="Tekstpodstawowy"/>
        <w:spacing w:before="10"/>
        <w:ind w:left="0"/>
        <w:jc w:val="left"/>
        <w:rPr>
          <w:sz w:val="11"/>
        </w:rPr>
      </w:pPr>
    </w:p>
    <w:p w14:paraId="104357F4" w14:textId="3787138B" w:rsidR="00E448AE" w:rsidRPr="00494B5E" w:rsidRDefault="00E448AE" w:rsidP="00494B5E">
      <w:pPr>
        <w:spacing w:before="1"/>
        <w:ind w:left="700" w:right="720"/>
        <w:jc w:val="both"/>
        <w:rPr>
          <w:color w:val="0070C0"/>
          <w:sz w:val="20"/>
        </w:rPr>
      </w:pPr>
      <w:r w:rsidRPr="00494B5E">
        <w:rPr>
          <w:color w:val="0070C0"/>
          <w:sz w:val="20"/>
        </w:rPr>
        <w:t xml:space="preserve">Uwzględniając dostępne materiały Trybunał stwierdził zatem, </w:t>
      </w:r>
      <w:r w:rsidRPr="00494B5E">
        <w:rPr>
          <w:b/>
          <w:bCs/>
          <w:color w:val="0070C0"/>
          <w:sz w:val="20"/>
        </w:rPr>
        <w:t xml:space="preserve">że </w:t>
      </w:r>
      <w:r w:rsidR="00841B30">
        <w:rPr>
          <w:b/>
          <w:bCs/>
          <w:color w:val="0070C0"/>
          <w:sz w:val="20"/>
        </w:rPr>
        <w:t>po</w:t>
      </w:r>
      <w:r w:rsidR="00CB64B8">
        <w:rPr>
          <w:b/>
          <w:bCs/>
          <w:color w:val="0070C0"/>
          <w:sz w:val="20"/>
        </w:rPr>
        <w:t xml:space="preserve">przez </w:t>
      </w:r>
      <w:r w:rsidR="00494B5E" w:rsidRPr="00494B5E">
        <w:rPr>
          <w:b/>
          <w:bCs/>
          <w:color w:val="0070C0"/>
          <w:sz w:val="20"/>
        </w:rPr>
        <w:t>niestosowani</w:t>
      </w:r>
      <w:r w:rsidR="00CB64B8">
        <w:rPr>
          <w:b/>
          <w:bCs/>
          <w:color w:val="0070C0"/>
          <w:sz w:val="20"/>
        </w:rPr>
        <w:t>e</w:t>
      </w:r>
      <w:r w:rsidR="00494B5E" w:rsidRPr="00494B5E">
        <w:rPr>
          <w:b/>
          <w:bCs/>
          <w:color w:val="0070C0"/>
          <w:sz w:val="20"/>
        </w:rPr>
        <w:t xml:space="preserve"> </w:t>
      </w:r>
      <w:r w:rsidR="00CB64B8">
        <w:rPr>
          <w:b/>
          <w:bCs/>
          <w:color w:val="0070C0"/>
          <w:sz w:val="20"/>
        </w:rPr>
        <w:t xml:space="preserve">się do </w:t>
      </w:r>
      <w:r w:rsidRPr="00494B5E">
        <w:rPr>
          <w:b/>
          <w:bCs/>
          <w:color w:val="0070C0"/>
          <w:sz w:val="20"/>
        </w:rPr>
        <w:t>środków tymczasowych</w:t>
      </w:r>
      <w:r w:rsidRPr="00494B5E">
        <w:rPr>
          <w:color w:val="0070C0"/>
          <w:sz w:val="20"/>
        </w:rPr>
        <w:t xml:space="preserve"> wskazanych w Regule 39 Regulamin</w:t>
      </w:r>
      <w:r w:rsidR="00494B5E">
        <w:rPr>
          <w:color w:val="0070C0"/>
          <w:sz w:val="20"/>
        </w:rPr>
        <w:t xml:space="preserve">u Trybunału, Turcja </w:t>
      </w:r>
      <w:r w:rsidR="00494B5E" w:rsidRPr="00494B5E">
        <w:rPr>
          <w:b/>
          <w:bCs/>
          <w:color w:val="0070C0"/>
          <w:sz w:val="20"/>
        </w:rPr>
        <w:t>narusz</w:t>
      </w:r>
      <w:r w:rsidR="00841B30">
        <w:rPr>
          <w:b/>
          <w:bCs/>
          <w:color w:val="0070C0"/>
          <w:sz w:val="20"/>
        </w:rPr>
        <w:t>yła</w:t>
      </w:r>
      <w:r w:rsidR="00494B5E">
        <w:rPr>
          <w:color w:val="0070C0"/>
          <w:sz w:val="20"/>
        </w:rPr>
        <w:t xml:space="preserve"> swoje </w:t>
      </w:r>
      <w:r w:rsidR="00494B5E" w:rsidRPr="00494B5E">
        <w:rPr>
          <w:b/>
          <w:bCs/>
          <w:color w:val="0070C0"/>
          <w:sz w:val="20"/>
        </w:rPr>
        <w:t>obowiązki</w:t>
      </w:r>
      <w:r w:rsidR="00494B5E">
        <w:rPr>
          <w:b/>
          <w:bCs/>
          <w:color w:val="0070C0"/>
          <w:sz w:val="20"/>
        </w:rPr>
        <w:t xml:space="preserve"> wynikające z art.</w:t>
      </w:r>
      <w:r w:rsidRPr="00494B5E">
        <w:rPr>
          <w:b/>
          <w:bCs/>
          <w:color w:val="0070C0"/>
          <w:sz w:val="20"/>
        </w:rPr>
        <w:t xml:space="preserve"> 34 Konwencji</w:t>
      </w:r>
      <w:r w:rsidRPr="00494B5E">
        <w:rPr>
          <w:color w:val="0070C0"/>
          <w:sz w:val="20"/>
        </w:rPr>
        <w:t>.</w:t>
      </w:r>
    </w:p>
    <w:p w14:paraId="0291DF7F" w14:textId="77777777" w:rsidR="0025631D" w:rsidRPr="004939EF" w:rsidRDefault="00E448AE" w:rsidP="00FF00ED">
      <w:pPr>
        <w:pStyle w:val="Nagwek31"/>
        <w:spacing w:before="118"/>
        <w:ind w:left="699"/>
        <w:rPr>
          <w:u w:val="none"/>
        </w:rPr>
      </w:pPr>
      <w:proofErr w:type="spellStart"/>
      <w:r w:rsidRPr="004939EF">
        <w:rPr>
          <w:color w:val="0071BB"/>
          <w:u w:val="thick" w:color="0071BB"/>
        </w:rPr>
        <w:t>Paladi</w:t>
      </w:r>
      <w:proofErr w:type="spellEnd"/>
      <w:r w:rsidRPr="004939EF">
        <w:rPr>
          <w:color w:val="0071BB"/>
          <w:u w:val="thick" w:color="0071BB"/>
        </w:rPr>
        <w:t xml:space="preserve"> przeciwko</w:t>
      </w:r>
      <w:r w:rsidR="00D3520A" w:rsidRPr="004939EF">
        <w:rPr>
          <w:color w:val="0071BB"/>
          <w:u w:val="thick" w:color="0071BB"/>
        </w:rPr>
        <w:t xml:space="preserve"> </w:t>
      </w:r>
      <w:r w:rsidR="00FF00ED" w:rsidRPr="004939EF">
        <w:rPr>
          <w:color w:val="0071BB"/>
          <w:u w:val="thick" w:color="0071BB"/>
        </w:rPr>
        <w:t>Republice Mołdawi</w:t>
      </w:r>
      <w:r w:rsidR="00494B5E">
        <w:rPr>
          <w:color w:val="0071BB"/>
          <w:u w:val="thick" w:color="0071BB"/>
        </w:rPr>
        <w:t>i</w:t>
      </w:r>
    </w:p>
    <w:p w14:paraId="3137B2ED" w14:textId="77777777" w:rsidR="0025631D" w:rsidRPr="004939EF" w:rsidRDefault="00FF00ED">
      <w:pPr>
        <w:spacing w:before="63" w:line="218" w:lineRule="exact"/>
        <w:ind w:left="700"/>
        <w:jc w:val="both"/>
        <w:rPr>
          <w:sz w:val="18"/>
        </w:rPr>
      </w:pPr>
      <w:r w:rsidRPr="004939EF">
        <w:rPr>
          <w:color w:val="808080"/>
          <w:sz w:val="18"/>
        </w:rPr>
        <w:t>10 marca 2009</w:t>
      </w:r>
      <w:r w:rsidR="00494B5E">
        <w:rPr>
          <w:color w:val="808080"/>
          <w:sz w:val="18"/>
        </w:rPr>
        <w:t xml:space="preserve"> r.</w:t>
      </w:r>
      <w:r w:rsidRPr="004939EF">
        <w:rPr>
          <w:color w:val="808080"/>
          <w:sz w:val="18"/>
        </w:rPr>
        <w:t xml:space="preserve"> (Wielka Izba – wyrok</w:t>
      </w:r>
      <w:r w:rsidR="00D3520A" w:rsidRPr="004939EF">
        <w:rPr>
          <w:color w:val="808080"/>
          <w:sz w:val="18"/>
        </w:rPr>
        <w:t>)</w:t>
      </w:r>
    </w:p>
    <w:p w14:paraId="40D7F2E2" w14:textId="41D38813" w:rsidR="00FF00ED" w:rsidRPr="004939EF" w:rsidRDefault="00FF00ED" w:rsidP="00CB0CFE">
      <w:pPr>
        <w:pStyle w:val="Tekstpodstawowy"/>
        <w:ind w:right="715"/>
      </w:pPr>
      <w:r w:rsidRPr="004939EF">
        <w:t xml:space="preserve">Skarżący, </w:t>
      </w:r>
      <w:r w:rsidRPr="00494B5E">
        <w:t xml:space="preserve">który cierpiał </w:t>
      </w:r>
      <w:r w:rsidR="00CB64B8">
        <w:t>na</w:t>
      </w:r>
      <w:r w:rsidRPr="00494B5E">
        <w:t xml:space="preserve"> wiel</w:t>
      </w:r>
      <w:r w:rsidR="00CB64B8">
        <w:t>e</w:t>
      </w:r>
      <w:r w:rsidRPr="00494B5E">
        <w:t xml:space="preserve"> poważnych chorób, podniósł zarzut niezgodności z prawem </w:t>
      </w:r>
      <w:r w:rsidR="00841B30">
        <w:t>jego osadzenia w trakcie toczącego się postępowania</w:t>
      </w:r>
      <w:r w:rsidRPr="00494B5E">
        <w:t>, a także zarzut</w:t>
      </w:r>
      <w:r w:rsidRPr="004939EF">
        <w:t xml:space="preserve"> </w:t>
      </w:r>
      <w:r w:rsidR="00CB64B8">
        <w:t>braku zapewnienia mu</w:t>
      </w:r>
      <w:r w:rsidR="00CB64B8" w:rsidRPr="004939EF">
        <w:t xml:space="preserve"> </w:t>
      </w:r>
      <w:r w:rsidRPr="004939EF">
        <w:t xml:space="preserve">odpowiedniej opieki medycznej w tym czasie. Zarzucił także, że władze nie zastosowały się </w:t>
      </w:r>
      <w:r w:rsidR="00CB0CFE">
        <w:t xml:space="preserve">niezwłocznie </w:t>
      </w:r>
      <w:r w:rsidRPr="004939EF">
        <w:t>do środków tymczasowy</w:t>
      </w:r>
      <w:r w:rsidR="009919D9">
        <w:t>ch zarządzonych przez Trybuna</w:t>
      </w:r>
      <w:r w:rsidR="00472807">
        <w:t>ł na podstawie Reguły</w:t>
      </w:r>
      <w:r w:rsidRPr="004939EF">
        <w:t xml:space="preserve"> 39 Regulaminu Trybunału</w:t>
      </w:r>
      <w:r w:rsidR="009919D9">
        <w:t xml:space="preserve">, </w:t>
      </w:r>
      <w:r w:rsidR="00CB0CFE">
        <w:t xml:space="preserve">zgodnie z którymi </w:t>
      </w:r>
      <w:r w:rsidR="00576E41" w:rsidRPr="004939EF">
        <w:t>skarżąc</w:t>
      </w:r>
      <w:r w:rsidR="00576E41">
        <w:t>y</w:t>
      </w:r>
      <w:r w:rsidR="00576E41" w:rsidRPr="004939EF">
        <w:t xml:space="preserve"> </w:t>
      </w:r>
      <w:r w:rsidRPr="004939EF">
        <w:t xml:space="preserve">nie </w:t>
      </w:r>
      <w:r w:rsidR="00576E41">
        <w:t>powinien zostać odesłany z powrotem</w:t>
      </w:r>
      <w:r w:rsidR="00CB0CFE">
        <w:t xml:space="preserve"> do szpitala więziennego, do czasu </w:t>
      </w:r>
      <w:r w:rsidR="005A17D4">
        <w:t>możliwości rozpoznania sprawy</w:t>
      </w:r>
      <w:r w:rsidR="00E8495B">
        <w:t xml:space="preserve"> przez Trybunał</w:t>
      </w:r>
      <w:r w:rsidR="005A17D4">
        <w:t>, co </w:t>
      </w:r>
      <w:r w:rsidR="00CB0CFE">
        <w:t>stanowiło naruszenie art.</w:t>
      </w:r>
      <w:r w:rsidRPr="004939EF">
        <w:t xml:space="preserve"> 34 Konwencji.</w:t>
      </w:r>
    </w:p>
    <w:p w14:paraId="378DAF34" w14:textId="6052F5F7" w:rsidR="00CB0CFE" w:rsidRPr="00347C63" w:rsidRDefault="00E3643C" w:rsidP="00347C63">
      <w:pPr>
        <w:pStyle w:val="Tekstpodstawowy"/>
        <w:ind w:left="699" w:right="713"/>
        <w:rPr>
          <w:color w:val="0070C0"/>
        </w:rPr>
      </w:pPr>
      <w:r w:rsidRPr="00CB0CFE">
        <w:rPr>
          <w:color w:val="0070C0"/>
        </w:rPr>
        <w:t xml:space="preserve">Trybunał orzekł, że doszło do </w:t>
      </w:r>
      <w:r w:rsidRPr="00CB0CFE">
        <w:rPr>
          <w:b/>
          <w:bCs/>
          <w:color w:val="0070C0"/>
        </w:rPr>
        <w:t xml:space="preserve">naruszenia </w:t>
      </w:r>
      <w:r w:rsidR="00CB0CFE" w:rsidRPr="00CB0CFE">
        <w:rPr>
          <w:b/>
          <w:bCs/>
          <w:color w:val="0070C0"/>
        </w:rPr>
        <w:t xml:space="preserve">art. </w:t>
      </w:r>
      <w:r w:rsidRPr="00CB0CFE">
        <w:rPr>
          <w:b/>
          <w:bCs/>
          <w:color w:val="0070C0"/>
        </w:rPr>
        <w:t xml:space="preserve">34 </w:t>
      </w:r>
      <w:r w:rsidRPr="009919D9">
        <w:rPr>
          <w:b/>
          <w:bCs/>
          <w:color w:val="0070C0"/>
        </w:rPr>
        <w:t xml:space="preserve">Konwencji z powodu niezastosowania </w:t>
      </w:r>
      <w:r w:rsidR="00E8495B">
        <w:rPr>
          <w:b/>
          <w:bCs/>
          <w:color w:val="0070C0"/>
        </w:rPr>
        <w:t xml:space="preserve">się </w:t>
      </w:r>
      <w:r w:rsidRPr="009919D9">
        <w:rPr>
          <w:b/>
          <w:bCs/>
          <w:color w:val="0070C0"/>
        </w:rPr>
        <w:t xml:space="preserve">przez władze mołdawskie </w:t>
      </w:r>
      <w:r w:rsidR="00E8495B">
        <w:rPr>
          <w:b/>
          <w:bCs/>
          <w:color w:val="0070C0"/>
        </w:rPr>
        <w:t xml:space="preserve">do </w:t>
      </w:r>
      <w:r w:rsidRPr="009919D9">
        <w:rPr>
          <w:b/>
          <w:bCs/>
          <w:color w:val="0070C0"/>
        </w:rPr>
        <w:t>środka tymczasowego</w:t>
      </w:r>
      <w:r w:rsidR="00576E41">
        <w:rPr>
          <w:b/>
          <w:bCs/>
          <w:color w:val="0070C0"/>
        </w:rPr>
        <w:t>,</w:t>
      </w:r>
      <w:r w:rsidRPr="009919D9">
        <w:rPr>
          <w:color w:val="0070C0"/>
        </w:rPr>
        <w:t xml:space="preserve"> </w:t>
      </w:r>
      <w:r w:rsidR="00E8495B">
        <w:rPr>
          <w:color w:val="0070C0"/>
        </w:rPr>
        <w:t>wydanego</w:t>
      </w:r>
      <w:r w:rsidR="00E8495B" w:rsidRPr="009919D9">
        <w:rPr>
          <w:color w:val="0070C0"/>
        </w:rPr>
        <w:t xml:space="preserve"> </w:t>
      </w:r>
      <w:r w:rsidRPr="009919D9">
        <w:rPr>
          <w:color w:val="0070C0"/>
        </w:rPr>
        <w:t>na</w:t>
      </w:r>
      <w:r w:rsidRPr="00CB0CFE">
        <w:rPr>
          <w:color w:val="0070C0"/>
        </w:rPr>
        <w:t xml:space="preserve"> podstawie Reguły 39 Regulaminu Trybunału, w którym </w:t>
      </w:r>
      <w:r w:rsidR="009919D9">
        <w:rPr>
          <w:color w:val="0070C0"/>
        </w:rPr>
        <w:t xml:space="preserve">Trybunał zwrócił się do władz </w:t>
      </w:r>
      <w:r w:rsidR="009919D9" w:rsidRPr="009919D9">
        <w:rPr>
          <w:color w:val="0070C0"/>
        </w:rPr>
        <w:t>o </w:t>
      </w:r>
      <w:r w:rsidRPr="009919D9">
        <w:rPr>
          <w:color w:val="0070C0"/>
        </w:rPr>
        <w:t>zatrzymanie</w:t>
      </w:r>
      <w:r w:rsidRPr="00CB0CFE">
        <w:rPr>
          <w:color w:val="0070C0"/>
        </w:rPr>
        <w:t xml:space="preserve"> skarżącego w Republikańskim Centrum Neurologii Ministerstwa Zdrowia.</w:t>
      </w:r>
      <w:r w:rsidR="00347C63">
        <w:rPr>
          <w:color w:val="0070C0"/>
        </w:rPr>
        <w:t xml:space="preserve"> W </w:t>
      </w:r>
      <w:r w:rsidR="00CB0CFE">
        <w:rPr>
          <w:color w:val="0070C0"/>
        </w:rPr>
        <w:t xml:space="preserve">przedmiotowym </w:t>
      </w:r>
      <w:r w:rsidRPr="00CB0CFE">
        <w:rPr>
          <w:color w:val="0070C0"/>
        </w:rPr>
        <w:t>wyroku Trybunał powtórzył w szczególno</w:t>
      </w:r>
      <w:r w:rsidR="00CB0CFE">
        <w:rPr>
          <w:color w:val="0070C0"/>
        </w:rPr>
        <w:t>ści, że środki tymczasowe, których przyjęcie</w:t>
      </w:r>
      <w:r w:rsidRPr="00CB0CFE">
        <w:rPr>
          <w:color w:val="0070C0"/>
        </w:rPr>
        <w:t xml:space="preserve"> móg</w:t>
      </w:r>
      <w:r w:rsidR="009919D9">
        <w:rPr>
          <w:color w:val="0070C0"/>
        </w:rPr>
        <w:t>łby spowodować na podstawie Reguły</w:t>
      </w:r>
      <w:r w:rsidRPr="00CB0CFE">
        <w:rPr>
          <w:color w:val="0070C0"/>
        </w:rPr>
        <w:t xml:space="preserve"> </w:t>
      </w:r>
      <w:r w:rsidR="00CB0CFE">
        <w:rPr>
          <w:color w:val="0070C0"/>
        </w:rPr>
        <w:t>39 Regulaminu Trybunału, służą</w:t>
      </w:r>
      <w:r w:rsidRPr="00CB0CFE">
        <w:rPr>
          <w:color w:val="0070C0"/>
        </w:rPr>
        <w:t xml:space="preserve"> zapewnieniu skuteczności prawa do </w:t>
      </w:r>
      <w:r w:rsidRPr="00347C63">
        <w:rPr>
          <w:color w:val="0070C0"/>
        </w:rPr>
        <w:t>skarg</w:t>
      </w:r>
      <w:r w:rsidR="00CB0CFE" w:rsidRPr="00347C63">
        <w:rPr>
          <w:color w:val="0070C0"/>
        </w:rPr>
        <w:t>i indywidualnej</w:t>
      </w:r>
      <w:r w:rsidR="00E8495B">
        <w:rPr>
          <w:color w:val="0070C0"/>
        </w:rPr>
        <w:t xml:space="preserve">, wynikającego z </w:t>
      </w:r>
      <w:r w:rsidR="00CB0CFE" w:rsidRPr="00347C63">
        <w:rPr>
          <w:color w:val="0070C0"/>
        </w:rPr>
        <w:t xml:space="preserve">art. </w:t>
      </w:r>
      <w:r w:rsidRPr="00347C63">
        <w:rPr>
          <w:color w:val="0070C0"/>
        </w:rPr>
        <w:t>34 Konwencji. Trybunał wyjaśnił</w:t>
      </w:r>
      <w:r w:rsidR="00347C63" w:rsidRPr="00347C63">
        <w:rPr>
          <w:color w:val="0070C0"/>
        </w:rPr>
        <w:t xml:space="preserve"> ponadto, że </w:t>
      </w:r>
      <w:r w:rsidR="00361FCC">
        <w:rPr>
          <w:color w:val="0070C0"/>
        </w:rPr>
        <w:t xml:space="preserve">doszłoby </w:t>
      </w:r>
      <w:r w:rsidR="00E8495B">
        <w:rPr>
          <w:color w:val="0070C0"/>
        </w:rPr>
        <w:t xml:space="preserve">do </w:t>
      </w:r>
      <w:r w:rsidR="00347C63" w:rsidRPr="00347C63">
        <w:rPr>
          <w:color w:val="0070C0"/>
        </w:rPr>
        <w:t>naruszeni</w:t>
      </w:r>
      <w:r w:rsidR="00E8495B">
        <w:rPr>
          <w:color w:val="0070C0"/>
        </w:rPr>
        <w:t>a</w:t>
      </w:r>
      <w:r w:rsidR="00347C63" w:rsidRPr="00347C63">
        <w:rPr>
          <w:color w:val="0070C0"/>
        </w:rPr>
        <w:t xml:space="preserve"> art. 34, gdy</w:t>
      </w:r>
      <w:r w:rsidR="00361FCC">
        <w:rPr>
          <w:color w:val="0070C0"/>
        </w:rPr>
        <w:t>by</w:t>
      </w:r>
      <w:r w:rsidRPr="00347C63">
        <w:rPr>
          <w:color w:val="0070C0"/>
        </w:rPr>
        <w:t xml:space="preserve"> władze Ukła</w:t>
      </w:r>
      <w:r w:rsidR="00347C63" w:rsidRPr="00347C63">
        <w:rPr>
          <w:color w:val="0070C0"/>
        </w:rPr>
        <w:t xml:space="preserve">dającego się Państwa nie </w:t>
      </w:r>
      <w:r w:rsidR="00361FCC">
        <w:rPr>
          <w:color w:val="0070C0"/>
        </w:rPr>
        <w:t>podjęły</w:t>
      </w:r>
      <w:r w:rsidR="00361FCC" w:rsidRPr="00347C63">
        <w:rPr>
          <w:color w:val="0070C0"/>
        </w:rPr>
        <w:t xml:space="preserve"> </w:t>
      </w:r>
      <w:r w:rsidRPr="00347C63">
        <w:rPr>
          <w:color w:val="0070C0"/>
        </w:rPr>
        <w:t xml:space="preserve">wszystkich kroków, które </w:t>
      </w:r>
      <w:r w:rsidR="009919D9">
        <w:rPr>
          <w:color w:val="0070C0"/>
        </w:rPr>
        <w:t>mogłyby w </w:t>
      </w:r>
      <w:r w:rsidR="00347C63" w:rsidRPr="00347C63">
        <w:rPr>
          <w:color w:val="0070C0"/>
        </w:rPr>
        <w:t>rozsądny sposób zostać podjęte</w:t>
      </w:r>
      <w:r w:rsidR="00361FCC">
        <w:rPr>
          <w:color w:val="0070C0"/>
        </w:rPr>
        <w:t>,</w:t>
      </w:r>
      <w:r w:rsidRPr="00347C63">
        <w:rPr>
          <w:color w:val="0070C0"/>
        </w:rPr>
        <w:t xml:space="preserve"> w celu zastosowania </w:t>
      </w:r>
      <w:r w:rsidR="00E8495B">
        <w:rPr>
          <w:color w:val="0070C0"/>
        </w:rPr>
        <w:t xml:space="preserve">się do </w:t>
      </w:r>
      <w:r w:rsidRPr="00347C63">
        <w:rPr>
          <w:color w:val="0070C0"/>
        </w:rPr>
        <w:t xml:space="preserve">środka zaleconego przez Trybunał. Ponadto Trybunał zauważył, że Układające się Państwo nie może </w:t>
      </w:r>
      <w:r w:rsidR="000579EA" w:rsidRPr="00347C63">
        <w:rPr>
          <w:color w:val="0070C0"/>
        </w:rPr>
        <w:t>zastąpić wyroku</w:t>
      </w:r>
      <w:r w:rsidRPr="00347C63">
        <w:rPr>
          <w:color w:val="0070C0"/>
        </w:rPr>
        <w:t xml:space="preserve"> Trybunału</w:t>
      </w:r>
      <w:r w:rsidR="000579EA" w:rsidRPr="00347C63">
        <w:rPr>
          <w:color w:val="0070C0"/>
        </w:rPr>
        <w:t xml:space="preserve"> własnym wyrokiem</w:t>
      </w:r>
      <w:r w:rsidRPr="00347C63">
        <w:rPr>
          <w:color w:val="0070C0"/>
        </w:rPr>
        <w:t xml:space="preserve"> </w:t>
      </w:r>
      <w:r w:rsidR="00347C63" w:rsidRPr="00347C63">
        <w:rPr>
          <w:color w:val="0070C0"/>
        </w:rPr>
        <w:t>w celu</w:t>
      </w:r>
      <w:r w:rsidR="000579EA" w:rsidRPr="00347C63">
        <w:rPr>
          <w:color w:val="0070C0"/>
        </w:rPr>
        <w:t xml:space="preserve"> </w:t>
      </w:r>
      <w:r w:rsidR="00E8495B">
        <w:rPr>
          <w:color w:val="0070C0"/>
        </w:rPr>
        <w:t>ustalenia</w:t>
      </w:r>
      <w:r w:rsidRPr="00347C63">
        <w:rPr>
          <w:color w:val="0070C0"/>
        </w:rPr>
        <w:t xml:space="preserve">, czy </w:t>
      </w:r>
      <w:r w:rsidR="00E8495B">
        <w:rPr>
          <w:color w:val="0070C0"/>
        </w:rPr>
        <w:t>zachodzi realna obawa wyrządzenia skarżącemu bezpośredniej</w:t>
      </w:r>
      <w:r w:rsidR="00E8495B" w:rsidRPr="00347C63">
        <w:rPr>
          <w:color w:val="0070C0"/>
        </w:rPr>
        <w:t xml:space="preserve"> </w:t>
      </w:r>
      <w:r w:rsidRPr="00347C63">
        <w:rPr>
          <w:color w:val="0070C0"/>
        </w:rPr>
        <w:t>i nieodwracalnej szkody</w:t>
      </w:r>
      <w:r w:rsidR="000579EA" w:rsidRPr="00347C63">
        <w:rPr>
          <w:color w:val="0070C0"/>
        </w:rPr>
        <w:t xml:space="preserve"> w </w:t>
      </w:r>
      <w:r w:rsidR="00361FCC">
        <w:rPr>
          <w:color w:val="0070C0"/>
        </w:rPr>
        <w:t>czasie,</w:t>
      </w:r>
      <w:r w:rsidR="00361FCC" w:rsidRPr="00347C63">
        <w:rPr>
          <w:color w:val="0070C0"/>
        </w:rPr>
        <w:t xml:space="preserve"> </w:t>
      </w:r>
      <w:r w:rsidRPr="00347C63">
        <w:rPr>
          <w:color w:val="0070C0"/>
        </w:rPr>
        <w:t xml:space="preserve">gdy </w:t>
      </w:r>
      <w:r w:rsidR="000579EA" w:rsidRPr="00347C63">
        <w:rPr>
          <w:color w:val="0070C0"/>
        </w:rPr>
        <w:t>zalecon</w:t>
      </w:r>
      <w:r w:rsidR="00FA1394">
        <w:rPr>
          <w:color w:val="0070C0"/>
        </w:rPr>
        <w:t>o</w:t>
      </w:r>
      <w:r w:rsidR="000579EA" w:rsidRPr="00347C63">
        <w:rPr>
          <w:color w:val="0070C0"/>
        </w:rPr>
        <w:t xml:space="preserve"> </w:t>
      </w:r>
      <w:r w:rsidRPr="00347C63">
        <w:rPr>
          <w:color w:val="0070C0"/>
        </w:rPr>
        <w:t xml:space="preserve">środek tymczasowy lub przy </w:t>
      </w:r>
      <w:r w:rsidR="000579EA" w:rsidRPr="00347C63">
        <w:rPr>
          <w:color w:val="0070C0"/>
        </w:rPr>
        <w:t xml:space="preserve">rozstrzyganiu </w:t>
      </w:r>
      <w:r w:rsidRPr="00347C63">
        <w:rPr>
          <w:color w:val="0070C0"/>
        </w:rPr>
        <w:t xml:space="preserve">o terminach stosowania </w:t>
      </w:r>
      <w:r w:rsidR="00E8495B">
        <w:rPr>
          <w:color w:val="0070C0"/>
        </w:rPr>
        <w:t xml:space="preserve">się do </w:t>
      </w:r>
      <w:r w:rsidRPr="00347C63">
        <w:rPr>
          <w:color w:val="0070C0"/>
        </w:rPr>
        <w:t>takiego środka.</w:t>
      </w:r>
    </w:p>
    <w:p w14:paraId="6019C6A8" w14:textId="77777777" w:rsidR="001E0356" w:rsidRDefault="001E0356">
      <w:pPr>
        <w:pStyle w:val="Nagwek31"/>
        <w:spacing w:before="120"/>
        <w:rPr>
          <w:color w:val="0071BB"/>
          <w:u w:val="thick" w:color="0071BB"/>
        </w:rPr>
      </w:pPr>
    </w:p>
    <w:p w14:paraId="57E6F9E4" w14:textId="77777777" w:rsidR="001E0356" w:rsidRDefault="001E0356">
      <w:pPr>
        <w:pStyle w:val="Nagwek31"/>
        <w:spacing w:before="120"/>
        <w:rPr>
          <w:color w:val="0071BB"/>
          <w:u w:val="thick" w:color="0071BB"/>
        </w:rPr>
      </w:pPr>
    </w:p>
    <w:p w14:paraId="51873555" w14:textId="77777777" w:rsidR="0025631D" w:rsidRPr="004939EF" w:rsidRDefault="00D3520A">
      <w:pPr>
        <w:pStyle w:val="Nagwek31"/>
        <w:spacing w:before="120"/>
        <w:rPr>
          <w:u w:val="none"/>
        </w:rPr>
      </w:pPr>
      <w:bookmarkStart w:id="1" w:name="_GoBack"/>
      <w:bookmarkEnd w:id="1"/>
      <w:proofErr w:type="spellStart"/>
      <w:r w:rsidRPr="004939EF">
        <w:rPr>
          <w:color w:val="0071BB"/>
          <w:u w:val="thick" w:color="0071BB"/>
        </w:rPr>
        <w:lastRenderedPageBreak/>
        <w:t>Kondrulin</w:t>
      </w:r>
      <w:proofErr w:type="spellEnd"/>
      <w:r w:rsidRPr="004939EF">
        <w:rPr>
          <w:color w:val="0071BB"/>
          <w:u w:val="thick" w:color="0071BB"/>
        </w:rPr>
        <w:t xml:space="preserve"> </w:t>
      </w:r>
      <w:r w:rsidR="000579EA" w:rsidRPr="004939EF">
        <w:rPr>
          <w:color w:val="0071BB"/>
          <w:u w:val="thick" w:color="0071BB"/>
        </w:rPr>
        <w:t>przeciwko Rosji</w:t>
      </w:r>
    </w:p>
    <w:p w14:paraId="4B15D6BE" w14:textId="77777777" w:rsidR="0025631D" w:rsidRPr="004939EF" w:rsidRDefault="000579EA">
      <w:pPr>
        <w:spacing w:before="60" w:line="218" w:lineRule="exact"/>
        <w:ind w:left="700"/>
        <w:jc w:val="both"/>
        <w:rPr>
          <w:sz w:val="18"/>
        </w:rPr>
      </w:pPr>
      <w:r w:rsidRPr="004939EF">
        <w:rPr>
          <w:color w:val="808080"/>
          <w:sz w:val="18"/>
        </w:rPr>
        <w:t>20 września 2016</w:t>
      </w:r>
      <w:r w:rsidR="00347C63">
        <w:rPr>
          <w:color w:val="808080"/>
          <w:sz w:val="18"/>
        </w:rPr>
        <w:t xml:space="preserve"> r.</w:t>
      </w:r>
      <w:r w:rsidRPr="004939EF">
        <w:rPr>
          <w:color w:val="808080"/>
          <w:sz w:val="18"/>
        </w:rPr>
        <w:t xml:space="preserve"> (wyrok</w:t>
      </w:r>
      <w:r w:rsidR="00D3520A" w:rsidRPr="004939EF">
        <w:rPr>
          <w:color w:val="808080"/>
          <w:sz w:val="18"/>
        </w:rPr>
        <w:t>)</w:t>
      </w:r>
    </w:p>
    <w:p w14:paraId="1FDC2133" w14:textId="7E4FDB8B" w:rsidR="000579EA" w:rsidRPr="004939EF" w:rsidRDefault="000579EA" w:rsidP="00487401">
      <w:pPr>
        <w:pStyle w:val="Tekstpodstawowy"/>
        <w:ind w:right="715"/>
      </w:pPr>
      <w:r w:rsidRPr="004939EF">
        <w:t xml:space="preserve">W trakcie odbywania kary pozbawienia wolności </w:t>
      </w:r>
      <w:r w:rsidR="00E8495B">
        <w:t xml:space="preserve">wymierzonej za </w:t>
      </w:r>
      <w:r w:rsidR="00487401">
        <w:t>przestępst</w:t>
      </w:r>
      <w:r w:rsidR="00965F59">
        <w:t>w</w:t>
      </w:r>
      <w:r w:rsidR="00E8495B">
        <w:t>o</w:t>
      </w:r>
      <w:r w:rsidRPr="004939EF">
        <w:t xml:space="preserve"> </w:t>
      </w:r>
      <w:r w:rsidR="006E3B99">
        <w:t xml:space="preserve">u skarżącego </w:t>
      </w:r>
      <w:r w:rsidRPr="004939EF">
        <w:t xml:space="preserve">zdiagnozowano </w:t>
      </w:r>
      <w:r w:rsidR="007C63E1">
        <w:t xml:space="preserve">terminalnego </w:t>
      </w:r>
      <w:r w:rsidRPr="004939EF">
        <w:t>raka prostaty</w:t>
      </w:r>
      <w:r w:rsidR="009919D9">
        <w:t>. W </w:t>
      </w:r>
      <w:r w:rsidRPr="004939EF">
        <w:t xml:space="preserve">marcu 2015 r. Trybunał </w:t>
      </w:r>
      <w:r w:rsidR="00487401">
        <w:t>postanowił o zastosowaniu środków tymczasowych</w:t>
      </w:r>
      <w:r w:rsidR="009919D9">
        <w:t xml:space="preserve"> zgodnie z </w:t>
      </w:r>
      <w:r w:rsidRPr="004939EF">
        <w:t xml:space="preserve">Regułą 39, zalecając rządowi rosyjskiemu niezwłoczne </w:t>
      </w:r>
      <w:r w:rsidR="00487401">
        <w:t>z</w:t>
      </w:r>
      <w:r w:rsidRPr="004939EF">
        <w:t xml:space="preserve">badanie skarżącego przez niezależnych </w:t>
      </w:r>
      <w:r w:rsidR="007C63E1">
        <w:t xml:space="preserve">ekspertów z </w:t>
      </w:r>
      <w:r w:rsidR="00FA1394">
        <w:t>zakres</w:t>
      </w:r>
      <w:r w:rsidR="007C63E1">
        <w:t>u</w:t>
      </w:r>
      <w:r w:rsidR="00FA1394">
        <w:t xml:space="preserve"> medycyny</w:t>
      </w:r>
      <w:r w:rsidR="007C63E1">
        <w:t xml:space="preserve"> </w:t>
      </w:r>
      <w:r w:rsidRPr="004939EF">
        <w:t xml:space="preserve">w celu oceny: czy </w:t>
      </w:r>
      <w:r w:rsidR="00487401">
        <w:t>był odpowiednio leczony</w:t>
      </w:r>
      <w:r w:rsidR="00BA4A93">
        <w:t xml:space="preserve"> w </w:t>
      </w:r>
      <w:r w:rsidRPr="004939EF">
        <w:t xml:space="preserve">szpitalu więziennym; czy stan </w:t>
      </w:r>
      <w:r w:rsidR="00E8495B">
        <w:t xml:space="preserve">skarżącego </w:t>
      </w:r>
      <w:r w:rsidRPr="004939EF">
        <w:t>wymagał umieszczenia go w</w:t>
      </w:r>
      <w:r w:rsidR="00965F59">
        <w:t> </w:t>
      </w:r>
      <w:r w:rsidR="00B862DA">
        <w:t>szpitalu</w:t>
      </w:r>
      <w:r w:rsidRPr="004939EF">
        <w:t xml:space="preserve"> spec</w:t>
      </w:r>
      <w:r w:rsidR="007D2A65" w:rsidRPr="004939EF">
        <w:t>jalistyc</w:t>
      </w:r>
      <w:r w:rsidR="00B862DA">
        <w:t>znym, być może cywilnym</w:t>
      </w:r>
      <w:r w:rsidR="007D2A65" w:rsidRPr="00487401">
        <w:t>; a ponadto</w:t>
      </w:r>
      <w:r w:rsidR="00487401" w:rsidRPr="00487401">
        <w:t>,</w:t>
      </w:r>
      <w:r w:rsidRPr="00487401">
        <w:t xml:space="preserve"> czy stan zdrowia </w:t>
      </w:r>
      <w:r w:rsidR="00E8495B">
        <w:t xml:space="preserve">skarżącego </w:t>
      </w:r>
      <w:r w:rsidR="00965F59">
        <w:t>w </w:t>
      </w:r>
      <w:r w:rsidR="007D2A65" w:rsidRPr="00487401">
        <w:t xml:space="preserve">ogóle pozwalał na </w:t>
      </w:r>
      <w:r w:rsidR="00DF539C">
        <w:t>przebywanie</w:t>
      </w:r>
      <w:r w:rsidR="007D2A65" w:rsidRPr="00487401">
        <w:t xml:space="preserve"> </w:t>
      </w:r>
      <w:r w:rsidRPr="00487401">
        <w:t>w szpitalu więziennym.</w:t>
      </w:r>
      <w:r w:rsidRPr="004939EF">
        <w:t xml:space="preserve"> Rząd </w:t>
      </w:r>
      <w:r w:rsidR="00E8495B">
        <w:t xml:space="preserve">udzielił </w:t>
      </w:r>
      <w:r w:rsidRPr="004939EF">
        <w:t>odpo</w:t>
      </w:r>
      <w:r w:rsidR="00965F59">
        <w:t>wiedzi w </w:t>
      </w:r>
      <w:r w:rsidR="00B862DA">
        <w:t>kwietniu i </w:t>
      </w:r>
      <w:r w:rsidRPr="004939EF">
        <w:t>stwierdził, że leczenie w szpitalu więziennym odpowiada potrzebom</w:t>
      </w:r>
      <w:r w:rsidR="00E8495B">
        <w:t xml:space="preserve"> skarżącego</w:t>
      </w:r>
      <w:r w:rsidRPr="004939EF">
        <w:t>. Skarżący zmarł na raka we wrześniu 2015 r.</w:t>
      </w:r>
    </w:p>
    <w:p w14:paraId="5AF263C3" w14:textId="1527D695" w:rsidR="007D2A65" w:rsidRDefault="0065731A" w:rsidP="00467BEB">
      <w:pPr>
        <w:pStyle w:val="Tekstpodstawowy"/>
        <w:ind w:left="699" w:right="715"/>
        <w:rPr>
          <w:color w:val="0071BB"/>
        </w:rPr>
      </w:pPr>
      <w:r w:rsidRPr="004939EF">
        <w:rPr>
          <w:color w:val="0071BB"/>
        </w:rPr>
        <w:t xml:space="preserve">Trybunał orzekł, że doszło do </w:t>
      </w:r>
      <w:r w:rsidRPr="004939EF">
        <w:rPr>
          <w:b/>
          <w:bCs/>
          <w:color w:val="0071BB"/>
        </w:rPr>
        <w:t xml:space="preserve">naruszenia </w:t>
      </w:r>
      <w:r w:rsidR="00487401">
        <w:rPr>
          <w:b/>
          <w:bCs/>
          <w:color w:val="0071BB"/>
        </w:rPr>
        <w:t xml:space="preserve">art. </w:t>
      </w:r>
      <w:r w:rsidRPr="004939EF">
        <w:rPr>
          <w:b/>
          <w:bCs/>
          <w:color w:val="0071BB"/>
        </w:rPr>
        <w:t>34</w:t>
      </w:r>
      <w:r w:rsidRPr="004939EF">
        <w:rPr>
          <w:color w:val="0071BB"/>
        </w:rPr>
        <w:t xml:space="preserve"> </w:t>
      </w:r>
      <w:r w:rsidR="00DF539C" w:rsidRPr="004939EF">
        <w:rPr>
          <w:color w:val="0071BB"/>
        </w:rPr>
        <w:t xml:space="preserve">Konwencji </w:t>
      </w:r>
      <w:r w:rsidRPr="004939EF">
        <w:rPr>
          <w:color w:val="0071BB"/>
        </w:rPr>
        <w:t xml:space="preserve">(prawo do skargi indywidualnej) z powodu niezastosowania </w:t>
      </w:r>
      <w:r w:rsidR="00E8495B">
        <w:rPr>
          <w:color w:val="0071BB"/>
        </w:rPr>
        <w:t xml:space="preserve">się </w:t>
      </w:r>
      <w:r w:rsidRPr="004939EF">
        <w:rPr>
          <w:color w:val="0071BB"/>
        </w:rPr>
        <w:t xml:space="preserve">przez Rosję </w:t>
      </w:r>
      <w:r w:rsidR="00E8495B">
        <w:rPr>
          <w:color w:val="0071BB"/>
        </w:rPr>
        <w:t xml:space="preserve">do </w:t>
      </w:r>
      <w:r w:rsidRPr="004939EF">
        <w:rPr>
          <w:color w:val="0071BB"/>
        </w:rPr>
        <w:t xml:space="preserve">środka tymczasowego, w którym </w:t>
      </w:r>
      <w:r w:rsidR="00487401">
        <w:rPr>
          <w:color w:val="0071BB"/>
        </w:rPr>
        <w:t xml:space="preserve">Trybunał </w:t>
      </w:r>
      <w:r w:rsidRPr="004939EF">
        <w:rPr>
          <w:color w:val="0071BB"/>
        </w:rPr>
        <w:t>zwrócił się o niezależne badanie lekars</w:t>
      </w:r>
      <w:r w:rsidR="00B862DA">
        <w:rPr>
          <w:color w:val="0071BB"/>
        </w:rPr>
        <w:t xml:space="preserve">kie skarżącego. Trybunał </w:t>
      </w:r>
      <w:r w:rsidR="00DF539C">
        <w:rPr>
          <w:color w:val="0071BB"/>
        </w:rPr>
        <w:t xml:space="preserve">nie </w:t>
      </w:r>
      <w:r w:rsidR="00B862DA">
        <w:rPr>
          <w:color w:val="0071BB"/>
        </w:rPr>
        <w:t>mógł w </w:t>
      </w:r>
      <w:r w:rsidRPr="004939EF">
        <w:rPr>
          <w:color w:val="0071BB"/>
        </w:rPr>
        <w:t xml:space="preserve">szczególności zezwolić rządowi rosyjskiemu na zastąpienie niezależnej, eksperckiej opinii medycznej - </w:t>
      </w:r>
      <w:r w:rsidR="00487401" w:rsidRPr="00487401">
        <w:rPr>
          <w:color w:val="0071BB"/>
        </w:rPr>
        <w:t xml:space="preserve">zgodnie z </w:t>
      </w:r>
      <w:r w:rsidR="00E8495B">
        <w:rPr>
          <w:color w:val="0071BB"/>
        </w:rPr>
        <w:t>żądaniem</w:t>
      </w:r>
      <w:r w:rsidR="00E8495B" w:rsidRPr="00487401">
        <w:rPr>
          <w:color w:val="0071BB"/>
        </w:rPr>
        <w:t xml:space="preserve"> </w:t>
      </w:r>
      <w:r w:rsidR="00E8495B">
        <w:rPr>
          <w:color w:val="0071BB"/>
        </w:rPr>
        <w:t xml:space="preserve">zawartym </w:t>
      </w:r>
      <w:r w:rsidR="00487401" w:rsidRPr="00487401">
        <w:rPr>
          <w:color w:val="0071BB"/>
        </w:rPr>
        <w:t>w środku</w:t>
      </w:r>
      <w:r w:rsidRPr="00487401">
        <w:rPr>
          <w:color w:val="0071BB"/>
        </w:rPr>
        <w:t xml:space="preserve"> tymczasowy</w:t>
      </w:r>
      <w:r w:rsidR="00B862DA">
        <w:rPr>
          <w:color w:val="0071BB"/>
        </w:rPr>
        <w:t>m</w:t>
      </w:r>
      <w:r w:rsidRPr="00487401">
        <w:rPr>
          <w:color w:val="0071BB"/>
        </w:rPr>
        <w:t xml:space="preserve"> z marca 2015 r. - własną oceną sytuacji skarżącego; </w:t>
      </w:r>
      <w:r w:rsidR="00DF539C">
        <w:rPr>
          <w:color w:val="0071BB"/>
        </w:rPr>
        <w:t xml:space="preserve">co w niniejszej </w:t>
      </w:r>
      <w:r w:rsidR="00E8495B">
        <w:rPr>
          <w:color w:val="0071BB"/>
        </w:rPr>
        <w:t xml:space="preserve">sprawie </w:t>
      </w:r>
      <w:r w:rsidR="00DF539C">
        <w:rPr>
          <w:color w:val="0071BB"/>
        </w:rPr>
        <w:t>rząd</w:t>
      </w:r>
      <w:r w:rsidRPr="00487401">
        <w:rPr>
          <w:color w:val="0071BB"/>
        </w:rPr>
        <w:t xml:space="preserve"> </w:t>
      </w:r>
      <w:r w:rsidR="00487401" w:rsidRPr="00487401">
        <w:rPr>
          <w:color w:val="0071BB"/>
        </w:rPr>
        <w:t xml:space="preserve">właśnie </w:t>
      </w:r>
      <w:r w:rsidR="00E8495B">
        <w:rPr>
          <w:color w:val="0071BB"/>
        </w:rPr>
        <w:t>uczynił</w:t>
      </w:r>
      <w:r w:rsidRPr="00487401">
        <w:rPr>
          <w:color w:val="0071BB"/>
        </w:rPr>
        <w:t xml:space="preserve">. Byłoby to równoznaczne z </w:t>
      </w:r>
      <w:r w:rsidR="00E8495B">
        <w:rPr>
          <w:color w:val="0071BB"/>
        </w:rPr>
        <w:t>p</w:t>
      </w:r>
      <w:r w:rsidR="00FA1394">
        <w:rPr>
          <w:color w:val="0071BB"/>
        </w:rPr>
        <w:t>rzy</w:t>
      </w:r>
      <w:r w:rsidR="00E8495B">
        <w:rPr>
          <w:color w:val="0071BB"/>
        </w:rPr>
        <w:t>zwoleniem</w:t>
      </w:r>
      <w:r w:rsidR="00E8495B" w:rsidRPr="00487401">
        <w:rPr>
          <w:color w:val="0071BB"/>
        </w:rPr>
        <w:t xml:space="preserve"> </w:t>
      </w:r>
      <w:r w:rsidR="00FA1394" w:rsidRPr="00487401">
        <w:rPr>
          <w:color w:val="0071BB"/>
        </w:rPr>
        <w:t>władz</w:t>
      </w:r>
      <w:r w:rsidR="00FA1394">
        <w:rPr>
          <w:color w:val="0071BB"/>
        </w:rPr>
        <w:t xml:space="preserve">y </w:t>
      </w:r>
      <w:r w:rsidR="00E8495B">
        <w:rPr>
          <w:color w:val="0071BB"/>
        </w:rPr>
        <w:t>na</w:t>
      </w:r>
      <w:r w:rsidRPr="00487401">
        <w:rPr>
          <w:color w:val="0071BB"/>
        </w:rPr>
        <w:t xml:space="preserve"> obejści</w:t>
      </w:r>
      <w:r w:rsidR="00E8495B">
        <w:rPr>
          <w:color w:val="0071BB"/>
        </w:rPr>
        <w:t>e</w:t>
      </w:r>
      <w:r w:rsidRPr="00487401">
        <w:rPr>
          <w:color w:val="0071BB"/>
        </w:rPr>
        <w:t xml:space="preserve"> śro</w:t>
      </w:r>
      <w:r w:rsidR="00487401" w:rsidRPr="00487401">
        <w:rPr>
          <w:color w:val="0071BB"/>
        </w:rPr>
        <w:t xml:space="preserve">dka tymczasowego. W ten sposób </w:t>
      </w:r>
      <w:r w:rsidR="00E8495B">
        <w:rPr>
          <w:color w:val="0071BB"/>
        </w:rPr>
        <w:t>p</w:t>
      </w:r>
      <w:r w:rsidRPr="00487401">
        <w:rPr>
          <w:color w:val="0071BB"/>
        </w:rPr>
        <w:t xml:space="preserve">aństwo zniweczyło </w:t>
      </w:r>
      <w:r w:rsidR="00FA1394">
        <w:rPr>
          <w:color w:val="0071BB"/>
        </w:rPr>
        <w:t>istotę</w:t>
      </w:r>
      <w:r w:rsidR="00FA1394" w:rsidRPr="00487401">
        <w:rPr>
          <w:color w:val="0071BB"/>
        </w:rPr>
        <w:t xml:space="preserve"> </w:t>
      </w:r>
      <w:r w:rsidRPr="00487401">
        <w:rPr>
          <w:color w:val="0071BB"/>
        </w:rPr>
        <w:t xml:space="preserve">środka tymczasowego, </w:t>
      </w:r>
      <w:r w:rsidR="00E8495B">
        <w:rPr>
          <w:color w:val="0071BB"/>
        </w:rPr>
        <w:t>jak</w:t>
      </w:r>
      <w:r w:rsidR="00FA1394">
        <w:rPr>
          <w:color w:val="0071BB"/>
        </w:rPr>
        <w:t>ą</w:t>
      </w:r>
      <w:r w:rsidRPr="00487401">
        <w:rPr>
          <w:color w:val="0071BB"/>
        </w:rPr>
        <w:t xml:space="preserve"> było umożliwienie Trybunałowi, na podstawie odpowiedniej, niezależnej opinii </w:t>
      </w:r>
      <w:r w:rsidR="00537649">
        <w:rPr>
          <w:color w:val="0071BB"/>
        </w:rPr>
        <w:t>medycznej</w:t>
      </w:r>
      <w:r w:rsidR="00487401" w:rsidRPr="00487401">
        <w:rPr>
          <w:color w:val="0071BB"/>
        </w:rPr>
        <w:t>, skutecznego zareagowania, a</w:t>
      </w:r>
      <w:r w:rsidRPr="00487401">
        <w:rPr>
          <w:color w:val="0071BB"/>
        </w:rPr>
        <w:t xml:space="preserve"> w razie potrzeby, zapobieżenia ewentualnemu dalszemu narażeniu skarżącego na cierpienie fizyczne i psychiczne.</w:t>
      </w:r>
    </w:p>
    <w:p w14:paraId="1FEA1F8F" w14:textId="77777777" w:rsidR="00467BEB" w:rsidRPr="00ED3BFF" w:rsidRDefault="00467BEB" w:rsidP="00EB130E">
      <w:pPr>
        <w:pStyle w:val="Tekstpodstawowy"/>
        <w:ind w:left="699" w:right="715"/>
      </w:pPr>
      <w:r w:rsidRPr="00191FB9">
        <w:rPr>
          <w:i/>
          <w:iCs/>
        </w:rPr>
        <w:t>Zobacz także</w:t>
      </w:r>
      <w:r w:rsidRPr="00191FB9">
        <w:t xml:space="preserve">, między innym: </w:t>
      </w:r>
      <w:r w:rsidRPr="00965F59">
        <w:rPr>
          <w:b/>
          <w:bCs/>
          <w:i/>
          <w:iCs/>
          <w:color w:val="0070C0"/>
          <w:u w:val="single"/>
        </w:rPr>
        <w:t>Chamaïev i Inni przeciwko Gruzji i Rosji</w:t>
      </w:r>
      <w:r w:rsidRPr="00191FB9">
        <w:t>,</w:t>
      </w:r>
      <w:r w:rsidR="00191FB9">
        <w:t xml:space="preserve"> </w:t>
      </w:r>
      <w:r w:rsidR="00B862DA">
        <w:t>wyrok z </w:t>
      </w:r>
      <w:r w:rsidR="00E8495B">
        <w:t xml:space="preserve">dnia </w:t>
      </w:r>
      <w:r w:rsidR="00B862DA">
        <w:t>12 </w:t>
      </w:r>
      <w:r w:rsidRPr="00191FB9">
        <w:t xml:space="preserve">kwietnia 2005 r.; </w:t>
      </w:r>
      <w:r w:rsidRPr="00965F59">
        <w:rPr>
          <w:b/>
          <w:bCs/>
          <w:i/>
          <w:iCs/>
          <w:color w:val="0070C0"/>
          <w:u w:val="single"/>
        </w:rPr>
        <w:t>Aoulmi przeciwko Francji</w:t>
      </w:r>
      <w:r w:rsidRPr="00191FB9">
        <w:t xml:space="preserve">, wyrok z </w:t>
      </w:r>
      <w:r w:rsidR="00E8495B">
        <w:t xml:space="preserve">dnia </w:t>
      </w:r>
      <w:r w:rsidRPr="00191FB9">
        <w:t xml:space="preserve">17 stycznia 2006 r.; </w:t>
      </w:r>
      <w:r w:rsidRPr="00965F59">
        <w:rPr>
          <w:b/>
          <w:bCs/>
          <w:i/>
          <w:iCs/>
          <w:color w:val="0070C0"/>
          <w:u w:val="single"/>
        </w:rPr>
        <w:t>Olaechea Cahuas przeciwko Hiszpanii</w:t>
      </w:r>
      <w:r w:rsidRPr="00965F59">
        <w:rPr>
          <w:u w:val="single"/>
        </w:rPr>
        <w:t>,</w:t>
      </w:r>
      <w:r w:rsidRPr="00191FB9">
        <w:t xml:space="preserve"> wyrok z </w:t>
      </w:r>
      <w:r w:rsidR="00E8495B">
        <w:t xml:space="preserve">dnia </w:t>
      </w:r>
      <w:r w:rsidRPr="00191FB9">
        <w:t xml:space="preserve">10 sierpnia 2006 r.; </w:t>
      </w:r>
      <w:r w:rsidRPr="00965F59">
        <w:rPr>
          <w:b/>
          <w:bCs/>
          <w:i/>
          <w:iCs/>
          <w:color w:val="0070C0"/>
          <w:u w:val="single"/>
        </w:rPr>
        <w:t>Mostafa i Inni przeciwko Turcji</w:t>
      </w:r>
      <w:r w:rsidRPr="00191FB9">
        <w:t xml:space="preserve">, wyrok z </w:t>
      </w:r>
      <w:r w:rsidR="00E8495B">
        <w:t xml:space="preserve">dnia </w:t>
      </w:r>
      <w:r w:rsidRPr="00191FB9">
        <w:t xml:space="preserve">15 stycznia 2007 r.; </w:t>
      </w:r>
      <w:r w:rsidRPr="00965F59">
        <w:rPr>
          <w:b/>
          <w:bCs/>
          <w:i/>
          <w:iCs/>
          <w:color w:val="0070C0"/>
          <w:u w:val="single"/>
        </w:rPr>
        <w:t>Aleksanyan przeciwko Rosji</w:t>
      </w:r>
      <w:r w:rsidR="00B862DA">
        <w:t>, wyrok z </w:t>
      </w:r>
      <w:r w:rsidR="00E8495B">
        <w:t xml:space="preserve">dnia </w:t>
      </w:r>
      <w:r w:rsidRPr="00191FB9">
        <w:t xml:space="preserve">22 grudnia 2008 r., </w:t>
      </w:r>
      <w:r w:rsidRPr="00965F59">
        <w:rPr>
          <w:b/>
          <w:bCs/>
          <w:i/>
          <w:iCs/>
          <w:color w:val="0070C0"/>
          <w:u w:val="single"/>
        </w:rPr>
        <w:t xml:space="preserve">Ben </w:t>
      </w:r>
      <w:r w:rsidRPr="00965F59">
        <w:rPr>
          <w:rFonts w:eastAsiaTheme="minorHAnsi" w:cs="Verdana-BoldItalic"/>
          <w:b/>
          <w:bCs/>
          <w:i/>
          <w:iCs/>
          <w:color w:val="0070C0"/>
          <w:u w:val="single"/>
          <w:lang w:bidi="ar-SA"/>
        </w:rPr>
        <w:t>Khemais przeciwko Włochom</w:t>
      </w:r>
      <w:r w:rsidRPr="00191FB9">
        <w:rPr>
          <w:rFonts w:eastAsiaTheme="minorHAnsi"/>
          <w:color w:val="404040"/>
          <w:lang w:bidi="ar-SA"/>
        </w:rPr>
        <w:t xml:space="preserve">, </w:t>
      </w:r>
      <w:r w:rsidRPr="00ED3BFF">
        <w:rPr>
          <w:rFonts w:eastAsiaTheme="minorHAnsi"/>
          <w:lang w:bidi="ar-SA"/>
        </w:rPr>
        <w:t xml:space="preserve">wyrok z </w:t>
      </w:r>
      <w:r w:rsidR="00E8495B">
        <w:rPr>
          <w:rFonts w:eastAsiaTheme="minorHAnsi"/>
          <w:lang w:bidi="ar-SA"/>
        </w:rPr>
        <w:t xml:space="preserve">dnia </w:t>
      </w:r>
      <w:r w:rsidRPr="00ED3BFF">
        <w:rPr>
          <w:rFonts w:eastAsiaTheme="minorHAnsi"/>
          <w:lang w:bidi="ar-SA"/>
        </w:rPr>
        <w:t>24 lutego 2009 r.;</w:t>
      </w:r>
      <w:r w:rsidRPr="00191FB9">
        <w:rPr>
          <w:color w:val="0071BB"/>
        </w:rPr>
        <w:t xml:space="preserve"> </w:t>
      </w:r>
      <w:r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Grori przeciwko Albanii</w:t>
      </w:r>
      <w:r w:rsidRPr="00191FB9">
        <w:rPr>
          <w:rFonts w:eastAsiaTheme="minorHAnsi"/>
          <w:color w:val="404040"/>
          <w:lang w:bidi="ar-SA"/>
        </w:rPr>
        <w:t xml:space="preserve">, </w:t>
      </w:r>
      <w:r w:rsidRPr="00ED3BFF">
        <w:rPr>
          <w:rFonts w:eastAsiaTheme="minorHAnsi"/>
          <w:lang w:bidi="ar-SA"/>
        </w:rPr>
        <w:t xml:space="preserve">wyrok z </w:t>
      </w:r>
      <w:r w:rsidR="00E8495B">
        <w:rPr>
          <w:rFonts w:eastAsiaTheme="minorHAnsi"/>
          <w:lang w:bidi="ar-SA"/>
        </w:rPr>
        <w:t xml:space="preserve">dnia </w:t>
      </w:r>
      <w:r w:rsidRPr="00ED3BFF">
        <w:rPr>
          <w:rFonts w:eastAsiaTheme="minorHAnsi"/>
          <w:lang w:bidi="ar-SA"/>
        </w:rPr>
        <w:t>7 lipca 2009 r.;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D.B. przeciwko Turcji (skarga nr 33526/08)</w:t>
      </w:r>
      <w:r w:rsidRPr="00191FB9">
        <w:rPr>
          <w:rFonts w:eastAsiaTheme="minorHAnsi"/>
          <w:color w:val="404040"/>
          <w:lang w:bidi="ar-SA"/>
        </w:rPr>
        <w:t xml:space="preserve">, </w:t>
      </w:r>
      <w:r w:rsidRPr="00ED3BFF">
        <w:rPr>
          <w:rFonts w:eastAsiaTheme="minorHAnsi"/>
          <w:lang w:bidi="ar-SA"/>
        </w:rPr>
        <w:t xml:space="preserve">wyrok z </w:t>
      </w:r>
      <w:r w:rsidR="00E8495B">
        <w:rPr>
          <w:rFonts w:eastAsiaTheme="minorHAnsi"/>
          <w:lang w:bidi="ar-SA"/>
        </w:rPr>
        <w:t xml:space="preserve">dnia </w:t>
      </w:r>
      <w:r w:rsidRPr="00ED3BFF">
        <w:rPr>
          <w:rFonts w:eastAsiaTheme="minorHAnsi"/>
          <w:lang w:bidi="ar-SA"/>
        </w:rPr>
        <w:t>13 lipca 2010 r.;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="00EB130E"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Al-Saadoon i</w:t>
      </w:r>
      <w:r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 Mufdhi przeciwko Zjednoczonemu Królestwu</w:t>
      </w:r>
      <w:r w:rsidRPr="00191FB9">
        <w:rPr>
          <w:rFonts w:eastAsiaTheme="minorHAnsi"/>
          <w:color w:val="404040"/>
          <w:lang w:bidi="ar-SA"/>
        </w:rPr>
        <w:t xml:space="preserve">, </w:t>
      </w:r>
      <w:r w:rsidR="00EB130E" w:rsidRPr="00ED3BFF">
        <w:rPr>
          <w:rFonts w:eastAsiaTheme="minorHAnsi"/>
          <w:lang w:bidi="ar-SA"/>
        </w:rPr>
        <w:t xml:space="preserve">wyrok z </w:t>
      </w:r>
      <w:r w:rsidR="003B4DE8">
        <w:rPr>
          <w:rFonts w:eastAsiaTheme="minorHAnsi"/>
          <w:lang w:bidi="ar-SA"/>
        </w:rPr>
        <w:t xml:space="preserve">dnia </w:t>
      </w:r>
      <w:r w:rsidRPr="00ED3BFF">
        <w:rPr>
          <w:rFonts w:eastAsiaTheme="minorHAnsi"/>
          <w:lang w:bidi="ar-SA"/>
        </w:rPr>
        <w:t xml:space="preserve">2 </w:t>
      </w:r>
      <w:r w:rsidR="00EB130E" w:rsidRPr="00ED3BFF">
        <w:rPr>
          <w:rFonts w:eastAsiaTheme="minorHAnsi"/>
          <w:lang w:bidi="ar-SA"/>
        </w:rPr>
        <w:t xml:space="preserve">marca </w:t>
      </w:r>
      <w:r w:rsidRPr="00ED3BFF">
        <w:rPr>
          <w:rFonts w:eastAsiaTheme="minorHAnsi"/>
          <w:lang w:bidi="ar-SA"/>
        </w:rPr>
        <w:t>2010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>;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="00EB130E"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Trabelsi przeciwko Włochom</w:t>
      </w:r>
      <w:r w:rsidR="00EB130E" w:rsidRPr="00191FB9">
        <w:rPr>
          <w:rFonts w:eastAsiaTheme="minorHAnsi"/>
          <w:color w:val="404040"/>
          <w:lang w:bidi="ar-SA"/>
        </w:rPr>
        <w:t xml:space="preserve">, </w:t>
      </w:r>
      <w:r w:rsidR="00EB130E" w:rsidRPr="00ED3BFF">
        <w:rPr>
          <w:rFonts w:eastAsiaTheme="minorHAnsi"/>
          <w:lang w:bidi="ar-SA"/>
        </w:rPr>
        <w:t xml:space="preserve">wyrok z </w:t>
      </w:r>
      <w:r w:rsidR="003B4DE8">
        <w:rPr>
          <w:rFonts w:eastAsiaTheme="minorHAnsi"/>
          <w:lang w:bidi="ar-SA"/>
        </w:rPr>
        <w:t xml:space="preserve">dnia </w:t>
      </w:r>
      <w:r w:rsidR="00EB130E" w:rsidRPr="00ED3BFF">
        <w:rPr>
          <w:rFonts w:eastAsiaTheme="minorHAnsi"/>
          <w:lang w:bidi="ar-SA"/>
        </w:rPr>
        <w:t xml:space="preserve">13 kwietnia </w:t>
      </w:r>
      <w:r w:rsidRPr="00ED3BFF">
        <w:rPr>
          <w:rFonts w:eastAsiaTheme="minorHAnsi"/>
          <w:lang w:bidi="ar-SA"/>
        </w:rPr>
        <w:t>2010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>;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Toumi </w:t>
      </w:r>
      <w:r w:rsidR="00EB130E"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przeciwko Włochom</w:t>
      </w:r>
      <w:r w:rsidR="00EB130E" w:rsidRPr="00191FB9">
        <w:rPr>
          <w:rFonts w:eastAsiaTheme="minorHAnsi"/>
          <w:color w:val="404040"/>
          <w:lang w:bidi="ar-SA"/>
        </w:rPr>
        <w:t xml:space="preserve">, </w:t>
      </w:r>
      <w:r w:rsidR="00EB130E" w:rsidRPr="00ED3BFF">
        <w:rPr>
          <w:rFonts w:eastAsiaTheme="minorHAnsi"/>
          <w:lang w:bidi="ar-SA"/>
        </w:rPr>
        <w:t>wyrok z</w:t>
      </w:r>
      <w:r w:rsidR="00B862DA" w:rsidRPr="00ED3BFF">
        <w:rPr>
          <w:rFonts w:eastAsiaTheme="minorHAnsi"/>
          <w:lang w:bidi="ar-SA"/>
        </w:rPr>
        <w:t> </w:t>
      </w:r>
      <w:r w:rsidR="003B4DE8">
        <w:rPr>
          <w:rFonts w:eastAsiaTheme="minorHAnsi"/>
          <w:lang w:bidi="ar-SA"/>
        </w:rPr>
        <w:t xml:space="preserve">dnia </w:t>
      </w:r>
      <w:r w:rsidR="00EB130E" w:rsidRPr="00ED3BFF">
        <w:rPr>
          <w:rFonts w:eastAsiaTheme="minorHAnsi"/>
          <w:lang w:bidi="ar-SA"/>
        </w:rPr>
        <w:t>5</w:t>
      </w:r>
      <w:r w:rsidR="00B862DA" w:rsidRPr="00ED3BFF">
        <w:rPr>
          <w:rFonts w:eastAsiaTheme="minorHAnsi"/>
          <w:lang w:bidi="ar-SA"/>
        </w:rPr>
        <w:t> </w:t>
      </w:r>
      <w:r w:rsidR="00EB130E" w:rsidRPr="00ED3BFF">
        <w:rPr>
          <w:rFonts w:eastAsiaTheme="minorHAnsi"/>
          <w:lang w:bidi="ar-SA"/>
        </w:rPr>
        <w:t>kwietnia</w:t>
      </w:r>
      <w:r w:rsidRPr="00ED3BFF">
        <w:rPr>
          <w:rFonts w:eastAsiaTheme="minorHAnsi"/>
          <w:lang w:bidi="ar-SA"/>
        </w:rPr>
        <w:t xml:space="preserve"> 2011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>;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="00EB130E"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Makharadze i</w:t>
      </w:r>
      <w:r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 Sikharulidze </w:t>
      </w:r>
      <w:r w:rsidR="00EB130E"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przeciwko Gruzji</w:t>
      </w:r>
      <w:r w:rsidRPr="00191FB9">
        <w:rPr>
          <w:rFonts w:eastAsiaTheme="minorHAnsi"/>
          <w:color w:val="404040"/>
          <w:lang w:bidi="ar-SA"/>
        </w:rPr>
        <w:t xml:space="preserve">, </w:t>
      </w:r>
      <w:r w:rsidR="00B862DA" w:rsidRPr="00ED3BFF">
        <w:rPr>
          <w:rFonts w:eastAsiaTheme="minorHAnsi"/>
          <w:lang w:bidi="ar-SA"/>
        </w:rPr>
        <w:t>wyrok z</w:t>
      </w:r>
      <w:r w:rsidR="003B4DE8">
        <w:rPr>
          <w:rFonts w:eastAsiaTheme="minorHAnsi"/>
          <w:lang w:bidi="ar-SA"/>
        </w:rPr>
        <w:t xml:space="preserve"> dnia </w:t>
      </w:r>
      <w:r w:rsidR="00B862DA" w:rsidRPr="00ED3BFF">
        <w:rPr>
          <w:rFonts w:eastAsiaTheme="minorHAnsi"/>
          <w:lang w:bidi="ar-SA"/>
        </w:rPr>
        <w:t>22 </w:t>
      </w:r>
      <w:r w:rsidR="00EB130E" w:rsidRPr="00ED3BFF">
        <w:rPr>
          <w:rFonts w:eastAsiaTheme="minorHAnsi"/>
          <w:lang w:bidi="ar-SA"/>
        </w:rPr>
        <w:t>listopada</w:t>
      </w:r>
      <w:r w:rsidRPr="00ED3BFF">
        <w:rPr>
          <w:rFonts w:eastAsiaTheme="minorHAnsi"/>
          <w:lang w:bidi="ar-SA"/>
        </w:rPr>
        <w:t xml:space="preserve"> 2011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>;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Mannai </w:t>
      </w:r>
      <w:r w:rsidR="00EB130E"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przeciwko Włochom</w:t>
      </w:r>
      <w:r w:rsidRPr="00191FB9">
        <w:rPr>
          <w:rFonts w:eastAsiaTheme="minorHAnsi"/>
          <w:color w:val="404040"/>
          <w:lang w:bidi="ar-SA"/>
        </w:rPr>
        <w:t xml:space="preserve">, </w:t>
      </w:r>
      <w:r w:rsidR="00EB130E" w:rsidRPr="00ED3BFF">
        <w:rPr>
          <w:rFonts w:eastAsiaTheme="minorHAnsi"/>
          <w:lang w:bidi="ar-SA"/>
        </w:rPr>
        <w:t xml:space="preserve">wyrok z </w:t>
      </w:r>
      <w:r w:rsidR="003B4DE8">
        <w:rPr>
          <w:rFonts w:eastAsiaTheme="minorHAnsi"/>
          <w:lang w:bidi="ar-SA"/>
        </w:rPr>
        <w:t xml:space="preserve">dnia </w:t>
      </w:r>
      <w:r w:rsidR="00EB130E" w:rsidRPr="00ED3BFF">
        <w:rPr>
          <w:rFonts w:eastAsiaTheme="minorHAnsi"/>
          <w:lang w:bidi="ar-SA"/>
        </w:rPr>
        <w:t>27 marca</w:t>
      </w:r>
      <w:r w:rsidRPr="00ED3BFF">
        <w:rPr>
          <w:rFonts w:eastAsiaTheme="minorHAnsi"/>
          <w:lang w:bidi="ar-SA"/>
        </w:rPr>
        <w:t xml:space="preserve"> 2012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>;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Abdulkhakov </w:t>
      </w:r>
      <w:r w:rsidR="00EB130E"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przeciwko Rosji</w:t>
      </w:r>
      <w:r w:rsidR="00EB130E" w:rsidRPr="00191FB9">
        <w:rPr>
          <w:rFonts w:eastAsiaTheme="minorHAnsi"/>
          <w:color w:val="404040"/>
          <w:lang w:bidi="ar-SA"/>
        </w:rPr>
        <w:t xml:space="preserve">, </w:t>
      </w:r>
      <w:r w:rsidR="00EB130E" w:rsidRPr="00ED3BFF">
        <w:rPr>
          <w:rFonts w:eastAsiaTheme="minorHAnsi"/>
          <w:lang w:bidi="ar-SA"/>
        </w:rPr>
        <w:t xml:space="preserve">wyrok z </w:t>
      </w:r>
      <w:r w:rsidR="003B4DE8">
        <w:rPr>
          <w:rFonts w:eastAsiaTheme="minorHAnsi"/>
          <w:lang w:bidi="ar-SA"/>
        </w:rPr>
        <w:t xml:space="preserve">dnia </w:t>
      </w:r>
      <w:r w:rsidR="00EB130E" w:rsidRPr="00ED3BFF">
        <w:rPr>
          <w:rFonts w:eastAsiaTheme="minorHAnsi"/>
          <w:lang w:bidi="ar-SA"/>
        </w:rPr>
        <w:t>2 października</w:t>
      </w:r>
      <w:r w:rsidRPr="00ED3BFF">
        <w:rPr>
          <w:rFonts w:eastAsiaTheme="minorHAnsi"/>
          <w:lang w:bidi="ar-SA"/>
        </w:rPr>
        <w:t xml:space="preserve"> 2012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>;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="00EB130E"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Labsi przeciwko </w:t>
      </w:r>
      <w:r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S</w:t>
      </w:r>
      <w:r w:rsidR="00EB130E"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łowacji</w:t>
      </w:r>
      <w:r w:rsidRPr="00191FB9">
        <w:rPr>
          <w:rFonts w:eastAsiaTheme="minorHAnsi"/>
          <w:color w:val="404040"/>
          <w:lang w:bidi="ar-SA"/>
        </w:rPr>
        <w:t xml:space="preserve">, </w:t>
      </w:r>
      <w:r w:rsidR="00EB130E" w:rsidRPr="00ED3BFF">
        <w:rPr>
          <w:rFonts w:eastAsiaTheme="minorHAnsi"/>
          <w:lang w:bidi="ar-SA"/>
        </w:rPr>
        <w:t xml:space="preserve">wyrok z </w:t>
      </w:r>
      <w:r w:rsidR="003B4DE8">
        <w:rPr>
          <w:rFonts w:eastAsiaTheme="minorHAnsi"/>
          <w:lang w:bidi="ar-SA"/>
        </w:rPr>
        <w:t xml:space="preserve">dnia </w:t>
      </w:r>
      <w:r w:rsidR="00EB130E" w:rsidRPr="00ED3BFF">
        <w:rPr>
          <w:rFonts w:eastAsiaTheme="minorHAnsi"/>
          <w:lang w:bidi="ar-SA"/>
        </w:rPr>
        <w:t>15 maja</w:t>
      </w:r>
      <w:r w:rsidRPr="00ED3BFF">
        <w:rPr>
          <w:rFonts w:eastAsiaTheme="minorHAnsi"/>
          <w:lang w:bidi="ar-SA"/>
        </w:rPr>
        <w:t xml:space="preserve"> 2012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 xml:space="preserve">; </w:t>
      </w:r>
      <w:r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Rrapo </w:t>
      </w:r>
      <w:r w:rsidR="00EB130E"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przeciwko Albanii</w:t>
      </w:r>
      <w:r w:rsidRPr="00191FB9">
        <w:rPr>
          <w:rFonts w:eastAsiaTheme="minorHAnsi"/>
          <w:color w:val="404040"/>
          <w:lang w:bidi="ar-SA"/>
        </w:rPr>
        <w:t xml:space="preserve">, </w:t>
      </w:r>
      <w:r w:rsidR="00EB130E" w:rsidRPr="00ED3BFF">
        <w:rPr>
          <w:rFonts w:eastAsiaTheme="minorHAnsi"/>
          <w:lang w:bidi="ar-SA"/>
        </w:rPr>
        <w:t xml:space="preserve">wyrok z </w:t>
      </w:r>
      <w:r w:rsidR="003B4DE8">
        <w:rPr>
          <w:rFonts w:eastAsiaTheme="minorHAnsi"/>
          <w:lang w:bidi="ar-SA"/>
        </w:rPr>
        <w:t xml:space="preserve">dnia </w:t>
      </w:r>
      <w:r w:rsidRPr="00ED3BFF">
        <w:rPr>
          <w:rFonts w:eastAsiaTheme="minorHAnsi"/>
          <w:lang w:bidi="ar-SA"/>
        </w:rPr>
        <w:t xml:space="preserve">25 </w:t>
      </w:r>
      <w:r w:rsidR="00EB130E" w:rsidRPr="00ED3BFF">
        <w:rPr>
          <w:rFonts w:eastAsiaTheme="minorHAnsi"/>
          <w:lang w:bidi="ar-SA"/>
        </w:rPr>
        <w:t>września</w:t>
      </w:r>
      <w:r w:rsidRPr="00ED3BFF">
        <w:rPr>
          <w:rFonts w:eastAsiaTheme="minorHAnsi"/>
          <w:lang w:bidi="ar-SA"/>
        </w:rPr>
        <w:t xml:space="preserve"> 2012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 xml:space="preserve">; </w:t>
      </w:r>
      <w:r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Zokhidov </w:t>
      </w:r>
      <w:r w:rsidR="00EB130E"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przeciwko Rosji</w:t>
      </w:r>
      <w:r w:rsidR="00EB130E" w:rsidRPr="00ED3BFF">
        <w:rPr>
          <w:rFonts w:eastAsiaTheme="minorHAnsi"/>
          <w:lang w:bidi="ar-SA"/>
        </w:rPr>
        <w:t xml:space="preserve">, wyrok z </w:t>
      </w:r>
      <w:r w:rsidR="003B4DE8">
        <w:rPr>
          <w:rFonts w:eastAsiaTheme="minorHAnsi"/>
          <w:lang w:bidi="ar-SA"/>
        </w:rPr>
        <w:t xml:space="preserve">dnia </w:t>
      </w:r>
      <w:r w:rsidR="00EB130E" w:rsidRPr="00ED3BFF">
        <w:rPr>
          <w:rFonts w:eastAsiaTheme="minorHAnsi"/>
          <w:lang w:bidi="ar-SA"/>
        </w:rPr>
        <w:t>5 lutego</w:t>
      </w:r>
      <w:r w:rsidRPr="00ED3BFF">
        <w:rPr>
          <w:rFonts w:eastAsiaTheme="minorHAnsi"/>
          <w:lang w:bidi="ar-SA"/>
        </w:rPr>
        <w:t xml:space="preserve"> 2013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>;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Pr="00191FB9">
        <w:rPr>
          <w:rFonts w:eastAsiaTheme="minorHAnsi" w:cs="Verdana-BoldItalic"/>
          <w:b/>
          <w:bCs/>
          <w:i/>
          <w:iCs/>
          <w:color w:val="0072BD"/>
          <w:lang w:bidi="ar-SA"/>
        </w:rPr>
        <w:t xml:space="preserve">Salakhov </w:t>
      </w:r>
      <w:r w:rsidR="00EB130E"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i </w:t>
      </w:r>
      <w:r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Islyamova </w:t>
      </w:r>
      <w:r w:rsidR="00EB130E"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przeciwko Ukrainie</w:t>
      </w:r>
      <w:r w:rsidRPr="00191FB9">
        <w:rPr>
          <w:rFonts w:eastAsiaTheme="minorHAnsi"/>
          <w:color w:val="404040"/>
          <w:lang w:bidi="ar-SA"/>
        </w:rPr>
        <w:t xml:space="preserve">, </w:t>
      </w:r>
      <w:r w:rsidR="00EB130E" w:rsidRPr="00ED3BFF">
        <w:rPr>
          <w:rFonts w:eastAsiaTheme="minorHAnsi"/>
          <w:lang w:bidi="ar-SA"/>
        </w:rPr>
        <w:t xml:space="preserve">wyrok z </w:t>
      </w:r>
      <w:r w:rsidRPr="00ED3BFF">
        <w:rPr>
          <w:rFonts w:eastAsiaTheme="minorHAnsi"/>
          <w:lang w:bidi="ar-SA"/>
        </w:rPr>
        <w:t xml:space="preserve">14 </w:t>
      </w:r>
      <w:r w:rsidR="00EB130E" w:rsidRPr="00ED3BFF">
        <w:rPr>
          <w:rFonts w:eastAsiaTheme="minorHAnsi"/>
          <w:lang w:bidi="ar-SA"/>
        </w:rPr>
        <w:t xml:space="preserve">marca </w:t>
      </w:r>
      <w:r w:rsidRPr="00ED3BFF">
        <w:rPr>
          <w:rFonts w:eastAsiaTheme="minorHAnsi"/>
          <w:lang w:bidi="ar-SA"/>
        </w:rPr>
        <w:t>2013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 xml:space="preserve">; </w:t>
      </w:r>
      <w:r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Savriddin Dzhurayev </w:t>
      </w:r>
      <w:r w:rsidR="00EB130E"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przeciwko Rosji</w:t>
      </w:r>
      <w:r w:rsidRPr="00965F59">
        <w:rPr>
          <w:rFonts w:eastAsiaTheme="minorHAnsi"/>
          <w:color w:val="404040"/>
          <w:u w:val="single"/>
          <w:lang w:bidi="ar-SA"/>
        </w:rPr>
        <w:t>,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="00EB130E" w:rsidRPr="00ED3BFF">
        <w:rPr>
          <w:rFonts w:eastAsiaTheme="minorHAnsi"/>
          <w:lang w:bidi="ar-SA"/>
        </w:rPr>
        <w:t xml:space="preserve">wyrok z </w:t>
      </w:r>
      <w:r w:rsidR="003B4DE8">
        <w:rPr>
          <w:rFonts w:eastAsiaTheme="minorHAnsi"/>
          <w:lang w:bidi="ar-SA"/>
        </w:rPr>
        <w:t xml:space="preserve">dnia </w:t>
      </w:r>
      <w:r w:rsidR="00EB130E" w:rsidRPr="00ED3BFF">
        <w:rPr>
          <w:rFonts w:eastAsiaTheme="minorHAnsi"/>
          <w:lang w:bidi="ar-SA"/>
        </w:rPr>
        <w:t>25 kwietnia</w:t>
      </w:r>
      <w:r w:rsidRPr="00ED3BFF">
        <w:rPr>
          <w:rFonts w:eastAsiaTheme="minorHAnsi"/>
          <w:lang w:bidi="ar-SA"/>
        </w:rPr>
        <w:t xml:space="preserve"> 2013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 xml:space="preserve">; </w:t>
      </w:r>
      <w:r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Trabelsi </w:t>
      </w:r>
      <w:r w:rsidR="00EB130E"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przeciwko Belgii</w:t>
      </w:r>
      <w:r w:rsidRPr="00191FB9">
        <w:rPr>
          <w:rFonts w:eastAsiaTheme="minorHAnsi"/>
          <w:color w:val="404040"/>
          <w:lang w:bidi="ar-SA"/>
        </w:rPr>
        <w:t xml:space="preserve">, </w:t>
      </w:r>
      <w:r w:rsidR="00EB130E" w:rsidRPr="00191FB9">
        <w:rPr>
          <w:rFonts w:eastAsiaTheme="minorHAnsi"/>
          <w:color w:val="404040"/>
          <w:lang w:bidi="ar-SA"/>
        </w:rPr>
        <w:t xml:space="preserve">wyrok </w:t>
      </w:r>
      <w:r w:rsidR="00EB130E" w:rsidRPr="00ED3BFF">
        <w:rPr>
          <w:rFonts w:eastAsiaTheme="minorHAnsi"/>
          <w:lang w:bidi="ar-SA"/>
        </w:rPr>
        <w:t xml:space="preserve">z </w:t>
      </w:r>
      <w:r w:rsidR="003B4DE8">
        <w:rPr>
          <w:rFonts w:eastAsiaTheme="minorHAnsi"/>
          <w:lang w:bidi="ar-SA"/>
        </w:rPr>
        <w:t xml:space="preserve">dnia </w:t>
      </w:r>
      <w:r w:rsidRPr="00ED3BFF">
        <w:rPr>
          <w:rFonts w:eastAsiaTheme="minorHAnsi"/>
          <w:lang w:bidi="ar-SA"/>
        </w:rPr>
        <w:t xml:space="preserve">4 </w:t>
      </w:r>
      <w:r w:rsidR="00EB130E" w:rsidRPr="00ED3BFF">
        <w:rPr>
          <w:rFonts w:eastAsiaTheme="minorHAnsi"/>
          <w:lang w:bidi="ar-SA"/>
        </w:rPr>
        <w:t xml:space="preserve">września </w:t>
      </w:r>
      <w:r w:rsidRPr="00ED3BFF">
        <w:rPr>
          <w:rFonts w:eastAsiaTheme="minorHAnsi"/>
          <w:lang w:bidi="ar-SA"/>
        </w:rPr>
        <w:t>2014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>;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="00EB130E"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Amirov przeciwko</w:t>
      </w:r>
      <w:r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 R</w:t>
      </w:r>
      <w:r w:rsidR="00EB130E" w:rsidRPr="00965F59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osji</w:t>
      </w:r>
      <w:r w:rsidRPr="00191FB9">
        <w:rPr>
          <w:rFonts w:eastAsiaTheme="minorHAnsi"/>
          <w:color w:val="404040"/>
          <w:lang w:bidi="ar-SA"/>
        </w:rPr>
        <w:t xml:space="preserve">, </w:t>
      </w:r>
      <w:r w:rsidR="00EB130E" w:rsidRPr="00ED3BFF">
        <w:rPr>
          <w:rFonts w:eastAsiaTheme="minorHAnsi"/>
          <w:lang w:bidi="ar-SA"/>
        </w:rPr>
        <w:t xml:space="preserve">wyrok z </w:t>
      </w:r>
      <w:r w:rsidR="003B4DE8">
        <w:rPr>
          <w:rFonts w:eastAsiaTheme="minorHAnsi"/>
          <w:lang w:bidi="ar-SA"/>
        </w:rPr>
        <w:t xml:space="preserve">dnia </w:t>
      </w:r>
      <w:r w:rsidRPr="00ED3BFF">
        <w:rPr>
          <w:rFonts w:eastAsiaTheme="minorHAnsi"/>
          <w:lang w:bidi="ar-SA"/>
        </w:rPr>
        <w:t xml:space="preserve">27 </w:t>
      </w:r>
      <w:r w:rsidR="00EB130E" w:rsidRPr="00ED3BFF">
        <w:rPr>
          <w:rFonts w:eastAsiaTheme="minorHAnsi"/>
          <w:lang w:bidi="ar-SA"/>
        </w:rPr>
        <w:t xml:space="preserve">listopada </w:t>
      </w:r>
      <w:r w:rsidRPr="00ED3BFF">
        <w:rPr>
          <w:rFonts w:eastAsiaTheme="minorHAnsi"/>
          <w:lang w:bidi="ar-SA"/>
        </w:rPr>
        <w:t>2014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>;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Pr="001D6B51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Sergey Antonov </w:t>
      </w:r>
      <w:r w:rsidR="00EB130E" w:rsidRPr="001D6B51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przeciwko Ukrainie</w:t>
      </w:r>
      <w:r w:rsidR="00EB130E" w:rsidRPr="00191FB9">
        <w:rPr>
          <w:rFonts w:eastAsiaTheme="minorHAnsi"/>
          <w:color w:val="404040"/>
          <w:lang w:bidi="ar-SA"/>
        </w:rPr>
        <w:t xml:space="preserve">, </w:t>
      </w:r>
      <w:r w:rsidR="00EB130E" w:rsidRPr="00ED3BFF">
        <w:rPr>
          <w:rFonts w:eastAsiaTheme="minorHAnsi"/>
          <w:lang w:bidi="ar-SA"/>
        </w:rPr>
        <w:t xml:space="preserve">wyrok z </w:t>
      </w:r>
      <w:r w:rsidR="003B4DE8">
        <w:rPr>
          <w:rFonts w:eastAsiaTheme="minorHAnsi"/>
          <w:lang w:bidi="ar-SA"/>
        </w:rPr>
        <w:t>dnia</w:t>
      </w:r>
      <w:r w:rsidR="00EB130E" w:rsidRPr="00ED3BFF">
        <w:rPr>
          <w:rFonts w:eastAsiaTheme="minorHAnsi"/>
          <w:lang w:bidi="ar-SA"/>
        </w:rPr>
        <w:t>22 października</w:t>
      </w:r>
      <w:r w:rsidRPr="00ED3BFF">
        <w:rPr>
          <w:rFonts w:eastAsiaTheme="minorHAnsi"/>
          <w:lang w:bidi="ar-SA"/>
        </w:rPr>
        <w:t xml:space="preserve"> 2015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>;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Pr="001D6B51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Andrey Lavrov </w:t>
      </w:r>
      <w:r w:rsidR="00EB130E" w:rsidRPr="001D6B51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przeciwko Rosji</w:t>
      </w:r>
      <w:r w:rsidRPr="001D6B51">
        <w:rPr>
          <w:rFonts w:eastAsiaTheme="minorHAnsi"/>
          <w:color w:val="404040"/>
          <w:u w:val="single"/>
          <w:lang w:bidi="ar-SA"/>
        </w:rPr>
        <w:t>,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="00EB130E" w:rsidRPr="00ED3BFF">
        <w:rPr>
          <w:rFonts w:eastAsiaTheme="minorHAnsi"/>
          <w:lang w:bidi="ar-SA"/>
        </w:rPr>
        <w:t xml:space="preserve">wyrok z </w:t>
      </w:r>
      <w:r w:rsidR="003B4DE8">
        <w:rPr>
          <w:rFonts w:eastAsiaTheme="minorHAnsi"/>
          <w:lang w:bidi="ar-SA"/>
        </w:rPr>
        <w:t xml:space="preserve">dnia </w:t>
      </w:r>
      <w:r w:rsidR="00EB130E" w:rsidRPr="00ED3BFF">
        <w:rPr>
          <w:rFonts w:eastAsiaTheme="minorHAnsi"/>
          <w:lang w:bidi="ar-SA"/>
        </w:rPr>
        <w:t xml:space="preserve">1 marca </w:t>
      </w:r>
      <w:r w:rsidRPr="00ED3BFF">
        <w:rPr>
          <w:rFonts w:eastAsiaTheme="minorHAnsi"/>
          <w:lang w:bidi="ar-SA"/>
        </w:rPr>
        <w:t>2016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>;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="00EB130E" w:rsidRPr="001D6B51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Klimov przeciwko Rosji</w:t>
      </w:r>
      <w:r w:rsidRPr="00191FB9">
        <w:rPr>
          <w:rFonts w:eastAsiaTheme="minorHAnsi" w:cs="Verdana-BoldItalic"/>
          <w:b/>
          <w:bCs/>
          <w:i/>
          <w:iCs/>
          <w:color w:val="0072BD"/>
          <w:lang w:bidi="ar-SA"/>
        </w:rPr>
        <w:t xml:space="preserve"> </w:t>
      </w:r>
      <w:r w:rsidR="00EB130E" w:rsidRPr="00191FB9">
        <w:rPr>
          <w:rFonts w:eastAsiaTheme="minorHAnsi"/>
          <w:color w:val="404040"/>
          <w:lang w:bidi="ar-SA"/>
        </w:rPr>
        <w:t>i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Pr="009C415A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Maylenskiy </w:t>
      </w:r>
      <w:r w:rsidR="00EB130E" w:rsidRPr="001D6B51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przeciwko Rosji</w:t>
      </w:r>
      <w:r w:rsidRPr="001D6B51">
        <w:rPr>
          <w:rFonts w:eastAsiaTheme="minorHAnsi"/>
          <w:color w:val="404040"/>
          <w:u w:val="single"/>
          <w:lang w:bidi="ar-SA"/>
        </w:rPr>
        <w:t>,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="00EB130E" w:rsidRPr="00ED3BFF">
        <w:rPr>
          <w:rFonts w:eastAsiaTheme="minorHAnsi"/>
          <w:lang w:bidi="ar-SA"/>
        </w:rPr>
        <w:t xml:space="preserve">wyrok z </w:t>
      </w:r>
      <w:r w:rsidR="003B4DE8">
        <w:rPr>
          <w:rFonts w:eastAsiaTheme="minorHAnsi"/>
          <w:lang w:bidi="ar-SA"/>
        </w:rPr>
        <w:t xml:space="preserve">dnia </w:t>
      </w:r>
      <w:r w:rsidR="00EB130E" w:rsidRPr="00ED3BFF">
        <w:rPr>
          <w:rFonts w:eastAsiaTheme="minorHAnsi"/>
          <w:lang w:bidi="ar-SA"/>
        </w:rPr>
        <w:t xml:space="preserve">4 października </w:t>
      </w:r>
      <w:r w:rsidRPr="00ED3BFF">
        <w:rPr>
          <w:rFonts w:eastAsiaTheme="minorHAnsi"/>
          <w:lang w:bidi="ar-SA"/>
        </w:rPr>
        <w:t>2016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>;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Pr="001D6B51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Pivovarnik </w:t>
      </w:r>
      <w:r w:rsidR="00EB130E" w:rsidRPr="001D6B51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przeciwko Ukrainie</w:t>
      </w:r>
      <w:r w:rsidRPr="00191FB9">
        <w:rPr>
          <w:rFonts w:eastAsiaTheme="minorHAnsi"/>
          <w:color w:val="404040"/>
          <w:lang w:bidi="ar-SA"/>
        </w:rPr>
        <w:t xml:space="preserve">, </w:t>
      </w:r>
      <w:r w:rsidR="00B862DA" w:rsidRPr="00ED3BFF">
        <w:rPr>
          <w:rFonts w:eastAsiaTheme="minorHAnsi"/>
          <w:lang w:bidi="ar-SA"/>
        </w:rPr>
        <w:t>wyrok z </w:t>
      </w:r>
      <w:r w:rsidR="003B4DE8">
        <w:rPr>
          <w:rFonts w:eastAsiaTheme="minorHAnsi"/>
          <w:lang w:bidi="ar-SA"/>
        </w:rPr>
        <w:t xml:space="preserve">dnia </w:t>
      </w:r>
      <w:r w:rsidR="00B862DA" w:rsidRPr="00ED3BFF">
        <w:rPr>
          <w:rFonts w:eastAsiaTheme="minorHAnsi"/>
          <w:lang w:bidi="ar-SA"/>
        </w:rPr>
        <w:t>6 </w:t>
      </w:r>
      <w:r w:rsidR="00EB130E" w:rsidRPr="00ED3BFF">
        <w:rPr>
          <w:rFonts w:eastAsiaTheme="minorHAnsi"/>
          <w:lang w:bidi="ar-SA"/>
        </w:rPr>
        <w:t>października</w:t>
      </w:r>
      <w:r w:rsidRPr="00ED3BFF">
        <w:rPr>
          <w:rFonts w:eastAsiaTheme="minorHAnsi"/>
          <w:lang w:bidi="ar-SA"/>
        </w:rPr>
        <w:t xml:space="preserve"> 2016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>;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="00EB130E" w:rsidRPr="001D6B51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Konovalchuk przeciwko Ukrainie</w:t>
      </w:r>
      <w:r w:rsidRPr="00191FB9">
        <w:rPr>
          <w:rFonts w:eastAsiaTheme="minorHAnsi"/>
          <w:color w:val="404040"/>
          <w:lang w:bidi="ar-SA"/>
        </w:rPr>
        <w:t xml:space="preserve">, </w:t>
      </w:r>
      <w:r w:rsidR="00EB130E" w:rsidRPr="00ED3BFF">
        <w:rPr>
          <w:rFonts w:eastAsiaTheme="minorHAnsi"/>
          <w:lang w:bidi="ar-SA"/>
        </w:rPr>
        <w:t xml:space="preserve">wyrok z </w:t>
      </w:r>
      <w:r w:rsidR="003B4DE8">
        <w:rPr>
          <w:rFonts w:eastAsiaTheme="minorHAnsi"/>
          <w:lang w:bidi="ar-SA"/>
        </w:rPr>
        <w:t xml:space="preserve">dnia </w:t>
      </w:r>
      <w:r w:rsidRPr="00ED3BFF">
        <w:rPr>
          <w:rFonts w:eastAsiaTheme="minorHAnsi"/>
          <w:lang w:bidi="ar-SA"/>
        </w:rPr>
        <w:t xml:space="preserve">13 </w:t>
      </w:r>
      <w:r w:rsidR="00EB130E" w:rsidRPr="00ED3BFF">
        <w:rPr>
          <w:rFonts w:eastAsiaTheme="minorHAnsi"/>
          <w:lang w:bidi="ar-SA"/>
        </w:rPr>
        <w:t xml:space="preserve">października </w:t>
      </w:r>
      <w:r w:rsidRPr="00ED3BFF">
        <w:rPr>
          <w:rFonts w:eastAsiaTheme="minorHAnsi"/>
          <w:lang w:bidi="ar-SA"/>
        </w:rPr>
        <w:t>2016</w:t>
      </w:r>
      <w:r w:rsidR="00EB130E" w:rsidRPr="00ED3BFF">
        <w:rPr>
          <w:rFonts w:eastAsiaTheme="minorHAnsi"/>
          <w:lang w:bidi="ar-SA"/>
        </w:rPr>
        <w:t xml:space="preserve"> r.</w:t>
      </w:r>
      <w:r w:rsidRPr="00ED3BFF">
        <w:rPr>
          <w:rFonts w:eastAsiaTheme="minorHAnsi"/>
          <w:lang w:bidi="ar-SA"/>
        </w:rPr>
        <w:t>;</w:t>
      </w:r>
      <w:r w:rsidRPr="00191FB9">
        <w:rPr>
          <w:rFonts w:eastAsiaTheme="minorHAnsi"/>
          <w:color w:val="404040"/>
          <w:lang w:bidi="ar-SA"/>
        </w:rPr>
        <w:t xml:space="preserve"> </w:t>
      </w:r>
      <w:r w:rsidR="00EB130E" w:rsidRPr="001D6B51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M.</w:t>
      </w:r>
      <w:r w:rsidR="001D6B51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>A. przeciwko Francji (skarga nr</w:t>
      </w:r>
      <w:r w:rsidRPr="001D6B51">
        <w:rPr>
          <w:rFonts w:eastAsiaTheme="minorHAnsi" w:cs="Verdana-BoldItalic"/>
          <w:b/>
          <w:bCs/>
          <w:i/>
          <w:iCs/>
          <w:color w:val="0072BD"/>
          <w:u w:val="single"/>
          <w:lang w:bidi="ar-SA"/>
        </w:rPr>
        <w:t xml:space="preserve"> 9373/15)</w:t>
      </w:r>
      <w:r w:rsidRPr="00191FB9">
        <w:rPr>
          <w:rFonts w:eastAsiaTheme="minorHAnsi"/>
          <w:color w:val="404040"/>
          <w:lang w:bidi="ar-SA"/>
        </w:rPr>
        <w:t xml:space="preserve">, </w:t>
      </w:r>
      <w:r w:rsidR="00EB130E" w:rsidRPr="00ED3BFF">
        <w:rPr>
          <w:rFonts w:eastAsiaTheme="minorHAnsi"/>
          <w:lang w:bidi="ar-SA"/>
        </w:rPr>
        <w:t xml:space="preserve">wyrok z </w:t>
      </w:r>
      <w:r w:rsidR="003B4DE8">
        <w:rPr>
          <w:rFonts w:eastAsiaTheme="minorHAnsi"/>
          <w:lang w:bidi="ar-SA"/>
        </w:rPr>
        <w:t xml:space="preserve">dnia </w:t>
      </w:r>
      <w:r w:rsidRPr="00ED3BFF">
        <w:rPr>
          <w:rFonts w:eastAsiaTheme="minorHAnsi"/>
          <w:lang w:bidi="ar-SA"/>
        </w:rPr>
        <w:t xml:space="preserve">1 </w:t>
      </w:r>
      <w:r w:rsidR="00EB130E" w:rsidRPr="00ED3BFF">
        <w:rPr>
          <w:rFonts w:eastAsiaTheme="minorHAnsi"/>
          <w:lang w:bidi="ar-SA"/>
        </w:rPr>
        <w:t xml:space="preserve">lutego </w:t>
      </w:r>
      <w:r w:rsidRPr="00ED3BFF">
        <w:rPr>
          <w:rFonts w:eastAsiaTheme="minorHAnsi"/>
          <w:lang w:bidi="ar-SA"/>
        </w:rPr>
        <w:t>2018</w:t>
      </w:r>
      <w:r w:rsidR="00EB130E" w:rsidRPr="00ED3BFF">
        <w:rPr>
          <w:rFonts w:eastAsiaTheme="minorHAnsi"/>
          <w:lang w:bidi="ar-SA"/>
        </w:rPr>
        <w:t xml:space="preserve"> r</w:t>
      </w:r>
      <w:r w:rsidRPr="00ED3BFF">
        <w:rPr>
          <w:rFonts w:eastAsiaTheme="minorHAnsi"/>
          <w:lang w:bidi="ar-SA"/>
        </w:rPr>
        <w:t>.</w:t>
      </w:r>
    </w:p>
    <w:p w14:paraId="71B56FFA" w14:textId="77777777" w:rsidR="0086569E" w:rsidRDefault="0086569E">
      <w:pPr>
        <w:pStyle w:val="Nagwek11"/>
        <w:rPr>
          <w:color w:val="0071BB"/>
        </w:rPr>
      </w:pPr>
    </w:p>
    <w:p w14:paraId="14DE6491" w14:textId="77777777" w:rsidR="0025631D" w:rsidRPr="004939EF" w:rsidRDefault="008B5B86">
      <w:pPr>
        <w:pStyle w:val="Nagwek11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25BA694" wp14:editId="011253CF">
                <wp:simplePos x="0" y="0"/>
                <wp:positionH relativeFrom="page">
                  <wp:posOffset>895985</wp:posOffset>
                </wp:positionH>
                <wp:positionV relativeFrom="paragraph">
                  <wp:posOffset>278130</wp:posOffset>
                </wp:positionV>
                <wp:extent cx="5768340" cy="0"/>
                <wp:effectExtent l="0" t="0" r="0" b="0"/>
                <wp:wrapTopAndBottom/>
                <wp:docPr id="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020FC59" id="Line 4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9pt" to="524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" strokecolor="#999" strokeweight="1.44pt">
                <o:lock v:ext="edit" shapetype="f"/>
                <w10:wrap type="topAndBottom" anchorx="page"/>
              </v:line>
            </w:pict>
          </mc:Fallback>
        </mc:AlternateContent>
      </w:r>
      <w:r w:rsidR="00D3520A" w:rsidRPr="004939EF">
        <w:rPr>
          <w:color w:val="0071BB"/>
        </w:rPr>
        <w:t>Stat</w:t>
      </w:r>
      <w:r w:rsidR="0065731A" w:rsidRPr="004939EF">
        <w:rPr>
          <w:color w:val="0071BB"/>
        </w:rPr>
        <w:t>ystyki</w:t>
      </w:r>
    </w:p>
    <w:p w14:paraId="32C4D748" w14:textId="0C8E9866" w:rsidR="0025631D" w:rsidRPr="004939EF" w:rsidRDefault="0073329C" w:rsidP="00EB130E">
      <w:pPr>
        <w:spacing w:before="91"/>
        <w:ind w:left="700" w:right="717"/>
        <w:jc w:val="both"/>
        <w:rPr>
          <w:sz w:val="20"/>
        </w:rPr>
      </w:pPr>
      <w:r w:rsidRPr="004939EF">
        <w:rPr>
          <w:sz w:val="20"/>
        </w:rPr>
        <w:t xml:space="preserve">Trybunał udostępnił </w:t>
      </w:r>
      <w:r w:rsidR="009665CD">
        <w:rPr>
          <w:sz w:val="20"/>
        </w:rPr>
        <w:t>w wersji elektronicznej dane statystyczne</w:t>
      </w:r>
      <w:r w:rsidRPr="004939EF">
        <w:rPr>
          <w:sz w:val="20"/>
        </w:rPr>
        <w:t xml:space="preserve"> dotyczące</w:t>
      </w:r>
      <w:r w:rsidR="00D3520A" w:rsidRPr="004939EF">
        <w:rPr>
          <w:sz w:val="20"/>
        </w:rPr>
        <w:t xml:space="preserve"> </w:t>
      </w:r>
      <w:r w:rsidRPr="00EB130E">
        <w:rPr>
          <w:b/>
          <w:color w:val="0071BB"/>
          <w:sz w:val="20"/>
          <w:u w:val="thick" w:color="0071BB"/>
        </w:rPr>
        <w:t>środ</w:t>
      </w:r>
      <w:r w:rsidR="00EB130E" w:rsidRPr="00EB130E">
        <w:rPr>
          <w:b/>
          <w:color w:val="0071BB"/>
          <w:sz w:val="20"/>
          <w:u w:val="thick" w:color="0071BB"/>
        </w:rPr>
        <w:t>k</w:t>
      </w:r>
      <w:r w:rsidRPr="00EB130E">
        <w:rPr>
          <w:b/>
          <w:color w:val="0071BB"/>
          <w:sz w:val="20"/>
          <w:u w:val="thick" w:color="0071BB"/>
        </w:rPr>
        <w:t>ów tymczasowych we</w:t>
      </w:r>
      <w:r w:rsidR="00EB130E">
        <w:rPr>
          <w:b/>
          <w:color w:val="0071BB"/>
          <w:sz w:val="20"/>
          <w:u w:val="thick" w:color="0071BB"/>
        </w:rPr>
        <w:t>dług Państwa pozwanego i kraju</w:t>
      </w:r>
      <w:r w:rsidRPr="00EB130E">
        <w:rPr>
          <w:b/>
          <w:color w:val="0071BB"/>
          <w:sz w:val="20"/>
          <w:u w:val="thick" w:color="0071BB"/>
        </w:rPr>
        <w:t xml:space="preserve"> przeznaczenia </w:t>
      </w:r>
      <w:r w:rsidR="00CC2CCD">
        <w:rPr>
          <w:b/>
          <w:color w:val="0071BB"/>
          <w:sz w:val="20"/>
          <w:u w:val="thick" w:color="0071BB"/>
        </w:rPr>
        <w:t xml:space="preserve">za rok </w:t>
      </w:r>
      <w:r w:rsidRPr="00EB130E">
        <w:rPr>
          <w:b/>
          <w:color w:val="0071BB"/>
          <w:sz w:val="20"/>
          <w:u w:val="thick" w:color="0071BB"/>
        </w:rPr>
        <w:t xml:space="preserve">2018 </w:t>
      </w:r>
      <w:r w:rsidR="003B4DE8">
        <w:rPr>
          <w:sz w:val="20"/>
        </w:rPr>
        <w:t>oraz</w:t>
      </w:r>
      <w:r w:rsidRPr="00EB130E">
        <w:rPr>
          <w:sz w:val="20"/>
        </w:rPr>
        <w:t xml:space="preserve"> </w:t>
      </w:r>
      <w:r w:rsidR="005649E6">
        <w:rPr>
          <w:sz w:val="20"/>
        </w:rPr>
        <w:t xml:space="preserve">dotyczące </w:t>
      </w:r>
      <w:r w:rsidRPr="00EB130E">
        <w:rPr>
          <w:b/>
          <w:color w:val="0071BB"/>
          <w:sz w:val="20"/>
          <w:u w:val="thick" w:color="0071BB"/>
        </w:rPr>
        <w:t>środków tymczasowych</w:t>
      </w:r>
      <w:r w:rsidR="00EB130E" w:rsidRPr="00EB130E">
        <w:rPr>
          <w:b/>
          <w:color w:val="0071BB"/>
          <w:sz w:val="20"/>
        </w:rPr>
        <w:t xml:space="preserve"> </w:t>
      </w:r>
      <w:r w:rsidR="005649E6">
        <w:rPr>
          <w:b/>
          <w:color w:val="0071BB"/>
          <w:sz w:val="20"/>
        </w:rPr>
        <w:t xml:space="preserve">za lata </w:t>
      </w:r>
      <w:r w:rsidR="00EB130E" w:rsidRPr="001D6B51">
        <w:rPr>
          <w:b/>
          <w:color w:val="0071BB"/>
          <w:sz w:val="20"/>
          <w:u w:val="single"/>
        </w:rPr>
        <w:t>2016-2018.</w:t>
      </w:r>
    </w:p>
    <w:p w14:paraId="4483BF5F" w14:textId="36AD3D07" w:rsidR="0065731A" w:rsidRPr="00ED3BFF" w:rsidRDefault="00EB130E" w:rsidP="00036E57">
      <w:pPr>
        <w:pStyle w:val="Tekstpodstawowy"/>
        <w:spacing w:before="120"/>
        <w:ind w:left="699" w:right="717"/>
      </w:pPr>
      <w:r w:rsidRPr="00ED3BFF">
        <w:t>Jako że</w:t>
      </w:r>
      <w:r w:rsidR="0073329C" w:rsidRPr="00ED3BFF">
        <w:t xml:space="preserve"> środki tymczasowe są zalecane przez Trybunał jedynie w wyraźnie określonych okolicznościach (gdy </w:t>
      </w:r>
      <w:r w:rsidR="003B4DE8">
        <w:t>zachodzi</w:t>
      </w:r>
      <w:r w:rsidR="003B4DE8" w:rsidRPr="00ED3BFF">
        <w:t xml:space="preserve"> </w:t>
      </w:r>
      <w:r w:rsidR="003B4DE8">
        <w:t>obawa</w:t>
      </w:r>
      <w:r w:rsidR="003B4DE8" w:rsidRPr="00ED3BFF">
        <w:t xml:space="preserve"> </w:t>
      </w:r>
      <w:r w:rsidR="0073329C" w:rsidRPr="00ED3BFF">
        <w:t xml:space="preserve">poważnego i nieodwracalnego naruszenia </w:t>
      </w:r>
      <w:r w:rsidR="00D847F1">
        <w:t>Europejskiej K</w:t>
      </w:r>
      <w:r w:rsidR="00D847F1" w:rsidRPr="00ED3BFF">
        <w:t>onwencji</w:t>
      </w:r>
      <w:r w:rsidR="00D847F1">
        <w:t xml:space="preserve"> Praw Człowieka</w:t>
      </w:r>
      <w:r w:rsidR="0073329C" w:rsidRPr="00ED3BFF">
        <w:t xml:space="preserve">), </w:t>
      </w:r>
      <w:r w:rsidR="00036E57" w:rsidRPr="00ED3BFF">
        <w:t xml:space="preserve">w większości przypadków </w:t>
      </w:r>
      <w:r w:rsidR="003B4DE8">
        <w:t xml:space="preserve">wnioski nie są </w:t>
      </w:r>
      <w:r w:rsidR="003B4DE8">
        <w:lastRenderedPageBreak/>
        <w:t>uwzględniane</w:t>
      </w:r>
      <w:r w:rsidR="0073329C" w:rsidRPr="00ED3BFF">
        <w:t xml:space="preserve">. </w:t>
      </w:r>
    </w:p>
    <w:p w14:paraId="0D516DAA" w14:textId="05DCA4E4" w:rsidR="0025631D" w:rsidRDefault="008E50D2" w:rsidP="00036E57">
      <w:pPr>
        <w:pStyle w:val="Tekstpodstawowy"/>
        <w:spacing w:before="120"/>
        <w:ind w:right="716" w:hanging="1"/>
      </w:pPr>
      <w:r w:rsidRPr="00ED3BFF">
        <w:t xml:space="preserve">W 2017 r. liczba </w:t>
      </w:r>
      <w:r w:rsidR="005649E6">
        <w:t>decyzji</w:t>
      </w:r>
      <w:r w:rsidR="005649E6" w:rsidRPr="00ED3BFF">
        <w:t xml:space="preserve"> </w:t>
      </w:r>
      <w:r w:rsidR="003B4DE8">
        <w:t>w przedmiocie</w:t>
      </w:r>
      <w:r w:rsidR="00036E57" w:rsidRPr="00ED3BFF">
        <w:t xml:space="preserve"> </w:t>
      </w:r>
      <w:r w:rsidR="003B4DE8" w:rsidRPr="00ED3BFF">
        <w:t>środk</w:t>
      </w:r>
      <w:r w:rsidR="003B4DE8">
        <w:t>ów</w:t>
      </w:r>
      <w:r w:rsidR="003B4DE8" w:rsidRPr="00ED3BFF">
        <w:t xml:space="preserve"> </w:t>
      </w:r>
      <w:r w:rsidRPr="00ED3BFF">
        <w:t xml:space="preserve">tymczasowych (1540) </w:t>
      </w:r>
      <w:r w:rsidR="003B4DE8">
        <w:t xml:space="preserve">ogółem </w:t>
      </w:r>
      <w:r w:rsidRPr="00ED3BFF">
        <w:t>spadła</w:t>
      </w:r>
      <w:r w:rsidR="00B862DA" w:rsidRPr="00ED3BFF">
        <w:t xml:space="preserve"> o 8% w </w:t>
      </w:r>
      <w:r w:rsidR="00036E57" w:rsidRPr="00ED3BFF">
        <w:t xml:space="preserve">porównaniu </w:t>
      </w:r>
      <w:r w:rsidR="00FA1394">
        <w:t>do</w:t>
      </w:r>
      <w:r w:rsidR="00036E57" w:rsidRPr="00ED3BFF">
        <w:t xml:space="preserve"> 2017 r. (1</w:t>
      </w:r>
      <w:r w:rsidRPr="00ED3BFF">
        <w:t>683). Trybunał uwzględnił wnioski o zastosowanie środków tymczasowych w 143 sprawach (</w:t>
      </w:r>
      <w:r w:rsidR="003B4DE8">
        <w:t xml:space="preserve">co stanowiło </w:t>
      </w:r>
      <w:r w:rsidRPr="00ED3BFF">
        <w:t xml:space="preserve">wzrost o 22% w </w:t>
      </w:r>
      <w:r w:rsidR="00B862DA" w:rsidRPr="00ED3BFF">
        <w:t>porównaniu do 117 w 2017 r.), a </w:t>
      </w:r>
      <w:r w:rsidRPr="00ED3BFF">
        <w:t>oddalił je w 486 sprawach (o 9% mniej niż 533 w 2017 r.). Pozosta</w:t>
      </w:r>
      <w:r w:rsidR="001D6B51" w:rsidRPr="00ED3BFF">
        <w:t xml:space="preserve">ła część nie </w:t>
      </w:r>
      <w:r w:rsidR="003B4DE8">
        <w:t>była objęta</w:t>
      </w:r>
      <w:r w:rsidR="001D6B51" w:rsidRPr="00ED3BFF">
        <w:t xml:space="preserve"> zakres</w:t>
      </w:r>
      <w:r w:rsidR="003B4DE8">
        <w:t>em</w:t>
      </w:r>
      <w:r w:rsidR="001D6B51" w:rsidRPr="00ED3BFF">
        <w:t xml:space="preserve"> Reguły</w:t>
      </w:r>
      <w:r w:rsidR="00036E57" w:rsidRPr="00ED3BFF">
        <w:t xml:space="preserve"> 39 Regulaminu Trybunału. 59% </w:t>
      </w:r>
      <w:r w:rsidR="003B4DE8" w:rsidRPr="00ED3BFF">
        <w:t>u</w:t>
      </w:r>
      <w:r w:rsidR="003B4DE8">
        <w:t>względnionych</w:t>
      </w:r>
      <w:r w:rsidR="003B4DE8" w:rsidRPr="00ED3BFF">
        <w:t xml:space="preserve"> </w:t>
      </w:r>
      <w:r w:rsidRPr="00ED3BFF">
        <w:t xml:space="preserve">wniosków dotyczy </w:t>
      </w:r>
      <w:r w:rsidR="003B4DE8">
        <w:t xml:space="preserve">spraw o </w:t>
      </w:r>
      <w:r w:rsidRPr="00ED3BFF">
        <w:t>wydale</w:t>
      </w:r>
      <w:r w:rsidR="003B4DE8">
        <w:t>nie</w:t>
      </w:r>
      <w:r w:rsidRPr="00ED3BFF">
        <w:t xml:space="preserve"> lub spraw imigracyjnych.</w:t>
      </w:r>
    </w:p>
    <w:p w14:paraId="07E8D78C" w14:textId="77777777" w:rsidR="00B85EBC" w:rsidRPr="00036E57" w:rsidRDefault="00B85EBC" w:rsidP="00036E57">
      <w:pPr>
        <w:pStyle w:val="Tekstpodstawowy"/>
        <w:spacing w:before="120"/>
        <w:ind w:right="716" w:hanging="1"/>
      </w:pPr>
    </w:p>
    <w:p w14:paraId="0AA1BF99" w14:textId="7CAE7A2B" w:rsidR="0025631D" w:rsidRPr="004939EF" w:rsidRDefault="008B5B86">
      <w:pPr>
        <w:pStyle w:val="Nagwek11"/>
      </w:pPr>
      <w:r w:rsidRPr="001E0356">
        <w:rPr>
          <w:noProof/>
          <w:color w:val="0070C0"/>
          <w:lang w:eastAsia="pl-PL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25F016" wp14:editId="45784533">
                <wp:simplePos x="0" y="0"/>
                <wp:positionH relativeFrom="page">
                  <wp:posOffset>895985</wp:posOffset>
                </wp:positionH>
                <wp:positionV relativeFrom="paragraph">
                  <wp:posOffset>278130</wp:posOffset>
                </wp:positionV>
                <wp:extent cx="5768340" cy="0"/>
                <wp:effectExtent l="0" t="0" r="0" b="0"/>
                <wp:wrapTopAndBottom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7568581" id="Line 39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9pt" to="524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" strokecolor="#999" strokeweight="1.44pt">
                <o:lock v:ext="edit" shapetype="f"/>
                <w10:wrap type="topAndBottom" anchorx="page"/>
              </v:line>
            </w:pict>
          </mc:Fallback>
        </mc:AlternateContent>
      </w:r>
      <w:r w:rsidR="005649E6" w:rsidRPr="001E0356">
        <w:rPr>
          <w:noProof/>
          <w:color w:val="0070C0"/>
          <w:lang w:eastAsia="pl-PL" w:bidi="ar-SA"/>
        </w:rPr>
        <w:t>Teksty i dokumenty</w:t>
      </w:r>
    </w:p>
    <w:p w14:paraId="7A400AB9" w14:textId="77777777" w:rsidR="0025631D" w:rsidRPr="004939EF" w:rsidRDefault="0025631D">
      <w:pPr>
        <w:pStyle w:val="Tekstpodstawowy"/>
        <w:spacing w:before="2"/>
        <w:ind w:left="0"/>
        <w:jc w:val="left"/>
        <w:rPr>
          <w:sz w:val="9"/>
        </w:rPr>
      </w:pPr>
    </w:p>
    <w:p w14:paraId="05E8599D" w14:textId="77777777" w:rsidR="0025631D" w:rsidRPr="004939EF" w:rsidRDefault="00036E57">
      <w:pPr>
        <w:pStyle w:val="Tekstpodstawowy"/>
        <w:spacing w:before="99"/>
        <w:jc w:val="left"/>
      </w:pPr>
      <w:r>
        <w:t>Zobacz w szczególności</w:t>
      </w:r>
      <w:r w:rsidR="00D3520A" w:rsidRPr="004939EF">
        <w:t>:</w:t>
      </w:r>
    </w:p>
    <w:p w14:paraId="3DC29FFF" w14:textId="7F9C61FA" w:rsidR="0025631D" w:rsidRPr="00036E57" w:rsidRDefault="00036E57" w:rsidP="00B862DA">
      <w:pPr>
        <w:pStyle w:val="Akapitzlist"/>
        <w:numPr>
          <w:ilvl w:val="0"/>
          <w:numId w:val="1"/>
        </w:numPr>
        <w:tabs>
          <w:tab w:val="left" w:pos="1128"/>
        </w:tabs>
        <w:spacing w:before="120"/>
        <w:ind w:right="713"/>
        <w:jc w:val="both"/>
        <w:rPr>
          <w:sz w:val="20"/>
          <w:szCs w:val="20"/>
        </w:rPr>
      </w:pPr>
      <w:r w:rsidRPr="00036E57">
        <w:rPr>
          <w:b/>
          <w:bCs/>
          <w:color w:val="0070C0"/>
          <w:sz w:val="20"/>
          <w:szCs w:val="20"/>
          <w:u w:val="single"/>
        </w:rPr>
        <w:t>Oświadczenie</w:t>
      </w:r>
      <w:r w:rsidRPr="00036E57">
        <w:rPr>
          <w:color w:val="0070C0"/>
          <w:sz w:val="20"/>
          <w:szCs w:val="20"/>
        </w:rPr>
        <w:t xml:space="preserve"> </w:t>
      </w:r>
      <w:r w:rsidRPr="00036E57">
        <w:rPr>
          <w:sz w:val="20"/>
          <w:szCs w:val="20"/>
        </w:rPr>
        <w:t>Prezesa Trybunału</w:t>
      </w:r>
      <w:r w:rsidR="00A512D7">
        <w:rPr>
          <w:sz w:val="20"/>
          <w:szCs w:val="20"/>
        </w:rPr>
        <w:t>,</w:t>
      </w:r>
      <w:r w:rsidRPr="00036E57">
        <w:rPr>
          <w:sz w:val="20"/>
          <w:szCs w:val="20"/>
        </w:rPr>
        <w:t xml:space="preserve"> dotyczące wniosków na mocy Reguły 39 Regulaminu Trybunału (luty</w:t>
      </w:r>
      <w:r w:rsidR="00D3520A" w:rsidRPr="00036E57">
        <w:rPr>
          <w:sz w:val="20"/>
          <w:szCs w:val="20"/>
        </w:rPr>
        <w:t xml:space="preserve"> 2011</w:t>
      </w:r>
      <w:r w:rsidRPr="00036E57">
        <w:rPr>
          <w:sz w:val="20"/>
          <w:szCs w:val="20"/>
        </w:rPr>
        <w:t xml:space="preserve"> r.</w:t>
      </w:r>
      <w:r w:rsidR="00D3520A" w:rsidRPr="00036E57">
        <w:rPr>
          <w:sz w:val="20"/>
          <w:szCs w:val="20"/>
        </w:rPr>
        <w:t>)</w:t>
      </w:r>
    </w:p>
    <w:p w14:paraId="6E80C9CF" w14:textId="2AA58408" w:rsidR="0025631D" w:rsidRPr="00036E57" w:rsidRDefault="00036E57" w:rsidP="00B862DA">
      <w:pPr>
        <w:pStyle w:val="Akapitzlist"/>
        <w:numPr>
          <w:ilvl w:val="0"/>
          <w:numId w:val="1"/>
        </w:numPr>
        <w:tabs>
          <w:tab w:val="left" w:pos="1128"/>
        </w:tabs>
        <w:spacing w:before="78"/>
        <w:ind w:right="719"/>
        <w:jc w:val="both"/>
        <w:rPr>
          <w:sz w:val="20"/>
          <w:szCs w:val="20"/>
        </w:rPr>
      </w:pPr>
      <w:r w:rsidRPr="00036E57">
        <w:rPr>
          <w:b/>
          <w:bCs/>
          <w:color w:val="0070C0"/>
          <w:sz w:val="20"/>
          <w:szCs w:val="20"/>
          <w:u w:val="single"/>
        </w:rPr>
        <w:t>Praktyczne Instrukcje</w:t>
      </w:r>
      <w:r w:rsidR="005649E6">
        <w:rPr>
          <w:b/>
          <w:bCs/>
          <w:color w:val="0070C0"/>
          <w:sz w:val="20"/>
          <w:szCs w:val="20"/>
          <w:u w:val="single"/>
        </w:rPr>
        <w:t>,</w:t>
      </w:r>
      <w:r w:rsidRPr="00036E57">
        <w:rPr>
          <w:sz w:val="20"/>
          <w:szCs w:val="20"/>
        </w:rPr>
        <w:t xml:space="preserve"> wydane przez Prezesa</w:t>
      </w:r>
      <w:r w:rsidR="00B862DA">
        <w:rPr>
          <w:sz w:val="20"/>
          <w:szCs w:val="20"/>
        </w:rPr>
        <w:t xml:space="preserve"> Trybunału</w:t>
      </w:r>
      <w:r w:rsidR="005649E6">
        <w:rPr>
          <w:sz w:val="20"/>
          <w:szCs w:val="20"/>
        </w:rPr>
        <w:t>,</w:t>
      </w:r>
      <w:r w:rsidR="00B862DA">
        <w:rPr>
          <w:sz w:val="20"/>
          <w:szCs w:val="20"/>
        </w:rPr>
        <w:t xml:space="preserve"> dotyczące wniosków o </w:t>
      </w:r>
      <w:r w:rsidRPr="00036E57">
        <w:rPr>
          <w:sz w:val="20"/>
          <w:szCs w:val="20"/>
        </w:rPr>
        <w:t xml:space="preserve">środki tymczasowe </w:t>
      </w:r>
    </w:p>
    <w:p w14:paraId="5DCAF1AC" w14:textId="77777777" w:rsidR="0025631D" w:rsidRPr="00036E57" w:rsidRDefault="00036E57" w:rsidP="00B862DA">
      <w:pPr>
        <w:pStyle w:val="Nagwek31"/>
        <w:numPr>
          <w:ilvl w:val="0"/>
          <w:numId w:val="1"/>
        </w:numPr>
        <w:tabs>
          <w:tab w:val="left" w:pos="1128"/>
        </w:tabs>
        <w:spacing w:before="78"/>
        <w:rPr>
          <w:color w:val="0070C0"/>
        </w:rPr>
      </w:pPr>
      <w:r w:rsidRPr="00036E57">
        <w:rPr>
          <w:color w:val="0070C0"/>
        </w:rPr>
        <w:t>Ogólna prezentacja</w:t>
      </w:r>
    </w:p>
    <w:p w14:paraId="4DA64DD7" w14:textId="77777777" w:rsidR="00036E57" w:rsidRPr="00036E57" w:rsidRDefault="00036E57" w:rsidP="00B862DA">
      <w:pPr>
        <w:pStyle w:val="Nagwek31"/>
        <w:numPr>
          <w:ilvl w:val="0"/>
          <w:numId w:val="1"/>
        </w:numPr>
        <w:tabs>
          <w:tab w:val="left" w:pos="1128"/>
        </w:tabs>
        <w:spacing w:before="78"/>
        <w:rPr>
          <w:color w:val="0070C0"/>
        </w:rPr>
      </w:pPr>
      <w:r w:rsidRPr="00036E57">
        <w:rPr>
          <w:color w:val="0070C0"/>
        </w:rPr>
        <w:t>Informacje praktyczne</w:t>
      </w:r>
    </w:p>
    <w:p w14:paraId="000522B3" w14:textId="77777777" w:rsidR="0025631D" w:rsidRPr="00191FB9" w:rsidRDefault="008B5B86" w:rsidP="00191FB9">
      <w:pPr>
        <w:pStyle w:val="Tekstpodstawowy"/>
        <w:spacing w:before="5"/>
        <w:ind w:left="0"/>
        <w:jc w:val="left"/>
        <w:rPr>
          <w:b/>
          <w:sz w:val="18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203863A" wp14:editId="4C412A99">
                <wp:simplePos x="0" y="0"/>
                <wp:positionH relativeFrom="page">
                  <wp:posOffset>895985</wp:posOffset>
                </wp:positionH>
                <wp:positionV relativeFrom="paragraph">
                  <wp:posOffset>173355</wp:posOffset>
                </wp:positionV>
                <wp:extent cx="5768340" cy="0"/>
                <wp:effectExtent l="0" t="0" r="0" b="0"/>
                <wp:wrapTopAndBottom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2E83376" id="Line 3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3.65pt" to="524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" strokecolor="#999" strokeweight=".96pt">
                <o:lock v:ext="edit" shapetype="f"/>
                <w10:wrap type="topAndBottom" anchorx="page"/>
              </v:line>
            </w:pict>
          </mc:Fallback>
        </mc:AlternateContent>
      </w:r>
    </w:p>
    <w:p w14:paraId="6010EE97" w14:textId="77777777" w:rsidR="0025631D" w:rsidRPr="004939EF" w:rsidRDefault="00036E57" w:rsidP="00036E57">
      <w:pPr>
        <w:spacing w:before="99" w:line="243" w:lineRule="exact"/>
        <w:ind w:left="3816" w:right="3837"/>
        <w:jc w:val="center"/>
        <w:rPr>
          <w:b/>
          <w:sz w:val="20"/>
        </w:rPr>
      </w:pPr>
      <w:r>
        <w:rPr>
          <w:b/>
          <w:color w:val="808080"/>
          <w:sz w:val="20"/>
        </w:rPr>
        <w:t xml:space="preserve">Kontakt </w:t>
      </w:r>
      <w:r w:rsidR="00B85EBC">
        <w:rPr>
          <w:b/>
          <w:color w:val="808080"/>
          <w:sz w:val="20"/>
        </w:rPr>
        <w:t xml:space="preserve">z </w:t>
      </w:r>
      <w:r>
        <w:rPr>
          <w:b/>
          <w:color w:val="808080"/>
          <w:sz w:val="20"/>
        </w:rPr>
        <w:t>medi</w:t>
      </w:r>
      <w:r w:rsidR="00B85EBC">
        <w:rPr>
          <w:b/>
          <w:color w:val="808080"/>
          <w:sz w:val="20"/>
        </w:rPr>
        <w:t>ami</w:t>
      </w:r>
      <w:r w:rsidR="00D3520A" w:rsidRPr="004939EF">
        <w:rPr>
          <w:b/>
          <w:color w:val="808080"/>
          <w:sz w:val="20"/>
        </w:rPr>
        <w:t>:</w:t>
      </w:r>
    </w:p>
    <w:p w14:paraId="049DEE3A" w14:textId="77777777" w:rsidR="0025631D" w:rsidRPr="004939EF" w:rsidRDefault="00D3520A">
      <w:pPr>
        <w:pStyle w:val="Tekstpodstawowy"/>
        <w:spacing w:line="243" w:lineRule="exact"/>
        <w:ind w:left="3819" w:right="3837"/>
        <w:jc w:val="center"/>
      </w:pPr>
      <w:r w:rsidRPr="004939EF">
        <w:rPr>
          <w:color w:val="808080"/>
        </w:rPr>
        <w:t>Tel.: +33 (0)3 90 21 42 08</w:t>
      </w:r>
    </w:p>
    <w:sectPr w:rsidR="0025631D" w:rsidRPr="004939EF" w:rsidSect="001E0356">
      <w:headerReference w:type="default" r:id="rId10"/>
      <w:footerReference w:type="even" r:id="rId11"/>
      <w:footerReference w:type="default" r:id="rId12"/>
      <w:headerReference w:type="first" r:id="rId13"/>
      <w:pgSz w:w="11910" w:h="16840"/>
      <w:pgMar w:top="1400" w:right="720" w:bottom="1560" w:left="740" w:header="740" w:footer="49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C1FD2" w14:textId="77777777" w:rsidR="00550A9F" w:rsidRDefault="00550A9F" w:rsidP="0025631D">
      <w:r>
        <w:separator/>
      </w:r>
    </w:p>
  </w:endnote>
  <w:endnote w:type="continuationSeparator" w:id="0">
    <w:p w14:paraId="5FAB527F" w14:textId="77777777" w:rsidR="00550A9F" w:rsidRDefault="00550A9F" w:rsidP="0025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80677070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7FF2807" w14:textId="77777777" w:rsidR="00A936B0" w:rsidRDefault="00A936B0" w:rsidP="0080022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2AF4C24" w14:textId="77777777" w:rsidR="00A936B0" w:rsidRDefault="00A936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99814844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F7B89CA" w14:textId="77777777" w:rsidR="00A936B0" w:rsidRDefault="00A936B0" w:rsidP="0080022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1E0356">
          <w:rPr>
            <w:rStyle w:val="Numerstrony"/>
            <w:noProof/>
          </w:rPr>
          <w:t>13</w:t>
        </w:r>
        <w:r>
          <w:rPr>
            <w:rStyle w:val="Numerstrony"/>
          </w:rPr>
          <w:fldChar w:fldCharType="end"/>
        </w:r>
      </w:p>
    </w:sdtContent>
  </w:sdt>
  <w:p w14:paraId="1161C6DA" w14:textId="77777777" w:rsidR="00A936B0" w:rsidRDefault="00A936B0">
    <w:pPr>
      <w:pStyle w:val="Tekstpodstawowy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0366B" w14:textId="77777777" w:rsidR="00550A9F" w:rsidRDefault="00550A9F" w:rsidP="0025631D">
      <w:r>
        <w:separator/>
      </w:r>
    </w:p>
  </w:footnote>
  <w:footnote w:type="continuationSeparator" w:id="0">
    <w:p w14:paraId="74F0219D" w14:textId="77777777" w:rsidR="00550A9F" w:rsidRDefault="00550A9F" w:rsidP="0025631D">
      <w:r>
        <w:continuationSeparator/>
      </w:r>
    </w:p>
  </w:footnote>
  <w:footnote w:id="1">
    <w:p w14:paraId="02041058" w14:textId="555C487A" w:rsidR="00A936B0" w:rsidRPr="009E2799" w:rsidRDefault="00A936B0" w:rsidP="00F74416">
      <w:pPr>
        <w:pStyle w:val="Tekstprzypisudolnego"/>
        <w:ind w:left="709" w:right="669"/>
        <w:jc w:val="both"/>
        <w:rPr>
          <w:sz w:val="16"/>
          <w:szCs w:val="16"/>
        </w:rPr>
      </w:pPr>
      <w:r w:rsidRPr="009E2799">
        <w:rPr>
          <w:rStyle w:val="Odwoanieprzypisudolnego"/>
          <w:sz w:val="16"/>
          <w:szCs w:val="16"/>
        </w:rPr>
        <w:footnoteRef/>
      </w:r>
      <w:r w:rsidRPr="009E2799">
        <w:rPr>
          <w:sz w:val="16"/>
          <w:szCs w:val="16"/>
        </w:rPr>
        <w:t xml:space="preserve"> Na przykład w sprawie </w:t>
      </w:r>
      <w:r w:rsidRPr="009E2799">
        <w:rPr>
          <w:i/>
          <w:iCs/>
          <w:color w:val="0070C0"/>
          <w:sz w:val="16"/>
          <w:szCs w:val="16"/>
          <w:u w:val="single"/>
        </w:rPr>
        <w:t>Ilascu i Inni przeciwko Republice Mołdawii i Rosji</w:t>
      </w:r>
      <w:r w:rsidRPr="009E2799">
        <w:rPr>
          <w:sz w:val="16"/>
          <w:szCs w:val="16"/>
        </w:rPr>
        <w:t xml:space="preserve">, w której Trybunał zwrócił się do jednego ze skarżących o zaprzestanie strajku głodowego (zobacz paragraf 11 </w:t>
      </w:r>
      <w:r w:rsidRPr="009E2799">
        <w:rPr>
          <w:color w:val="0070C0"/>
          <w:sz w:val="16"/>
          <w:szCs w:val="16"/>
          <w:u w:val="single"/>
        </w:rPr>
        <w:t>wyroku</w:t>
      </w:r>
      <w:r w:rsidRPr="009E2799">
        <w:rPr>
          <w:sz w:val="16"/>
          <w:szCs w:val="16"/>
        </w:rPr>
        <w:t xml:space="preserve"> Wielkiej Izby z dnia 8 lipca 2004 r.). Zobacz także wyrok w sprawie </w:t>
      </w:r>
      <w:r w:rsidRPr="009E2799">
        <w:rPr>
          <w:i/>
          <w:iCs/>
          <w:color w:val="0070C0"/>
          <w:sz w:val="16"/>
          <w:szCs w:val="16"/>
          <w:u w:val="single"/>
        </w:rPr>
        <w:t>Rodić i Inni przeciwko Bośni i Hercegowinie</w:t>
      </w:r>
      <w:r w:rsidRPr="009E2799">
        <w:rPr>
          <w:sz w:val="16"/>
          <w:szCs w:val="16"/>
        </w:rPr>
        <w:t xml:space="preserve"> z dnia 27 maja 2008 r.</w:t>
      </w:r>
    </w:p>
  </w:footnote>
  <w:footnote w:id="2">
    <w:p w14:paraId="70F3B577" w14:textId="70E59A88" w:rsidR="00A936B0" w:rsidRPr="009E2799" w:rsidRDefault="00A936B0" w:rsidP="00BA4A93">
      <w:pPr>
        <w:pStyle w:val="Tekstprzypisudolnego"/>
        <w:ind w:left="709" w:right="669"/>
        <w:jc w:val="both"/>
        <w:rPr>
          <w:sz w:val="16"/>
          <w:szCs w:val="16"/>
        </w:rPr>
      </w:pPr>
      <w:r w:rsidRPr="009E2799">
        <w:rPr>
          <w:rStyle w:val="Odwoanieprzypisudolnego"/>
          <w:sz w:val="16"/>
          <w:szCs w:val="16"/>
        </w:rPr>
        <w:footnoteRef/>
      </w:r>
      <w:r w:rsidRPr="009E2799">
        <w:rPr>
          <w:sz w:val="16"/>
          <w:szCs w:val="16"/>
        </w:rPr>
        <w:t xml:space="preserve"> Zobacz </w:t>
      </w:r>
      <w:r w:rsidRPr="009E2799">
        <w:rPr>
          <w:color w:val="0070C0"/>
          <w:sz w:val="16"/>
          <w:szCs w:val="16"/>
          <w:u w:val="single"/>
        </w:rPr>
        <w:t>komunikat prasowy</w:t>
      </w:r>
      <w:r w:rsidRPr="009E2799">
        <w:rPr>
          <w:sz w:val="16"/>
          <w:szCs w:val="16"/>
        </w:rPr>
        <w:t xml:space="preserve"> z dnia 21 grudnia 2007 r. dotyczący niewłaściwego stosowania procedury środków tymczasowych.</w:t>
      </w:r>
    </w:p>
  </w:footnote>
  <w:footnote w:id="3">
    <w:p w14:paraId="50858A99" w14:textId="19F541AF" w:rsidR="00A936B0" w:rsidRPr="009E2799" w:rsidRDefault="00A936B0" w:rsidP="00BA4A93">
      <w:pPr>
        <w:pStyle w:val="Tekstprzypisudolnego"/>
        <w:ind w:left="709" w:right="669"/>
        <w:jc w:val="both"/>
        <w:rPr>
          <w:sz w:val="16"/>
          <w:szCs w:val="16"/>
        </w:rPr>
      </w:pPr>
      <w:r w:rsidRPr="009E2799">
        <w:rPr>
          <w:rStyle w:val="Odwoanieprzypisudolnego"/>
          <w:sz w:val="16"/>
          <w:szCs w:val="16"/>
        </w:rPr>
        <w:footnoteRef/>
      </w:r>
      <w:r w:rsidRPr="009E2799">
        <w:rPr>
          <w:sz w:val="16"/>
          <w:szCs w:val="16"/>
        </w:rPr>
        <w:t xml:space="preserve"> Na przykład w sprawie </w:t>
      </w:r>
      <w:r w:rsidRPr="009E2799">
        <w:rPr>
          <w:i/>
          <w:iCs/>
          <w:sz w:val="16"/>
          <w:szCs w:val="16"/>
        </w:rPr>
        <w:t xml:space="preserve">Sezer </w:t>
      </w:r>
      <w:r w:rsidR="00601572" w:rsidRPr="009E2799">
        <w:rPr>
          <w:i/>
          <w:iCs/>
          <w:sz w:val="16"/>
          <w:szCs w:val="16"/>
        </w:rPr>
        <w:t>p</w:t>
      </w:r>
      <w:r w:rsidRPr="009E2799">
        <w:rPr>
          <w:i/>
          <w:iCs/>
          <w:sz w:val="16"/>
          <w:szCs w:val="16"/>
        </w:rPr>
        <w:t>. Tur</w:t>
      </w:r>
      <w:r w:rsidR="00601572" w:rsidRPr="009E2799">
        <w:rPr>
          <w:i/>
          <w:iCs/>
          <w:sz w:val="16"/>
          <w:szCs w:val="16"/>
        </w:rPr>
        <w:t>cji</w:t>
      </w:r>
      <w:r w:rsidRPr="009E2799">
        <w:rPr>
          <w:i/>
          <w:iCs/>
          <w:sz w:val="16"/>
          <w:szCs w:val="16"/>
        </w:rPr>
        <w:t xml:space="preserve"> (nr 35119/08) </w:t>
      </w:r>
      <w:r w:rsidRPr="009E2799">
        <w:rPr>
          <w:sz w:val="16"/>
          <w:szCs w:val="16"/>
        </w:rPr>
        <w:t>Trybunał oddalił wniosek o przyjęcie środka tymczasowego w celu uniemożliwienia Tureckiemu Trybunałowi Konstytucyjnemu rozwiązania AKP (</w:t>
      </w:r>
      <w:r w:rsidRPr="009E2799">
        <w:rPr>
          <w:i/>
          <w:iCs/>
          <w:sz w:val="16"/>
          <w:szCs w:val="16"/>
        </w:rPr>
        <w:t xml:space="preserve">Adalet ve Kalkınma Partisi </w:t>
      </w:r>
      <w:r w:rsidRPr="009E2799">
        <w:rPr>
          <w:sz w:val="16"/>
          <w:szCs w:val="16"/>
        </w:rPr>
        <w:t xml:space="preserve">– Partii Sprawiedliwości i Rozwoju) (zob. </w:t>
      </w:r>
      <w:r w:rsidRPr="009E2799">
        <w:rPr>
          <w:color w:val="0070C0"/>
          <w:sz w:val="16"/>
          <w:szCs w:val="16"/>
          <w:u w:val="single"/>
        </w:rPr>
        <w:t>komunikat prasowy</w:t>
      </w:r>
      <w:r w:rsidRPr="009E2799">
        <w:rPr>
          <w:sz w:val="16"/>
          <w:szCs w:val="16"/>
        </w:rPr>
        <w:t xml:space="preserve"> z 28 lipca 2008 r.).</w:t>
      </w:r>
    </w:p>
  </w:footnote>
  <w:footnote w:id="4">
    <w:p w14:paraId="2E22DD6F" w14:textId="336649F2" w:rsidR="00A936B0" w:rsidRPr="009E2799" w:rsidRDefault="00A936B0" w:rsidP="00BA4A93">
      <w:pPr>
        <w:pStyle w:val="Tekstprzypisudolnego"/>
        <w:ind w:left="709" w:right="669"/>
        <w:jc w:val="both"/>
        <w:rPr>
          <w:color w:val="0070C0"/>
          <w:sz w:val="16"/>
          <w:szCs w:val="16"/>
        </w:rPr>
      </w:pPr>
      <w:r w:rsidRPr="009E2799">
        <w:rPr>
          <w:rStyle w:val="Odwoanieprzypisudolnego"/>
          <w:sz w:val="16"/>
          <w:szCs w:val="16"/>
        </w:rPr>
        <w:footnoteRef/>
      </w:r>
      <w:r w:rsidRPr="009E2799">
        <w:rPr>
          <w:sz w:val="16"/>
          <w:szCs w:val="16"/>
        </w:rPr>
        <w:t xml:space="preserve"> Zobacz także zestawienie na temat: </w:t>
      </w:r>
      <w:r w:rsidRPr="009E2799">
        <w:rPr>
          <w:color w:val="0070C0"/>
          <w:sz w:val="16"/>
          <w:szCs w:val="16"/>
        </w:rPr>
        <w:t>„</w:t>
      </w:r>
      <w:r w:rsidRPr="009E2799">
        <w:rPr>
          <w:color w:val="0070C0"/>
          <w:sz w:val="16"/>
          <w:szCs w:val="16"/>
          <w:u w:val="single"/>
        </w:rPr>
        <w:t>Zniesienie kary śmierci</w:t>
      </w:r>
      <w:r w:rsidRPr="009E2799">
        <w:rPr>
          <w:b/>
          <w:bCs/>
          <w:color w:val="0070C0"/>
          <w:sz w:val="16"/>
          <w:szCs w:val="16"/>
        </w:rPr>
        <w:t>”</w:t>
      </w:r>
      <w:r w:rsidRPr="009E2799">
        <w:rPr>
          <w:b/>
          <w:bCs/>
          <w:sz w:val="16"/>
          <w:szCs w:val="16"/>
        </w:rPr>
        <w:t xml:space="preserve"> </w:t>
      </w:r>
      <w:r w:rsidRPr="009E2799">
        <w:rPr>
          <w:sz w:val="16"/>
          <w:szCs w:val="16"/>
        </w:rPr>
        <w:t xml:space="preserve">i </w:t>
      </w:r>
      <w:r w:rsidRPr="009E2799">
        <w:rPr>
          <w:color w:val="0070C0"/>
          <w:sz w:val="16"/>
          <w:szCs w:val="16"/>
          <w:u w:val="single"/>
        </w:rPr>
        <w:t>„Ekstradycja i dożywotnie pozbawienie wolności”</w:t>
      </w:r>
      <w:r w:rsidRPr="009E2799">
        <w:rPr>
          <w:color w:val="0070C0"/>
          <w:sz w:val="16"/>
          <w:szCs w:val="16"/>
        </w:rPr>
        <w:t>.</w:t>
      </w:r>
    </w:p>
  </w:footnote>
  <w:footnote w:id="5">
    <w:p w14:paraId="0A95BA9A" w14:textId="64FCF7CF" w:rsidR="00A936B0" w:rsidRPr="009E2799" w:rsidRDefault="00A936B0" w:rsidP="001675EA">
      <w:pPr>
        <w:pStyle w:val="Tekstprzypisudolnego"/>
        <w:ind w:left="426" w:right="669"/>
        <w:jc w:val="both"/>
        <w:rPr>
          <w:sz w:val="16"/>
          <w:szCs w:val="16"/>
        </w:rPr>
      </w:pPr>
      <w:r w:rsidRPr="009E2799">
        <w:rPr>
          <w:rStyle w:val="Odwoanieprzypisudolnego"/>
          <w:sz w:val="16"/>
          <w:szCs w:val="16"/>
        </w:rPr>
        <w:footnoteRef/>
      </w:r>
      <w:r w:rsidRPr="009E2799">
        <w:rPr>
          <w:sz w:val="16"/>
          <w:szCs w:val="16"/>
        </w:rPr>
        <w:t xml:space="preserve"> Zobacz zestawienie „</w:t>
      </w:r>
      <w:r w:rsidRPr="009E2799">
        <w:rPr>
          <w:color w:val="0070C0"/>
          <w:sz w:val="16"/>
          <w:szCs w:val="16"/>
          <w:u w:val="single"/>
        </w:rPr>
        <w:t>Sprawy dublińskie”.</w:t>
      </w:r>
      <w:r w:rsidRPr="009E2799">
        <w:rPr>
          <w:sz w:val="16"/>
          <w:szCs w:val="16"/>
        </w:rPr>
        <w:t xml:space="preserve"> Zobacz także, między innymi: </w:t>
      </w:r>
      <w:r w:rsidRPr="009E2799">
        <w:rPr>
          <w:i/>
          <w:iCs/>
          <w:color w:val="0070C0"/>
          <w:sz w:val="16"/>
          <w:szCs w:val="16"/>
          <w:u w:val="single"/>
        </w:rPr>
        <w:t>Shamayev i Inni przeciwko Gruzji i Rosji</w:t>
      </w:r>
      <w:r w:rsidRPr="009E2799">
        <w:rPr>
          <w:sz w:val="16"/>
          <w:szCs w:val="16"/>
        </w:rPr>
        <w:t xml:space="preserve">, wyrok z dnia 12 kwietnia 2005 r.; </w:t>
      </w:r>
      <w:r w:rsidRPr="009E2799">
        <w:rPr>
          <w:i/>
          <w:iCs/>
          <w:color w:val="0070C0"/>
          <w:sz w:val="16"/>
          <w:szCs w:val="16"/>
          <w:u w:val="single"/>
        </w:rPr>
        <w:t>Avcisoy przeciwko Zjednoczonemu Królestwu</w:t>
      </w:r>
      <w:r w:rsidRPr="009E2799">
        <w:rPr>
          <w:sz w:val="16"/>
          <w:szCs w:val="16"/>
        </w:rPr>
        <w:t xml:space="preserve">, decyzja (skreślenie skargi) z dnia 19 lutego 2002 r.; </w:t>
      </w:r>
      <w:r w:rsidRPr="009E2799">
        <w:rPr>
          <w:i/>
          <w:iCs/>
          <w:color w:val="0070C0"/>
          <w:sz w:val="16"/>
          <w:szCs w:val="16"/>
          <w:u w:val="single"/>
        </w:rPr>
        <w:t>Gasayev przeciwko Hiszpanii</w:t>
      </w:r>
      <w:r w:rsidRPr="009E2799">
        <w:rPr>
          <w:sz w:val="16"/>
          <w:szCs w:val="16"/>
        </w:rPr>
        <w:t>, decyzja (niedopuszczalność) z dnia 17 lutego 2009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067F3" w14:textId="77777777" w:rsidR="00A936B0" w:rsidRPr="00674D24" w:rsidRDefault="00A936B0" w:rsidP="00674D24">
    <w:pPr>
      <w:pBdr>
        <w:bottom w:val="single" w:sz="4" w:space="1" w:color="auto"/>
      </w:pBdr>
      <w:rPr>
        <w:i/>
        <w:iCs/>
        <w:color w:val="0070C0"/>
      </w:rPr>
    </w:pPr>
    <w:r>
      <w:rPr>
        <w:sz w:val="18"/>
      </w:rPr>
      <w:t>Zestawienie</w:t>
    </w:r>
    <w:r w:rsidRPr="004939EF">
      <w:rPr>
        <w:sz w:val="18"/>
      </w:rPr>
      <w:t xml:space="preserve"> – Środk</w:t>
    </w:r>
    <w:r>
      <w:rPr>
        <w:sz w:val="18"/>
      </w:rPr>
      <w:t xml:space="preserve">i tymczasowe                                                                     </w:t>
    </w:r>
    <w:r>
      <w:rPr>
        <w:rFonts w:ascii="Times New Roman" w:hAnsi="Times New Roman"/>
        <w:noProof/>
        <w:lang w:eastAsia="pl-PL" w:bidi="ar-SA"/>
      </w:rPr>
      <w:drawing>
        <wp:inline distT="0" distB="0" distL="0" distR="0" wp14:anchorId="6183694D" wp14:editId="096BA776">
          <wp:extent cx="1409700" cy="371475"/>
          <wp:effectExtent l="0" t="0" r="0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</w:rPr>
      <w:t xml:space="preserve">                                                                           </w:t>
    </w:r>
    <w:r>
      <w:rPr>
        <w:i/>
        <w:iCs/>
        <w:color w:val="0070C0"/>
      </w:rPr>
      <w:t xml:space="preserve"> </w:t>
    </w:r>
    <w:r>
      <w:rPr>
        <w:i/>
        <w:iCs/>
        <w:color w:val="0070C0"/>
      </w:rPr>
      <w:tab/>
    </w:r>
    <w:r>
      <w:rPr>
        <w:i/>
        <w:iCs/>
        <w:color w:val="0070C0"/>
      </w:rPr>
      <w:tab/>
    </w:r>
    <w:r>
      <w:rPr>
        <w:i/>
        <w:iCs/>
        <w:color w:val="0070C0"/>
      </w:rPr>
      <w:tab/>
    </w:r>
    <w:r>
      <w:rPr>
        <w:i/>
        <w:iCs/>
        <w:color w:val="0070C0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B26B1" w14:textId="56ED0973" w:rsidR="00455804" w:rsidRDefault="00455804" w:rsidP="00455804">
    <w:pPr>
      <w:pStyle w:val="Nagwek"/>
      <w:jc w:val="right"/>
    </w:pPr>
    <w:r>
      <w:rPr>
        <w:noProof/>
        <w:lang w:eastAsia="pl-PL" w:bidi="ar-SA"/>
      </w:rPr>
      <w:drawing>
        <wp:inline distT="0" distB="0" distL="0" distR="0" wp14:anchorId="2E538A82" wp14:editId="117F2CF9">
          <wp:extent cx="1409700" cy="365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6794"/>
    <w:multiLevelType w:val="hybridMultilevel"/>
    <w:tmpl w:val="1374AE2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64758"/>
    <w:multiLevelType w:val="multilevel"/>
    <w:tmpl w:val="964A1194"/>
    <w:lvl w:ilvl="0">
      <w:start w:val="1"/>
      <w:numFmt w:val="decimal"/>
      <w:pStyle w:val="Bezodstpw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6"/>
      <w:numFmt w:val="decimal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9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458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178" w:hanging="180"/>
      </w:pPr>
      <w:rPr>
        <w:rFonts w:asciiTheme="minorHAnsi" w:eastAsiaTheme="minorHAnsi" w:hAnsiTheme="minorHAnsi" w:cstheme="minorBidi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2">
    <w:nsid w:val="4CF045C7"/>
    <w:multiLevelType w:val="hybridMultilevel"/>
    <w:tmpl w:val="31084FE6"/>
    <w:lvl w:ilvl="0" w:tplc="BF884988">
      <w:start w:val="2"/>
      <w:numFmt w:val="decimal"/>
      <w:lvlText w:val="%1."/>
      <w:lvlJc w:val="left"/>
      <w:pPr>
        <w:ind w:left="108" w:hanging="341"/>
      </w:pPr>
      <w:rPr>
        <w:rFonts w:ascii="Verdana" w:eastAsia="Verdana" w:hAnsi="Verdana" w:cs="Verdana" w:hint="default"/>
        <w:color w:val="404040"/>
        <w:w w:val="99"/>
        <w:sz w:val="20"/>
        <w:szCs w:val="20"/>
        <w:lang w:val="en-US" w:eastAsia="en-US" w:bidi="en-US"/>
      </w:rPr>
    </w:lvl>
    <w:lvl w:ilvl="1" w:tplc="40CC3688">
      <w:numFmt w:val="bullet"/>
      <w:lvlText w:val="•"/>
      <w:lvlJc w:val="left"/>
      <w:pPr>
        <w:ind w:left="1014" w:hanging="341"/>
      </w:pPr>
      <w:rPr>
        <w:rFonts w:hint="default"/>
        <w:lang w:val="en-US" w:eastAsia="en-US" w:bidi="en-US"/>
      </w:rPr>
    </w:lvl>
    <w:lvl w:ilvl="2" w:tplc="91609BE4">
      <w:numFmt w:val="bullet"/>
      <w:lvlText w:val="•"/>
      <w:lvlJc w:val="left"/>
      <w:pPr>
        <w:ind w:left="1928" w:hanging="341"/>
      </w:pPr>
      <w:rPr>
        <w:rFonts w:hint="default"/>
        <w:lang w:val="en-US" w:eastAsia="en-US" w:bidi="en-US"/>
      </w:rPr>
    </w:lvl>
    <w:lvl w:ilvl="3" w:tplc="15ACB4E0">
      <w:numFmt w:val="bullet"/>
      <w:lvlText w:val="•"/>
      <w:lvlJc w:val="left"/>
      <w:pPr>
        <w:ind w:left="2842" w:hanging="341"/>
      </w:pPr>
      <w:rPr>
        <w:rFonts w:hint="default"/>
        <w:lang w:val="en-US" w:eastAsia="en-US" w:bidi="en-US"/>
      </w:rPr>
    </w:lvl>
    <w:lvl w:ilvl="4" w:tplc="6AEAEEFA">
      <w:numFmt w:val="bullet"/>
      <w:lvlText w:val="•"/>
      <w:lvlJc w:val="left"/>
      <w:pPr>
        <w:ind w:left="3756" w:hanging="341"/>
      </w:pPr>
      <w:rPr>
        <w:rFonts w:hint="default"/>
        <w:lang w:val="en-US" w:eastAsia="en-US" w:bidi="en-US"/>
      </w:rPr>
    </w:lvl>
    <w:lvl w:ilvl="5" w:tplc="AD504D66">
      <w:numFmt w:val="bullet"/>
      <w:lvlText w:val="•"/>
      <w:lvlJc w:val="left"/>
      <w:pPr>
        <w:ind w:left="4671" w:hanging="341"/>
      </w:pPr>
      <w:rPr>
        <w:rFonts w:hint="default"/>
        <w:lang w:val="en-US" w:eastAsia="en-US" w:bidi="en-US"/>
      </w:rPr>
    </w:lvl>
    <w:lvl w:ilvl="6" w:tplc="B0DECCA6">
      <w:numFmt w:val="bullet"/>
      <w:lvlText w:val="•"/>
      <w:lvlJc w:val="left"/>
      <w:pPr>
        <w:ind w:left="5585" w:hanging="341"/>
      </w:pPr>
      <w:rPr>
        <w:rFonts w:hint="default"/>
        <w:lang w:val="en-US" w:eastAsia="en-US" w:bidi="en-US"/>
      </w:rPr>
    </w:lvl>
    <w:lvl w:ilvl="7" w:tplc="81D8C824">
      <w:numFmt w:val="bullet"/>
      <w:lvlText w:val="•"/>
      <w:lvlJc w:val="left"/>
      <w:pPr>
        <w:ind w:left="6499" w:hanging="341"/>
      </w:pPr>
      <w:rPr>
        <w:rFonts w:hint="default"/>
        <w:lang w:val="en-US" w:eastAsia="en-US" w:bidi="en-US"/>
      </w:rPr>
    </w:lvl>
    <w:lvl w:ilvl="8" w:tplc="9918D136">
      <w:numFmt w:val="bullet"/>
      <w:lvlText w:val="•"/>
      <w:lvlJc w:val="left"/>
      <w:pPr>
        <w:ind w:left="7413" w:hanging="341"/>
      </w:pPr>
      <w:rPr>
        <w:rFonts w:hint="default"/>
        <w:lang w:val="en-US" w:eastAsia="en-US" w:bidi="en-US"/>
      </w:rPr>
    </w:lvl>
  </w:abstractNum>
  <w:abstractNum w:abstractNumId="3">
    <w:nsid w:val="5B80024E"/>
    <w:multiLevelType w:val="hybridMultilevel"/>
    <w:tmpl w:val="483EFA68"/>
    <w:lvl w:ilvl="0" w:tplc="FF12025A">
      <w:numFmt w:val="bullet"/>
      <w:lvlText w:val="-"/>
      <w:lvlJc w:val="left"/>
      <w:pPr>
        <w:ind w:left="1127" w:hanging="286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97D407B2">
      <w:numFmt w:val="bullet"/>
      <w:lvlText w:val="•"/>
      <w:lvlJc w:val="left"/>
      <w:pPr>
        <w:ind w:left="2052" w:hanging="286"/>
      </w:pPr>
      <w:rPr>
        <w:rFonts w:hint="default"/>
        <w:lang w:val="en-US" w:eastAsia="en-US" w:bidi="en-US"/>
      </w:rPr>
    </w:lvl>
    <w:lvl w:ilvl="2" w:tplc="A4A4A154">
      <w:numFmt w:val="bullet"/>
      <w:lvlText w:val="•"/>
      <w:lvlJc w:val="left"/>
      <w:pPr>
        <w:ind w:left="2985" w:hanging="286"/>
      </w:pPr>
      <w:rPr>
        <w:rFonts w:hint="default"/>
        <w:lang w:val="en-US" w:eastAsia="en-US" w:bidi="en-US"/>
      </w:rPr>
    </w:lvl>
    <w:lvl w:ilvl="3" w:tplc="AF40E176">
      <w:numFmt w:val="bullet"/>
      <w:lvlText w:val="•"/>
      <w:lvlJc w:val="left"/>
      <w:pPr>
        <w:ind w:left="3917" w:hanging="286"/>
      </w:pPr>
      <w:rPr>
        <w:rFonts w:hint="default"/>
        <w:lang w:val="en-US" w:eastAsia="en-US" w:bidi="en-US"/>
      </w:rPr>
    </w:lvl>
    <w:lvl w:ilvl="4" w:tplc="1D826362">
      <w:numFmt w:val="bullet"/>
      <w:lvlText w:val="•"/>
      <w:lvlJc w:val="left"/>
      <w:pPr>
        <w:ind w:left="4850" w:hanging="286"/>
      </w:pPr>
      <w:rPr>
        <w:rFonts w:hint="default"/>
        <w:lang w:val="en-US" w:eastAsia="en-US" w:bidi="en-US"/>
      </w:rPr>
    </w:lvl>
    <w:lvl w:ilvl="5" w:tplc="0EA4FD24">
      <w:numFmt w:val="bullet"/>
      <w:lvlText w:val="•"/>
      <w:lvlJc w:val="left"/>
      <w:pPr>
        <w:ind w:left="5783" w:hanging="286"/>
      </w:pPr>
      <w:rPr>
        <w:rFonts w:hint="default"/>
        <w:lang w:val="en-US" w:eastAsia="en-US" w:bidi="en-US"/>
      </w:rPr>
    </w:lvl>
    <w:lvl w:ilvl="6" w:tplc="D1E491EC">
      <w:numFmt w:val="bullet"/>
      <w:lvlText w:val="•"/>
      <w:lvlJc w:val="left"/>
      <w:pPr>
        <w:ind w:left="6715" w:hanging="286"/>
      </w:pPr>
      <w:rPr>
        <w:rFonts w:hint="default"/>
        <w:lang w:val="en-US" w:eastAsia="en-US" w:bidi="en-US"/>
      </w:rPr>
    </w:lvl>
    <w:lvl w:ilvl="7" w:tplc="8C3C62B4">
      <w:numFmt w:val="bullet"/>
      <w:lvlText w:val="•"/>
      <w:lvlJc w:val="left"/>
      <w:pPr>
        <w:ind w:left="7648" w:hanging="286"/>
      </w:pPr>
      <w:rPr>
        <w:rFonts w:hint="default"/>
        <w:lang w:val="en-US" w:eastAsia="en-US" w:bidi="en-US"/>
      </w:rPr>
    </w:lvl>
    <w:lvl w:ilvl="8" w:tplc="2CC86882">
      <w:numFmt w:val="bullet"/>
      <w:lvlText w:val="•"/>
      <w:lvlJc w:val="left"/>
      <w:pPr>
        <w:ind w:left="8581" w:hanging="286"/>
      </w:pPr>
      <w:rPr>
        <w:rFonts w:hint="default"/>
        <w:lang w:val="en-US" w:eastAsia="en-US" w:bidi="en-US"/>
      </w:rPr>
    </w:lvl>
  </w:abstractNum>
  <w:abstractNum w:abstractNumId="4">
    <w:nsid w:val="5F6900E7"/>
    <w:multiLevelType w:val="hybridMultilevel"/>
    <w:tmpl w:val="31084FE6"/>
    <w:lvl w:ilvl="0" w:tplc="BF884988">
      <w:start w:val="2"/>
      <w:numFmt w:val="decimal"/>
      <w:lvlText w:val="%1."/>
      <w:lvlJc w:val="left"/>
      <w:pPr>
        <w:ind w:left="1476" w:hanging="341"/>
      </w:pPr>
      <w:rPr>
        <w:rFonts w:ascii="Verdana" w:eastAsia="Verdana" w:hAnsi="Verdana" w:cs="Verdana" w:hint="default"/>
        <w:color w:val="404040"/>
        <w:w w:val="99"/>
        <w:sz w:val="20"/>
        <w:szCs w:val="20"/>
        <w:lang w:val="en-US" w:eastAsia="en-US" w:bidi="en-US"/>
      </w:rPr>
    </w:lvl>
    <w:lvl w:ilvl="1" w:tplc="40CC3688">
      <w:numFmt w:val="bullet"/>
      <w:lvlText w:val="•"/>
      <w:lvlJc w:val="left"/>
      <w:pPr>
        <w:ind w:left="2382" w:hanging="341"/>
      </w:pPr>
      <w:rPr>
        <w:rFonts w:hint="default"/>
        <w:lang w:val="en-US" w:eastAsia="en-US" w:bidi="en-US"/>
      </w:rPr>
    </w:lvl>
    <w:lvl w:ilvl="2" w:tplc="91609BE4">
      <w:numFmt w:val="bullet"/>
      <w:lvlText w:val="•"/>
      <w:lvlJc w:val="left"/>
      <w:pPr>
        <w:ind w:left="3296" w:hanging="341"/>
      </w:pPr>
      <w:rPr>
        <w:rFonts w:hint="default"/>
        <w:lang w:val="en-US" w:eastAsia="en-US" w:bidi="en-US"/>
      </w:rPr>
    </w:lvl>
    <w:lvl w:ilvl="3" w:tplc="15ACB4E0">
      <w:numFmt w:val="bullet"/>
      <w:lvlText w:val="•"/>
      <w:lvlJc w:val="left"/>
      <w:pPr>
        <w:ind w:left="4210" w:hanging="341"/>
      </w:pPr>
      <w:rPr>
        <w:rFonts w:hint="default"/>
        <w:lang w:val="en-US" w:eastAsia="en-US" w:bidi="en-US"/>
      </w:rPr>
    </w:lvl>
    <w:lvl w:ilvl="4" w:tplc="6AEAEEFA">
      <w:numFmt w:val="bullet"/>
      <w:lvlText w:val="•"/>
      <w:lvlJc w:val="left"/>
      <w:pPr>
        <w:ind w:left="5124" w:hanging="341"/>
      </w:pPr>
      <w:rPr>
        <w:rFonts w:hint="default"/>
        <w:lang w:val="en-US" w:eastAsia="en-US" w:bidi="en-US"/>
      </w:rPr>
    </w:lvl>
    <w:lvl w:ilvl="5" w:tplc="AD504D66">
      <w:numFmt w:val="bullet"/>
      <w:lvlText w:val="•"/>
      <w:lvlJc w:val="left"/>
      <w:pPr>
        <w:ind w:left="6039" w:hanging="341"/>
      </w:pPr>
      <w:rPr>
        <w:rFonts w:hint="default"/>
        <w:lang w:val="en-US" w:eastAsia="en-US" w:bidi="en-US"/>
      </w:rPr>
    </w:lvl>
    <w:lvl w:ilvl="6" w:tplc="B0DECCA6">
      <w:numFmt w:val="bullet"/>
      <w:lvlText w:val="•"/>
      <w:lvlJc w:val="left"/>
      <w:pPr>
        <w:ind w:left="6953" w:hanging="341"/>
      </w:pPr>
      <w:rPr>
        <w:rFonts w:hint="default"/>
        <w:lang w:val="en-US" w:eastAsia="en-US" w:bidi="en-US"/>
      </w:rPr>
    </w:lvl>
    <w:lvl w:ilvl="7" w:tplc="81D8C824">
      <w:numFmt w:val="bullet"/>
      <w:lvlText w:val="•"/>
      <w:lvlJc w:val="left"/>
      <w:pPr>
        <w:ind w:left="7867" w:hanging="341"/>
      </w:pPr>
      <w:rPr>
        <w:rFonts w:hint="default"/>
        <w:lang w:val="en-US" w:eastAsia="en-US" w:bidi="en-US"/>
      </w:rPr>
    </w:lvl>
    <w:lvl w:ilvl="8" w:tplc="9918D136">
      <w:numFmt w:val="bullet"/>
      <w:lvlText w:val="•"/>
      <w:lvlJc w:val="left"/>
      <w:pPr>
        <w:ind w:left="8781" w:hanging="341"/>
      </w:pPr>
      <w:rPr>
        <w:rFonts w:hint="default"/>
        <w:lang w:val="en-US" w:eastAsia="en-US" w:bidi="en-US"/>
      </w:rPr>
    </w:lvl>
  </w:abstractNum>
  <w:abstractNum w:abstractNumId="5">
    <w:nsid w:val="68E1481D"/>
    <w:multiLevelType w:val="hybridMultilevel"/>
    <w:tmpl w:val="BD3EAB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1D"/>
    <w:rsid w:val="00005295"/>
    <w:rsid w:val="00005E14"/>
    <w:rsid w:val="0001094F"/>
    <w:rsid w:val="0001099D"/>
    <w:rsid w:val="00011D9D"/>
    <w:rsid w:val="00014B2E"/>
    <w:rsid w:val="00036E57"/>
    <w:rsid w:val="00044496"/>
    <w:rsid w:val="0004538F"/>
    <w:rsid w:val="000579EA"/>
    <w:rsid w:val="00072E6F"/>
    <w:rsid w:val="00077CCF"/>
    <w:rsid w:val="00086030"/>
    <w:rsid w:val="00090AFE"/>
    <w:rsid w:val="000A3B57"/>
    <w:rsid w:val="000C4F8E"/>
    <w:rsid w:val="0012559B"/>
    <w:rsid w:val="0013776A"/>
    <w:rsid w:val="00146637"/>
    <w:rsid w:val="00156C83"/>
    <w:rsid w:val="00166EC8"/>
    <w:rsid w:val="001675EA"/>
    <w:rsid w:val="00183239"/>
    <w:rsid w:val="00191FB9"/>
    <w:rsid w:val="001C2A56"/>
    <w:rsid w:val="001D474F"/>
    <w:rsid w:val="001D6AF7"/>
    <w:rsid w:val="001D6B51"/>
    <w:rsid w:val="001E0356"/>
    <w:rsid w:val="001F1C26"/>
    <w:rsid w:val="0024510D"/>
    <w:rsid w:val="00251E98"/>
    <w:rsid w:val="00253D50"/>
    <w:rsid w:val="0025631D"/>
    <w:rsid w:val="00257DBF"/>
    <w:rsid w:val="00263FCC"/>
    <w:rsid w:val="002A19AA"/>
    <w:rsid w:val="002A46EA"/>
    <w:rsid w:val="002C50EB"/>
    <w:rsid w:val="002E57D3"/>
    <w:rsid w:val="00302B22"/>
    <w:rsid w:val="00327977"/>
    <w:rsid w:val="00346422"/>
    <w:rsid w:val="00347C63"/>
    <w:rsid w:val="00361FCC"/>
    <w:rsid w:val="00374B7B"/>
    <w:rsid w:val="003928D2"/>
    <w:rsid w:val="003956F9"/>
    <w:rsid w:val="003A0D76"/>
    <w:rsid w:val="003A33AF"/>
    <w:rsid w:val="003A6159"/>
    <w:rsid w:val="003B4DE8"/>
    <w:rsid w:val="003B6615"/>
    <w:rsid w:val="003C0DF7"/>
    <w:rsid w:val="003E14FD"/>
    <w:rsid w:val="004110DE"/>
    <w:rsid w:val="00421CD4"/>
    <w:rsid w:val="00426099"/>
    <w:rsid w:val="00426BCF"/>
    <w:rsid w:val="004308A5"/>
    <w:rsid w:val="00431DC7"/>
    <w:rsid w:val="00453A96"/>
    <w:rsid w:val="00455804"/>
    <w:rsid w:val="00457BFA"/>
    <w:rsid w:val="004614A8"/>
    <w:rsid w:val="0046355C"/>
    <w:rsid w:val="00467BEB"/>
    <w:rsid w:val="00472807"/>
    <w:rsid w:val="00487401"/>
    <w:rsid w:val="004939EF"/>
    <w:rsid w:val="00494B5E"/>
    <w:rsid w:val="00495AC9"/>
    <w:rsid w:val="004A2D3F"/>
    <w:rsid w:val="004C3D03"/>
    <w:rsid w:val="004D0780"/>
    <w:rsid w:val="004E5DEC"/>
    <w:rsid w:val="005100E5"/>
    <w:rsid w:val="0053119B"/>
    <w:rsid w:val="00537649"/>
    <w:rsid w:val="00550A9F"/>
    <w:rsid w:val="00551885"/>
    <w:rsid w:val="00554A1E"/>
    <w:rsid w:val="005577C8"/>
    <w:rsid w:val="00560603"/>
    <w:rsid w:val="005649E6"/>
    <w:rsid w:val="00567861"/>
    <w:rsid w:val="00576E41"/>
    <w:rsid w:val="00596142"/>
    <w:rsid w:val="00596B7C"/>
    <w:rsid w:val="005A17D4"/>
    <w:rsid w:val="005A7523"/>
    <w:rsid w:val="005B7ACC"/>
    <w:rsid w:val="005C2C43"/>
    <w:rsid w:val="005D152E"/>
    <w:rsid w:val="005D5623"/>
    <w:rsid w:val="005D5A75"/>
    <w:rsid w:val="005D5D63"/>
    <w:rsid w:val="005E6BAB"/>
    <w:rsid w:val="00601572"/>
    <w:rsid w:val="0060223E"/>
    <w:rsid w:val="00604995"/>
    <w:rsid w:val="00613CF3"/>
    <w:rsid w:val="006152AA"/>
    <w:rsid w:val="00621DA6"/>
    <w:rsid w:val="00627D73"/>
    <w:rsid w:val="00630E01"/>
    <w:rsid w:val="006316AC"/>
    <w:rsid w:val="006409DC"/>
    <w:rsid w:val="00642E3A"/>
    <w:rsid w:val="00656FC7"/>
    <w:rsid w:val="0065731A"/>
    <w:rsid w:val="0066512F"/>
    <w:rsid w:val="00674D24"/>
    <w:rsid w:val="00682991"/>
    <w:rsid w:val="0068386D"/>
    <w:rsid w:val="00684558"/>
    <w:rsid w:val="006850EE"/>
    <w:rsid w:val="0068748F"/>
    <w:rsid w:val="006A4DA7"/>
    <w:rsid w:val="006B2A99"/>
    <w:rsid w:val="006C32EB"/>
    <w:rsid w:val="006D578E"/>
    <w:rsid w:val="006E179B"/>
    <w:rsid w:val="006E3B99"/>
    <w:rsid w:val="006F7213"/>
    <w:rsid w:val="00703A88"/>
    <w:rsid w:val="00703E00"/>
    <w:rsid w:val="007060A4"/>
    <w:rsid w:val="0070630A"/>
    <w:rsid w:val="00711404"/>
    <w:rsid w:val="007207FA"/>
    <w:rsid w:val="00723A7C"/>
    <w:rsid w:val="0073329C"/>
    <w:rsid w:val="00741CE5"/>
    <w:rsid w:val="00751407"/>
    <w:rsid w:val="00754B2F"/>
    <w:rsid w:val="007954F8"/>
    <w:rsid w:val="00795868"/>
    <w:rsid w:val="007967A6"/>
    <w:rsid w:val="007B30DE"/>
    <w:rsid w:val="007C2B3E"/>
    <w:rsid w:val="007C63E1"/>
    <w:rsid w:val="007D2A65"/>
    <w:rsid w:val="007D46A7"/>
    <w:rsid w:val="007D7183"/>
    <w:rsid w:val="007E090F"/>
    <w:rsid w:val="007F368E"/>
    <w:rsid w:val="007F6B61"/>
    <w:rsid w:val="0080022B"/>
    <w:rsid w:val="00807273"/>
    <w:rsid w:val="0081397B"/>
    <w:rsid w:val="0081758D"/>
    <w:rsid w:val="008260D7"/>
    <w:rsid w:val="00830C00"/>
    <w:rsid w:val="00834E01"/>
    <w:rsid w:val="00836EA9"/>
    <w:rsid w:val="00836F49"/>
    <w:rsid w:val="00841B30"/>
    <w:rsid w:val="008479DA"/>
    <w:rsid w:val="0086569E"/>
    <w:rsid w:val="00887F36"/>
    <w:rsid w:val="008A18D4"/>
    <w:rsid w:val="008A7E82"/>
    <w:rsid w:val="008B5B86"/>
    <w:rsid w:val="008C237D"/>
    <w:rsid w:val="008E1331"/>
    <w:rsid w:val="008E50D2"/>
    <w:rsid w:val="008F1A90"/>
    <w:rsid w:val="00903168"/>
    <w:rsid w:val="00904729"/>
    <w:rsid w:val="0091737B"/>
    <w:rsid w:val="00922176"/>
    <w:rsid w:val="009271E6"/>
    <w:rsid w:val="009526DC"/>
    <w:rsid w:val="00965F59"/>
    <w:rsid w:val="009665CD"/>
    <w:rsid w:val="009840E9"/>
    <w:rsid w:val="009919D9"/>
    <w:rsid w:val="009B1547"/>
    <w:rsid w:val="009B4693"/>
    <w:rsid w:val="009C415A"/>
    <w:rsid w:val="009C52FB"/>
    <w:rsid w:val="009D0B1F"/>
    <w:rsid w:val="009D28E2"/>
    <w:rsid w:val="009D4985"/>
    <w:rsid w:val="009D61AC"/>
    <w:rsid w:val="009E2799"/>
    <w:rsid w:val="009F765E"/>
    <w:rsid w:val="00A15339"/>
    <w:rsid w:val="00A219F1"/>
    <w:rsid w:val="00A25338"/>
    <w:rsid w:val="00A3035A"/>
    <w:rsid w:val="00A30836"/>
    <w:rsid w:val="00A36455"/>
    <w:rsid w:val="00A41F95"/>
    <w:rsid w:val="00A46FFA"/>
    <w:rsid w:val="00A512D7"/>
    <w:rsid w:val="00A57B23"/>
    <w:rsid w:val="00A737A4"/>
    <w:rsid w:val="00A8210C"/>
    <w:rsid w:val="00A84643"/>
    <w:rsid w:val="00A91BFA"/>
    <w:rsid w:val="00A936B0"/>
    <w:rsid w:val="00AA3E72"/>
    <w:rsid w:val="00AA4231"/>
    <w:rsid w:val="00AB179A"/>
    <w:rsid w:val="00AB575F"/>
    <w:rsid w:val="00AC0647"/>
    <w:rsid w:val="00AD2F41"/>
    <w:rsid w:val="00AD5619"/>
    <w:rsid w:val="00AF34A4"/>
    <w:rsid w:val="00AF517F"/>
    <w:rsid w:val="00B03493"/>
    <w:rsid w:val="00B23FFA"/>
    <w:rsid w:val="00B35CBE"/>
    <w:rsid w:val="00B36356"/>
    <w:rsid w:val="00B605D8"/>
    <w:rsid w:val="00B61500"/>
    <w:rsid w:val="00B61C0F"/>
    <w:rsid w:val="00B82C4B"/>
    <w:rsid w:val="00B836B9"/>
    <w:rsid w:val="00B85EBC"/>
    <w:rsid w:val="00B862DA"/>
    <w:rsid w:val="00B912D7"/>
    <w:rsid w:val="00BA4A93"/>
    <w:rsid w:val="00BA4E0C"/>
    <w:rsid w:val="00BB1DD9"/>
    <w:rsid w:val="00BB2436"/>
    <w:rsid w:val="00BC0B2D"/>
    <w:rsid w:val="00BC1D0A"/>
    <w:rsid w:val="00BC27D5"/>
    <w:rsid w:val="00BC6ABE"/>
    <w:rsid w:val="00BD167A"/>
    <w:rsid w:val="00BD6BD3"/>
    <w:rsid w:val="00BE64F8"/>
    <w:rsid w:val="00BF1521"/>
    <w:rsid w:val="00C21E4E"/>
    <w:rsid w:val="00C40671"/>
    <w:rsid w:val="00C540D7"/>
    <w:rsid w:val="00C720E8"/>
    <w:rsid w:val="00CB0CFE"/>
    <w:rsid w:val="00CB19CD"/>
    <w:rsid w:val="00CB31F3"/>
    <w:rsid w:val="00CB64B8"/>
    <w:rsid w:val="00CB6627"/>
    <w:rsid w:val="00CC2CCD"/>
    <w:rsid w:val="00CF4C2D"/>
    <w:rsid w:val="00D05CA5"/>
    <w:rsid w:val="00D3520A"/>
    <w:rsid w:val="00D57773"/>
    <w:rsid w:val="00D653E5"/>
    <w:rsid w:val="00D66D2A"/>
    <w:rsid w:val="00D75A1A"/>
    <w:rsid w:val="00D847F1"/>
    <w:rsid w:val="00D96C88"/>
    <w:rsid w:val="00D9736E"/>
    <w:rsid w:val="00DA508A"/>
    <w:rsid w:val="00DA58C4"/>
    <w:rsid w:val="00DC159C"/>
    <w:rsid w:val="00DD0C53"/>
    <w:rsid w:val="00DD26C8"/>
    <w:rsid w:val="00DE633A"/>
    <w:rsid w:val="00DF40A4"/>
    <w:rsid w:val="00DF539C"/>
    <w:rsid w:val="00DF7873"/>
    <w:rsid w:val="00E13C0D"/>
    <w:rsid w:val="00E3643C"/>
    <w:rsid w:val="00E448AE"/>
    <w:rsid w:val="00E51ADC"/>
    <w:rsid w:val="00E53377"/>
    <w:rsid w:val="00E60C4D"/>
    <w:rsid w:val="00E8495B"/>
    <w:rsid w:val="00EA192B"/>
    <w:rsid w:val="00EB130E"/>
    <w:rsid w:val="00EC09BF"/>
    <w:rsid w:val="00ED0EAC"/>
    <w:rsid w:val="00ED161E"/>
    <w:rsid w:val="00ED2625"/>
    <w:rsid w:val="00ED3BFF"/>
    <w:rsid w:val="00F11EF5"/>
    <w:rsid w:val="00F17BF0"/>
    <w:rsid w:val="00F32106"/>
    <w:rsid w:val="00F40512"/>
    <w:rsid w:val="00F43209"/>
    <w:rsid w:val="00F52A65"/>
    <w:rsid w:val="00F56D35"/>
    <w:rsid w:val="00F57542"/>
    <w:rsid w:val="00F7039A"/>
    <w:rsid w:val="00F74416"/>
    <w:rsid w:val="00FA1394"/>
    <w:rsid w:val="00FA60C2"/>
    <w:rsid w:val="00FC5518"/>
    <w:rsid w:val="00FD60FB"/>
    <w:rsid w:val="00FE7536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C3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5631D"/>
    <w:rPr>
      <w:rFonts w:ascii="Verdana" w:eastAsia="Verdana" w:hAnsi="Verdana" w:cs="Verdan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3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5631D"/>
    <w:pPr>
      <w:ind w:left="700"/>
      <w:jc w:val="both"/>
    </w:pPr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25631D"/>
    <w:pPr>
      <w:ind w:left="700"/>
      <w:jc w:val="both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25631D"/>
    <w:pPr>
      <w:spacing w:before="101"/>
      <w:ind w:left="700"/>
      <w:jc w:val="both"/>
      <w:outlineLvl w:val="2"/>
    </w:pPr>
    <w:rPr>
      <w:b/>
      <w:bCs/>
    </w:rPr>
  </w:style>
  <w:style w:type="paragraph" w:customStyle="1" w:styleId="Nagwek31">
    <w:name w:val="Nagłówek 31"/>
    <w:basedOn w:val="Normalny"/>
    <w:uiPriority w:val="1"/>
    <w:qFormat/>
    <w:rsid w:val="0025631D"/>
    <w:pPr>
      <w:spacing w:before="119"/>
      <w:ind w:left="700"/>
      <w:jc w:val="both"/>
      <w:outlineLvl w:val="3"/>
    </w:pPr>
    <w:rPr>
      <w:b/>
      <w:bCs/>
      <w:sz w:val="20"/>
      <w:szCs w:val="20"/>
      <w:u w:val="single" w:color="000000"/>
    </w:rPr>
  </w:style>
  <w:style w:type="paragraph" w:styleId="Akapitzlist">
    <w:name w:val="List Paragraph"/>
    <w:basedOn w:val="Normalny"/>
    <w:uiPriority w:val="1"/>
    <w:qFormat/>
    <w:rsid w:val="0025631D"/>
    <w:pPr>
      <w:spacing w:before="61"/>
      <w:ind w:left="1127" w:hanging="286"/>
    </w:pPr>
  </w:style>
  <w:style w:type="paragraph" w:customStyle="1" w:styleId="TableParagraph">
    <w:name w:val="Table Paragraph"/>
    <w:basedOn w:val="Normalny"/>
    <w:uiPriority w:val="1"/>
    <w:qFormat/>
    <w:rsid w:val="0025631D"/>
  </w:style>
  <w:style w:type="paragraph" w:styleId="Tekstdymka">
    <w:name w:val="Balloon Text"/>
    <w:basedOn w:val="Normalny"/>
    <w:link w:val="TekstdymkaZnak"/>
    <w:uiPriority w:val="99"/>
    <w:semiHidden/>
    <w:unhideWhenUsed/>
    <w:rsid w:val="00613C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CF3"/>
    <w:rPr>
      <w:rFonts w:ascii="Tahoma" w:eastAsia="Verdana" w:hAnsi="Tahoma" w:cs="Tahoma"/>
      <w:sz w:val="16"/>
      <w:szCs w:val="16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C0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B2D"/>
    <w:rPr>
      <w:rFonts w:ascii="Verdana" w:eastAsia="Verdana" w:hAnsi="Verdana" w:cs="Verdana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BC0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B2D"/>
    <w:rPr>
      <w:rFonts w:ascii="Verdana" w:eastAsia="Verdana" w:hAnsi="Verdana" w:cs="Verdana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B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B22"/>
    <w:rPr>
      <w:rFonts w:ascii="Verdana" w:eastAsia="Verdana" w:hAnsi="Verdana" w:cs="Verdana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B22"/>
    <w:rPr>
      <w:vertAlign w:val="superscript"/>
    </w:rPr>
  </w:style>
  <w:style w:type="character" w:customStyle="1" w:styleId="ECHRParaChar">
    <w:name w:val="ECHR_Para Char"/>
    <w:aliases w:val="Ju_Para Char"/>
    <w:link w:val="ECHRPara"/>
    <w:uiPriority w:val="99"/>
    <w:locked/>
    <w:rsid w:val="009B1547"/>
    <w:rPr>
      <w:rFonts w:ascii="MS Mincho" w:eastAsia="MS Mincho" w:hAnsi="MS Mincho"/>
      <w:sz w:val="24"/>
      <w:szCs w:val="20"/>
    </w:rPr>
  </w:style>
  <w:style w:type="paragraph" w:customStyle="1" w:styleId="ECHRPara">
    <w:name w:val="ECHR_Para"/>
    <w:aliases w:val="Ju_Para"/>
    <w:basedOn w:val="Normalny"/>
    <w:link w:val="ECHRParaChar"/>
    <w:uiPriority w:val="99"/>
    <w:rsid w:val="009B1547"/>
    <w:pPr>
      <w:widowControl/>
      <w:autoSpaceDE/>
      <w:autoSpaceDN/>
      <w:ind w:firstLine="284"/>
      <w:jc w:val="both"/>
    </w:pPr>
    <w:rPr>
      <w:rFonts w:ascii="MS Mincho" w:eastAsia="MS Mincho" w:hAnsi="MS Mincho" w:cstheme="minorBidi"/>
      <w:sz w:val="24"/>
      <w:szCs w:val="2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5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500"/>
    <w:rPr>
      <w:rFonts w:ascii="Verdana" w:eastAsia="Verdana" w:hAnsi="Verdana" w:cs="Verdana"/>
      <w:sz w:val="20"/>
      <w:szCs w:val="20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500"/>
    <w:rPr>
      <w:vertAlign w:val="superscript"/>
    </w:rPr>
  </w:style>
  <w:style w:type="paragraph" w:customStyle="1" w:styleId="Default">
    <w:name w:val="Default"/>
    <w:rsid w:val="00072E6F"/>
    <w:pPr>
      <w:widowControl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basedOn w:val="Akapitzlist"/>
    <w:uiPriority w:val="1"/>
    <w:qFormat/>
    <w:rsid w:val="00596B7C"/>
    <w:pPr>
      <w:widowControl/>
      <w:numPr>
        <w:numId w:val="4"/>
      </w:numPr>
      <w:autoSpaceDE/>
      <w:autoSpaceDN/>
      <w:spacing w:before="0"/>
      <w:contextualSpacing/>
      <w:jc w:val="both"/>
    </w:pPr>
    <w:rPr>
      <w:rFonts w:asciiTheme="minorHAnsi" w:eastAsiaTheme="minorHAnsi" w:hAnsiTheme="minorHAnsi" w:cstheme="minorBidi"/>
      <w:sz w:val="24"/>
      <w:lang w:bidi="ar-SA"/>
    </w:rPr>
  </w:style>
  <w:style w:type="character" w:styleId="Numerstrony">
    <w:name w:val="page number"/>
    <w:basedOn w:val="Domylnaczcionkaakapitu"/>
    <w:uiPriority w:val="99"/>
    <w:semiHidden/>
    <w:unhideWhenUsed/>
    <w:rsid w:val="00830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5631D"/>
    <w:rPr>
      <w:rFonts w:ascii="Verdana" w:eastAsia="Verdana" w:hAnsi="Verdana" w:cs="Verdan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3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5631D"/>
    <w:pPr>
      <w:ind w:left="700"/>
      <w:jc w:val="both"/>
    </w:pPr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25631D"/>
    <w:pPr>
      <w:ind w:left="700"/>
      <w:jc w:val="both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25631D"/>
    <w:pPr>
      <w:spacing w:before="101"/>
      <w:ind w:left="700"/>
      <w:jc w:val="both"/>
      <w:outlineLvl w:val="2"/>
    </w:pPr>
    <w:rPr>
      <w:b/>
      <w:bCs/>
    </w:rPr>
  </w:style>
  <w:style w:type="paragraph" w:customStyle="1" w:styleId="Nagwek31">
    <w:name w:val="Nagłówek 31"/>
    <w:basedOn w:val="Normalny"/>
    <w:uiPriority w:val="1"/>
    <w:qFormat/>
    <w:rsid w:val="0025631D"/>
    <w:pPr>
      <w:spacing w:before="119"/>
      <w:ind w:left="700"/>
      <w:jc w:val="both"/>
      <w:outlineLvl w:val="3"/>
    </w:pPr>
    <w:rPr>
      <w:b/>
      <w:bCs/>
      <w:sz w:val="20"/>
      <w:szCs w:val="20"/>
      <w:u w:val="single" w:color="000000"/>
    </w:rPr>
  </w:style>
  <w:style w:type="paragraph" w:styleId="Akapitzlist">
    <w:name w:val="List Paragraph"/>
    <w:basedOn w:val="Normalny"/>
    <w:uiPriority w:val="1"/>
    <w:qFormat/>
    <w:rsid w:val="0025631D"/>
    <w:pPr>
      <w:spacing w:before="61"/>
      <w:ind w:left="1127" w:hanging="286"/>
    </w:pPr>
  </w:style>
  <w:style w:type="paragraph" w:customStyle="1" w:styleId="TableParagraph">
    <w:name w:val="Table Paragraph"/>
    <w:basedOn w:val="Normalny"/>
    <w:uiPriority w:val="1"/>
    <w:qFormat/>
    <w:rsid w:val="0025631D"/>
  </w:style>
  <w:style w:type="paragraph" w:styleId="Tekstdymka">
    <w:name w:val="Balloon Text"/>
    <w:basedOn w:val="Normalny"/>
    <w:link w:val="TekstdymkaZnak"/>
    <w:uiPriority w:val="99"/>
    <w:semiHidden/>
    <w:unhideWhenUsed/>
    <w:rsid w:val="00613C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CF3"/>
    <w:rPr>
      <w:rFonts w:ascii="Tahoma" w:eastAsia="Verdana" w:hAnsi="Tahoma" w:cs="Tahoma"/>
      <w:sz w:val="16"/>
      <w:szCs w:val="16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C0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B2D"/>
    <w:rPr>
      <w:rFonts w:ascii="Verdana" w:eastAsia="Verdana" w:hAnsi="Verdana" w:cs="Verdana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BC0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B2D"/>
    <w:rPr>
      <w:rFonts w:ascii="Verdana" w:eastAsia="Verdana" w:hAnsi="Verdana" w:cs="Verdana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B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B22"/>
    <w:rPr>
      <w:rFonts w:ascii="Verdana" w:eastAsia="Verdana" w:hAnsi="Verdana" w:cs="Verdana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B22"/>
    <w:rPr>
      <w:vertAlign w:val="superscript"/>
    </w:rPr>
  </w:style>
  <w:style w:type="character" w:customStyle="1" w:styleId="ECHRParaChar">
    <w:name w:val="ECHR_Para Char"/>
    <w:aliases w:val="Ju_Para Char"/>
    <w:link w:val="ECHRPara"/>
    <w:uiPriority w:val="99"/>
    <w:locked/>
    <w:rsid w:val="009B1547"/>
    <w:rPr>
      <w:rFonts w:ascii="MS Mincho" w:eastAsia="MS Mincho" w:hAnsi="MS Mincho"/>
      <w:sz w:val="24"/>
      <w:szCs w:val="20"/>
    </w:rPr>
  </w:style>
  <w:style w:type="paragraph" w:customStyle="1" w:styleId="ECHRPara">
    <w:name w:val="ECHR_Para"/>
    <w:aliases w:val="Ju_Para"/>
    <w:basedOn w:val="Normalny"/>
    <w:link w:val="ECHRParaChar"/>
    <w:uiPriority w:val="99"/>
    <w:rsid w:val="009B1547"/>
    <w:pPr>
      <w:widowControl/>
      <w:autoSpaceDE/>
      <w:autoSpaceDN/>
      <w:ind w:firstLine="284"/>
      <w:jc w:val="both"/>
    </w:pPr>
    <w:rPr>
      <w:rFonts w:ascii="MS Mincho" w:eastAsia="MS Mincho" w:hAnsi="MS Mincho" w:cstheme="minorBidi"/>
      <w:sz w:val="24"/>
      <w:szCs w:val="2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5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500"/>
    <w:rPr>
      <w:rFonts w:ascii="Verdana" w:eastAsia="Verdana" w:hAnsi="Verdana" w:cs="Verdana"/>
      <w:sz w:val="20"/>
      <w:szCs w:val="20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500"/>
    <w:rPr>
      <w:vertAlign w:val="superscript"/>
    </w:rPr>
  </w:style>
  <w:style w:type="paragraph" w:customStyle="1" w:styleId="Default">
    <w:name w:val="Default"/>
    <w:rsid w:val="00072E6F"/>
    <w:pPr>
      <w:widowControl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basedOn w:val="Akapitzlist"/>
    <w:uiPriority w:val="1"/>
    <w:qFormat/>
    <w:rsid w:val="00596B7C"/>
    <w:pPr>
      <w:widowControl/>
      <w:numPr>
        <w:numId w:val="4"/>
      </w:numPr>
      <w:autoSpaceDE/>
      <w:autoSpaceDN/>
      <w:spacing w:before="0"/>
      <w:contextualSpacing/>
      <w:jc w:val="both"/>
    </w:pPr>
    <w:rPr>
      <w:rFonts w:asciiTheme="minorHAnsi" w:eastAsiaTheme="minorHAnsi" w:hAnsiTheme="minorHAnsi" w:cstheme="minorBidi"/>
      <w:sz w:val="24"/>
      <w:lang w:bidi="ar-SA"/>
    </w:rPr>
  </w:style>
  <w:style w:type="character" w:styleId="Numerstrony">
    <w:name w:val="page number"/>
    <w:basedOn w:val="Domylnaczcionkaakapitu"/>
    <w:uiPriority w:val="99"/>
    <w:semiHidden/>
    <w:unhideWhenUsed/>
    <w:rsid w:val="0083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E1D5F-4E14-44FD-A5ED-B0EC351A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5716</Words>
  <Characters>34300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2020-07-15T14:25:00Z</dcterms:created>
  <dcterms:modified xsi:type="dcterms:W3CDTF">2020-07-23T13:19:00Z</dcterms:modified>
</cp:coreProperties>
</file>