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2A" w:rsidRPr="00175043" w:rsidRDefault="00A8552A" w:rsidP="00A8552A">
      <w:pPr>
        <w:jc w:val="center"/>
        <w:rPr>
          <w:rFonts w:cstheme="minorHAnsi"/>
          <w:b/>
          <w:sz w:val="20"/>
          <w:szCs w:val="20"/>
        </w:rPr>
      </w:pPr>
      <w:r w:rsidRPr="00175043">
        <w:rPr>
          <w:rFonts w:cstheme="minorHAnsi"/>
          <w:b/>
          <w:sz w:val="20"/>
          <w:szCs w:val="20"/>
        </w:rPr>
        <w:t xml:space="preserve">Zestawienie uwag do </w:t>
      </w:r>
      <w:r w:rsidR="0092119B">
        <w:rPr>
          <w:rFonts w:cstheme="minorHAnsi"/>
          <w:b/>
          <w:sz w:val="20"/>
          <w:szCs w:val="20"/>
        </w:rPr>
        <w:t xml:space="preserve">projektu </w:t>
      </w:r>
      <w:r w:rsidRPr="00175043">
        <w:rPr>
          <w:rFonts w:cstheme="minorHAnsi"/>
          <w:b/>
          <w:sz w:val="20"/>
          <w:szCs w:val="20"/>
        </w:rPr>
        <w:t xml:space="preserve">rozporządzenia </w:t>
      </w:r>
      <w:r w:rsidR="00E00A7E">
        <w:rPr>
          <w:rFonts w:cstheme="minorHAnsi"/>
          <w:b/>
          <w:sz w:val="20"/>
          <w:szCs w:val="20"/>
        </w:rPr>
        <w:t xml:space="preserve">Ministra Spraw Wewnętrznych i Administracji </w:t>
      </w:r>
      <w:r w:rsidRPr="00175043">
        <w:rPr>
          <w:rFonts w:cstheme="minorHAnsi"/>
          <w:b/>
          <w:sz w:val="20"/>
          <w:szCs w:val="20"/>
        </w:rPr>
        <w:t>w sprawie wymagań w zakresie bezpieczeństwa wytwarzania bl</w:t>
      </w:r>
      <w:r w:rsidR="0092119B">
        <w:rPr>
          <w:rFonts w:cstheme="minorHAnsi"/>
          <w:b/>
          <w:sz w:val="20"/>
          <w:szCs w:val="20"/>
        </w:rPr>
        <w:t>ankietów dokumentów publicznych</w:t>
      </w:r>
    </w:p>
    <w:p w:rsidR="00A8552A" w:rsidRPr="00175043" w:rsidRDefault="00A8552A" w:rsidP="00A8552A">
      <w:pPr>
        <w:rPr>
          <w:rFonts w:cstheme="minorHAnsi"/>
          <w:sz w:val="20"/>
          <w:szCs w:val="20"/>
        </w:rPr>
      </w:pPr>
    </w:p>
    <w:tbl>
      <w:tblPr>
        <w:tblStyle w:val="Tabela-Siatka"/>
        <w:tblW w:w="0" w:type="auto"/>
        <w:tblLook w:val="04A0" w:firstRow="1" w:lastRow="0" w:firstColumn="1" w:lastColumn="0" w:noHBand="0" w:noVBand="1"/>
      </w:tblPr>
      <w:tblGrid>
        <w:gridCol w:w="562"/>
        <w:gridCol w:w="1843"/>
        <w:gridCol w:w="1134"/>
        <w:gridCol w:w="6095"/>
        <w:gridCol w:w="4360"/>
      </w:tblGrid>
      <w:tr w:rsidR="00A8552A" w:rsidRPr="00175043" w:rsidTr="00D3193D">
        <w:tc>
          <w:tcPr>
            <w:tcW w:w="562" w:type="dxa"/>
          </w:tcPr>
          <w:p w:rsidR="00A8552A" w:rsidRPr="00175043" w:rsidRDefault="00A8552A" w:rsidP="00D3193D">
            <w:pPr>
              <w:rPr>
                <w:rFonts w:cstheme="minorHAnsi"/>
                <w:b/>
                <w:sz w:val="20"/>
                <w:szCs w:val="20"/>
              </w:rPr>
            </w:pPr>
            <w:r w:rsidRPr="00175043">
              <w:rPr>
                <w:rFonts w:cstheme="minorHAnsi"/>
                <w:b/>
                <w:sz w:val="20"/>
                <w:szCs w:val="20"/>
              </w:rPr>
              <w:t>L.p.</w:t>
            </w:r>
          </w:p>
        </w:tc>
        <w:tc>
          <w:tcPr>
            <w:tcW w:w="1843" w:type="dxa"/>
          </w:tcPr>
          <w:p w:rsidR="00A8552A" w:rsidRPr="00175043" w:rsidRDefault="00A8552A" w:rsidP="00D3193D">
            <w:pPr>
              <w:rPr>
                <w:rFonts w:cstheme="minorHAnsi"/>
                <w:b/>
                <w:sz w:val="20"/>
                <w:szCs w:val="20"/>
              </w:rPr>
            </w:pPr>
            <w:r w:rsidRPr="00175043">
              <w:rPr>
                <w:rFonts w:cstheme="minorHAnsi"/>
                <w:b/>
                <w:sz w:val="20"/>
                <w:szCs w:val="20"/>
              </w:rPr>
              <w:t>Zgłaszający uwagę</w:t>
            </w:r>
          </w:p>
        </w:tc>
        <w:tc>
          <w:tcPr>
            <w:tcW w:w="1134" w:type="dxa"/>
          </w:tcPr>
          <w:p w:rsidR="00A8552A" w:rsidRPr="00175043" w:rsidRDefault="00A8552A" w:rsidP="00D3193D">
            <w:pPr>
              <w:rPr>
                <w:rFonts w:cstheme="minorHAnsi"/>
                <w:b/>
                <w:sz w:val="20"/>
                <w:szCs w:val="20"/>
              </w:rPr>
            </w:pPr>
            <w:r w:rsidRPr="00175043">
              <w:rPr>
                <w:rFonts w:cstheme="minorHAnsi"/>
                <w:b/>
                <w:sz w:val="20"/>
                <w:szCs w:val="20"/>
              </w:rPr>
              <w:t>Jednostka redakcyjna</w:t>
            </w:r>
          </w:p>
        </w:tc>
        <w:tc>
          <w:tcPr>
            <w:tcW w:w="6095" w:type="dxa"/>
          </w:tcPr>
          <w:p w:rsidR="00A8552A" w:rsidRPr="00175043" w:rsidRDefault="00A8552A" w:rsidP="00D3193D">
            <w:pPr>
              <w:rPr>
                <w:rFonts w:cstheme="minorHAnsi"/>
                <w:b/>
                <w:sz w:val="20"/>
                <w:szCs w:val="20"/>
              </w:rPr>
            </w:pPr>
            <w:r w:rsidRPr="00175043">
              <w:rPr>
                <w:rFonts w:cstheme="minorHAnsi"/>
                <w:b/>
                <w:sz w:val="20"/>
                <w:szCs w:val="20"/>
              </w:rPr>
              <w:t>Treść uwagi</w:t>
            </w:r>
          </w:p>
        </w:tc>
        <w:tc>
          <w:tcPr>
            <w:tcW w:w="4360" w:type="dxa"/>
          </w:tcPr>
          <w:p w:rsidR="00A8552A" w:rsidRPr="00175043" w:rsidRDefault="00A8552A" w:rsidP="00D3193D">
            <w:pPr>
              <w:rPr>
                <w:rFonts w:cstheme="minorHAnsi"/>
                <w:b/>
                <w:sz w:val="20"/>
                <w:szCs w:val="20"/>
              </w:rPr>
            </w:pPr>
            <w:r w:rsidRPr="00175043">
              <w:rPr>
                <w:rFonts w:cstheme="minorHAnsi"/>
                <w:b/>
                <w:sz w:val="20"/>
                <w:szCs w:val="20"/>
              </w:rPr>
              <w:t>Stanowisko projektodawcy</w:t>
            </w:r>
          </w:p>
        </w:tc>
      </w:tr>
      <w:tr w:rsidR="00A8552A" w:rsidRPr="00175043" w:rsidTr="00D3193D">
        <w:tc>
          <w:tcPr>
            <w:tcW w:w="562" w:type="dxa"/>
          </w:tcPr>
          <w:p w:rsidR="00A8552A" w:rsidRPr="00175043" w:rsidRDefault="00D969A5" w:rsidP="00D3193D">
            <w:pPr>
              <w:rPr>
                <w:rFonts w:cstheme="minorHAnsi"/>
                <w:sz w:val="20"/>
                <w:szCs w:val="20"/>
              </w:rPr>
            </w:pPr>
            <w:r w:rsidRPr="00175043">
              <w:rPr>
                <w:rFonts w:cstheme="minorHAnsi"/>
                <w:sz w:val="20"/>
                <w:szCs w:val="20"/>
              </w:rPr>
              <w:t>1</w:t>
            </w:r>
          </w:p>
        </w:tc>
        <w:tc>
          <w:tcPr>
            <w:tcW w:w="1843" w:type="dxa"/>
          </w:tcPr>
          <w:p w:rsidR="00A8552A" w:rsidRPr="00175043" w:rsidRDefault="00075072" w:rsidP="00D3193D">
            <w:pPr>
              <w:rPr>
                <w:rFonts w:cstheme="minorHAnsi"/>
                <w:sz w:val="20"/>
                <w:szCs w:val="20"/>
              </w:rPr>
            </w:pPr>
            <w:r w:rsidRPr="00175043">
              <w:rPr>
                <w:rFonts w:cstheme="minorHAnsi"/>
                <w:sz w:val="20"/>
                <w:szCs w:val="20"/>
              </w:rPr>
              <w:t>PKN</w:t>
            </w:r>
          </w:p>
        </w:tc>
        <w:tc>
          <w:tcPr>
            <w:tcW w:w="1134" w:type="dxa"/>
          </w:tcPr>
          <w:p w:rsidR="00A8552A" w:rsidRPr="00175043" w:rsidRDefault="00075072" w:rsidP="00D3193D">
            <w:pPr>
              <w:rPr>
                <w:rFonts w:cstheme="minorHAnsi"/>
                <w:sz w:val="20"/>
                <w:szCs w:val="20"/>
              </w:rPr>
            </w:pPr>
            <w:r w:rsidRPr="00175043">
              <w:rPr>
                <w:rFonts w:cstheme="minorHAnsi"/>
                <w:sz w:val="20"/>
                <w:szCs w:val="20"/>
              </w:rPr>
              <w:t>ogólna</w:t>
            </w:r>
          </w:p>
        </w:tc>
        <w:tc>
          <w:tcPr>
            <w:tcW w:w="6095" w:type="dxa"/>
          </w:tcPr>
          <w:p w:rsidR="00A8552A" w:rsidRPr="00175043" w:rsidRDefault="00075072" w:rsidP="00D3193D">
            <w:pPr>
              <w:rPr>
                <w:rFonts w:cstheme="minorHAnsi"/>
                <w:sz w:val="20"/>
                <w:szCs w:val="20"/>
              </w:rPr>
            </w:pPr>
            <w:r w:rsidRPr="00175043">
              <w:rPr>
                <w:rFonts w:cstheme="minorHAnsi"/>
                <w:sz w:val="20"/>
                <w:szCs w:val="20"/>
              </w:rPr>
              <w:t>Norma PN-EN 12209:2005 jest wycofana i zastąpiona przez PN-EN 12209:2016-04, która jest opublikowana tylko w języku angielskim.</w:t>
            </w:r>
          </w:p>
        </w:tc>
        <w:tc>
          <w:tcPr>
            <w:tcW w:w="4360" w:type="dxa"/>
          </w:tcPr>
          <w:p w:rsidR="005E438C" w:rsidRPr="00175043" w:rsidRDefault="005E438C" w:rsidP="00D3193D">
            <w:pPr>
              <w:rPr>
                <w:rFonts w:cstheme="minorHAnsi"/>
                <w:sz w:val="20"/>
                <w:szCs w:val="20"/>
              </w:rPr>
            </w:pPr>
            <w:r w:rsidRPr="00175043">
              <w:rPr>
                <w:rFonts w:cstheme="minorHAnsi"/>
                <w:sz w:val="20"/>
                <w:szCs w:val="20"/>
              </w:rPr>
              <w:t>Wyjaśnienie.</w:t>
            </w:r>
          </w:p>
          <w:p w:rsidR="005E438C" w:rsidRPr="00175043" w:rsidRDefault="005E438C" w:rsidP="00D3193D">
            <w:pPr>
              <w:rPr>
                <w:rFonts w:cstheme="minorHAnsi"/>
                <w:sz w:val="20"/>
                <w:szCs w:val="20"/>
              </w:rPr>
            </w:pPr>
            <w:r w:rsidRPr="00175043">
              <w:rPr>
                <w:rFonts w:cstheme="minorHAnsi"/>
                <w:sz w:val="20"/>
                <w:szCs w:val="20"/>
              </w:rPr>
              <w:t>Wobec braku polskiej wersji językowej normy w nowym wydaniu, zasadne jest uwzględnienie ostatnio obowiązującej polskiej wersji językowej. W przypadku opublikowania polskiej wersji językowej, zgodnie z projektowanym rozporządzeniem będzie ona miała zastosowanie.</w:t>
            </w:r>
          </w:p>
          <w:p w:rsidR="00AD0A8A" w:rsidRPr="00314ADA" w:rsidRDefault="005E438C" w:rsidP="00D3193D">
            <w:pPr>
              <w:rPr>
                <w:rFonts w:cstheme="minorHAnsi"/>
                <w:sz w:val="20"/>
                <w:szCs w:val="20"/>
              </w:rPr>
            </w:pPr>
            <w:r w:rsidRPr="00175043">
              <w:rPr>
                <w:rFonts w:cstheme="minorHAnsi"/>
                <w:sz w:val="20"/>
                <w:szCs w:val="20"/>
              </w:rPr>
              <w:t xml:space="preserve">Należy przy tym wyjaśnić, że powołanie norm w przedmiotowym rozporządzeniu spełnia cele </w:t>
            </w:r>
            <w:r w:rsidR="00A802C6" w:rsidRPr="00175043">
              <w:rPr>
                <w:rFonts w:cstheme="minorHAnsi"/>
                <w:sz w:val="20"/>
                <w:szCs w:val="20"/>
              </w:rPr>
              <w:t>normalizacji wskazane w art. 3 ustawy o normalizacji. Przyjęta w projekcie konstrukcja prowadzi do racjonalizacji produkcji i usług poprzez stosowanie uznanych reguł technicznych i rozwiązań organizacyjnych, poprawia funkcjonalności, kompatybilności i zamienności procesów, zapewnia jakość i niezawodność procesów oraz ułatwia porozumiewanie się poprzez posługiwanie się terminami, definicjami, oznaczeniami i symbolami do powszechnego stosowania. Powyższe działania mają niezwykle doniosłe znaczenie zwłaszcza w obszarze bezpieczeństwa. Z tego względu zasadne jest kierunkowe posłużenie się zapisami określonych norm.</w:t>
            </w:r>
          </w:p>
        </w:tc>
      </w:tr>
      <w:tr w:rsidR="00A8552A" w:rsidRPr="00175043" w:rsidTr="00D3193D">
        <w:tc>
          <w:tcPr>
            <w:tcW w:w="562" w:type="dxa"/>
          </w:tcPr>
          <w:p w:rsidR="00A8552A" w:rsidRPr="00175043" w:rsidRDefault="00D969A5" w:rsidP="00D3193D">
            <w:pPr>
              <w:rPr>
                <w:rFonts w:cstheme="minorHAnsi"/>
                <w:sz w:val="20"/>
                <w:szCs w:val="20"/>
              </w:rPr>
            </w:pPr>
            <w:r w:rsidRPr="00175043">
              <w:rPr>
                <w:rFonts w:cstheme="minorHAnsi"/>
                <w:sz w:val="20"/>
                <w:szCs w:val="20"/>
              </w:rPr>
              <w:t>2</w:t>
            </w:r>
          </w:p>
        </w:tc>
        <w:tc>
          <w:tcPr>
            <w:tcW w:w="1843" w:type="dxa"/>
          </w:tcPr>
          <w:p w:rsidR="00A8552A" w:rsidRPr="00175043" w:rsidRDefault="00075072" w:rsidP="00D3193D">
            <w:pPr>
              <w:rPr>
                <w:rFonts w:cstheme="minorHAnsi"/>
                <w:sz w:val="20"/>
                <w:szCs w:val="20"/>
              </w:rPr>
            </w:pPr>
            <w:r w:rsidRPr="00175043">
              <w:rPr>
                <w:rFonts w:cstheme="minorHAnsi"/>
                <w:sz w:val="20"/>
                <w:szCs w:val="20"/>
              </w:rPr>
              <w:t>PKN</w:t>
            </w:r>
          </w:p>
        </w:tc>
        <w:tc>
          <w:tcPr>
            <w:tcW w:w="1134" w:type="dxa"/>
          </w:tcPr>
          <w:p w:rsidR="00A8552A" w:rsidRPr="00175043" w:rsidRDefault="00075072" w:rsidP="00D3193D">
            <w:pPr>
              <w:rPr>
                <w:rFonts w:cstheme="minorHAnsi"/>
                <w:sz w:val="20"/>
                <w:szCs w:val="20"/>
              </w:rPr>
            </w:pPr>
            <w:r w:rsidRPr="00175043">
              <w:rPr>
                <w:rFonts w:cstheme="minorHAnsi"/>
                <w:sz w:val="20"/>
                <w:szCs w:val="20"/>
              </w:rPr>
              <w:t>ogólna</w:t>
            </w:r>
          </w:p>
        </w:tc>
        <w:tc>
          <w:tcPr>
            <w:tcW w:w="6095" w:type="dxa"/>
          </w:tcPr>
          <w:p w:rsidR="00A8552A" w:rsidRPr="00175043" w:rsidRDefault="00075072" w:rsidP="00D3193D">
            <w:pPr>
              <w:rPr>
                <w:rFonts w:cstheme="minorHAnsi"/>
                <w:sz w:val="20"/>
                <w:szCs w:val="20"/>
              </w:rPr>
            </w:pPr>
            <w:r w:rsidRPr="00175043">
              <w:rPr>
                <w:rFonts w:cstheme="minorHAnsi"/>
                <w:sz w:val="20"/>
                <w:szCs w:val="20"/>
              </w:rPr>
              <w:t>Norma PN-EN 50133-1:2007 jest wycofana i zastąpiona przez PN-EN 60839-11-1:2014-01, która obecnie jest opublikowana tylko w języku angielskim. Polska wersja językowa tej normy jest w trakcie opracowania i planowany termin jej publikacji to 2019-10-28.</w:t>
            </w:r>
          </w:p>
        </w:tc>
        <w:tc>
          <w:tcPr>
            <w:tcW w:w="4360" w:type="dxa"/>
          </w:tcPr>
          <w:p w:rsidR="00A8552A" w:rsidRPr="00175043" w:rsidRDefault="00A802C6" w:rsidP="00D3193D">
            <w:pPr>
              <w:rPr>
                <w:rFonts w:cstheme="minorHAnsi"/>
                <w:sz w:val="20"/>
                <w:szCs w:val="20"/>
              </w:rPr>
            </w:pPr>
            <w:r w:rsidRPr="00175043">
              <w:rPr>
                <w:rFonts w:cstheme="minorHAnsi"/>
                <w:sz w:val="20"/>
                <w:szCs w:val="20"/>
              </w:rPr>
              <w:t xml:space="preserve">Wyjaśnienie </w:t>
            </w:r>
            <w:proofErr w:type="spellStart"/>
            <w:r w:rsidRPr="00175043">
              <w:rPr>
                <w:rFonts w:cstheme="minorHAnsi"/>
                <w:sz w:val="20"/>
                <w:szCs w:val="20"/>
              </w:rPr>
              <w:t>j.w</w:t>
            </w:r>
            <w:proofErr w:type="spellEnd"/>
            <w:r w:rsidRPr="00175043">
              <w:rPr>
                <w:rFonts w:cstheme="minorHAnsi"/>
                <w:sz w:val="20"/>
                <w:szCs w:val="20"/>
              </w:rPr>
              <w:t>.</w:t>
            </w:r>
          </w:p>
        </w:tc>
      </w:tr>
      <w:tr w:rsidR="00A8552A" w:rsidRPr="00175043" w:rsidTr="00D3193D">
        <w:tc>
          <w:tcPr>
            <w:tcW w:w="562" w:type="dxa"/>
          </w:tcPr>
          <w:p w:rsidR="00A8552A" w:rsidRPr="00175043" w:rsidRDefault="00D969A5" w:rsidP="00D3193D">
            <w:pPr>
              <w:rPr>
                <w:rFonts w:cstheme="minorHAnsi"/>
                <w:sz w:val="20"/>
                <w:szCs w:val="20"/>
              </w:rPr>
            </w:pPr>
            <w:r w:rsidRPr="00175043">
              <w:rPr>
                <w:rFonts w:cstheme="minorHAnsi"/>
                <w:sz w:val="20"/>
                <w:szCs w:val="20"/>
              </w:rPr>
              <w:t>3</w:t>
            </w:r>
          </w:p>
        </w:tc>
        <w:tc>
          <w:tcPr>
            <w:tcW w:w="1843" w:type="dxa"/>
          </w:tcPr>
          <w:p w:rsidR="00A8552A" w:rsidRPr="00175043" w:rsidRDefault="00075072" w:rsidP="00D3193D">
            <w:pPr>
              <w:rPr>
                <w:rFonts w:cstheme="minorHAnsi"/>
                <w:sz w:val="20"/>
                <w:szCs w:val="20"/>
              </w:rPr>
            </w:pPr>
            <w:r w:rsidRPr="00175043">
              <w:rPr>
                <w:rFonts w:cstheme="minorHAnsi"/>
                <w:sz w:val="20"/>
                <w:szCs w:val="20"/>
              </w:rPr>
              <w:t>PKN</w:t>
            </w:r>
          </w:p>
        </w:tc>
        <w:tc>
          <w:tcPr>
            <w:tcW w:w="1134" w:type="dxa"/>
          </w:tcPr>
          <w:p w:rsidR="00A8552A" w:rsidRPr="00175043" w:rsidRDefault="00075072" w:rsidP="00D3193D">
            <w:pPr>
              <w:rPr>
                <w:rFonts w:cstheme="minorHAnsi"/>
                <w:sz w:val="20"/>
                <w:szCs w:val="20"/>
              </w:rPr>
            </w:pPr>
            <w:r w:rsidRPr="00175043">
              <w:rPr>
                <w:rFonts w:cstheme="minorHAnsi"/>
                <w:sz w:val="20"/>
                <w:szCs w:val="20"/>
              </w:rPr>
              <w:t>ogólna</w:t>
            </w:r>
          </w:p>
        </w:tc>
        <w:tc>
          <w:tcPr>
            <w:tcW w:w="6095" w:type="dxa"/>
          </w:tcPr>
          <w:p w:rsidR="00A8552A" w:rsidRPr="00175043" w:rsidRDefault="00075072" w:rsidP="00D3193D">
            <w:pPr>
              <w:rPr>
                <w:rFonts w:cstheme="minorHAnsi"/>
                <w:sz w:val="20"/>
                <w:szCs w:val="20"/>
              </w:rPr>
            </w:pPr>
            <w:r w:rsidRPr="00175043">
              <w:rPr>
                <w:rFonts w:cstheme="minorHAnsi"/>
                <w:sz w:val="20"/>
                <w:szCs w:val="20"/>
              </w:rPr>
              <w:t>Norma PN-EN 14450:2006 jest wycofana i zastąpiona przez PN-EN 14450:2018-02, która jest dostępna tylko w języku angielskim.</w:t>
            </w:r>
          </w:p>
        </w:tc>
        <w:tc>
          <w:tcPr>
            <w:tcW w:w="4360" w:type="dxa"/>
          </w:tcPr>
          <w:p w:rsidR="00A8552A" w:rsidRPr="00175043" w:rsidRDefault="00A802C6" w:rsidP="00D3193D">
            <w:pPr>
              <w:rPr>
                <w:rFonts w:cstheme="minorHAnsi"/>
                <w:sz w:val="20"/>
                <w:szCs w:val="20"/>
              </w:rPr>
            </w:pPr>
            <w:r w:rsidRPr="00175043">
              <w:rPr>
                <w:rFonts w:cstheme="minorHAnsi"/>
                <w:sz w:val="20"/>
                <w:szCs w:val="20"/>
              </w:rPr>
              <w:t xml:space="preserve">Wyjaśnienie </w:t>
            </w:r>
            <w:proofErr w:type="spellStart"/>
            <w:r w:rsidRPr="00175043">
              <w:rPr>
                <w:rFonts w:cstheme="minorHAnsi"/>
                <w:sz w:val="20"/>
                <w:szCs w:val="20"/>
              </w:rPr>
              <w:t>j.w</w:t>
            </w:r>
            <w:proofErr w:type="spellEnd"/>
            <w:r w:rsidRPr="00175043">
              <w:rPr>
                <w:rFonts w:cstheme="minorHAnsi"/>
                <w:sz w:val="20"/>
                <w:szCs w:val="20"/>
              </w:rPr>
              <w:t>.</w:t>
            </w:r>
          </w:p>
        </w:tc>
      </w:tr>
      <w:tr w:rsidR="00075072" w:rsidRPr="00175043" w:rsidTr="00D3193D">
        <w:tc>
          <w:tcPr>
            <w:tcW w:w="562" w:type="dxa"/>
          </w:tcPr>
          <w:p w:rsidR="00075072" w:rsidRPr="00175043" w:rsidRDefault="00D969A5" w:rsidP="00D3193D">
            <w:pPr>
              <w:rPr>
                <w:rFonts w:cstheme="minorHAnsi"/>
                <w:sz w:val="20"/>
                <w:szCs w:val="20"/>
              </w:rPr>
            </w:pPr>
            <w:r w:rsidRPr="00175043">
              <w:rPr>
                <w:rFonts w:cstheme="minorHAnsi"/>
                <w:sz w:val="20"/>
                <w:szCs w:val="20"/>
              </w:rPr>
              <w:lastRenderedPageBreak/>
              <w:t>4</w:t>
            </w:r>
          </w:p>
        </w:tc>
        <w:tc>
          <w:tcPr>
            <w:tcW w:w="1843" w:type="dxa"/>
          </w:tcPr>
          <w:p w:rsidR="00075072" w:rsidRPr="00175043" w:rsidRDefault="00075072" w:rsidP="00D3193D">
            <w:pPr>
              <w:rPr>
                <w:rFonts w:cstheme="minorHAnsi"/>
                <w:sz w:val="20"/>
                <w:szCs w:val="20"/>
              </w:rPr>
            </w:pPr>
            <w:r w:rsidRPr="00175043">
              <w:rPr>
                <w:rFonts w:cstheme="minorHAnsi"/>
                <w:sz w:val="20"/>
                <w:szCs w:val="20"/>
              </w:rPr>
              <w:t>PKN</w:t>
            </w:r>
          </w:p>
        </w:tc>
        <w:tc>
          <w:tcPr>
            <w:tcW w:w="1134" w:type="dxa"/>
          </w:tcPr>
          <w:p w:rsidR="00075072" w:rsidRPr="00175043" w:rsidRDefault="00075072" w:rsidP="00D3193D">
            <w:pPr>
              <w:rPr>
                <w:rFonts w:cstheme="minorHAnsi"/>
                <w:sz w:val="20"/>
                <w:szCs w:val="20"/>
              </w:rPr>
            </w:pPr>
            <w:r w:rsidRPr="00175043">
              <w:rPr>
                <w:rFonts w:cstheme="minorHAnsi"/>
                <w:sz w:val="20"/>
                <w:szCs w:val="20"/>
              </w:rPr>
              <w:t>ogólna</w:t>
            </w:r>
          </w:p>
        </w:tc>
        <w:tc>
          <w:tcPr>
            <w:tcW w:w="6095" w:type="dxa"/>
          </w:tcPr>
          <w:p w:rsidR="00075072" w:rsidRPr="00175043" w:rsidRDefault="00075072" w:rsidP="00D3193D">
            <w:pPr>
              <w:rPr>
                <w:rFonts w:cstheme="minorHAnsi"/>
                <w:sz w:val="20"/>
                <w:szCs w:val="20"/>
              </w:rPr>
            </w:pPr>
            <w:r w:rsidRPr="00175043">
              <w:rPr>
                <w:rFonts w:cstheme="minorHAnsi"/>
                <w:sz w:val="20"/>
                <w:szCs w:val="20"/>
              </w:rPr>
              <w:t>Norma PN-EN 1300:2006 jest wycofana i zastąpiona przez PN-EN 1300:2014-03E, która jest opublikowana tylko w języku angielskim.</w:t>
            </w:r>
          </w:p>
        </w:tc>
        <w:tc>
          <w:tcPr>
            <w:tcW w:w="4360" w:type="dxa"/>
          </w:tcPr>
          <w:p w:rsidR="00075072" w:rsidRPr="00175043" w:rsidRDefault="00A802C6" w:rsidP="00D3193D">
            <w:pPr>
              <w:rPr>
                <w:rFonts w:cstheme="minorHAnsi"/>
                <w:sz w:val="20"/>
                <w:szCs w:val="20"/>
              </w:rPr>
            </w:pPr>
            <w:r w:rsidRPr="00175043">
              <w:rPr>
                <w:rFonts w:cstheme="minorHAnsi"/>
                <w:sz w:val="20"/>
                <w:szCs w:val="20"/>
              </w:rPr>
              <w:t xml:space="preserve">Wyjaśnienie </w:t>
            </w:r>
            <w:proofErr w:type="spellStart"/>
            <w:r w:rsidRPr="00175043">
              <w:rPr>
                <w:rFonts w:cstheme="minorHAnsi"/>
                <w:sz w:val="20"/>
                <w:szCs w:val="20"/>
              </w:rPr>
              <w:t>j.w</w:t>
            </w:r>
            <w:proofErr w:type="spellEnd"/>
            <w:r w:rsidRPr="00175043">
              <w:rPr>
                <w:rFonts w:cstheme="minorHAnsi"/>
                <w:sz w:val="20"/>
                <w:szCs w:val="20"/>
              </w:rPr>
              <w:t>.</w:t>
            </w:r>
          </w:p>
        </w:tc>
      </w:tr>
      <w:tr w:rsidR="00075072" w:rsidRPr="00175043" w:rsidTr="00D3193D">
        <w:tc>
          <w:tcPr>
            <w:tcW w:w="562" w:type="dxa"/>
          </w:tcPr>
          <w:p w:rsidR="00075072" w:rsidRPr="00175043" w:rsidRDefault="00D969A5" w:rsidP="00D3193D">
            <w:pPr>
              <w:rPr>
                <w:rFonts w:cstheme="minorHAnsi"/>
                <w:sz w:val="20"/>
                <w:szCs w:val="20"/>
              </w:rPr>
            </w:pPr>
            <w:r w:rsidRPr="00175043">
              <w:rPr>
                <w:rFonts w:cstheme="minorHAnsi"/>
                <w:sz w:val="20"/>
                <w:szCs w:val="20"/>
              </w:rPr>
              <w:t>5</w:t>
            </w:r>
          </w:p>
        </w:tc>
        <w:tc>
          <w:tcPr>
            <w:tcW w:w="1843" w:type="dxa"/>
          </w:tcPr>
          <w:p w:rsidR="00075072" w:rsidRPr="00175043" w:rsidRDefault="00075072" w:rsidP="00D3193D">
            <w:pPr>
              <w:rPr>
                <w:rFonts w:cstheme="minorHAnsi"/>
                <w:sz w:val="20"/>
                <w:szCs w:val="20"/>
              </w:rPr>
            </w:pPr>
            <w:r w:rsidRPr="00175043">
              <w:rPr>
                <w:rFonts w:cstheme="minorHAnsi"/>
                <w:sz w:val="20"/>
                <w:szCs w:val="20"/>
              </w:rPr>
              <w:t>PKN</w:t>
            </w:r>
          </w:p>
        </w:tc>
        <w:tc>
          <w:tcPr>
            <w:tcW w:w="1134" w:type="dxa"/>
          </w:tcPr>
          <w:p w:rsidR="00075072" w:rsidRPr="00175043" w:rsidRDefault="00075072" w:rsidP="00D3193D">
            <w:pPr>
              <w:rPr>
                <w:rFonts w:cstheme="minorHAnsi"/>
                <w:sz w:val="20"/>
                <w:szCs w:val="20"/>
              </w:rPr>
            </w:pPr>
            <w:r w:rsidRPr="00175043">
              <w:rPr>
                <w:rFonts w:cstheme="minorHAnsi"/>
                <w:sz w:val="20"/>
                <w:szCs w:val="20"/>
              </w:rPr>
              <w:t>§ 11</w:t>
            </w:r>
          </w:p>
        </w:tc>
        <w:tc>
          <w:tcPr>
            <w:tcW w:w="6095" w:type="dxa"/>
          </w:tcPr>
          <w:p w:rsidR="00075072" w:rsidRPr="00175043" w:rsidRDefault="00B628B1" w:rsidP="00D3193D">
            <w:pPr>
              <w:rPr>
                <w:rFonts w:cstheme="minorHAnsi"/>
                <w:sz w:val="20"/>
                <w:szCs w:val="20"/>
              </w:rPr>
            </w:pPr>
            <w:r>
              <w:rPr>
                <w:rFonts w:cstheme="minorHAnsi"/>
                <w:sz w:val="20"/>
                <w:szCs w:val="20"/>
              </w:rPr>
              <w:t xml:space="preserve">W § 11 ust. </w:t>
            </w:r>
            <w:r w:rsidR="00075072" w:rsidRPr="00175043">
              <w:rPr>
                <w:rFonts w:cstheme="minorHAnsi"/>
                <w:sz w:val="20"/>
                <w:szCs w:val="20"/>
              </w:rPr>
              <w:t>1 proponujemy zastosować taki sam sposób powołania normy, jak w § 10. Proponowany zapis: Szafy i pojemniki, w których są przechowywane dokumentacja techniczna oraz akcesoria, materiały, półprodukty służące do wytworzenia blankietów dokumentu publicznego, o którym mowa w art. 5 ust. 3 ustawy, spełniają co najmniej wymagania klasy odporności na włamanie S1 określone w Polskiej Normie PN-EN 14450:2006, albo Polskiej Normie ją zastępującej (…)</w:t>
            </w:r>
            <w:r>
              <w:rPr>
                <w:rFonts w:cstheme="minorHAnsi"/>
                <w:sz w:val="20"/>
                <w:szCs w:val="20"/>
              </w:rPr>
              <w:t xml:space="preserve"> </w:t>
            </w:r>
            <w:r w:rsidR="00075072" w:rsidRPr="00175043">
              <w:rPr>
                <w:rFonts w:cstheme="minorHAnsi"/>
                <w:sz w:val="20"/>
                <w:szCs w:val="20"/>
              </w:rPr>
              <w:t>Zapis taki pozwoli uniknąć domniemania wprowadzenia obowiązku stosowania normy co byłoby sprzeczne z aktem prawnym wyższego rzędu jakim jest Ustawa o normalizacji.</w:t>
            </w:r>
          </w:p>
        </w:tc>
        <w:tc>
          <w:tcPr>
            <w:tcW w:w="4360" w:type="dxa"/>
          </w:tcPr>
          <w:p w:rsidR="00075072" w:rsidRPr="00175043" w:rsidRDefault="00A802C6"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uzupełniony.</w:t>
            </w:r>
          </w:p>
        </w:tc>
      </w:tr>
      <w:tr w:rsidR="00075072" w:rsidRPr="00175043" w:rsidTr="00D3193D">
        <w:tc>
          <w:tcPr>
            <w:tcW w:w="562" w:type="dxa"/>
          </w:tcPr>
          <w:p w:rsidR="00075072" w:rsidRPr="00175043" w:rsidRDefault="00D969A5" w:rsidP="00D3193D">
            <w:pPr>
              <w:rPr>
                <w:rFonts w:cstheme="minorHAnsi"/>
                <w:sz w:val="20"/>
                <w:szCs w:val="20"/>
              </w:rPr>
            </w:pPr>
            <w:r w:rsidRPr="00175043">
              <w:rPr>
                <w:rFonts w:cstheme="minorHAnsi"/>
                <w:sz w:val="20"/>
                <w:szCs w:val="20"/>
              </w:rPr>
              <w:t>6</w:t>
            </w:r>
          </w:p>
        </w:tc>
        <w:tc>
          <w:tcPr>
            <w:tcW w:w="1843" w:type="dxa"/>
          </w:tcPr>
          <w:p w:rsidR="00075072" w:rsidRPr="00175043" w:rsidRDefault="000A5D5D" w:rsidP="00D3193D">
            <w:pPr>
              <w:rPr>
                <w:rFonts w:cstheme="minorHAnsi"/>
                <w:sz w:val="20"/>
                <w:szCs w:val="20"/>
              </w:rPr>
            </w:pPr>
            <w:r w:rsidRPr="00175043">
              <w:rPr>
                <w:rFonts w:cstheme="minorHAnsi"/>
                <w:sz w:val="20"/>
                <w:szCs w:val="20"/>
              </w:rPr>
              <w:t>ABW</w:t>
            </w:r>
          </w:p>
        </w:tc>
        <w:tc>
          <w:tcPr>
            <w:tcW w:w="1134" w:type="dxa"/>
          </w:tcPr>
          <w:p w:rsidR="000A5D5D" w:rsidRPr="00175043" w:rsidRDefault="000A5D5D" w:rsidP="00D3193D">
            <w:pPr>
              <w:rPr>
                <w:rFonts w:cstheme="minorHAnsi"/>
                <w:sz w:val="20"/>
                <w:szCs w:val="20"/>
              </w:rPr>
            </w:pPr>
            <w:r w:rsidRPr="00175043">
              <w:rPr>
                <w:rFonts w:cstheme="minorHAnsi"/>
                <w:sz w:val="20"/>
                <w:szCs w:val="20"/>
              </w:rPr>
              <w:t xml:space="preserve">§ 7 pkt 2 </w:t>
            </w:r>
          </w:p>
          <w:p w:rsidR="00075072" w:rsidRPr="00175043" w:rsidRDefault="00B628B1" w:rsidP="00D3193D">
            <w:pPr>
              <w:rPr>
                <w:rFonts w:cstheme="minorHAnsi"/>
                <w:sz w:val="20"/>
                <w:szCs w:val="20"/>
              </w:rPr>
            </w:pPr>
            <w:r>
              <w:rPr>
                <w:rFonts w:cstheme="minorHAnsi"/>
                <w:sz w:val="20"/>
                <w:szCs w:val="20"/>
              </w:rPr>
              <w:t>l</w:t>
            </w:r>
            <w:r w:rsidR="000A5D5D" w:rsidRPr="00175043">
              <w:rPr>
                <w:rFonts w:cstheme="minorHAnsi"/>
                <w:sz w:val="20"/>
                <w:szCs w:val="20"/>
              </w:rPr>
              <w:t>it</w:t>
            </w:r>
            <w:r>
              <w:rPr>
                <w:rFonts w:cstheme="minorHAnsi"/>
                <w:sz w:val="20"/>
                <w:szCs w:val="20"/>
              </w:rPr>
              <w:t>.</w:t>
            </w:r>
            <w:r w:rsidR="000A5D5D" w:rsidRPr="00175043">
              <w:rPr>
                <w:rFonts w:cstheme="minorHAnsi"/>
                <w:sz w:val="20"/>
                <w:szCs w:val="20"/>
              </w:rPr>
              <w:t xml:space="preserve"> c</w:t>
            </w:r>
          </w:p>
        </w:tc>
        <w:tc>
          <w:tcPr>
            <w:tcW w:w="6095" w:type="dxa"/>
          </w:tcPr>
          <w:p w:rsidR="00075072" w:rsidRPr="00175043" w:rsidRDefault="000A5D5D" w:rsidP="000A5D5D">
            <w:pPr>
              <w:rPr>
                <w:rFonts w:cstheme="minorHAnsi"/>
                <w:sz w:val="20"/>
                <w:szCs w:val="20"/>
              </w:rPr>
            </w:pPr>
            <w:r w:rsidRPr="00175043">
              <w:rPr>
                <w:rFonts w:cstheme="minorHAnsi"/>
                <w:sz w:val="20"/>
                <w:szCs w:val="20"/>
              </w:rPr>
              <w:t xml:space="preserve">Proponuje się nadać następujące brzmienie: wykaz farb wykorzystanych do wytworzenia blankietu dokumentu publicznego, wraz z  załączonymi wydrukami o pokryciu 100% (z określonymi parametrami farby i podłoża) oraz z określonymi właściwościami </w:t>
            </w:r>
            <w:r w:rsidR="006A1EF1">
              <w:rPr>
                <w:rFonts w:cstheme="minorHAnsi"/>
                <w:sz w:val="20"/>
                <w:szCs w:val="20"/>
              </w:rPr>
              <w:t>specjalnymi poszczególnych farb.</w:t>
            </w:r>
          </w:p>
        </w:tc>
        <w:tc>
          <w:tcPr>
            <w:tcW w:w="4360" w:type="dxa"/>
          </w:tcPr>
          <w:p w:rsidR="00075072" w:rsidRPr="00175043" w:rsidRDefault="000A5D5D"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0A5D5D" w:rsidRPr="00175043" w:rsidTr="00D3193D">
        <w:tc>
          <w:tcPr>
            <w:tcW w:w="562" w:type="dxa"/>
          </w:tcPr>
          <w:p w:rsidR="000A5D5D" w:rsidRPr="00175043" w:rsidRDefault="00D969A5" w:rsidP="00D3193D">
            <w:pPr>
              <w:rPr>
                <w:rFonts w:cstheme="minorHAnsi"/>
                <w:sz w:val="20"/>
                <w:szCs w:val="20"/>
              </w:rPr>
            </w:pPr>
            <w:r w:rsidRPr="00175043">
              <w:rPr>
                <w:rFonts w:cstheme="minorHAnsi"/>
                <w:sz w:val="20"/>
                <w:szCs w:val="20"/>
              </w:rPr>
              <w:t>7</w:t>
            </w:r>
          </w:p>
        </w:tc>
        <w:tc>
          <w:tcPr>
            <w:tcW w:w="1843" w:type="dxa"/>
          </w:tcPr>
          <w:p w:rsidR="000A5D5D" w:rsidRPr="00175043" w:rsidRDefault="000A5D5D" w:rsidP="00D3193D">
            <w:pPr>
              <w:rPr>
                <w:rFonts w:cstheme="minorHAnsi"/>
                <w:sz w:val="20"/>
                <w:szCs w:val="20"/>
              </w:rPr>
            </w:pPr>
            <w:r w:rsidRPr="00175043">
              <w:rPr>
                <w:rFonts w:cstheme="minorHAnsi"/>
                <w:sz w:val="20"/>
                <w:szCs w:val="20"/>
              </w:rPr>
              <w:t>ABW</w:t>
            </w:r>
          </w:p>
        </w:tc>
        <w:tc>
          <w:tcPr>
            <w:tcW w:w="1134" w:type="dxa"/>
          </w:tcPr>
          <w:p w:rsidR="000A5D5D" w:rsidRPr="00175043" w:rsidRDefault="000A5D5D" w:rsidP="00D3193D">
            <w:pPr>
              <w:rPr>
                <w:rFonts w:cstheme="minorHAnsi"/>
                <w:sz w:val="20"/>
                <w:szCs w:val="20"/>
              </w:rPr>
            </w:pPr>
            <w:r w:rsidRPr="00175043">
              <w:rPr>
                <w:rFonts w:cstheme="minorHAnsi"/>
                <w:sz w:val="20"/>
                <w:szCs w:val="20"/>
              </w:rPr>
              <w:t xml:space="preserve">§ 7 pkt 2 </w:t>
            </w:r>
          </w:p>
          <w:p w:rsidR="000A5D5D" w:rsidRPr="00175043" w:rsidRDefault="00B628B1" w:rsidP="00D3193D">
            <w:pPr>
              <w:rPr>
                <w:rFonts w:cstheme="minorHAnsi"/>
                <w:sz w:val="20"/>
                <w:szCs w:val="20"/>
              </w:rPr>
            </w:pPr>
            <w:r>
              <w:rPr>
                <w:rFonts w:cstheme="minorHAnsi"/>
                <w:sz w:val="20"/>
                <w:szCs w:val="20"/>
              </w:rPr>
              <w:t>l</w:t>
            </w:r>
            <w:r w:rsidR="000A5D5D" w:rsidRPr="00175043">
              <w:rPr>
                <w:rFonts w:cstheme="minorHAnsi"/>
                <w:sz w:val="20"/>
                <w:szCs w:val="20"/>
              </w:rPr>
              <w:t>it</w:t>
            </w:r>
            <w:r>
              <w:rPr>
                <w:rFonts w:cstheme="minorHAnsi"/>
                <w:sz w:val="20"/>
                <w:szCs w:val="20"/>
              </w:rPr>
              <w:t>.</w:t>
            </w:r>
            <w:r w:rsidR="000A5D5D" w:rsidRPr="00175043">
              <w:rPr>
                <w:rFonts w:cstheme="minorHAnsi"/>
                <w:sz w:val="20"/>
                <w:szCs w:val="20"/>
              </w:rPr>
              <w:t xml:space="preserve"> d</w:t>
            </w:r>
          </w:p>
        </w:tc>
        <w:tc>
          <w:tcPr>
            <w:tcW w:w="6095" w:type="dxa"/>
          </w:tcPr>
          <w:p w:rsidR="000A5D5D" w:rsidRPr="00175043" w:rsidRDefault="000A5D5D" w:rsidP="00996BB5">
            <w:pPr>
              <w:rPr>
                <w:rFonts w:cstheme="minorHAnsi"/>
                <w:sz w:val="20"/>
                <w:szCs w:val="20"/>
              </w:rPr>
            </w:pPr>
            <w:r w:rsidRPr="00175043">
              <w:rPr>
                <w:rFonts w:cstheme="minorHAnsi"/>
                <w:sz w:val="20"/>
                <w:szCs w:val="20"/>
              </w:rPr>
              <w:t xml:space="preserve">Proponuje się nadać następujące brzmienie:  wykaz wszystkich technik druku niezbędnych do wytworzenia blankietu dokumentu publicznego wraz z zastosowaną </w:t>
            </w:r>
            <w:r w:rsidR="00996BB5" w:rsidRPr="00175043">
              <w:rPr>
                <w:rFonts w:cstheme="minorHAnsi"/>
                <w:sz w:val="20"/>
                <w:szCs w:val="20"/>
              </w:rPr>
              <w:t>liczbą</w:t>
            </w:r>
            <w:r w:rsidRPr="00175043">
              <w:rPr>
                <w:rFonts w:cstheme="minorHAnsi"/>
                <w:sz w:val="20"/>
                <w:szCs w:val="20"/>
              </w:rPr>
              <w:t xml:space="preserve"> kolorów oraz układem druku</w:t>
            </w:r>
            <w:r w:rsidR="006A1EF1">
              <w:rPr>
                <w:rFonts w:cstheme="minorHAnsi"/>
                <w:sz w:val="20"/>
                <w:szCs w:val="20"/>
              </w:rPr>
              <w:t>.</w:t>
            </w:r>
          </w:p>
        </w:tc>
        <w:tc>
          <w:tcPr>
            <w:tcW w:w="4360" w:type="dxa"/>
          </w:tcPr>
          <w:p w:rsidR="000A5D5D" w:rsidRPr="00175043" w:rsidRDefault="000A5D5D"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0A5D5D" w:rsidRPr="00175043" w:rsidTr="00D3193D">
        <w:tc>
          <w:tcPr>
            <w:tcW w:w="562" w:type="dxa"/>
          </w:tcPr>
          <w:p w:rsidR="000A5D5D" w:rsidRPr="00175043" w:rsidRDefault="00D969A5" w:rsidP="00D3193D">
            <w:pPr>
              <w:rPr>
                <w:rFonts w:cstheme="minorHAnsi"/>
                <w:sz w:val="20"/>
                <w:szCs w:val="20"/>
              </w:rPr>
            </w:pPr>
            <w:r w:rsidRPr="00175043">
              <w:rPr>
                <w:rFonts w:cstheme="minorHAnsi"/>
                <w:sz w:val="20"/>
                <w:szCs w:val="20"/>
              </w:rPr>
              <w:t>8</w:t>
            </w:r>
          </w:p>
        </w:tc>
        <w:tc>
          <w:tcPr>
            <w:tcW w:w="1843" w:type="dxa"/>
          </w:tcPr>
          <w:p w:rsidR="000A5D5D" w:rsidRPr="00175043" w:rsidRDefault="003D61B3" w:rsidP="00D3193D">
            <w:pPr>
              <w:rPr>
                <w:rFonts w:cstheme="minorHAnsi"/>
                <w:sz w:val="20"/>
                <w:szCs w:val="20"/>
              </w:rPr>
            </w:pPr>
            <w:r w:rsidRPr="00175043">
              <w:rPr>
                <w:rFonts w:cstheme="minorHAnsi"/>
                <w:sz w:val="20"/>
                <w:szCs w:val="20"/>
              </w:rPr>
              <w:t>ABW</w:t>
            </w:r>
          </w:p>
        </w:tc>
        <w:tc>
          <w:tcPr>
            <w:tcW w:w="1134" w:type="dxa"/>
          </w:tcPr>
          <w:p w:rsidR="000A5D5D" w:rsidRPr="00175043" w:rsidRDefault="000A5D5D" w:rsidP="00D3193D">
            <w:pPr>
              <w:rPr>
                <w:rFonts w:cstheme="minorHAnsi"/>
                <w:sz w:val="20"/>
                <w:szCs w:val="20"/>
              </w:rPr>
            </w:pPr>
            <w:r w:rsidRPr="00175043">
              <w:rPr>
                <w:rFonts w:cstheme="minorHAnsi"/>
                <w:sz w:val="20"/>
                <w:szCs w:val="20"/>
              </w:rPr>
              <w:t>§ 7 pkt 4</w:t>
            </w:r>
          </w:p>
        </w:tc>
        <w:tc>
          <w:tcPr>
            <w:tcW w:w="6095" w:type="dxa"/>
          </w:tcPr>
          <w:p w:rsidR="000A5D5D" w:rsidRPr="00175043" w:rsidRDefault="000A5D5D" w:rsidP="000A5D5D">
            <w:pPr>
              <w:rPr>
                <w:rFonts w:cstheme="minorHAnsi"/>
                <w:sz w:val="20"/>
                <w:szCs w:val="20"/>
              </w:rPr>
            </w:pPr>
            <w:r w:rsidRPr="00175043">
              <w:rPr>
                <w:rFonts w:cstheme="minorHAnsi"/>
                <w:sz w:val="20"/>
                <w:szCs w:val="20"/>
              </w:rPr>
              <w:t>Proponuje się nadać następujące brzmienie: odwzorowanie lub wizualizację graficzne całych stron blankietu dokumentu publicznego w świetle widzialnym, różnych zakresach promieniowania ultrafioletowego oraz bliskiej podczerwieni, ze szczególnym uwzględnieniem elementów protekcyjnych zmieniających swoje właściwości optyczne w wyniku działania ww. rodzajów promieniowania elektromagnetycznego.</w:t>
            </w:r>
          </w:p>
        </w:tc>
        <w:tc>
          <w:tcPr>
            <w:tcW w:w="4360" w:type="dxa"/>
          </w:tcPr>
          <w:p w:rsidR="000A5D5D" w:rsidRPr="00175043" w:rsidRDefault="000A5D5D"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0A5D5D" w:rsidRPr="00175043" w:rsidTr="00D3193D">
        <w:tc>
          <w:tcPr>
            <w:tcW w:w="562" w:type="dxa"/>
          </w:tcPr>
          <w:p w:rsidR="000A5D5D" w:rsidRPr="00175043" w:rsidRDefault="00D969A5" w:rsidP="00D3193D">
            <w:pPr>
              <w:rPr>
                <w:rFonts w:cstheme="minorHAnsi"/>
                <w:sz w:val="20"/>
                <w:szCs w:val="20"/>
              </w:rPr>
            </w:pPr>
            <w:r w:rsidRPr="00175043">
              <w:rPr>
                <w:rFonts w:cstheme="minorHAnsi"/>
                <w:sz w:val="20"/>
                <w:szCs w:val="20"/>
              </w:rPr>
              <w:t>9</w:t>
            </w:r>
          </w:p>
        </w:tc>
        <w:tc>
          <w:tcPr>
            <w:tcW w:w="1843" w:type="dxa"/>
          </w:tcPr>
          <w:p w:rsidR="000A5D5D" w:rsidRPr="00175043" w:rsidRDefault="00062C7D" w:rsidP="00D3193D">
            <w:pPr>
              <w:rPr>
                <w:rFonts w:cstheme="minorHAnsi"/>
                <w:sz w:val="20"/>
                <w:szCs w:val="20"/>
              </w:rPr>
            </w:pPr>
            <w:r w:rsidRPr="00175043">
              <w:rPr>
                <w:rFonts w:cstheme="minorHAnsi"/>
                <w:sz w:val="20"/>
                <w:szCs w:val="20"/>
              </w:rPr>
              <w:t>ABW</w:t>
            </w:r>
          </w:p>
        </w:tc>
        <w:tc>
          <w:tcPr>
            <w:tcW w:w="1134" w:type="dxa"/>
          </w:tcPr>
          <w:p w:rsidR="000A5D5D" w:rsidRPr="00175043" w:rsidRDefault="00062C7D" w:rsidP="00D3193D">
            <w:pPr>
              <w:rPr>
                <w:rFonts w:cstheme="minorHAnsi"/>
                <w:sz w:val="20"/>
                <w:szCs w:val="20"/>
              </w:rPr>
            </w:pPr>
            <w:r w:rsidRPr="00175043">
              <w:rPr>
                <w:rFonts w:cstheme="minorHAnsi"/>
                <w:sz w:val="20"/>
                <w:szCs w:val="20"/>
              </w:rPr>
              <w:t>§ 7 pkt 7</w:t>
            </w:r>
          </w:p>
        </w:tc>
        <w:tc>
          <w:tcPr>
            <w:tcW w:w="6095" w:type="dxa"/>
          </w:tcPr>
          <w:p w:rsidR="000A5D5D" w:rsidRPr="00175043" w:rsidRDefault="00062C7D" w:rsidP="00062C7D">
            <w:pPr>
              <w:rPr>
                <w:rFonts w:cstheme="minorHAnsi"/>
                <w:sz w:val="20"/>
                <w:szCs w:val="20"/>
              </w:rPr>
            </w:pPr>
            <w:r w:rsidRPr="00175043">
              <w:rPr>
                <w:rFonts w:cstheme="minorHAnsi"/>
                <w:sz w:val="20"/>
                <w:szCs w:val="20"/>
              </w:rPr>
              <w:t>Proponuje się nadać następujące brzmienie: szablony do kontroli jakości, w tym określonej tolerancji umiejscowienia i wymiarów poszczególnych elementów blankietu dokumentu publicznego, a w szczególności znaku wodnego, elementów wykonanych stalorytem oraz elementów optycznie zmiennych</w:t>
            </w:r>
            <w:r w:rsidR="006A1EF1">
              <w:rPr>
                <w:rFonts w:cstheme="minorHAnsi"/>
                <w:sz w:val="20"/>
                <w:szCs w:val="20"/>
              </w:rPr>
              <w:t>.</w:t>
            </w:r>
          </w:p>
        </w:tc>
        <w:tc>
          <w:tcPr>
            <w:tcW w:w="4360" w:type="dxa"/>
          </w:tcPr>
          <w:p w:rsidR="000A5D5D" w:rsidRPr="00175043" w:rsidRDefault="00062C7D"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3D61B3" w:rsidRPr="00175043" w:rsidTr="00D3193D">
        <w:tc>
          <w:tcPr>
            <w:tcW w:w="562" w:type="dxa"/>
          </w:tcPr>
          <w:p w:rsidR="003D61B3" w:rsidRPr="00175043" w:rsidRDefault="00D969A5" w:rsidP="00D3193D">
            <w:pPr>
              <w:rPr>
                <w:rFonts w:cstheme="minorHAnsi"/>
                <w:sz w:val="20"/>
                <w:szCs w:val="20"/>
              </w:rPr>
            </w:pPr>
            <w:r w:rsidRPr="00175043">
              <w:rPr>
                <w:rFonts w:cstheme="minorHAnsi"/>
                <w:sz w:val="20"/>
                <w:szCs w:val="20"/>
              </w:rPr>
              <w:t>10</w:t>
            </w:r>
          </w:p>
        </w:tc>
        <w:tc>
          <w:tcPr>
            <w:tcW w:w="1843" w:type="dxa"/>
          </w:tcPr>
          <w:p w:rsidR="003D61B3" w:rsidRPr="00175043" w:rsidRDefault="003D61B3" w:rsidP="00D3193D">
            <w:pPr>
              <w:rPr>
                <w:rFonts w:cstheme="minorHAnsi"/>
                <w:sz w:val="20"/>
                <w:szCs w:val="20"/>
              </w:rPr>
            </w:pPr>
            <w:r w:rsidRPr="00175043">
              <w:rPr>
                <w:rFonts w:cstheme="minorHAnsi"/>
                <w:sz w:val="20"/>
                <w:szCs w:val="20"/>
              </w:rPr>
              <w:t>ABW</w:t>
            </w:r>
          </w:p>
        </w:tc>
        <w:tc>
          <w:tcPr>
            <w:tcW w:w="1134" w:type="dxa"/>
          </w:tcPr>
          <w:p w:rsidR="003D61B3" w:rsidRPr="00175043" w:rsidRDefault="003D61B3" w:rsidP="00D3193D">
            <w:pPr>
              <w:rPr>
                <w:rFonts w:cstheme="minorHAnsi"/>
                <w:sz w:val="20"/>
                <w:szCs w:val="20"/>
              </w:rPr>
            </w:pPr>
            <w:r w:rsidRPr="00175043">
              <w:rPr>
                <w:rFonts w:cstheme="minorHAnsi"/>
                <w:sz w:val="20"/>
                <w:szCs w:val="20"/>
              </w:rPr>
              <w:t>§ 7 pkt 8</w:t>
            </w:r>
          </w:p>
        </w:tc>
        <w:tc>
          <w:tcPr>
            <w:tcW w:w="6095" w:type="dxa"/>
          </w:tcPr>
          <w:p w:rsidR="003D61B3" w:rsidRPr="00175043" w:rsidRDefault="003D61B3" w:rsidP="00062C7D">
            <w:pPr>
              <w:rPr>
                <w:rFonts w:cstheme="minorHAnsi"/>
                <w:sz w:val="20"/>
                <w:szCs w:val="20"/>
              </w:rPr>
            </w:pPr>
            <w:r w:rsidRPr="00175043">
              <w:rPr>
                <w:rFonts w:cstheme="minorHAnsi"/>
                <w:sz w:val="20"/>
                <w:szCs w:val="20"/>
              </w:rPr>
              <w:t>Proponuje się nadać następujące brzmienie: wykaz rodzajów badań oraz ich udokumentowane wyniki, jeżeli takie były przeprowadzane z inicjatywy wytwórcy lub na zlecenie emitenta.</w:t>
            </w:r>
          </w:p>
        </w:tc>
        <w:tc>
          <w:tcPr>
            <w:tcW w:w="4360" w:type="dxa"/>
          </w:tcPr>
          <w:p w:rsidR="003D61B3" w:rsidRPr="00175043" w:rsidRDefault="003D61B3"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3D61B3" w:rsidRPr="00175043" w:rsidTr="00D3193D">
        <w:tc>
          <w:tcPr>
            <w:tcW w:w="562" w:type="dxa"/>
          </w:tcPr>
          <w:p w:rsidR="003D61B3" w:rsidRPr="00175043" w:rsidRDefault="00D969A5" w:rsidP="00D3193D">
            <w:pPr>
              <w:rPr>
                <w:rFonts w:cstheme="minorHAnsi"/>
                <w:sz w:val="20"/>
                <w:szCs w:val="20"/>
              </w:rPr>
            </w:pPr>
            <w:r w:rsidRPr="00175043">
              <w:rPr>
                <w:rFonts w:cstheme="minorHAnsi"/>
                <w:sz w:val="20"/>
                <w:szCs w:val="20"/>
              </w:rPr>
              <w:lastRenderedPageBreak/>
              <w:t>11</w:t>
            </w:r>
          </w:p>
        </w:tc>
        <w:tc>
          <w:tcPr>
            <w:tcW w:w="1843" w:type="dxa"/>
          </w:tcPr>
          <w:p w:rsidR="003D61B3" w:rsidRPr="00175043" w:rsidRDefault="003D61B3" w:rsidP="00D3193D">
            <w:pPr>
              <w:rPr>
                <w:rFonts w:cstheme="minorHAnsi"/>
                <w:sz w:val="20"/>
                <w:szCs w:val="20"/>
              </w:rPr>
            </w:pPr>
            <w:r w:rsidRPr="00175043">
              <w:rPr>
                <w:rFonts w:cstheme="minorHAnsi"/>
                <w:sz w:val="20"/>
                <w:szCs w:val="20"/>
              </w:rPr>
              <w:t>ABW</w:t>
            </w:r>
          </w:p>
        </w:tc>
        <w:tc>
          <w:tcPr>
            <w:tcW w:w="1134" w:type="dxa"/>
          </w:tcPr>
          <w:p w:rsidR="003D61B3" w:rsidRPr="00175043" w:rsidRDefault="003D61B3" w:rsidP="00D3193D">
            <w:pPr>
              <w:rPr>
                <w:rFonts w:cstheme="minorHAnsi"/>
                <w:sz w:val="20"/>
                <w:szCs w:val="20"/>
              </w:rPr>
            </w:pPr>
            <w:r w:rsidRPr="00175043">
              <w:rPr>
                <w:rFonts w:cstheme="minorHAnsi"/>
                <w:sz w:val="20"/>
                <w:szCs w:val="20"/>
              </w:rPr>
              <w:t>§ 8 ust</w:t>
            </w:r>
            <w:r w:rsidR="00B628B1">
              <w:rPr>
                <w:rFonts w:cstheme="minorHAnsi"/>
                <w:sz w:val="20"/>
                <w:szCs w:val="20"/>
              </w:rPr>
              <w:t>.</w:t>
            </w:r>
            <w:r w:rsidRPr="00175043">
              <w:rPr>
                <w:rFonts w:cstheme="minorHAnsi"/>
                <w:sz w:val="20"/>
                <w:szCs w:val="20"/>
              </w:rPr>
              <w:t xml:space="preserve"> 4</w:t>
            </w:r>
          </w:p>
        </w:tc>
        <w:tc>
          <w:tcPr>
            <w:tcW w:w="6095" w:type="dxa"/>
          </w:tcPr>
          <w:p w:rsidR="003D61B3" w:rsidRPr="00175043" w:rsidRDefault="003D61B3" w:rsidP="003D61B3">
            <w:pPr>
              <w:rPr>
                <w:rFonts w:cstheme="minorHAnsi"/>
                <w:sz w:val="20"/>
                <w:szCs w:val="20"/>
              </w:rPr>
            </w:pPr>
            <w:r w:rsidRPr="00175043">
              <w:rPr>
                <w:rFonts w:cstheme="minorHAnsi"/>
                <w:sz w:val="20"/>
                <w:szCs w:val="20"/>
              </w:rPr>
              <w:t>Proponuje się nadać następujące brzmienie: po zakończeniu produkcji blankietów dokumentu publicznego, upoważniony pracownik wytwórcy przekazuje upoważnionemu przedstawicielowi emitenta tego dokumentu publicznego dokumentację techniczną, służącą do ich wytworzenia.</w:t>
            </w:r>
          </w:p>
        </w:tc>
        <w:tc>
          <w:tcPr>
            <w:tcW w:w="4360" w:type="dxa"/>
          </w:tcPr>
          <w:p w:rsidR="003D61B3" w:rsidRPr="00175043" w:rsidRDefault="003D61B3"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Zapis zostanie zmieniony na zaproponowany.</w:t>
            </w:r>
          </w:p>
        </w:tc>
      </w:tr>
      <w:tr w:rsidR="00E95DCE" w:rsidRPr="00175043" w:rsidTr="00D3193D">
        <w:tc>
          <w:tcPr>
            <w:tcW w:w="562" w:type="dxa"/>
          </w:tcPr>
          <w:p w:rsidR="00E95DCE" w:rsidRPr="00175043" w:rsidRDefault="00D969A5" w:rsidP="00D3193D">
            <w:pPr>
              <w:rPr>
                <w:rFonts w:cstheme="minorHAnsi"/>
                <w:sz w:val="20"/>
                <w:szCs w:val="20"/>
              </w:rPr>
            </w:pPr>
            <w:r w:rsidRPr="00175043">
              <w:rPr>
                <w:rFonts w:cstheme="minorHAnsi"/>
                <w:sz w:val="20"/>
                <w:szCs w:val="20"/>
              </w:rPr>
              <w:t>12</w:t>
            </w:r>
          </w:p>
        </w:tc>
        <w:tc>
          <w:tcPr>
            <w:tcW w:w="1843" w:type="dxa"/>
          </w:tcPr>
          <w:p w:rsidR="00E95DCE" w:rsidRPr="00175043" w:rsidRDefault="00E95DCE" w:rsidP="00D3193D">
            <w:pPr>
              <w:rPr>
                <w:rFonts w:cstheme="minorHAnsi"/>
                <w:sz w:val="20"/>
                <w:szCs w:val="20"/>
              </w:rPr>
            </w:pPr>
            <w:r w:rsidRPr="00175043">
              <w:rPr>
                <w:rFonts w:cstheme="minorHAnsi"/>
                <w:sz w:val="20"/>
                <w:szCs w:val="20"/>
              </w:rPr>
              <w:t>ABW</w:t>
            </w:r>
          </w:p>
        </w:tc>
        <w:tc>
          <w:tcPr>
            <w:tcW w:w="1134" w:type="dxa"/>
          </w:tcPr>
          <w:p w:rsidR="00E95DCE" w:rsidRPr="00175043" w:rsidRDefault="00E95DCE" w:rsidP="00D3193D">
            <w:pPr>
              <w:rPr>
                <w:rFonts w:cstheme="minorHAnsi"/>
                <w:sz w:val="20"/>
                <w:szCs w:val="20"/>
              </w:rPr>
            </w:pPr>
            <w:r w:rsidRPr="00175043">
              <w:rPr>
                <w:rFonts w:cstheme="minorHAnsi"/>
                <w:sz w:val="20"/>
                <w:szCs w:val="20"/>
              </w:rPr>
              <w:t>§ 12</w:t>
            </w:r>
          </w:p>
        </w:tc>
        <w:tc>
          <w:tcPr>
            <w:tcW w:w="6095" w:type="dxa"/>
          </w:tcPr>
          <w:p w:rsidR="00E95DCE" w:rsidRPr="00175043" w:rsidRDefault="00E95DCE" w:rsidP="00E95DCE">
            <w:pPr>
              <w:rPr>
                <w:rFonts w:cstheme="minorHAnsi"/>
                <w:sz w:val="20"/>
                <w:szCs w:val="20"/>
              </w:rPr>
            </w:pPr>
            <w:r w:rsidRPr="00175043">
              <w:rPr>
                <w:rFonts w:cstheme="minorHAnsi"/>
                <w:sz w:val="20"/>
                <w:szCs w:val="20"/>
              </w:rPr>
              <w:t xml:space="preserve">Proponuje się uzupełnienie § 12 o regulacje, które będą wprost wskazywały, że w przypadku stwierdzenia jakichkolwiek niezgodności podczas rozliczania czy też ewidencjonowania materiałów, półproduktów lub poszczególnych elementów protekcyjnych, należy niezwłocznie o tym fakcie powiadomić emitenta dokumentu. </w:t>
            </w:r>
          </w:p>
        </w:tc>
        <w:tc>
          <w:tcPr>
            <w:tcW w:w="4360" w:type="dxa"/>
          </w:tcPr>
          <w:p w:rsidR="00E95DCE" w:rsidRPr="00175043" w:rsidRDefault="00E95DCE" w:rsidP="00D3193D">
            <w:pPr>
              <w:rPr>
                <w:rFonts w:cstheme="minorHAnsi"/>
                <w:sz w:val="20"/>
                <w:szCs w:val="20"/>
              </w:rPr>
            </w:pPr>
            <w:r w:rsidRPr="00175043">
              <w:rPr>
                <w:rFonts w:cstheme="minorHAnsi"/>
                <w:sz w:val="20"/>
                <w:szCs w:val="20"/>
              </w:rPr>
              <w:t>Uwaga uwzględniona.</w:t>
            </w:r>
          </w:p>
          <w:p w:rsidR="00996501" w:rsidRPr="00175043" w:rsidRDefault="00996501" w:rsidP="00D3193D">
            <w:pPr>
              <w:rPr>
                <w:rFonts w:cstheme="minorHAnsi"/>
                <w:sz w:val="20"/>
                <w:szCs w:val="20"/>
              </w:rPr>
            </w:pPr>
            <w:r w:rsidRPr="00175043">
              <w:rPr>
                <w:rFonts w:cstheme="minorHAnsi"/>
                <w:sz w:val="20"/>
                <w:szCs w:val="20"/>
              </w:rPr>
              <w:t xml:space="preserve">Przepis zostanie uzupełniony zgodnie z uwagą. </w:t>
            </w:r>
          </w:p>
        </w:tc>
      </w:tr>
      <w:tr w:rsidR="004B3AEF" w:rsidRPr="00175043" w:rsidTr="00D3193D">
        <w:tc>
          <w:tcPr>
            <w:tcW w:w="562" w:type="dxa"/>
          </w:tcPr>
          <w:p w:rsidR="004B3AEF" w:rsidRPr="00175043" w:rsidRDefault="00D969A5" w:rsidP="00D3193D">
            <w:pPr>
              <w:rPr>
                <w:rFonts w:cstheme="minorHAnsi"/>
                <w:sz w:val="20"/>
                <w:szCs w:val="20"/>
              </w:rPr>
            </w:pPr>
            <w:r w:rsidRPr="00175043">
              <w:rPr>
                <w:rFonts w:cstheme="minorHAnsi"/>
                <w:sz w:val="20"/>
                <w:szCs w:val="20"/>
              </w:rPr>
              <w:t>13</w:t>
            </w:r>
          </w:p>
        </w:tc>
        <w:tc>
          <w:tcPr>
            <w:tcW w:w="1843" w:type="dxa"/>
          </w:tcPr>
          <w:p w:rsidR="004B3AEF" w:rsidRPr="00175043" w:rsidRDefault="004B3AEF" w:rsidP="00D3193D">
            <w:pPr>
              <w:rPr>
                <w:rFonts w:cstheme="minorHAnsi"/>
                <w:sz w:val="20"/>
                <w:szCs w:val="20"/>
              </w:rPr>
            </w:pPr>
            <w:r w:rsidRPr="00175043">
              <w:rPr>
                <w:rFonts w:cstheme="minorHAnsi"/>
                <w:sz w:val="20"/>
                <w:szCs w:val="20"/>
              </w:rPr>
              <w:t>MF</w:t>
            </w:r>
          </w:p>
        </w:tc>
        <w:tc>
          <w:tcPr>
            <w:tcW w:w="1134" w:type="dxa"/>
          </w:tcPr>
          <w:p w:rsidR="004B3AEF" w:rsidRPr="00175043" w:rsidRDefault="004B3AEF" w:rsidP="00D3193D">
            <w:pPr>
              <w:rPr>
                <w:rFonts w:cstheme="minorHAnsi"/>
                <w:sz w:val="20"/>
                <w:szCs w:val="20"/>
              </w:rPr>
            </w:pPr>
            <w:r w:rsidRPr="00175043">
              <w:rPr>
                <w:rFonts w:cstheme="minorHAnsi"/>
                <w:sz w:val="20"/>
                <w:szCs w:val="20"/>
              </w:rPr>
              <w:t>ogólna</w:t>
            </w:r>
          </w:p>
        </w:tc>
        <w:tc>
          <w:tcPr>
            <w:tcW w:w="6095" w:type="dxa"/>
          </w:tcPr>
          <w:p w:rsidR="004B3AEF" w:rsidRPr="00175043" w:rsidRDefault="004B3AEF" w:rsidP="00E95DCE">
            <w:pPr>
              <w:rPr>
                <w:rFonts w:cstheme="minorHAnsi"/>
                <w:sz w:val="20"/>
                <w:szCs w:val="20"/>
              </w:rPr>
            </w:pPr>
            <w:r w:rsidRPr="00175043">
              <w:rPr>
                <w:rFonts w:cstheme="minorHAnsi"/>
                <w:sz w:val="20"/>
                <w:szCs w:val="20"/>
              </w:rPr>
              <w:t>Brak definicji określenia „Wytwórca”.</w:t>
            </w:r>
          </w:p>
        </w:tc>
        <w:tc>
          <w:tcPr>
            <w:tcW w:w="4360" w:type="dxa"/>
          </w:tcPr>
          <w:p w:rsidR="00885A19" w:rsidRPr="00175043" w:rsidRDefault="00885A19" w:rsidP="004B3AEF">
            <w:pPr>
              <w:rPr>
                <w:rFonts w:cstheme="minorHAnsi"/>
                <w:sz w:val="20"/>
                <w:szCs w:val="20"/>
              </w:rPr>
            </w:pPr>
            <w:r w:rsidRPr="00175043">
              <w:rPr>
                <w:rFonts w:cstheme="minorHAnsi"/>
                <w:sz w:val="20"/>
                <w:szCs w:val="20"/>
              </w:rPr>
              <w:t>Wyjaśnienie:</w:t>
            </w:r>
          </w:p>
          <w:p w:rsidR="004B3AEF" w:rsidRPr="00175043" w:rsidRDefault="004B3AEF" w:rsidP="004B3AEF">
            <w:pPr>
              <w:rPr>
                <w:rFonts w:cstheme="minorHAnsi"/>
                <w:sz w:val="20"/>
                <w:szCs w:val="20"/>
              </w:rPr>
            </w:pPr>
            <w:r w:rsidRPr="00175043">
              <w:rPr>
                <w:rFonts w:cstheme="minorHAnsi"/>
                <w:sz w:val="20"/>
                <w:szCs w:val="20"/>
              </w:rPr>
              <w:t xml:space="preserve">Wytwórca dokumentów publicznych został w pośredni sposób zdefiniowany w ustawie o dokumentach publicznych w art. 18. Projektowane rozporządzenie również w pośredni sposób definiuje „wytwórcę” poprzez odesłanie w § 3 do art. 18 ustawy. W ocenie projektodawcy przyjęte rozwiązanie w sposób niebudzący wątpliwości definiuje wytwórcę. Należy przy tym zauważyć, że pojęcie wytwórcy pojawia się zarówno w projektowanym rozporządzeniu jak i w ustawie i to w dwóch znaczeniach (jako Spółka i jako podmiot inny niż Spółka). </w:t>
            </w:r>
            <w:r w:rsidR="003403CE" w:rsidRPr="00175043">
              <w:rPr>
                <w:rFonts w:cstheme="minorHAnsi"/>
                <w:sz w:val="20"/>
                <w:szCs w:val="20"/>
              </w:rPr>
              <w:t xml:space="preserve">Powyższe oznacza, że </w:t>
            </w:r>
            <w:r w:rsidR="00885A19" w:rsidRPr="00175043">
              <w:rPr>
                <w:rFonts w:cstheme="minorHAnsi"/>
                <w:sz w:val="20"/>
                <w:szCs w:val="20"/>
              </w:rPr>
              <w:t xml:space="preserve">definicja wytwórcy powinna raczej znaleźć się w ustawie, co zresztą się stało, choć nie w sposób bezpośredni, a poprzez wyjaśnienie tego terminu w art. 2 ustawy. </w:t>
            </w:r>
          </w:p>
        </w:tc>
      </w:tr>
      <w:tr w:rsidR="00885A19" w:rsidRPr="00175043" w:rsidTr="00D3193D">
        <w:tc>
          <w:tcPr>
            <w:tcW w:w="562" w:type="dxa"/>
          </w:tcPr>
          <w:p w:rsidR="00885A19" w:rsidRPr="00175043" w:rsidRDefault="00D969A5" w:rsidP="00D3193D">
            <w:pPr>
              <w:rPr>
                <w:rFonts w:cstheme="minorHAnsi"/>
                <w:sz w:val="20"/>
                <w:szCs w:val="20"/>
              </w:rPr>
            </w:pPr>
            <w:r w:rsidRPr="00175043">
              <w:rPr>
                <w:rFonts w:cstheme="minorHAnsi"/>
                <w:sz w:val="20"/>
                <w:szCs w:val="20"/>
              </w:rPr>
              <w:t>14</w:t>
            </w:r>
          </w:p>
        </w:tc>
        <w:tc>
          <w:tcPr>
            <w:tcW w:w="1843" w:type="dxa"/>
          </w:tcPr>
          <w:p w:rsidR="00885A19" w:rsidRPr="00175043" w:rsidRDefault="00885A19" w:rsidP="00D3193D">
            <w:pPr>
              <w:rPr>
                <w:rFonts w:cstheme="minorHAnsi"/>
                <w:sz w:val="20"/>
                <w:szCs w:val="20"/>
              </w:rPr>
            </w:pPr>
            <w:r w:rsidRPr="00175043">
              <w:rPr>
                <w:rFonts w:cstheme="minorHAnsi"/>
                <w:sz w:val="20"/>
                <w:szCs w:val="20"/>
              </w:rPr>
              <w:t>MF</w:t>
            </w:r>
          </w:p>
        </w:tc>
        <w:tc>
          <w:tcPr>
            <w:tcW w:w="1134" w:type="dxa"/>
          </w:tcPr>
          <w:p w:rsidR="00885A19" w:rsidRPr="00175043" w:rsidRDefault="00885A19" w:rsidP="00D3193D">
            <w:pPr>
              <w:rPr>
                <w:rFonts w:cstheme="minorHAnsi"/>
                <w:sz w:val="20"/>
                <w:szCs w:val="20"/>
              </w:rPr>
            </w:pPr>
            <w:r w:rsidRPr="00175043">
              <w:rPr>
                <w:rFonts w:cstheme="minorHAnsi"/>
                <w:sz w:val="20"/>
                <w:szCs w:val="20"/>
              </w:rPr>
              <w:t>§ 4</w:t>
            </w:r>
          </w:p>
        </w:tc>
        <w:tc>
          <w:tcPr>
            <w:tcW w:w="6095" w:type="dxa"/>
          </w:tcPr>
          <w:p w:rsidR="00885A19" w:rsidRPr="00175043" w:rsidRDefault="00885A19" w:rsidP="00E95DCE">
            <w:pPr>
              <w:rPr>
                <w:rFonts w:cstheme="minorHAnsi"/>
                <w:sz w:val="20"/>
                <w:szCs w:val="20"/>
              </w:rPr>
            </w:pPr>
            <w:r w:rsidRPr="00175043">
              <w:rPr>
                <w:rFonts w:cstheme="minorHAnsi"/>
                <w:sz w:val="20"/>
                <w:szCs w:val="20"/>
              </w:rPr>
              <w:t xml:space="preserve">Zapis z którego wynika, że wytwórca określa wewnętrzne zasady bezpieczeństwa blankietów, stanowi zbyt daleko idące uprawnienie w dowolności określenia tych zasad. </w:t>
            </w:r>
            <w:r w:rsidR="00DB158D" w:rsidRPr="00175043">
              <w:rPr>
                <w:rFonts w:cstheme="minorHAnsi"/>
                <w:sz w:val="20"/>
                <w:szCs w:val="20"/>
              </w:rPr>
              <w:t>Powinny być one oparte na jednym z systemów zgodnych z polską normą i podlegać certyfikacji.</w:t>
            </w:r>
            <w:bookmarkStart w:id="0" w:name="_GoBack"/>
            <w:bookmarkEnd w:id="0"/>
          </w:p>
        </w:tc>
        <w:tc>
          <w:tcPr>
            <w:tcW w:w="4360" w:type="dxa"/>
          </w:tcPr>
          <w:p w:rsidR="00996501" w:rsidRPr="00175043" w:rsidRDefault="00996501" w:rsidP="004B3AEF">
            <w:pPr>
              <w:rPr>
                <w:rFonts w:cstheme="minorHAnsi"/>
                <w:sz w:val="20"/>
                <w:szCs w:val="20"/>
              </w:rPr>
            </w:pPr>
            <w:r w:rsidRPr="00175043">
              <w:rPr>
                <w:rFonts w:cstheme="minorHAnsi"/>
                <w:sz w:val="20"/>
                <w:szCs w:val="20"/>
              </w:rPr>
              <w:t>Uwaga uwzględniona.</w:t>
            </w:r>
          </w:p>
          <w:p w:rsidR="0094074C" w:rsidRPr="00175043" w:rsidRDefault="00996501" w:rsidP="00187D66">
            <w:pPr>
              <w:rPr>
                <w:rFonts w:cstheme="minorHAnsi"/>
                <w:sz w:val="20"/>
                <w:szCs w:val="20"/>
              </w:rPr>
            </w:pPr>
            <w:r w:rsidRPr="00175043">
              <w:rPr>
                <w:rFonts w:cstheme="minorHAnsi"/>
                <w:sz w:val="20"/>
                <w:szCs w:val="20"/>
              </w:rPr>
              <w:t>§ 4 zostanie usunięty. Rozporządzenie zawiera określenie szczegółowych wymagań dot. bezpieczeńs</w:t>
            </w:r>
            <w:r w:rsidR="00DB7AE1" w:rsidRPr="00175043">
              <w:rPr>
                <w:rFonts w:cstheme="minorHAnsi"/>
                <w:sz w:val="20"/>
                <w:szCs w:val="20"/>
              </w:rPr>
              <w:t xml:space="preserve">twa wytwarzania blankietów (do § 11), w tym wewnętrzne zasady bezpieczeństwa wytwarzania blankietów (od § 12). Zaproponowana pierwotnie konstrukcja miała na celu udzielenie wytwórcom wskazówek co do zawartości wewnętrznych zasad bezpieczeństwa wytwarzania blankietów dokumentów </w:t>
            </w:r>
            <w:r w:rsidR="00DB7AE1" w:rsidRPr="00175043">
              <w:rPr>
                <w:rFonts w:cstheme="minorHAnsi"/>
                <w:sz w:val="20"/>
                <w:szCs w:val="20"/>
              </w:rPr>
              <w:lastRenderedPageBreak/>
              <w:t xml:space="preserve">publicznych, co jednakże mogłoby być odebrane jako wkroczenie poza delegację ustawową z art. 21 ustawy. W zaistniałej sytuacji uznano za zasadne usunięcie § 4 i poprzestanie na samoistnej podstawie zobowiązania wytwórców do opracowania zasad bezpieczeństwa zawartej w art. 19 ust 4 ustawy. </w:t>
            </w:r>
          </w:p>
        </w:tc>
      </w:tr>
      <w:tr w:rsidR="00BB60B3" w:rsidRPr="00175043" w:rsidTr="00D3193D">
        <w:tc>
          <w:tcPr>
            <w:tcW w:w="562" w:type="dxa"/>
          </w:tcPr>
          <w:p w:rsidR="00BB60B3" w:rsidRPr="00175043" w:rsidRDefault="00D969A5" w:rsidP="00D3193D">
            <w:pPr>
              <w:rPr>
                <w:rFonts w:cstheme="minorHAnsi"/>
                <w:sz w:val="20"/>
                <w:szCs w:val="20"/>
              </w:rPr>
            </w:pPr>
            <w:r w:rsidRPr="00175043">
              <w:rPr>
                <w:rFonts w:cstheme="minorHAnsi"/>
                <w:sz w:val="20"/>
                <w:szCs w:val="20"/>
              </w:rPr>
              <w:lastRenderedPageBreak/>
              <w:t>15</w:t>
            </w:r>
          </w:p>
        </w:tc>
        <w:tc>
          <w:tcPr>
            <w:tcW w:w="1843" w:type="dxa"/>
          </w:tcPr>
          <w:p w:rsidR="00BB60B3" w:rsidRPr="00175043" w:rsidRDefault="00BB60B3" w:rsidP="00D3193D">
            <w:pPr>
              <w:rPr>
                <w:rFonts w:cstheme="minorHAnsi"/>
                <w:sz w:val="20"/>
                <w:szCs w:val="20"/>
              </w:rPr>
            </w:pPr>
            <w:r w:rsidRPr="00175043">
              <w:rPr>
                <w:rFonts w:cstheme="minorHAnsi"/>
                <w:sz w:val="20"/>
                <w:szCs w:val="20"/>
              </w:rPr>
              <w:t>MF</w:t>
            </w:r>
          </w:p>
        </w:tc>
        <w:tc>
          <w:tcPr>
            <w:tcW w:w="1134" w:type="dxa"/>
          </w:tcPr>
          <w:p w:rsidR="00BB60B3" w:rsidRPr="00175043" w:rsidRDefault="00BB60B3" w:rsidP="00D3193D">
            <w:pPr>
              <w:rPr>
                <w:rFonts w:cstheme="minorHAnsi"/>
                <w:sz w:val="20"/>
                <w:szCs w:val="20"/>
              </w:rPr>
            </w:pPr>
            <w:r w:rsidRPr="00175043">
              <w:rPr>
                <w:rFonts w:cstheme="minorHAnsi"/>
                <w:sz w:val="20"/>
                <w:szCs w:val="20"/>
              </w:rPr>
              <w:t>§ 4</w:t>
            </w:r>
          </w:p>
        </w:tc>
        <w:tc>
          <w:tcPr>
            <w:tcW w:w="6095" w:type="dxa"/>
          </w:tcPr>
          <w:p w:rsidR="00BB60B3" w:rsidRPr="00175043" w:rsidRDefault="00BB60B3" w:rsidP="00E95DCE">
            <w:pPr>
              <w:rPr>
                <w:rFonts w:cstheme="minorHAnsi"/>
                <w:sz w:val="20"/>
                <w:szCs w:val="20"/>
              </w:rPr>
            </w:pPr>
            <w:r w:rsidRPr="00175043">
              <w:rPr>
                <w:rFonts w:cstheme="minorHAnsi"/>
                <w:sz w:val="20"/>
                <w:szCs w:val="20"/>
              </w:rPr>
              <w:t>Zasadne jest, aby katalog zasad bezpieczeństwa uzupełnić o zasady bezpiecznego transportu wewnętrznego wytworzonych blankietów.</w:t>
            </w:r>
          </w:p>
        </w:tc>
        <w:tc>
          <w:tcPr>
            <w:tcW w:w="4360" w:type="dxa"/>
          </w:tcPr>
          <w:p w:rsidR="00BB60B3" w:rsidRPr="00175043" w:rsidRDefault="00BB60B3" w:rsidP="004B3AEF">
            <w:pPr>
              <w:rPr>
                <w:rFonts w:cstheme="minorHAnsi"/>
                <w:sz w:val="20"/>
                <w:szCs w:val="20"/>
              </w:rPr>
            </w:pPr>
            <w:r w:rsidRPr="00175043">
              <w:rPr>
                <w:rFonts w:cstheme="minorHAnsi"/>
                <w:sz w:val="20"/>
                <w:szCs w:val="20"/>
              </w:rPr>
              <w:t>Uwaga nieuwzględniona.</w:t>
            </w:r>
          </w:p>
          <w:p w:rsidR="00BB60B3" w:rsidRPr="00175043" w:rsidRDefault="00DB7AE1" w:rsidP="00A34BFD">
            <w:pPr>
              <w:rPr>
                <w:rFonts w:cstheme="minorHAnsi"/>
                <w:sz w:val="20"/>
                <w:szCs w:val="20"/>
              </w:rPr>
            </w:pPr>
            <w:r w:rsidRPr="00175043">
              <w:rPr>
                <w:rFonts w:cstheme="minorHAnsi"/>
                <w:sz w:val="20"/>
                <w:szCs w:val="20"/>
              </w:rPr>
              <w:t xml:space="preserve">Na skutek uwag m.in. MF i RCL § 4 został usunięty z treści rozporządzenia. Nie oznacza to jednak, że zasady transportu wewnętrznego zostały całkowicie pominięte. </w:t>
            </w:r>
            <w:r w:rsidR="00BB60B3" w:rsidRPr="00175043">
              <w:rPr>
                <w:rFonts w:cstheme="minorHAnsi"/>
                <w:sz w:val="20"/>
                <w:szCs w:val="20"/>
              </w:rPr>
              <w:t>Omawiane rozporządzenie w sposób wyczerpujący reguluje kwestie przechowywania i rozliczania materiałów i produktów końcowych</w:t>
            </w:r>
            <w:r w:rsidR="00A34BFD" w:rsidRPr="00175043">
              <w:rPr>
                <w:rFonts w:cstheme="minorHAnsi"/>
                <w:sz w:val="20"/>
                <w:szCs w:val="20"/>
              </w:rPr>
              <w:t xml:space="preserve">. Wymaganie dotyczące </w:t>
            </w:r>
            <w:r w:rsidRPr="00175043">
              <w:rPr>
                <w:rFonts w:cstheme="minorHAnsi"/>
                <w:sz w:val="20"/>
                <w:szCs w:val="20"/>
              </w:rPr>
              <w:t>transportu wewnętrznego z kolei</w:t>
            </w:r>
            <w:r w:rsidR="00A34BFD" w:rsidRPr="00175043">
              <w:rPr>
                <w:rFonts w:cstheme="minorHAnsi"/>
                <w:sz w:val="20"/>
                <w:szCs w:val="20"/>
              </w:rPr>
              <w:t xml:space="preserve"> jest – jak zauważa zgłaszający uwagę – w § 18 ust 2 rozporządzenia. W ocenie projektodawcy zasady bezpieczeństwa przewidziane w projekcie zapewniają na każdym etapie pełny nadzór i rozliczalność. Należy przy tym zauważyć, że wymóg transportowania blankietów przez upoważnionego pracownika trzeba powiązać ściśle z wymaganiami związanymi z rozliczeniem blankietów. Tym samym bezpieczeństwo w tym obszarze jest zapewnione. </w:t>
            </w:r>
          </w:p>
        </w:tc>
      </w:tr>
      <w:tr w:rsidR="00A34BFD" w:rsidRPr="00175043" w:rsidTr="00D3193D">
        <w:tc>
          <w:tcPr>
            <w:tcW w:w="562" w:type="dxa"/>
          </w:tcPr>
          <w:p w:rsidR="00A34BFD" w:rsidRPr="00175043" w:rsidRDefault="00D969A5" w:rsidP="00D3193D">
            <w:pPr>
              <w:rPr>
                <w:rFonts w:cstheme="minorHAnsi"/>
                <w:sz w:val="20"/>
                <w:szCs w:val="20"/>
              </w:rPr>
            </w:pPr>
            <w:r w:rsidRPr="00175043">
              <w:rPr>
                <w:rFonts w:cstheme="minorHAnsi"/>
                <w:sz w:val="20"/>
                <w:szCs w:val="20"/>
              </w:rPr>
              <w:t>16</w:t>
            </w:r>
          </w:p>
        </w:tc>
        <w:tc>
          <w:tcPr>
            <w:tcW w:w="1843" w:type="dxa"/>
          </w:tcPr>
          <w:p w:rsidR="00A34BFD" w:rsidRPr="00175043" w:rsidRDefault="00A34BFD" w:rsidP="00D3193D">
            <w:pPr>
              <w:rPr>
                <w:rFonts w:cstheme="minorHAnsi"/>
                <w:sz w:val="20"/>
                <w:szCs w:val="20"/>
              </w:rPr>
            </w:pPr>
            <w:r w:rsidRPr="00175043">
              <w:rPr>
                <w:rFonts w:cstheme="minorHAnsi"/>
                <w:sz w:val="20"/>
                <w:szCs w:val="20"/>
              </w:rPr>
              <w:t>MF</w:t>
            </w:r>
          </w:p>
        </w:tc>
        <w:tc>
          <w:tcPr>
            <w:tcW w:w="1134" w:type="dxa"/>
          </w:tcPr>
          <w:p w:rsidR="00A34BFD" w:rsidRPr="00175043" w:rsidRDefault="00A34BFD" w:rsidP="00D3193D">
            <w:pPr>
              <w:rPr>
                <w:rFonts w:cstheme="minorHAnsi"/>
                <w:sz w:val="20"/>
                <w:szCs w:val="20"/>
              </w:rPr>
            </w:pPr>
            <w:r w:rsidRPr="00175043">
              <w:rPr>
                <w:rFonts w:cstheme="minorHAnsi"/>
                <w:sz w:val="20"/>
                <w:szCs w:val="20"/>
              </w:rPr>
              <w:t>§ 7 i 8</w:t>
            </w:r>
          </w:p>
        </w:tc>
        <w:tc>
          <w:tcPr>
            <w:tcW w:w="6095" w:type="dxa"/>
          </w:tcPr>
          <w:p w:rsidR="00A34BFD" w:rsidRPr="00175043" w:rsidRDefault="00A34BFD" w:rsidP="00E95DCE">
            <w:pPr>
              <w:rPr>
                <w:rFonts w:cstheme="minorHAnsi"/>
                <w:sz w:val="20"/>
                <w:szCs w:val="20"/>
              </w:rPr>
            </w:pPr>
            <w:r w:rsidRPr="00175043">
              <w:rPr>
                <w:rFonts w:cstheme="minorHAnsi"/>
                <w:sz w:val="20"/>
                <w:szCs w:val="20"/>
              </w:rPr>
              <w:t>Należy określić w ilu egzemplarzach jest gromadzona dokumentacja techniczna a także ile egzemplarzy i na jakim etapie wytwórca przekazuje emitentowi.</w:t>
            </w:r>
          </w:p>
        </w:tc>
        <w:tc>
          <w:tcPr>
            <w:tcW w:w="4360" w:type="dxa"/>
          </w:tcPr>
          <w:p w:rsidR="00A34BFD" w:rsidRPr="00175043" w:rsidRDefault="00A34BFD" w:rsidP="004B3AEF">
            <w:pPr>
              <w:rPr>
                <w:rFonts w:cstheme="minorHAnsi"/>
                <w:sz w:val="20"/>
                <w:szCs w:val="20"/>
              </w:rPr>
            </w:pPr>
            <w:r w:rsidRPr="00175043">
              <w:rPr>
                <w:rFonts w:cstheme="minorHAnsi"/>
                <w:sz w:val="20"/>
                <w:szCs w:val="20"/>
              </w:rPr>
              <w:t>Uwaga uwzględniona częściowo.</w:t>
            </w:r>
          </w:p>
          <w:p w:rsidR="00A34BFD" w:rsidRPr="00175043" w:rsidRDefault="00A34BFD" w:rsidP="004B3AEF">
            <w:pPr>
              <w:rPr>
                <w:rFonts w:cstheme="minorHAnsi"/>
                <w:sz w:val="20"/>
                <w:szCs w:val="20"/>
              </w:rPr>
            </w:pPr>
            <w:r w:rsidRPr="00175043">
              <w:rPr>
                <w:rFonts w:cstheme="minorHAnsi"/>
                <w:sz w:val="20"/>
                <w:szCs w:val="20"/>
              </w:rPr>
              <w:t xml:space="preserve">Uwaga uwzględniona w zakresie liczby egzemplarzy dokumentacji technicznej. Wprowadzony zostanie zapis, że dokumentacja ta występuje w 2 egzemplarzach. </w:t>
            </w:r>
          </w:p>
          <w:p w:rsidR="00A34BFD" w:rsidRPr="00175043" w:rsidRDefault="00A34BFD" w:rsidP="004B3AEF">
            <w:pPr>
              <w:rPr>
                <w:rFonts w:cstheme="minorHAnsi"/>
                <w:sz w:val="20"/>
                <w:szCs w:val="20"/>
              </w:rPr>
            </w:pPr>
            <w:r w:rsidRPr="00175043">
              <w:rPr>
                <w:rFonts w:cstheme="minorHAnsi"/>
                <w:sz w:val="20"/>
                <w:szCs w:val="20"/>
              </w:rPr>
              <w:t xml:space="preserve">Uwaga nie została uwzględniona w 2-giej części. W projektowanym rozporządzeniu znajdują się zapisy mówiące o tym kto, komu i na jakim etapie przekazuje dokumentację techniczną. </w:t>
            </w:r>
            <w:r w:rsidR="007553AB" w:rsidRPr="00175043">
              <w:rPr>
                <w:rFonts w:cstheme="minorHAnsi"/>
                <w:sz w:val="20"/>
                <w:szCs w:val="20"/>
              </w:rPr>
              <w:t>Stosowne zapisy znajdują się w § 8 ust 3 i 4.</w:t>
            </w:r>
          </w:p>
        </w:tc>
      </w:tr>
      <w:tr w:rsidR="00AB3379" w:rsidRPr="00175043" w:rsidTr="00D3193D">
        <w:tc>
          <w:tcPr>
            <w:tcW w:w="562" w:type="dxa"/>
          </w:tcPr>
          <w:p w:rsidR="00AB3379" w:rsidRPr="00175043" w:rsidRDefault="00D969A5" w:rsidP="00D3193D">
            <w:pPr>
              <w:rPr>
                <w:rFonts w:cstheme="minorHAnsi"/>
                <w:sz w:val="20"/>
                <w:szCs w:val="20"/>
              </w:rPr>
            </w:pPr>
            <w:r w:rsidRPr="00175043">
              <w:rPr>
                <w:rFonts w:cstheme="minorHAnsi"/>
                <w:sz w:val="20"/>
                <w:szCs w:val="20"/>
              </w:rPr>
              <w:lastRenderedPageBreak/>
              <w:t>17</w:t>
            </w:r>
          </w:p>
        </w:tc>
        <w:tc>
          <w:tcPr>
            <w:tcW w:w="1843" w:type="dxa"/>
          </w:tcPr>
          <w:p w:rsidR="00AB3379" w:rsidRPr="00175043" w:rsidRDefault="00AB3379" w:rsidP="00D3193D">
            <w:pPr>
              <w:rPr>
                <w:rFonts w:cstheme="minorHAnsi"/>
                <w:sz w:val="20"/>
                <w:szCs w:val="20"/>
              </w:rPr>
            </w:pPr>
            <w:r w:rsidRPr="00175043">
              <w:rPr>
                <w:rFonts w:cstheme="minorHAnsi"/>
                <w:sz w:val="20"/>
                <w:szCs w:val="20"/>
              </w:rPr>
              <w:t>MF</w:t>
            </w:r>
          </w:p>
        </w:tc>
        <w:tc>
          <w:tcPr>
            <w:tcW w:w="1134" w:type="dxa"/>
          </w:tcPr>
          <w:p w:rsidR="00AB3379" w:rsidRPr="00175043" w:rsidRDefault="00AB3379" w:rsidP="00D3193D">
            <w:pPr>
              <w:rPr>
                <w:rFonts w:cstheme="minorHAnsi"/>
                <w:sz w:val="20"/>
                <w:szCs w:val="20"/>
              </w:rPr>
            </w:pPr>
            <w:r w:rsidRPr="00175043">
              <w:rPr>
                <w:rFonts w:cstheme="minorHAnsi"/>
                <w:sz w:val="20"/>
                <w:szCs w:val="20"/>
              </w:rPr>
              <w:t>§ 10 ust</w:t>
            </w:r>
            <w:r w:rsidR="00B628B1">
              <w:rPr>
                <w:rFonts w:cstheme="minorHAnsi"/>
                <w:sz w:val="20"/>
                <w:szCs w:val="20"/>
              </w:rPr>
              <w:t>.</w:t>
            </w:r>
            <w:r w:rsidRPr="00175043">
              <w:rPr>
                <w:rFonts w:cstheme="minorHAnsi"/>
                <w:sz w:val="20"/>
                <w:szCs w:val="20"/>
              </w:rPr>
              <w:t xml:space="preserve"> 1 pkt 3</w:t>
            </w:r>
          </w:p>
        </w:tc>
        <w:tc>
          <w:tcPr>
            <w:tcW w:w="6095" w:type="dxa"/>
          </w:tcPr>
          <w:p w:rsidR="00AB3379" w:rsidRPr="00175043" w:rsidRDefault="00AB3379" w:rsidP="00E95DCE">
            <w:pPr>
              <w:rPr>
                <w:rFonts w:cstheme="minorHAnsi"/>
                <w:sz w:val="20"/>
                <w:szCs w:val="20"/>
              </w:rPr>
            </w:pPr>
            <w:r w:rsidRPr="00175043">
              <w:rPr>
                <w:rFonts w:cstheme="minorHAnsi"/>
                <w:sz w:val="20"/>
                <w:szCs w:val="20"/>
              </w:rPr>
              <w:t>Propozycja zapisu: Okna których dolna krawędź znajduje się na wysokości co najmniej 5,5 m nad gruntem lub innym elementem budynku, mogą spełniać wymagania niższe niż określone w pkt 1.</w:t>
            </w:r>
          </w:p>
        </w:tc>
        <w:tc>
          <w:tcPr>
            <w:tcW w:w="4360" w:type="dxa"/>
          </w:tcPr>
          <w:p w:rsidR="00AB3379" w:rsidRPr="00175043" w:rsidRDefault="00AB3379" w:rsidP="004B3AEF">
            <w:pPr>
              <w:rPr>
                <w:rFonts w:cstheme="minorHAnsi"/>
                <w:sz w:val="20"/>
                <w:szCs w:val="20"/>
              </w:rPr>
            </w:pPr>
            <w:r w:rsidRPr="00175043">
              <w:rPr>
                <w:rFonts w:cstheme="minorHAnsi"/>
                <w:sz w:val="20"/>
                <w:szCs w:val="20"/>
              </w:rPr>
              <w:t>Uwaga uwzględniona.</w:t>
            </w:r>
          </w:p>
          <w:p w:rsidR="00175043" w:rsidRPr="00175043" w:rsidRDefault="00175043" w:rsidP="004B3AEF">
            <w:pPr>
              <w:rPr>
                <w:rFonts w:cstheme="minorHAnsi"/>
                <w:sz w:val="20"/>
                <w:szCs w:val="20"/>
              </w:rPr>
            </w:pPr>
            <w:r w:rsidRPr="00175043">
              <w:rPr>
                <w:rFonts w:cstheme="minorHAnsi"/>
                <w:sz w:val="20"/>
                <w:szCs w:val="20"/>
              </w:rPr>
              <w:t xml:space="preserve">Przepis zostanie poprawiony zgodnie ze zgłoszona propozycją. </w:t>
            </w:r>
          </w:p>
        </w:tc>
      </w:tr>
      <w:tr w:rsidR="00AB3379" w:rsidRPr="00175043" w:rsidTr="00D3193D">
        <w:tc>
          <w:tcPr>
            <w:tcW w:w="562" w:type="dxa"/>
          </w:tcPr>
          <w:p w:rsidR="00AB3379" w:rsidRPr="00175043" w:rsidRDefault="00D969A5" w:rsidP="00D3193D">
            <w:pPr>
              <w:rPr>
                <w:rFonts w:cstheme="minorHAnsi"/>
                <w:sz w:val="20"/>
                <w:szCs w:val="20"/>
              </w:rPr>
            </w:pPr>
            <w:r w:rsidRPr="00175043">
              <w:rPr>
                <w:rFonts w:cstheme="minorHAnsi"/>
                <w:sz w:val="20"/>
                <w:szCs w:val="20"/>
              </w:rPr>
              <w:t>18</w:t>
            </w:r>
          </w:p>
        </w:tc>
        <w:tc>
          <w:tcPr>
            <w:tcW w:w="1843" w:type="dxa"/>
          </w:tcPr>
          <w:p w:rsidR="00AB3379" w:rsidRPr="00175043" w:rsidRDefault="00AB3379" w:rsidP="00D3193D">
            <w:pPr>
              <w:rPr>
                <w:rFonts w:cstheme="minorHAnsi"/>
                <w:sz w:val="20"/>
                <w:szCs w:val="20"/>
              </w:rPr>
            </w:pPr>
            <w:r w:rsidRPr="00175043">
              <w:rPr>
                <w:rFonts w:cstheme="minorHAnsi"/>
                <w:sz w:val="20"/>
                <w:szCs w:val="20"/>
              </w:rPr>
              <w:t>MF</w:t>
            </w:r>
          </w:p>
        </w:tc>
        <w:tc>
          <w:tcPr>
            <w:tcW w:w="1134" w:type="dxa"/>
          </w:tcPr>
          <w:p w:rsidR="00AB3379" w:rsidRPr="00175043" w:rsidRDefault="00AB3379" w:rsidP="00B628B1">
            <w:pPr>
              <w:rPr>
                <w:rFonts w:cstheme="minorHAnsi"/>
                <w:sz w:val="20"/>
                <w:szCs w:val="20"/>
              </w:rPr>
            </w:pPr>
            <w:r w:rsidRPr="00175043">
              <w:rPr>
                <w:rFonts w:cstheme="minorHAnsi"/>
                <w:sz w:val="20"/>
                <w:szCs w:val="20"/>
              </w:rPr>
              <w:t>§ 18 us</w:t>
            </w:r>
            <w:r w:rsidR="00B628B1">
              <w:rPr>
                <w:rFonts w:cstheme="minorHAnsi"/>
                <w:sz w:val="20"/>
                <w:szCs w:val="20"/>
              </w:rPr>
              <w:t>t.</w:t>
            </w:r>
            <w:r w:rsidRPr="00175043">
              <w:rPr>
                <w:rFonts w:cstheme="minorHAnsi"/>
                <w:sz w:val="20"/>
                <w:szCs w:val="20"/>
              </w:rPr>
              <w:t xml:space="preserve"> 2</w:t>
            </w:r>
          </w:p>
        </w:tc>
        <w:tc>
          <w:tcPr>
            <w:tcW w:w="6095" w:type="dxa"/>
          </w:tcPr>
          <w:p w:rsidR="00AB3379" w:rsidRPr="00175043" w:rsidRDefault="00AB3379" w:rsidP="00E95DCE">
            <w:pPr>
              <w:rPr>
                <w:rFonts w:cstheme="minorHAnsi"/>
                <w:sz w:val="20"/>
                <w:szCs w:val="20"/>
              </w:rPr>
            </w:pPr>
            <w:r w:rsidRPr="00175043">
              <w:rPr>
                <w:rFonts w:cstheme="minorHAnsi"/>
                <w:sz w:val="20"/>
                <w:szCs w:val="20"/>
              </w:rPr>
              <w:t xml:space="preserve">Propozycja zapisu: transport wewnętrzny wytworzonych blankietów dokumentów publicznych odbywa się zgodnie z zasadami bezpieczeństwa, o których mowa w § 4 ust 1, przez pracownika imiennie upoważnionego przez wytwórcę do tej czynności. </w:t>
            </w:r>
          </w:p>
        </w:tc>
        <w:tc>
          <w:tcPr>
            <w:tcW w:w="4360" w:type="dxa"/>
          </w:tcPr>
          <w:p w:rsidR="00AB3379" w:rsidRPr="00175043" w:rsidRDefault="00AB3379" w:rsidP="004B3AEF">
            <w:pPr>
              <w:rPr>
                <w:rFonts w:cstheme="minorHAnsi"/>
                <w:sz w:val="20"/>
                <w:szCs w:val="20"/>
              </w:rPr>
            </w:pPr>
            <w:r w:rsidRPr="00175043">
              <w:rPr>
                <w:rFonts w:cstheme="minorHAnsi"/>
                <w:sz w:val="20"/>
                <w:szCs w:val="20"/>
              </w:rPr>
              <w:t>Uwaga nieuwzględniona.</w:t>
            </w:r>
          </w:p>
          <w:p w:rsidR="00AB3379" w:rsidRPr="00175043" w:rsidRDefault="00175043" w:rsidP="004B3AEF">
            <w:pPr>
              <w:rPr>
                <w:rFonts w:cstheme="minorHAnsi"/>
                <w:sz w:val="20"/>
                <w:szCs w:val="20"/>
              </w:rPr>
            </w:pPr>
            <w:r w:rsidRPr="00175043">
              <w:rPr>
                <w:rFonts w:cstheme="minorHAnsi"/>
                <w:sz w:val="20"/>
                <w:szCs w:val="20"/>
              </w:rPr>
              <w:t xml:space="preserve">Na skutek uwagi m.in. MF i RCL § 4 został usunięty. Z tego względu nie ma możliwości realizacji zgłoszonej uwagi. </w:t>
            </w:r>
          </w:p>
        </w:tc>
      </w:tr>
      <w:tr w:rsidR="000B70C0" w:rsidRPr="00175043" w:rsidTr="00D3193D">
        <w:tc>
          <w:tcPr>
            <w:tcW w:w="562" w:type="dxa"/>
          </w:tcPr>
          <w:p w:rsidR="000B70C0" w:rsidRPr="00175043" w:rsidRDefault="00D969A5" w:rsidP="00D3193D">
            <w:pPr>
              <w:rPr>
                <w:rFonts w:cstheme="minorHAnsi"/>
                <w:sz w:val="20"/>
                <w:szCs w:val="20"/>
              </w:rPr>
            </w:pPr>
            <w:r w:rsidRPr="00175043">
              <w:rPr>
                <w:rFonts w:cstheme="minorHAnsi"/>
                <w:sz w:val="20"/>
                <w:szCs w:val="20"/>
              </w:rPr>
              <w:t>19</w:t>
            </w:r>
          </w:p>
        </w:tc>
        <w:tc>
          <w:tcPr>
            <w:tcW w:w="1843" w:type="dxa"/>
          </w:tcPr>
          <w:p w:rsidR="000B70C0" w:rsidRPr="00175043" w:rsidRDefault="000B70C0" w:rsidP="00D3193D">
            <w:pPr>
              <w:rPr>
                <w:rFonts w:cstheme="minorHAnsi"/>
                <w:sz w:val="20"/>
                <w:szCs w:val="20"/>
              </w:rPr>
            </w:pPr>
            <w:r w:rsidRPr="00175043">
              <w:rPr>
                <w:rFonts w:cstheme="minorHAnsi"/>
                <w:sz w:val="20"/>
                <w:szCs w:val="20"/>
              </w:rPr>
              <w:t>MSZ</w:t>
            </w:r>
          </w:p>
        </w:tc>
        <w:tc>
          <w:tcPr>
            <w:tcW w:w="1134" w:type="dxa"/>
          </w:tcPr>
          <w:p w:rsidR="000B70C0" w:rsidRPr="00175043" w:rsidRDefault="000B70C0" w:rsidP="00D3193D">
            <w:pPr>
              <w:rPr>
                <w:rFonts w:cstheme="minorHAnsi"/>
                <w:sz w:val="20"/>
                <w:szCs w:val="20"/>
              </w:rPr>
            </w:pPr>
            <w:r w:rsidRPr="00175043">
              <w:rPr>
                <w:rFonts w:cstheme="minorHAnsi"/>
                <w:sz w:val="20"/>
                <w:szCs w:val="20"/>
              </w:rPr>
              <w:t>ogólna</w:t>
            </w:r>
          </w:p>
        </w:tc>
        <w:tc>
          <w:tcPr>
            <w:tcW w:w="6095" w:type="dxa"/>
          </w:tcPr>
          <w:p w:rsidR="000B70C0" w:rsidRPr="00175043" w:rsidRDefault="000B70C0" w:rsidP="000B70C0">
            <w:pPr>
              <w:rPr>
                <w:rFonts w:cstheme="minorHAnsi"/>
                <w:sz w:val="20"/>
                <w:szCs w:val="20"/>
              </w:rPr>
            </w:pPr>
            <w:r w:rsidRPr="00175043">
              <w:rPr>
                <w:rFonts w:cstheme="minorHAnsi"/>
                <w:sz w:val="20"/>
                <w:szCs w:val="20"/>
              </w:rPr>
              <w:t xml:space="preserve">Konieczne jest uzupełnienie tytułu projektowanego rozporządzenia o odnośnik informujący o notyfikacji zgodnie z § 13a rozporządzenia RM z 23.12.2002 w sprawie sposobu funkcjonowania krajowego systemu notyfikacji aktów prawnych. </w:t>
            </w:r>
          </w:p>
        </w:tc>
        <w:tc>
          <w:tcPr>
            <w:tcW w:w="4360" w:type="dxa"/>
          </w:tcPr>
          <w:p w:rsidR="000B70C0" w:rsidRPr="00175043" w:rsidRDefault="00A31BD3" w:rsidP="004B3AEF">
            <w:pPr>
              <w:rPr>
                <w:rFonts w:cstheme="minorHAnsi"/>
                <w:sz w:val="20"/>
                <w:szCs w:val="20"/>
              </w:rPr>
            </w:pPr>
            <w:r w:rsidRPr="00175043">
              <w:rPr>
                <w:rFonts w:cstheme="minorHAnsi"/>
                <w:sz w:val="20"/>
                <w:szCs w:val="20"/>
              </w:rPr>
              <w:t>Wyjaśnienie.</w:t>
            </w:r>
          </w:p>
          <w:p w:rsidR="00A31BD3" w:rsidRPr="00175043" w:rsidRDefault="00A31BD3" w:rsidP="00F03443">
            <w:pPr>
              <w:rPr>
                <w:rFonts w:cstheme="minorHAnsi"/>
                <w:sz w:val="20"/>
                <w:szCs w:val="20"/>
              </w:rPr>
            </w:pPr>
            <w:r w:rsidRPr="00175043">
              <w:rPr>
                <w:rFonts w:cstheme="minorHAnsi"/>
                <w:sz w:val="20"/>
                <w:szCs w:val="20"/>
              </w:rPr>
              <w:t xml:space="preserve">Zgodnie ze wskazanym przepisem </w:t>
            </w:r>
            <w:r w:rsidR="00F03443" w:rsidRPr="00175043">
              <w:rPr>
                <w:rFonts w:cstheme="minorHAnsi"/>
                <w:sz w:val="20"/>
                <w:szCs w:val="20"/>
              </w:rPr>
              <w:t xml:space="preserve">informacja o notyfikacji powinna być zamieszczona przy </w:t>
            </w:r>
            <w:r w:rsidRPr="00175043">
              <w:rPr>
                <w:rFonts w:cstheme="minorHAnsi"/>
                <w:sz w:val="20"/>
                <w:szCs w:val="20"/>
              </w:rPr>
              <w:t>ogłaszaniu aktu prawnego za</w:t>
            </w:r>
            <w:r w:rsidR="00F03443" w:rsidRPr="00175043">
              <w:rPr>
                <w:rFonts w:cstheme="minorHAnsi"/>
                <w:sz w:val="20"/>
                <w:szCs w:val="20"/>
              </w:rPr>
              <w:t>wierającego przepisy techniczne. Tym samym na obecnym etapie zamieszczanie takiej informacji w akcie prawnym uznać należy za przedwczesne. Nie bez znaczenia pozostaje ró</w:t>
            </w:r>
            <w:r w:rsidR="005B0240" w:rsidRPr="00175043">
              <w:rPr>
                <w:rFonts w:cstheme="minorHAnsi"/>
                <w:sz w:val="20"/>
                <w:szCs w:val="20"/>
              </w:rPr>
              <w:t>wnież fakt, że przepisy Rozporządzenia Prezesa Rady Ministrów w sprawie „Zasad techniki prawodawczej” z dnia 20 czerwca 2002 r. (Dz.U. Nr 100, poz. 908) precyzyjnie regulują zasady stosowania odnośników w aktach prawnych. Z tego względu wątpliwości budzi zamieszczanie odnośnika do tytułu projektowanego rozporządzenia.</w:t>
            </w:r>
          </w:p>
        </w:tc>
      </w:tr>
      <w:tr w:rsidR="00F1724C" w:rsidRPr="00175043" w:rsidTr="00D3193D">
        <w:tc>
          <w:tcPr>
            <w:tcW w:w="562" w:type="dxa"/>
          </w:tcPr>
          <w:p w:rsidR="00F1724C" w:rsidRPr="00175043" w:rsidRDefault="00D969A5" w:rsidP="00D3193D">
            <w:pPr>
              <w:rPr>
                <w:rFonts w:cstheme="minorHAnsi"/>
                <w:sz w:val="20"/>
                <w:szCs w:val="20"/>
              </w:rPr>
            </w:pPr>
            <w:r w:rsidRPr="00175043">
              <w:rPr>
                <w:rFonts w:cstheme="minorHAnsi"/>
                <w:sz w:val="20"/>
                <w:szCs w:val="20"/>
              </w:rPr>
              <w:t>20</w:t>
            </w:r>
          </w:p>
        </w:tc>
        <w:tc>
          <w:tcPr>
            <w:tcW w:w="1843" w:type="dxa"/>
          </w:tcPr>
          <w:p w:rsidR="00F1724C" w:rsidRPr="00175043" w:rsidRDefault="00F1724C" w:rsidP="00D3193D">
            <w:pPr>
              <w:rPr>
                <w:rFonts w:cstheme="minorHAnsi"/>
                <w:sz w:val="20"/>
                <w:szCs w:val="20"/>
              </w:rPr>
            </w:pPr>
            <w:proofErr w:type="spellStart"/>
            <w:r w:rsidRPr="00175043">
              <w:rPr>
                <w:rFonts w:cstheme="minorHAnsi"/>
                <w:sz w:val="20"/>
                <w:szCs w:val="20"/>
              </w:rPr>
              <w:t>Samindruk</w:t>
            </w:r>
            <w:proofErr w:type="spellEnd"/>
            <w:r w:rsidRPr="00175043">
              <w:rPr>
                <w:rFonts w:cstheme="minorHAnsi"/>
                <w:sz w:val="20"/>
                <w:szCs w:val="20"/>
              </w:rPr>
              <w:t xml:space="preserve"> </w:t>
            </w:r>
            <w:proofErr w:type="spellStart"/>
            <w:r w:rsidRPr="00175043">
              <w:rPr>
                <w:rFonts w:cstheme="minorHAnsi"/>
                <w:sz w:val="20"/>
                <w:szCs w:val="20"/>
              </w:rPr>
              <w:t>Sp</w:t>
            </w:r>
            <w:proofErr w:type="spellEnd"/>
            <w:r w:rsidRPr="00175043">
              <w:rPr>
                <w:rFonts w:cstheme="minorHAnsi"/>
                <w:sz w:val="20"/>
                <w:szCs w:val="20"/>
              </w:rPr>
              <w:t xml:space="preserve"> z o.o.</w:t>
            </w:r>
          </w:p>
        </w:tc>
        <w:tc>
          <w:tcPr>
            <w:tcW w:w="1134" w:type="dxa"/>
          </w:tcPr>
          <w:p w:rsidR="00F1724C" w:rsidRPr="00175043" w:rsidRDefault="00F1724C" w:rsidP="00D3193D">
            <w:pPr>
              <w:rPr>
                <w:rFonts w:cstheme="minorHAnsi"/>
                <w:sz w:val="20"/>
                <w:szCs w:val="20"/>
              </w:rPr>
            </w:pPr>
            <w:r w:rsidRPr="00175043">
              <w:rPr>
                <w:rFonts w:cstheme="minorHAnsi"/>
                <w:sz w:val="20"/>
                <w:szCs w:val="20"/>
              </w:rPr>
              <w:t>§ 7 pkt 2 lit</w:t>
            </w:r>
            <w:r w:rsidR="00B628B1">
              <w:rPr>
                <w:rFonts w:cstheme="minorHAnsi"/>
                <w:sz w:val="20"/>
                <w:szCs w:val="20"/>
              </w:rPr>
              <w:t>.</w:t>
            </w:r>
            <w:r w:rsidRPr="00175043">
              <w:rPr>
                <w:rFonts w:cstheme="minorHAnsi"/>
                <w:sz w:val="20"/>
                <w:szCs w:val="20"/>
              </w:rPr>
              <w:t xml:space="preserve"> c</w:t>
            </w:r>
          </w:p>
        </w:tc>
        <w:tc>
          <w:tcPr>
            <w:tcW w:w="6095" w:type="dxa"/>
          </w:tcPr>
          <w:p w:rsidR="00F1724C" w:rsidRPr="00175043" w:rsidRDefault="00126859" w:rsidP="000B70C0">
            <w:pPr>
              <w:rPr>
                <w:rFonts w:cstheme="minorHAnsi"/>
                <w:sz w:val="20"/>
                <w:szCs w:val="20"/>
              </w:rPr>
            </w:pPr>
            <w:r w:rsidRPr="00175043">
              <w:rPr>
                <w:rFonts w:cstheme="minorHAnsi"/>
                <w:sz w:val="20"/>
                <w:szCs w:val="20"/>
              </w:rPr>
              <w:t>Proponujemy dodanie po słowach z „określoną gramaturą farby +/- 10%)” – gdyż jest to bardzo trudno wymierzalna wartość.</w:t>
            </w:r>
          </w:p>
        </w:tc>
        <w:tc>
          <w:tcPr>
            <w:tcW w:w="4360" w:type="dxa"/>
          </w:tcPr>
          <w:p w:rsidR="00F1724C" w:rsidRPr="00175043" w:rsidRDefault="00FC18D9" w:rsidP="004B3AEF">
            <w:pPr>
              <w:rPr>
                <w:rFonts w:cstheme="minorHAnsi"/>
                <w:sz w:val="20"/>
                <w:szCs w:val="20"/>
              </w:rPr>
            </w:pPr>
            <w:r>
              <w:rPr>
                <w:rFonts w:cstheme="minorHAnsi"/>
                <w:sz w:val="20"/>
                <w:szCs w:val="20"/>
              </w:rPr>
              <w:t>Uwaga u</w:t>
            </w:r>
            <w:r w:rsidR="00126859" w:rsidRPr="00175043">
              <w:rPr>
                <w:rFonts w:cstheme="minorHAnsi"/>
                <w:sz w:val="20"/>
                <w:szCs w:val="20"/>
              </w:rPr>
              <w:t>względniona</w:t>
            </w:r>
            <w:r>
              <w:rPr>
                <w:rFonts w:cstheme="minorHAnsi"/>
                <w:sz w:val="20"/>
                <w:szCs w:val="20"/>
              </w:rPr>
              <w:t xml:space="preserve"> częściowo</w:t>
            </w:r>
            <w:r w:rsidR="00126859" w:rsidRPr="00175043">
              <w:rPr>
                <w:rFonts w:cstheme="minorHAnsi"/>
                <w:sz w:val="20"/>
                <w:szCs w:val="20"/>
              </w:rPr>
              <w:t>.</w:t>
            </w:r>
          </w:p>
          <w:p w:rsidR="00126859" w:rsidRPr="00175043" w:rsidRDefault="00126859" w:rsidP="004B3AEF">
            <w:pPr>
              <w:rPr>
                <w:rFonts w:cstheme="minorHAnsi"/>
                <w:sz w:val="20"/>
                <w:szCs w:val="20"/>
              </w:rPr>
            </w:pPr>
            <w:r w:rsidRPr="00175043">
              <w:rPr>
                <w:rFonts w:cstheme="minorHAnsi"/>
                <w:sz w:val="20"/>
                <w:szCs w:val="20"/>
              </w:rPr>
              <w:t>Treść przepisu zostanie zmodyfikowana na skutek uwagi ABW. Nowa treść przepisu: „wykaz farb wykorzystanych do wytworzenia blankietu dokumentu publicznego, wraz z  załączonymi wydrukami o pokryciu 100% (z określonymi parametrami farby i podłoża) oraz z określonymi właściwościami specjalnymi poszczególnych farb”. Powyższe powinno wykluczyć ewentualne wątpliwości dotyczące farb.</w:t>
            </w:r>
          </w:p>
        </w:tc>
      </w:tr>
      <w:tr w:rsidR="00126859" w:rsidRPr="00175043" w:rsidTr="00D3193D">
        <w:tc>
          <w:tcPr>
            <w:tcW w:w="562" w:type="dxa"/>
          </w:tcPr>
          <w:p w:rsidR="00126859" w:rsidRPr="00175043" w:rsidRDefault="00D969A5" w:rsidP="00D3193D">
            <w:pPr>
              <w:rPr>
                <w:rFonts w:cstheme="minorHAnsi"/>
                <w:sz w:val="20"/>
                <w:szCs w:val="20"/>
              </w:rPr>
            </w:pPr>
            <w:r w:rsidRPr="00175043">
              <w:rPr>
                <w:rFonts w:cstheme="minorHAnsi"/>
                <w:sz w:val="20"/>
                <w:szCs w:val="20"/>
              </w:rPr>
              <w:t>21</w:t>
            </w:r>
          </w:p>
        </w:tc>
        <w:tc>
          <w:tcPr>
            <w:tcW w:w="1843" w:type="dxa"/>
          </w:tcPr>
          <w:p w:rsidR="00126859" w:rsidRPr="00175043" w:rsidRDefault="00126859" w:rsidP="00D3193D">
            <w:pPr>
              <w:rPr>
                <w:rFonts w:cstheme="minorHAnsi"/>
                <w:sz w:val="20"/>
                <w:szCs w:val="20"/>
              </w:rPr>
            </w:pPr>
            <w:proofErr w:type="spellStart"/>
            <w:r w:rsidRPr="00175043">
              <w:rPr>
                <w:rFonts w:cstheme="minorHAnsi"/>
                <w:sz w:val="20"/>
                <w:szCs w:val="20"/>
              </w:rPr>
              <w:t>Samindruk</w:t>
            </w:r>
            <w:proofErr w:type="spellEnd"/>
            <w:r w:rsidRPr="00175043">
              <w:rPr>
                <w:rFonts w:cstheme="minorHAnsi"/>
                <w:sz w:val="20"/>
                <w:szCs w:val="20"/>
              </w:rPr>
              <w:t xml:space="preserve"> </w:t>
            </w:r>
            <w:proofErr w:type="spellStart"/>
            <w:r w:rsidRPr="00175043">
              <w:rPr>
                <w:rFonts w:cstheme="minorHAnsi"/>
                <w:sz w:val="20"/>
                <w:szCs w:val="20"/>
              </w:rPr>
              <w:t>Sp</w:t>
            </w:r>
            <w:proofErr w:type="spellEnd"/>
            <w:r w:rsidRPr="00175043">
              <w:rPr>
                <w:rFonts w:cstheme="minorHAnsi"/>
                <w:sz w:val="20"/>
                <w:szCs w:val="20"/>
              </w:rPr>
              <w:t xml:space="preserve"> z o.o.</w:t>
            </w:r>
          </w:p>
        </w:tc>
        <w:tc>
          <w:tcPr>
            <w:tcW w:w="1134" w:type="dxa"/>
          </w:tcPr>
          <w:p w:rsidR="00126859" w:rsidRPr="00175043" w:rsidRDefault="00126859" w:rsidP="00D3193D">
            <w:pPr>
              <w:rPr>
                <w:rFonts w:cstheme="minorHAnsi"/>
                <w:sz w:val="20"/>
                <w:szCs w:val="20"/>
              </w:rPr>
            </w:pPr>
            <w:r w:rsidRPr="00175043">
              <w:rPr>
                <w:rFonts w:cstheme="minorHAnsi"/>
                <w:sz w:val="20"/>
                <w:szCs w:val="20"/>
              </w:rPr>
              <w:t>§ 16</w:t>
            </w:r>
          </w:p>
        </w:tc>
        <w:tc>
          <w:tcPr>
            <w:tcW w:w="6095" w:type="dxa"/>
          </w:tcPr>
          <w:p w:rsidR="00126859" w:rsidRPr="00175043" w:rsidRDefault="00126859" w:rsidP="000B70C0">
            <w:pPr>
              <w:rPr>
                <w:rFonts w:cstheme="minorHAnsi"/>
                <w:sz w:val="20"/>
                <w:szCs w:val="20"/>
              </w:rPr>
            </w:pPr>
            <w:r w:rsidRPr="00175043">
              <w:rPr>
                <w:rFonts w:cstheme="minorHAnsi"/>
                <w:sz w:val="20"/>
                <w:szCs w:val="20"/>
              </w:rPr>
              <w:t>Proponujemy zamiast „co najmniej raz w tygodniu” dostosowanie sporządzania zestawień pobranych i zużytych materiałów do kolejnych etapów produkcji.</w:t>
            </w:r>
          </w:p>
        </w:tc>
        <w:tc>
          <w:tcPr>
            <w:tcW w:w="4360" w:type="dxa"/>
          </w:tcPr>
          <w:p w:rsidR="00126859" w:rsidRPr="00175043" w:rsidRDefault="00126859" w:rsidP="004B3AEF">
            <w:pPr>
              <w:rPr>
                <w:rFonts w:cstheme="minorHAnsi"/>
                <w:sz w:val="20"/>
                <w:szCs w:val="20"/>
              </w:rPr>
            </w:pPr>
            <w:r w:rsidRPr="00175043">
              <w:rPr>
                <w:rFonts w:cstheme="minorHAnsi"/>
                <w:sz w:val="20"/>
                <w:szCs w:val="20"/>
              </w:rPr>
              <w:t>Uwaga nieuwzględniona.</w:t>
            </w:r>
          </w:p>
          <w:p w:rsidR="00126859" w:rsidRPr="00175043" w:rsidRDefault="00126859" w:rsidP="00F145EE">
            <w:pPr>
              <w:rPr>
                <w:rFonts w:cstheme="minorHAnsi"/>
                <w:sz w:val="20"/>
                <w:szCs w:val="20"/>
              </w:rPr>
            </w:pPr>
            <w:r w:rsidRPr="00175043">
              <w:rPr>
                <w:rFonts w:cstheme="minorHAnsi"/>
                <w:sz w:val="20"/>
                <w:szCs w:val="20"/>
              </w:rPr>
              <w:t xml:space="preserve">Nie jest jasne co należy rozumieć przez „kolejny </w:t>
            </w:r>
            <w:r w:rsidR="00F145EE" w:rsidRPr="00175043">
              <w:rPr>
                <w:rFonts w:cstheme="minorHAnsi"/>
                <w:sz w:val="20"/>
                <w:szCs w:val="20"/>
              </w:rPr>
              <w:t xml:space="preserve">etap produkcji”. Taki termin nie został zdefiniowany ani w ustawie ani w rozporządzeniu i </w:t>
            </w:r>
            <w:r w:rsidR="00F145EE" w:rsidRPr="00175043">
              <w:rPr>
                <w:rFonts w:cstheme="minorHAnsi"/>
                <w:sz w:val="20"/>
                <w:szCs w:val="20"/>
              </w:rPr>
              <w:lastRenderedPageBreak/>
              <w:t xml:space="preserve">w ocenie projektodawcy byłby problem ze skonstruowaniem takiej definicji. Rozporządzenie posługuje się terminem „dzienna produkcja”. Wydaje się, że jeżeli to określenie miałoby wyznaczać termin rozliczenia materiałów, o których mowa w § 16 to stanowić by to mogło zbyt duże i nieuzasadnione obciążenie wytwórców. W ocenie projektodawcy termin tygodniowy jest optymalny z uwzględnieniem procesów produkcji. Nie będzie stanowił również nadmiernego obciążenia wytwórców. </w:t>
            </w:r>
          </w:p>
        </w:tc>
      </w:tr>
      <w:tr w:rsidR="005E5A6C" w:rsidRPr="00175043" w:rsidTr="00D3193D">
        <w:tc>
          <w:tcPr>
            <w:tcW w:w="562" w:type="dxa"/>
          </w:tcPr>
          <w:p w:rsidR="005E5A6C" w:rsidRPr="00175043" w:rsidRDefault="00D969A5" w:rsidP="00D3193D">
            <w:pPr>
              <w:rPr>
                <w:rFonts w:cstheme="minorHAnsi"/>
                <w:sz w:val="20"/>
                <w:szCs w:val="20"/>
              </w:rPr>
            </w:pPr>
            <w:r w:rsidRPr="00175043">
              <w:rPr>
                <w:rFonts w:cstheme="minorHAnsi"/>
                <w:sz w:val="20"/>
                <w:szCs w:val="20"/>
              </w:rPr>
              <w:lastRenderedPageBreak/>
              <w:t>22</w:t>
            </w:r>
          </w:p>
        </w:tc>
        <w:tc>
          <w:tcPr>
            <w:tcW w:w="1843" w:type="dxa"/>
          </w:tcPr>
          <w:p w:rsidR="005E5A6C" w:rsidRPr="00175043" w:rsidRDefault="005E5A6C" w:rsidP="00D3193D">
            <w:pPr>
              <w:rPr>
                <w:rFonts w:cstheme="minorHAnsi"/>
                <w:sz w:val="20"/>
                <w:szCs w:val="20"/>
              </w:rPr>
            </w:pPr>
            <w:proofErr w:type="spellStart"/>
            <w:r w:rsidRPr="00175043">
              <w:rPr>
                <w:rFonts w:cstheme="minorHAnsi"/>
                <w:sz w:val="20"/>
                <w:szCs w:val="20"/>
              </w:rPr>
              <w:t>Samindruk</w:t>
            </w:r>
            <w:proofErr w:type="spellEnd"/>
            <w:r w:rsidRPr="00175043">
              <w:rPr>
                <w:rFonts w:cstheme="minorHAnsi"/>
                <w:sz w:val="20"/>
                <w:szCs w:val="20"/>
              </w:rPr>
              <w:t xml:space="preserve"> </w:t>
            </w:r>
            <w:proofErr w:type="spellStart"/>
            <w:r w:rsidRPr="00175043">
              <w:rPr>
                <w:rFonts w:cstheme="minorHAnsi"/>
                <w:sz w:val="20"/>
                <w:szCs w:val="20"/>
              </w:rPr>
              <w:t>Sp</w:t>
            </w:r>
            <w:proofErr w:type="spellEnd"/>
            <w:r w:rsidRPr="00175043">
              <w:rPr>
                <w:rFonts w:cstheme="minorHAnsi"/>
                <w:sz w:val="20"/>
                <w:szCs w:val="20"/>
              </w:rPr>
              <w:t xml:space="preserve"> z o.o.</w:t>
            </w:r>
          </w:p>
        </w:tc>
        <w:tc>
          <w:tcPr>
            <w:tcW w:w="1134" w:type="dxa"/>
          </w:tcPr>
          <w:p w:rsidR="005E5A6C" w:rsidRPr="00175043" w:rsidRDefault="005E5A6C" w:rsidP="00D3193D">
            <w:pPr>
              <w:rPr>
                <w:rFonts w:cstheme="minorHAnsi"/>
                <w:sz w:val="20"/>
                <w:szCs w:val="20"/>
              </w:rPr>
            </w:pPr>
            <w:r w:rsidRPr="00175043">
              <w:rPr>
                <w:rFonts w:cstheme="minorHAnsi"/>
                <w:sz w:val="20"/>
                <w:szCs w:val="20"/>
              </w:rPr>
              <w:t>ogólna</w:t>
            </w:r>
          </w:p>
        </w:tc>
        <w:tc>
          <w:tcPr>
            <w:tcW w:w="6095" w:type="dxa"/>
          </w:tcPr>
          <w:p w:rsidR="005E5A6C" w:rsidRPr="00175043" w:rsidRDefault="005E5A6C" w:rsidP="000B70C0">
            <w:pPr>
              <w:rPr>
                <w:rFonts w:cstheme="minorHAnsi"/>
                <w:sz w:val="20"/>
                <w:szCs w:val="20"/>
              </w:rPr>
            </w:pPr>
            <w:r w:rsidRPr="00175043">
              <w:rPr>
                <w:rFonts w:cstheme="minorHAnsi"/>
                <w:sz w:val="20"/>
                <w:szCs w:val="20"/>
              </w:rPr>
              <w:t>Przy okazji chcielibyśmy wyrazić opinię odnośnie podziału dokumentów publicznych, gdyż naszym zdaniem istnieje uzasadnione przekonanie, aby dokumenty wymienione w Ustawie z dnia 22 listopada 2018 w Rozdziale 2. Art. 5.2. 10, 11,12, 13 i 14 mogły zostać przesunięte do dalszych kategorii i udostępnione zwiększonemu gronu wykonawców.</w:t>
            </w:r>
          </w:p>
        </w:tc>
        <w:tc>
          <w:tcPr>
            <w:tcW w:w="4360" w:type="dxa"/>
          </w:tcPr>
          <w:p w:rsidR="005E5A6C" w:rsidRPr="00175043" w:rsidRDefault="005E5A6C" w:rsidP="004B3AEF">
            <w:pPr>
              <w:rPr>
                <w:rFonts w:cstheme="minorHAnsi"/>
                <w:sz w:val="20"/>
                <w:szCs w:val="20"/>
              </w:rPr>
            </w:pPr>
            <w:r w:rsidRPr="00175043">
              <w:rPr>
                <w:rFonts w:cstheme="minorHAnsi"/>
                <w:sz w:val="20"/>
                <w:szCs w:val="20"/>
              </w:rPr>
              <w:t>Uwaga nieuwzględniona.</w:t>
            </w:r>
          </w:p>
          <w:p w:rsidR="005E5A6C" w:rsidRPr="00175043" w:rsidRDefault="005E5A6C" w:rsidP="004B3AEF">
            <w:pPr>
              <w:rPr>
                <w:rFonts w:cstheme="minorHAnsi"/>
                <w:sz w:val="20"/>
                <w:szCs w:val="20"/>
              </w:rPr>
            </w:pPr>
            <w:r w:rsidRPr="00175043">
              <w:rPr>
                <w:rFonts w:cstheme="minorHAnsi"/>
                <w:sz w:val="20"/>
                <w:szCs w:val="20"/>
              </w:rPr>
              <w:t xml:space="preserve">Zgłoszona uwaga wykracza poza zakres regulacji rozporządzenia. </w:t>
            </w:r>
          </w:p>
        </w:tc>
      </w:tr>
      <w:tr w:rsidR="009108C0" w:rsidRPr="00175043" w:rsidTr="00D3193D">
        <w:tc>
          <w:tcPr>
            <w:tcW w:w="562" w:type="dxa"/>
          </w:tcPr>
          <w:p w:rsidR="009108C0" w:rsidRPr="00175043" w:rsidRDefault="00D969A5" w:rsidP="00D3193D">
            <w:pPr>
              <w:rPr>
                <w:rFonts w:cstheme="minorHAnsi"/>
                <w:sz w:val="20"/>
                <w:szCs w:val="20"/>
              </w:rPr>
            </w:pPr>
            <w:r w:rsidRPr="00175043">
              <w:rPr>
                <w:rFonts w:cstheme="minorHAnsi"/>
                <w:sz w:val="20"/>
                <w:szCs w:val="20"/>
              </w:rPr>
              <w:t>23</w:t>
            </w:r>
          </w:p>
        </w:tc>
        <w:tc>
          <w:tcPr>
            <w:tcW w:w="1843" w:type="dxa"/>
          </w:tcPr>
          <w:p w:rsidR="009108C0" w:rsidRPr="00175043" w:rsidRDefault="009108C0" w:rsidP="00D3193D">
            <w:pPr>
              <w:rPr>
                <w:rFonts w:cstheme="minorHAnsi"/>
                <w:sz w:val="20"/>
                <w:szCs w:val="20"/>
              </w:rPr>
            </w:pPr>
            <w:r w:rsidRPr="00175043">
              <w:rPr>
                <w:rFonts w:cstheme="minorHAnsi"/>
                <w:sz w:val="20"/>
                <w:szCs w:val="20"/>
              </w:rPr>
              <w:t>RCL</w:t>
            </w:r>
          </w:p>
        </w:tc>
        <w:tc>
          <w:tcPr>
            <w:tcW w:w="1134" w:type="dxa"/>
          </w:tcPr>
          <w:p w:rsidR="009108C0" w:rsidRPr="00175043" w:rsidRDefault="009108C0" w:rsidP="00D3193D">
            <w:pPr>
              <w:rPr>
                <w:rFonts w:cstheme="minorHAnsi"/>
                <w:sz w:val="20"/>
                <w:szCs w:val="20"/>
              </w:rPr>
            </w:pPr>
            <w:r w:rsidRPr="00175043">
              <w:rPr>
                <w:rFonts w:cstheme="minorHAnsi"/>
                <w:sz w:val="20"/>
                <w:szCs w:val="20"/>
              </w:rPr>
              <w:t>ogólna</w:t>
            </w:r>
          </w:p>
        </w:tc>
        <w:tc>
          <w:tcPr>
            <w:tcW w:w="6095" w:type="dxa"/>
          </w:tcPr>
          <w:p w:rsidR="009108C0" w:rsidRPr="00175043" w:rsidRDefault="009108C0" w:rsidP="000B70C0">
            <w:pPr>
              <w:rPr>
                <w:rFonts w:cstheme="minorHAnsi"/>
                <w:sz w:val="20"/>
                <w:szCs w:val="20"/>
              </w:rPr>
            </w:pPr>
            <w:r w:rsidRPr="00175043">
              <w:rPr>
                <w:rFonts w:cstheme="minorHAnsi"/>
                <w:sz w:val="20"/>
                <w:szCs w:val="20"/>
              </w:rPr>
              <w:t>Przepis upoważniający do wydania  rozporządzenia, zawarty w art. 21 ustawy z dnia 22 listopada 2018 r. o dokumentach publicznych (Dz. U. z 2019 r. poz. 53), zwanej dalej „ustawą upoważniającą”, przewiduje obowiązek zasięgnięcia opinii Szefa Agencji Bezpieczeństwa Wewnętrznego, dlatego uzasadnienie projektu wymaga uzupełnienia o informację w tym zakresie.</w:t>
            </w:r>
          </w:p>
        </w:tc>
        <w:tc>
          <w:tcPr>
            <w:tcW w:w="4360" w:type="dxa"/>
          </w:tcPr>
          <w:p w:rsidR="009108C0" w:rsidRPr="00175043" w:rsidRDefault="009108C0" w:rsidP="004B3AEF">
            <w:pPr>
              <w:rPr>
                <w:rFonts w:cstheme="minorHAnsi"/>
                <w:sz w:val="20"/>
                <w:szCs w:val="20"/>
              </w:rPr>
            </w:pPr>
            <w:r w:rsidRPr="00175043">
              <w:rPr>
                <w:rFonts w:cstheme="minorHAnsi"/>
                <w:sz w:val="20"/>
                <w:szCs w:val="20"/>
              </w:rPr>
              <w:t>Uwaga uwzględniona.</w:t>
            </w:r>
          </w:p>
          <w:p w:rsidR="009108C0" w:rsidRPr="00175043" w:rsidRDefault="009108C0" w:rsidP="004B3AEF">
            <w:pPr>
              <w:rPr>
                <w:rFonts w:cstheme="minorHAnsi"/>
                <w:sz w:val="20"/>
                <w:szCs w:val="20"/>
              </w:rPr>
            </w:pPr>
            <w:r w:rsidRPr="00175043">
              <w:rPr>
                <w:rFonts w:cstheme="minorHAnsi"/>
                <w:sz w:val="20"/>
                <w:szCs w:val="20"/>
              </w:rPr>
              <w:t>Odpowiedni zapis zostanie umieszczony w uzasadnieniu projektu.</w:t>
            </w:r>
          </w:p>
        </w:tc>
      </w:tr>
      <w:tr w:rsidR="009108C0" w:rsidRPr="00175043" w:rsidTr="00D3193D">
        <w:tc>
          <w:tcPr>
            <w:tcW w:w="562" w:type="dxa"/>
          </w:tcPr>
          <w:p w:rsidR="009108C0" w:rsidRPr="00175043" w:rsidRDefault="00D969A5" w:rsidP="00D3193D">
            <w:pPr>
              <w:rPr>
                <w:rFonts w:cstheme="minorHAnsi"/>
                <w:sz w:val="20"/>
                <w:szCs w:val="20"/>
              </w:rPr>
            </w:pPr>
            <w:r w:rsidRPr="00175043">
              <w:rPr>
                <w:rFonts w:cstheme="minorHAnsi"/>
                <w:sz w:val="20"/>
                <w:szCs w:val="20"/>
              </w:rPr>
              <w:t>24</w:t>
            </w:r>
          </w:p>
        </w:tc>
        <w:tc>
          <w:tcPr>
            <w:tcW w:w="1843" w:type="dxa"/>
          </w:tcPr>
          <w:p w:rsidR="009108C0" w:rsidRPr="00175043" w:rsidRDefault="009108C0" w:rsidP="00D3193D">
            <w:pPr>
              <w:rPr>
                <w:rFonts w:cstheme="minorHAnsi"/>
                <w:sz w:val="20"/>
                <w:szCs w:val="20"/>
              </w:rPr>
            </w:pPr>
            <w:r w:rsidRPr="00175043">
              <w:rPr>
                <w:rFonts w:cstheme="minorHAnsi"/>
                <w:sz w:val="20"/>
                <w:szCs w:val="20"/>
              </w:rPr>
              <w:t>RCL</w:t>
            </w:r>
          </w:p>
        </w:tc>
        <w:tc>
          <w:tcPr>
            <w:tcW w:w="1134" w:type="dxa"/>
          </w:tcPr>
          <w:p w:rsidR="009108C0" w:rsidRPr="00175043" w:rsidRDefault="009108C0" w:rsidP="00D3193D">
            <w:pPr>
              <w:rPr>
                <w:rFonts w:cstheme="minorHAnsi"/>
                <w:sz w:val="20"/>
                <w:szCs w:val="20"/>
              </w:rPr>
            </w:pPr>
            <w:r w:rsidRPr="00175043">
              <w:rPr>
                <w:rFonts w:cstheme="minorHAnsi"/>
                <w:sz w:val="20"/>
                <w:szCs w:val="20"/>
              </w:rPr>
              <w:t>§ 2</w:t>
            </w:r>
            <w:r w:rsidR="00341279" w:rsidRPr="00175043">
              <w:rPr>
                <w:rFonts w:cstheme="minorHAnsi"/>
                <w:sz w:val="20"/>
                <w:szCs w:val="20"/>
              </w:rPr>
              <w:t xml:space="preserve"> pkt 1</w:t>
            </w:r>
          </w:p>
        </w:tc>
        <w:tc>
          <w:tcPr>
            <w:tcW w:w="6095" w:type="dxa"/>
          </w:tcPr>
          <w:p w:rsidR="009108C0" w:rsidRPr="00175043" w:rsidRDefault="009108C0" w:rsidP="000B70C0">
            <w:pPr>
              <w:rPr>
                <w:rFonts w:cstheme="minorHAnsi"/>
                <w:sz w:val="20"/>
                <w:szCs w:val="20"/>
              </w:rPr>
            </w:pPr>
            <w:r w:rsidRPr="00175043">
              <w:rPr>
                <w:rFonts w:cstheme="minorHAnsi"/>
                <w:sz w:val="20"/>
                <w:szCs w:val="20"/>
              </w:rPr>
              <w:t>W pkt 1 zdefiniowano pojęcie „akcesoria”, którego znaczenie odpowiada użytemu w ustawie pojęciu „innych elementów używanych do wytwarzania blankietów dokumentów publicznych”, takim określeniem posługują się również wytyczne do treści rozporządzenia zawarte w art. 21 ustawy upoważniającej. W związku z powyższym definicja pojęcia „akcesoria” wymaga wykreślenia, a w przepisach projektu proponuje się użyć ustawowego pojęcia „innych elementów używanych do wytwarzania blankietów”,</w:t>
            </w:r>
          </w:p>
        </w:tc>
        <w:tc>
          <w:tcPr>
            <w:tcW w:w="4360" w:type="dxa"/>
          </w:tcPr>
          <w:p w:rsidR="00406622" w:rsidRDefault="00406622" w:rsidP="004B3AEF">
            <w:pPr>
              <w:rPr>
                <w:rFonts w:cstheme="minorHAnsi"/>
                <w:sz w:val="20"/>
                <w:szCs w:val="20"/>
              </w:rPr>
            </w:pPr>
            <w:r>
              <w:rPr>
                <w:rFonts w:cstheme="minorHAnsi"/>
                <w:sz w:val="20"/>
                <w:szCs w:val="20"/>
              </w:rPr>
              <w:t>Uwaga uwzględniona.</w:t>
            </w:r>
          </w:p>
          <w:p w:rsidR="00406622" w:rsidRDefault="00406622" w:rsidP="004B3AEF">
            <w:pPr>
              <w:rPr>
                <w:rFonts w:cstheme="minorHAnsi"/>
                <w:sz w:val="20"/>
                <w:szCs w:val="20"/>
              </w:rPr>
            </w:pPr>
            <w:r>
              <w:rPr>
                <w:rFonts w:cstheme="minorHAnsi"/>
                <w:sz w:val="20"/>
                <w:szCs w:val="20"/>
              </w:rPr>
              <w:t>Definicja terminu „akcesoria” zostanie usunięta z § 2. Termin ten zostanie zdefiniowany w § 9 poprzez zastosowanie skrótu, o którym mowa w § 154 § 2 ZTP.</w:t>
            </w:r>
          </w:p>
          <w:p w:rsidR="00052679" w:rsidRPr="00E74215" w:rsidRDefault="009108C0" w:rsidP="00E74215">
            <w:pPr>
              <w:rPr>
                <w:rFonts w:cstheme="minorHAnsi"/>
                <w:sz w:val="20"/>
                <w:szCs w:val="20"/>
              </w:rPr>
            </w:pPr>
            <w:r w:rsidRPr="00175043">
              <w:rPr>
                <w:rFonts w:cstheme="minorHAnsi"/>
                <w:sz w:val="20"/>
                <w:szCs w:val="20"/>
              </w:rPr>
              <w:t xml:space="preserve">Rozporządzenie jest aktem wtórnym i ma charakter doprecyzowujący ustawę, która powinna pozostawać na pewnym poziomie ogólności. Rozporządzenie dotyczy kwestii mających doniosłe znaczenie dla bezpieczeństwa dokumentów publicznych, dlatego istotne jest aby zawierało jednoznaczne regulacje, które będą jednolicie rozumiane przez adresatów regulacji. Ich krąg jest znacznie ograniczony do wytwórców dokumentów </w:t>
            </w:r>
            <w:r w:rsidRPr="00175043">
              <w:rPr>
                <w:rFonts w:cstheme="minorHAnsi"/>
                <w:sz w:val="20"/>
                <w:szCs w:val="20"/>
              </w:rPr>
              <w:lastRenderedPageBreak/>
              <w:t xml:space="preserve">publicznych kategorii 2 i 3, jednak będą oni pełnili wyjątkowo ważną rolę w systemie bezpieczeństwa dokumentów publicznych, który z kolei ma bezpośredni wpływ na bezpieczeństwo Państwa i obywateli. Z tego względu tak ważne jest posługiwanie się terminami, które będą precyzyjne i jednolicie rozumiane przez zainteresowane podmioty. Zdefiniowanie pojęcia „akcesoria” ma istotny wpływ na zakres regulacji rozporządzenia jakim jest bezpieczeństwo wytwarzania blankietów dokumentów publicznych. Brak takiej definicji będzie powodował trudności interpretacyjne, które mogą prowadzić do poważnych wyłomów w systemie bezpieczeństwa dokumentów, co z kolei z pewnością będzie </w:t>
            </w:r>
            <w:r w:rsidR="00341279" w:rsidRPr="00175043">
              <w:rPr>
                <w:rFonts w:cstheme="minorHAnsi"/>
                <w:sz w:val="20"/>
                <w:szCs w:val="20"/>
              </w:rPr>
              <w:t xml:space="preserve">wykorzystywane przez osoby, mające interes w osłabieniu budowanego z trudem systemu bezpieczeństwa dokumentów w Polsce. </w:t>
            </w:r>
            <w:r w:rsidR="00406622">
              <w:rPr>
                <w:rFonts w:cstheme="minorHAnsi"/>
                <w:sz w:val="20"/>
                <w:szCs w:val="20"/>
              </w:rPr>
              <w:t>Mając powyższe na uwadze w ocenie projektodawcy zastosowanie skrótu zapewni realizację wyżej wskazanych celów jak również wpłynie na czytelność i jednoznaczność przepisów</w:t>
            </w:r>
            <w:r w:rsidR="00E74215">
              <w:rPr>
                <w:rFonts w:cstheme="minorHAnsi"/>
                <w:sz w:val="20"/>
                <w:szCs w:val="20"/>
              </w:rPr>
              <w:t>, co także będzie odpowiadało wymaganiom określonym w ZTP.</w:t>
            </w:r>
          </w:p>
        </w:tc>
      </w:tr>
      <w:tr w:rsidR="00341279" w:rsidRPr="00175043" w:rsidTr="00D3193D">
        <w:tc>
          <w:tcPr>
            <w:tcW w:w="562" w:type="dxa"/>
          </w:tcPr>
          <w:p w:rsidR="00341279" w:rsidRPr="00175043" w:rsidRDefault="00D969A5" w:rsidP="00D3193D">
            <w:pPr>
              <w:rPr>
                <w:rFonts w:cstheme="minorHAnsi"/>
                <w:sz w:val="20"/>
                <w:szCs w:val="20"/>
              </w:rPr>
            </w:pPr>
            <w:r w:rsidRPr="00175043">
              <w:rPr>
                <w:rFonts w:cstheme="minorHAnsi"/>
                <w:sz w:val="20"/>
                <w:szCs w:val="20"/>
              </w:rPr>
              <w:lastRenderedPageBreak/>
              <w:t>25</w:t>
            </w:r>
          </w:p>
        </w:tc>
        <w:tc>
          <w:tcPr>
            <w:tcW w:w="1843" w:type="dxa"/>
          </w:tcPr>
          <w:p w:rsidR="00341279" w:rsidRPr="00175043" w:rsidRDefault="00341279" w:rsidP="00D3193D">
            <w:pPr>
              <w:rPr>
                <w:rFonts w:cstheme="minorHAnsi"/>
                <w:sz w:val="20"/>
                <w:szCs w:val="20"/>
              </w:rPr>
            </w:pPr>
            <w:r w:rsidRPr="00175043">
              <w:rPr>
                <w:rFonts w:cstheme="minorHAnsi"/>
                <w:sz w:val="20"/>
                <w:szCs w:val="20"/>
              </w:rPr>
              <w:t>RCL</w:t>
            </w:r>
          </w:p>
        </w:tc>
        <w:tc>
          <w:tcPr>
            <w:tcW w:w="1134" w:type="dxa"/>
          </w:tcPr>
          <w:p w:rsidR="00341279" w:rsidRPr="00175043" w:rsidRDefault="00341279" w:rsidP="00D3193D">
            <w:pPr>
              <w:rPr>
                <w:rFonts w:cstheme="minorHAnsi"/>
                <w:sz w:val="20"/>
                <w:szCs w:val="20"/>
              </w:rPr>
            </w:pPr>
            <w:r w:rsidRPr="00175043">
              <w:rPr>
                <w:rFonts w:cstheme="minorHAnsi"/>
                <w:sz w:val="20"/>
                <w:szCs w:val="20"/>
              </w:rPr>
              <w:t>§ 2 pkt 2</w:t>
            </w:r>
          </w:p>
        </w:tc>
        <w:tc>
          <w:tcPr>
            <w:tcW w:w="6095" w:type="dxa"/>
          </w:tcPr>
          <w:p w:rsidR="00341279" w:rsidRPr="00175043" w:rsidRDefault="00341279" w:rsidP="000B70C0">
            <w:pPr>
              <w:rPr>
                <w:rFonts w:cstheme="minorHAnsi"/>
                <w:sz w:val="20"/>
                <w:szCs w:val="20"/>
              </w:rPr>
            </w:pPr>
            <w:r w:rsidRPr="00175043">
              <w:rPr>
                <w:rFonts w:cstheme="minorHAnsi"/>
                <w:sz w:val="20"/>
                <w:szCs w:val="20"/>
              </w:rPr>
              <w:t>w pkt 2 zdefiniowano pojęcie ustawowe „materiały”,  a zgodnie z przepisem § 149 ZTP w akcie wykonawczym nie formułuje się definicji, które ustalałyby znaczenia określeń zawartych w ustawie upoważniającej, w związku z powyższym definicja ta wymaga wykreślenia.</w:t>
            </w:r>
          </w:p>
        </w:tc>
        <w:tc>
          <w:tcPr>
            <w:tcW w:w="4360" w:type="dxa"/>
          </w:tcPr>
          <w:p w:rsidR="00E74215" w:rsidRDefault="00E74215" w:rsidP="004B3AEF">
            <w:pPr>
              <w:rPr>
                <w:rFonts w:cstheme="minorHAnsi"/>
                <w:sz w:val="20"/>
                <w:szCs w:val="20"/>
              </w:rPr>
            </w:pPr>
            <w:r>
              <w:rPr>
                <w:rFonts w:cstheme="minorHAnsi"/>
                <w:sz w:val="20"/>
                <w:szCs w:val="20"/>
              </w:rPr>
              <w:t xml:space="preserve">Uwaga uwzględniona. </w:t>
            </w:r>
          </w:p>
          <w:p w:rsidR="00E74215" w:rsidRDefault="00E74215" w:rsidP="004B3AEF">
            <w:pPr>
              <w:rPr>
                <w:rFonts w:cstheme="minorHAnsi"/>
                <w:sz w:val="20"/>
                <w:szCs w:val="20"/>
              </w:rPr>
            </w:pPr>
            <w:r w:rsidRPr="00E74215">
              <w:rPr>
                <w:rFonts w:cstheme="minorHAnsi"/>
                <w:sz w:val="20"/>
                <w:szCs w:val="20"/>
              </w:rPr>
              <w:t>Definicja terminu „</w:t>
            </w:r>
            <w:r>
              <w:rPr>
                <w:rFonts w:cstheme="minorHAnsi"/>
                <w:sz w:val="20"/>
                <w:szCs w:val="20"/>
              </w:rPr>
              <w:t>materiały</w:t>
            </w:r>
            <w:r w:rsidRPr="00E74215">
              <w:rPr>
                <w:rFonts w:cstheme="minorHAnsi"/>
                <w:sz w:val="20"/>
                <w:szCs w:val="20"/>
              </w:rPr>
              <w:t>” zostanie usunięta z § 2. Termin ten zostanie zdefiniowany w § 9 poprzez zastosowanie skrótu, o którym mowa w § 154 § 2 ZTP.</w:t>
            </w:r>
          </w:p>
          <w:p w:rsidR="004424D6" w:rsidRPr="00E74215" w:rsidRDefault="00E74215" w:rsidP="00B97777">
            <w:pPr>
              <w:rPr>
                <w:rFonts w:cstheme="minorHAnsi"/>
                <w:sz w:val="20"/>
                <w:szCs w:val="20"/>
              </w:rPr>
            </w:pPr>
            <w:r>
              <w:rPr>
                <w:rFonts w:cstheme="minorHAnsi"/>
                <w:sz w:val="20"/>
                <w:szCs w:val="20"/>
              </w:rPr>
              <w:t>Intencją projektodawcy było doprecyzowanie</w:t>
            </w:r>
            <w:r w:rsidR="00DB4A38" w:rsidRPr="00175043">
              <w:rPr>
                <w:rFonts w:cstheme="minorHAnsi"/>
                <w:sz w:val="20"/>
                <w:szCs w:val="20"/>
              </w:rPr>
              <w:t xml:space="preserve"> i uszczegółowieni</w:t>
            </w:r>
            <w:r>
              <w:rPr>
                <w:rFonts w:cstheme="minorHAnsi"/>
                <w:sz w:val="20"/>
                <w:szCs w:val="20"/>
              </w:rPr>
              <w:t>e</w:t>
            </w:r>
            <w:r w:rsidR="00AD0A8A" w:rsidRPr="00175043">
              <w:rPr>
                <w:rFonts w:cstheme="minorHAnsi"/>
                <w:sz w:val="20"/>
                <w:szCs w:val="20"/>
              </w:rPr>
              <w:t xml:space="preserve"> </w:t>
            </w:r>
            <w:r>
              <w:rPr>
                <w:rFonts w:cstheme="minorHAnsi"/>
                <w:sz w:val="20"/>
                <w:szCs w:val="20"/>
              </w:rPr>
              <w:t>tego terminu, który</w:t>
            </w:r>
            <w:r w:rsidR="00DB4A38" w:rsidRPr="00175043">
              <w:rPr>
                <w:rFonts w:cstheme="minorHAnsi"/>
                <w:sz w:val="20"/>
                <w:szCs w:val="20"/>
              </w:rPr>
              <w:t xml:space="preserve"> </w:t>
            </w:r>
            <w:r>
              <w:rPr>
                <w:rFonts w:cstheme="minorHAnsi"/>
                <w:sz w:val="20"/>
                <w:szCs w:val="20"/>
              </w:rPr>
              <w:t>w ogólnym znaczeniu ujęty jest</w:t>
            </w:r>
            <w:r w:rsidR="00DB4A38" w:rsidRPr="00175043">
              <w:rPr>
                <w:rFonts w:cstheme="minorHAnsi"/>
                <w:sz w:val="20"/>
                <w:szCs w:val="20"/>
              </w:rPr>
              <w:t xml:space="preserve"> w akcie nadrzędnym. </w:t>
            </w:r>
            <w:r w:rsidR="008F13FF" w:rsidRPr="00175043">
              <w:rPr>
                <w:rFonts w:cstheme="minorHAnsi"/>
                <w:sz w:val="20"/>
                <w:szCs w:val="20"/>
              </w:rPr>
              <w:t>Nie powielając wyjaśnie</w:t>
            </w:r>
            <w:r w:rsidR="002B2D16" w:rsidRPr="00175043">
              <w:rPr>
                <w:rFonts w:cstheme="minorHAnsi"/>
                <w:sz w:val="20"/>
                <w:szCs w:val="20"/>
              </w:rPr>
              <w:t xml:space="preserve">nia zawartego w punkcie powyżej, a które znajduje zastosowanie również w przypadku omawianej uwagi, </w:t>
            </w:r>
            <w:r w:rsidR="008F13FF" w:rsidRPr="00175043">
              <w:rPr>
                <w:rFonts w:cstheme="minorHAnsi"/>
                <w:sz w:val="20"/>
                <w:szCs w:val="20"/>
              </w:rPr>
              <w:t>wskazać należy, że rozporządzenie nie definiuje określenia użytego w ustawie</w:t>
            </w:r>
            <w:r w:rsidR="002B2D16" w:rsidRPr="00175043">
              <w:rPr>
                <w:rFonts w:cstheme="minorHAnsi"/>
                <w:sz w:val="20"/>
                <w:szCs w:val="20"/>
              </w:rPr>
              <w:t xml:space="preserve">, </w:t>
            </w:r>
            <w:r w:rsidR="008F13FF" w:rsidRPr="00175043">
              <w:rPr>
                <w:rFonts w:cstheme="minorHAnsi"/>
                <w:sz w:val="20"/>
                <w:szCs w:val="20"/>
              </w:rPr>
              <w:t>a określenie użyte w tym konkretnym rozporządzeniu i wyłącznie na jego potrzeby.</w:t>
            </w:r>
          </w:p>
        </w:tc>
      </w:tr>
      <w:tr w:rsidR="00C319A5" w:rsidRPr="00175043" w:rsidTr="00D3193D">
        <w:tc>
          <w:tcPr>
            <w:tcW w:w="562" w:type="dxa"/>
          </w:tcPr>
          <w:p w:rsidR="00C319A5" w:rsidRPr="00175043" w:rsidRDefault="00D969A5" w:rsidP="00D3193D">
            <w:pPr>
              <w:rPr>
                <w:rFonts w:cstheme="minorHAnsi"/>
                <w:sz w:val="20"/>
                <w:szCs w:val="20"/>
              </w:rPr>
            </w:pPr>
            <w:r w:rsidRPr="00175043">
              <w:rPr>
                <w:rFonts w:cstheme="minorHAnsi"/>
                <w:sz w:val="20"/>
                <w:szCs w:val="20"/>
              </w:rPr>
              <w:lastRenderedPageBreak/>
              <w:t>26</w:t>
            </w:r>
          </w:p>
        </w:tc>
        <w:tc>
          <w:tcPr>
            <w:tcW w:w="1843" w:type="dxa"/>
          </w:tcPr>
          <w:p w:rsidR="00C319A5" w:rsidRPr="00175043" w:rsidRDefault="00C319A5" w:rsidP="00D3193D">
            <w:pPr>
              <w:rPr>
                <w:rFonts w:cstheme="minorHAnsi"/>
                <w:sz w:val="20"/>
                <w:szCs w:val="20"/>
              </w:rPr>
            </w:pPr>
            <w:r w:rsidRPr="00175043">
              <w:rPr>
                <w:rFonts w:cstheme="minorHAnsi"/>
                <w:sz w:val="20"/>
                <w:szCs w:val="20"/>
              </w:rPr>
              <w:t>RCL</w:t>
            </w:r>
          </w:p>
        </w:tc>
        <w:tc>
          <w:tcPr>
            <w:tcW w:w="1134" w:type="dxa"/>
          </w:tcPr>
          <w:p w:rsidR="00C319A5" w:rsidRPr="00175043" w:rsidRDefault="00C319A5" w:rsidP="00D3193D">
            <w:pPr>
              <w:rPr>
                <w:rFonts w:cstheme="minorHAnsi"/>
                <w:sz w:val="20"/>
                <w:szCs w:val="20"/>
              </w:rPr>
            </w:pPr>
            <w:r w:rsidRPr="00175043">
              <w:rPr>
                <w:rFonts w:cstheme="minorHAnsi"/>
                <w:sz w:val="20"/>
                <w:szCs w:val="20"/>
              </w:rPr>
              <w:t>§ 3</w:t>
            </w:r>
          </w:p>
        </w:tc>
        <w:tc>
          <w:tcPr>
            <w:tcW w:w="6095" w:type="dxa"/>
          </w:tcPr>
          <w:p w:rsidR="00C319A5" w:rsidRPr="00175043" w:rsidRDefault="00C319A5" w:rsidP="000B70C0">
            <w:pPr>
              <w:rPr>
                <w:rFonts w:cstheme="minorHAnsi"/>
                <w:sz w:val="20"/>
                <w:szCs w:val="20"/>
              </w:rPr>
            </w:pPr>
            <w:r w:rsidRPr="00175043">
              <w:rPr>
                <w:rFonts w:cstheme="minorHAnsi"/>
                <w:sz w:val="20"/>
                <w:szCs w:val="20"/>
              </w:rPr>
              <w:t>Przepis § 3 projektu definiuje pojęcie „wytwórcy”, tymczasem pojęcie to jest używane w ustawie upoważniającej, a zgodnie z § 149 ZTP w akcie wykonawczym nie formułuje się definicji, które ustalałyby znaczenia określeń zawartych w ustawie upoważniającej, w związku z powyższym definicja ta wymaga wykreślenia.</w:t>
            </w:r>
          </w:p>
        </w:tc>
        <w:tc>
          <w:tcPr>
            <w:tcW w:w="4360" w:type="dxa"/>
          </w:tcPr>
          <w:p w:rsidR="00C319A5" w:rsidRPr="00175043" w:rsidRDefault="00C319A5" w:rsidP="004B3AEF">
            <w:pPr>
              <w:rPr>
                <w:rFonts w:cstheme="minorHAnsi"/>
                <w:sz w:val="20"/>
                <w:szCs w:val="20"/>
              </w:rPr>
            </w:pPr>
            <w:r w:rsidRPr="00175043">
              <w:rPr>
                <w:rFonts w:cstheme="minorHAnsi"/>
                <w:sz w:val="20"/>
                <w:szCs w:val="20"/>
              </w:rPr>
              <w:t>Uwaga nieuwzględniona.</w:t>
            </w:r>
          </w:p>
          <w:p w:rsidR="004025AA" w:rsidRPr="00175043" w:rsidRDefault="007E3E73" w:rsidP="007E3E73">
            <w:pPr>
              <w:rPr>
                <w:rFonts w:cstheme="minorHAnsi"/>
                <w:sz w:val="20"/>
                <w:szCs w:val="20"/>
              </w:rPr>
            </w:pPr>
            <w:r w:rsidRPr="00175043">
              <w:rPr>
                <w:rFonts w:cstheme="minorHAnsi"/>
                <w:sz w:val="20"/>
                <w:szCs w:val="20"/>
              </w:rPr>
              <w:t xml:space="preserve">W ustawie termin „wytwórca” jest znacznie szerszy </w:t>
            </w:r>
            <w:r w:rsidR="004025AA" w:rsidRPr="00175043">
              <w:rPr>
                <w:rFonts w:cstheme="minorHAnsi"/>
                <w:sz w:val="20"/>
                <w:szCs w:val="20"/>
              </w:rPr>
              <w:t xml:space="preserve">niż w rozporządzeniu </w:t>
            </w:r>
            <w:r w:rsidRPr="00175043">
              <w:rPr>
                <w:rFonts w:cstheme="minorHAnsi"/>
                <w:sz w:val="20"/>
                <w:szCs w:val="20"/>
              </w:rPr>
              <w:t xml:space="preserve">i dotyczy wszystkich podmiotów, które będą zajmowały się produkcją blankietów dokumentów publicznych. W rozporządzeniu zaś termin „wytwórca” odnosi się jedynie do producentów blankietów dokumentów publicznych kategorii 2 i 3, przy czym istotne jest tutaj odróżnienie tych wytwórców od Spółki, której powierzona jest produkcja dokumentów kategorii 1, a co wprost wynika z zapisów ustawy.  Z tego względu konieczne jest zdefiniowanie terminu „wytwórca” na potrzeby rozporządzenia. Brak takiej definicji mogłoby prowadzić do nieporozumień skutkujących koniecznością dokonywania interpretacji przepisów, które powinny być jasne od samego początku a zatem od etapu ich projektowania. </w:t>
            </w:r>
          </w:p>
        </w:tc>
      </w:tr>
      <w:tr w:rsidR="00B97777" w:rsidRPr="00175043" w:rsidTr="00D3193D">
        <w:tc>
          <w:tcPr>
            <w:tcW w:w="562" w:type="dxa"/>
          </w:tcPr>
          <w:p w:rsidR="00B97777" w:rsidRPr="00175043" w:rsidRDefault="00D969A5" w:rsidP="00D3193D">
            <w:pPr>
              <w:rPr>
                <w:rFonts w:cstheme="minorHAnsi"/>
                <w:sz w:val="20"/>
                <w:szCs w:val="20"/>
              </w:rPr>
            </w:pPr>
            <w:r w:rsidRPr="00175043">
              <w:rPr>
                <w:rFonts w:cstheme="minorHAnsi"/>
                <w:sz w:val="20"/>
                <w:szCs w:val="20"/>
              </w:rPr>
              <w:t>27</w:t>
            </w:r>
          </w:p>
        </w:tc>
        <w:tc>
          <w:tcPr>
            <w:tcW w:w="1843" w:type="dxa"/>
          </w:tcPr>
          <w:p w:rsidR="00B97777" w:rsidRPr="00175043" w:rsidRDefault="00B97777" w:rsidP="00D3193D">
            <w:pPr>
              <w:rPr>
                <w:rFonts w:cstheme="minorHAnsi"/>
                <w:sz w:val="20"/>
                <w:szCs w:val="20"/>
              </w:rPr>
            </w:pPr>
            <w:r w:rsidRPr="00175043">
              <w:rPr>
                <w:rFonts w:cstheme="minorHAnsi"/>
                <w:sz w:val="20"/>
                <w:szCs w:val="20"/>
              </w:rPr>
              <w:t>RCL</w:t>
            </w:r>
          </w:p>
        </w:tc>
        <w:tc>
          <w:tcPr>
            <w:tcW w:w="1134" w:type="dxa"/>
          </w:tcPr>
          <w:p w:rsidR="00B97777" w:rsidRPr="00175043" w:rsidRDefault="00B97777" w:rsidP="00D3193D">
            <w:pPr>
              <w:rPr>
                <w:rFonts w:cstheme="minorHAnsi"/>
                <w:sz w:val="20"/>
                <w:szCs w:val="20"/>
              </w:rPr>
            </w:pPr>
            <w:r w:rsidRPr="00175043">
              <w:rPr>
                <w:rFonts w:cstheme="minorHAnsi"/>
                <w:sz w:val="20"/>
                <w:szCs w:val="20"/>
              </w:rPr>
              <w:t>§ 4</w:t>
            </w:r>
          </w:p>
        </w:tc>
        <w:tc>
          <w:tcPr>
            <w:tcW w:w="6095" w:type="dxa"/>
          </w:tcPr>
          <w:p w:rsidR="00B97777" w:rsidRPr="00175043" w:rsidRDefault="00B97777" w:rsidP="000B70C0">
            <w:pPr>
              <w:rPr>
                <w:rFonts w:cstheme="minorHAnsi"/>
                <w:sz w:val="20"/>
                <w:szCs w:val="20"/>
              </w:rPr>
            </w:pPr>
            <w:r w:rsidRPr="00175043">
              <w:rPr>
                <w:rFonts w:cstheme="minorHAnsi"/>
                <w:sz w:val="20"/>
                <w:szCs w:val="20"/>
              </w:rPr>
              <w:t xml:space="preserve">Odnośnie do przepisu § 4 projektu należy zauważyć, że: </w:t>
            </w:r>
          </w:p>
          <w:p w:rsidR="00B97777" w:rsidRPr="00175043" w:rsidRDefault="00B97777" w:rsidP="000B70C0">
            <w:pPr>
              <w:rPr>
                <w:rFonts w:cstheme="minorHAnsi"/>
                <w:sz w:val="20"/>
                <w:szCs w:val="20"/>
              </w:rPr>
            </w:pPr>
            <w:r w:rsidRPr="00175043">
              <w:rPr>
                <w:rFonts w:cstheme="minorHAnsi"/>
                <w:sz w:val="20"/>
                <w:szCs w:val="20"/>
              </w:rPr>
              <w:t xml:space="preserve">1) wprowadzenie do wyliczenia w ust. 1 i przepis ust. 2 powtarzają i modyfikują treści zawarte w ustawie upoważniającej w art. 19 ust. 4; </w:t>
            </w:r>
          </w:p>
          <w:p w:rsidR="00B97777" w:rsidRPr="00175043" w:rsidRDefault="00B97777" w:rsidP="000B70C0">
            <w:pPr>
              <w:rPr>
                <w:rFonts w:cstheme="minorHAnsi"/>
                <w:sz w:val="20"/>
                <w:szCs w:val="20"/>
              </w:rPr>
            </w:pPr>
            <w:r w:rsidRPr="00175043">
              <w:rPr>
                <w:rFonts w:cstheme="minorHAnsi"/>
                <w:sz w:val="20"/>
                <w:szCs w:val="20"/>
              </w:rPr>
              <w:t xml:space="preserve">2) zgodnie z brzmieniem upoważnienia ustawowego minister właściwy do spraw wewnętrznych ma uregulować, w drodze rozporządzenia, „szczegółowe wewnętrzne zasady bezpieczeństwa wytwarzania blankietów dokumentów publicznych” i nie może przekazać swoich kompetencji innemu podmiotowi; </w:t>
            </w:r>
          </w:p>
          <w:p w:rsidR="00B97777" w:rsidRPr="00175043" w:rsidRDefault="00B97777" w:rsidP="000B70C0">
            <w:pPr>
              <w:rPr>
                <w:rFonts w:cstheme="minorHAnsi"/>
                <w:sz w:val="20"/>
                <w:szCs w:val="20"/>
              </w:rPr>
            </w:pPr>
            <w:r w:rsidRPr="00175043">
              <w:rPr>
                <w:rFonts w:cstheme="minorHAnsi"/>
                <w:sz w:val="20"/>
                <w:szCs w:val="20"/>
              </w:rPr>
              <w:t xml:space="preserve">3) upoważnienie ustawowe nie przewiduje możliwości określania co mają regulować wewnętrzne zasady bezpieczeństwa opracowywane na podstawie art. 19 ust. 4 ustawy upoważniającej, w związku z tym treść wyliczenia w ust. 1 przekracza zakres tego upoważnienia. </w:t>
            </w:r>
          </w:p>
          <w:p w:rsidR="00B97777" w:rsidRPr="00175043" w:rsidRDefault="00B97777" w:rsidP="000B70C0">
            <w:pPr>
              <w:rPr>
                <w:rFonts w:cstheme="minorHAnsi"/>
                <w:sz w:val="20"/>
                <w:szCs w:val="20"/>
              </w:rPr>
            </w:pPr>
            <w:r w:rsidRPr="00175043">
              <w:rPr>
                <w:rFonts w:cstheme="minorHAnsi"/>
                <w:sz w:val="20"/>
                <w:szCs w:val="20"/>
              </w:rPr>
              <w:t>W związku z powyższym § 4 projektu  wymaga skreślenia.</w:t>
            </w:r>
          </w:p>
        </w:tc>
        <w:tc>
          <w:tcPr>
            <w:tcW w:w="4360" w:type="dxa"/>
          </w:tcPr>
          <w:p w:rsidR="00AC65E2" w:rsidRPr="00AC65E2" w:rsidRDefault="00AC65E2" w:rsidP="004B3AEF">
            <w:pPr>
              <w:rPr>
                <w:rFonts w:cstheme="minorHAnsi"/>
                <w:sz w:val="20"/>
                <w:szCs w:val="20"/>
              </w:rPr>
            </w:pPr>
            <w:r w:rsidRPr="00AC65E2">
              <w:rPr>
                <w:rFonts w:cstheme="minorHAnsi"/>
                <w:sz w:val="20"/>
                <w:szCs w:val="20"/>
              </w:rPr>
              <w:t>Uwaga uwzględniona.</w:t>
            </w:r>
          </w:p>
          <w:p w:rsidR="002A71C0" w:rsidRPr="00AC65E2" w:rsidRDefault="00AC65E2" w:rsidP="004B3AEF">
            <w:pPr>
              <w:rPr>
                <w:rFonts w:cstheme="minorHAnsi"/>
                <w:sz w:val="20"/>
                <w:szCs w:val="20"/>
              </w:rPr>
            </w:pPr>
            <w:r w:rsidRPr="00AC65E2">
              <w:rPr>
                <w:rFonts w:cstheme="minorHAnsi"/>
                <w:sz w:val="20"/>
                <w:szCs w:val="20"/>
              </w:rPr>
              <w:t>§ 4 zostanie usunięty. Rozporządzenie zawiera określenie szczegółowych wymagań dot. bezpieczeństwa wytwarzania blankietów (do § 11), w tym wewnętrzne zasady bezpieczeństwa wytwarzania blankietów (od § 12). Zaproponowana pierwotnie konstrukcja miała na celu udzielenie wytwórcom wskazówek co do zawartości wewnętrznych zasad bezpieczeństwa wytwarzania blankietów dokumentów publicznych, co jednakże mogłoby być odebrane jako wkroczenie poza delegację ustawową z art. 21 ustawy. W zaistniałej sytuacji uznano za zasadne usunięcie § 4 i poprzestanie na samoistnej podstawie zobowiązania wytwórców do opracowania zasad bezpieczeństwa zawartej w art. 19 ust 4 ustawy.</w:t>
            </w:r>
          </w:p>
        </w:tc>
      </w:tr>
      <w:tr w:rsidR="00BE4F7F" w:rsidRPr="00175043" w:rsidTr="00D3193D">
        <w:tc>
          <w:tcPr>
            <w:tcW w:w="562" w:type="dxa"/>
          </w:tcPr>
          <w:p w:rsidR="00BE4F7F" w:rsidRPr="00175043" w:rsidRDefault="00D969A5" w:rsidP="00D3193D">
            <w:pPr>
              <w:rPr>
                <w:rFonts w:cstheme="minorHAnsi"/>
                <w:sz w:val="20"/>
                <w:szCs w:val="20"/>
              </w:rPr>
            </w:pPr>
            <w:r w:rsidRPr="00175043">
              <w:rPr>
                <w:rFonts w:cstheme="minorHAnsi"/>
                <w:sz w:val="20"/>
                <w:szCs w:val="20"/>
              </w:rPr>
              <w:lastRenderedPageBreak/>
              <w:t>28</w:t>
            </w:r>
          </w:p>
        </w:tc>
        <w:tc>
          <w:tcPr>
            <w:tcW w:w="1843" w:type="dxa"/>
          </w:tcPr>
          <w:p w:rsidR="00BE4F7F" w:rsidRPr="00175043" w:rsidRDefault="00BE4F7F" w:rsidP="00D3193D">
            <w:pPr>
              <w:rPr>
                <w:rFonts w:cstheme="minorHAnsi"/>
                <w:sz w:val="20"/>
                <w:szCs w:val="20"/>
              </w:rPr>
            </w:pPr>
            <w:r w:rsidRPr="00175043">
              <w:rPr>
                <w:rFonts w:cstheme="minorHAnsi"/>
                <w:sz w:val="20"/>
                <w:szCs w:val="20"/>
              </w:rPr>
              <w:t>RCL</w:t>
            </w:r>
          </w:p>
        </w:tc>
        <w:tc>
          <w:tcPr>
            <w:tcW w:w="1134" w:type="dxa"/>
          </w:tcPr>
          <w:p w:rsidR="00BE4F7F" w:rsidRPr="00175043" w:rsidRDefault="00BE4F7F" w:rsidP="00D3193D">
            <w:pPr>
              <w:rPr>
                <w:rFonts w:cstheme="minorHAnsi"/>
                <w:sz w:val="20"/>
                <w:szCs w:val="20"/>
              </w:rPr>
            </w:pPr>
            <w:r w:rsidRPr="00175043">
              <w:rPr>
                <w:rFonts w:cstheme="minorHAnsi"/>
                <w:sz w:val="20"/>
                <w:szCs w:val="20"/>
              </w:rPr>
              <w:t>§ 6</w:t>
            </w:r>
          </w:p>
        </w:tc>
        <w:tc>
          <w:tcPr>
            <w:tcW w:w="6095" w:type="dxa"/>
          </w:tcPr>
          <w:p w:rsidR="00BE4F7F" w:rsidRPr="00175043" w:rsidRDefault="00BE4F7F" w:rsidP="000B70C0">
            <w:pPr>
              <w:rPr>
                <w:rFonts w:cstheme="minorHAnsi"/>
                <w:sz w:val="20"/>
                <w:szCs w:val="20"/>
              </w:rPr>
            </w:pPr>
            <w:r w:rsidRPr="00175043">
              <w:rPr>
                <w:rFonts w:cstheme="minorHAnsi"/>
                <w:sz w:val="20"/>
                <w:szCs w:val="20"/>
              </w:rPr>
              <w:t>Przepis § 6 projektu wymaga wykreślenia jako wykraczający poza upoważnienie ustawowe, ponieważ nie reguluje zasad w zakresie bezpieczeństwa wytwarzania blankietów dokumentów publicznych,  a nakłada obowiązek na emitenta.</w:t>
            </w:r>
          </w:p>
        </w:tc>
        <w:tc>
          <w:tcPr>
            <w:tcW w:w="4360" w:type="dxa"/>
          </w:tcPr>
          <w:p w:rsidR="00BE4F7F" w:rsidRPr="00175043" w:rsidRDefault="00BE4F7F" w:rsidP="004B3AEF">
            <w:pPr>
              <w:rPr>
                <w:rFonts w:cstheme="minorHAnsi"/>
                <w:sz w:val="20"/>
                <w:szCs w:val="20"/>
              </w:rPr>
            </w:pPr>
            <w:r w:rsidRPr="00175043">
              <w:rPr>
                <w:rFonts w:cstheme="minorHAnsi"/>
                <w:sz w:val="20"/>
                <w:szCs w:val="20"/>
              </w:rPr>
              <w:t>Uwaga nieuwzględniona.</w:t>
            </w:r>
          </w:p>
          <w:p w:rsidR="00BE4F7F" w:rsidRPr="00175043" w:rsidRDefault="00BE4F7F" w:rsidP="004B3AEF">
            <w:pPr>
              <w:rPr>
                <w:rFonts w:cstheme="minorHAnsi"/>
                <w:sz w:val="20"/>
                <w:szCs w:val="20"/>
              </w:rPr>
            </w:pPr>
            <w:r w:rsidRPr="00175043">
              <w:rPr>
                <w:rFonts w:cstheme="minorHAnsi"/>
                <w:sz w:val="20"/>
                <w:szCs w:val="20"/>
              </w:rPr>
              <w:t xml:space="preserve">W omawianym przepisie nie mamy do czynienia z obowiązkiem nałożonym na emitenta, tylko z uprawnieniem emitenta na co wskazuje zapis „emitent…może zawrzeć w umowie” Wskazane uprawnienie ma niezwykle istotny wpływ na bezpieczeństwo dokumentów z uwagi na możliwość wprowadzenia ograniczeń w zakresie wykorzystywania poszczególnych elementów zabezpieczeń dokumentów w innych produktach, co służy fałszerzom do odzyskiwania elementów zabezpieczających celem wykorzystania ich w podrabianiu lub przerabianiu dokumentów publicznych. </w:t>
            </w:r>
          </w:p>
        </w:tc>
      </w:tr>
      <w:tr w:rsidR="00BE4F7F" w:rsidRPr="00175043" w:rsidTr="00D3193D">
        <w:tc>
          <w:tcPr>
            <w:tcW w:w="562" w:type="dxa"/>
          </w:tcPr>
          <w:p w:rsidR="00BE4F7F" w:rsidRPr="00175043" w:rsidRDefault="00D969A5" w:rsidP="00D3193D">
            <w:pPr>
              <w:rPr>
                <w:rFonts w:cstheme="minorHAnsi"/>
                <w:sz w:val="20"/>
                <w:szCs w:val="20"/>
              </w:rPr>
            </w:pPr>
            <w:r w:rsidRPr="00175043">
              <w:rPr>
                <w:rFonts w:cstheme="minorHAnsi"/>
                <w:sz w:val="20"/>
                <w:szCs w:val="20"/>
              </w:rPr>
              <w:t>29</w:t>
            </w:r>
          </w:p>
        </w:tc>
        <w:tc>
          <w:tcPr>
            <w:tcW w:w="1843" w:type="dxa"/>
          </w:tcPr>
          <w:p w:rsidR="00BE4F7F" w:rsidRPr="00175043" w:rsidRDefault="00BE4F7F" w:rsidP="00D3193D">
            <w:pPr>
              <w:rPr>
                <w:rFonts w:cstheme="minorHAnsi"/>
                <w:sz w:val="20"/>
                <w:szCs w:val="20"/>
              </w:rPr>
            </w:pPr>
            <w:r w:rsidRPr="00175043">
              <w:rPr>
                <w:rFonts w:cstheme="minorHAnsi"/>
                <w:sz w:val="20"/>
                <w:szCs w:val="20"/>
              </w:rPr>
              <w:t>RCL</w:t>
            </w:r>
          </w:p>
        </w:tc>
        <w:tc>
          <w:tcPr>
            <w:tcW w:w="1134" w:type="dxa"/>
          </w:tcPr>
          <w:p w:rsidR="00BE4F7F" w:rsidRPr="00175043" w:rsidRDefault="00BE4F7F" w:rsidP="00D3193D">
            <w:pPr>
              <w:rPr>
                <w:rFonts w:cstheme="minorHAnsi"/>
                <w:sz w:val="20"/>
                <w:szCs w:val="20"/>
              </w:rPr>
            </w:pPr>
            <w:r w:rsidRPr="00175043">
              <w:rPr>
                <w:rFonts w:cstheme="minorHAnsi"/>
                <w:sz w:val="20"/>
                <w:szCs w:val="20"/>
              </w:rPr>
              <w:t>§ 7</w:t>
            </w:r>
          </w:p>
        </w:tc>
        <w:tc>
          <w:tcPr>
            <w:tcW w:w="6095" w:type="dxa"/>
          </w:tcPr>
          <w:p w:rsidR="00BE4F7F" w:rsidRPr="00175043" w:rsidRDefault="00BE4F7F" w:rsidP="008E14BC">
            <w:pPr>
              <w:rPr>
                <w:rFonts w:cstheme="minorHAnsi"/>
                <w:sz w:val="20"/>
                <w:szCs w:val="20"/>
              </w:rPr>
            </w:pPr>
            <w:r w:rsidRPr="00175043">
              <w:rPr>
                <w:rFonts w:cstheme="minorHAnsi"/>
                <w:sz w:val="20"/>
                <w:szCs w:val="20"/>
              </w:rPr>
              <w:t xml:space="preserve">Przepis § 7 projektu wymaga przeredagowania w taki sposób, aby nie zawierał zakresowej definicji ustawowego pojęcia „dokumentacja techniczna”. </w:t>
            </w:r>
          </w:p>
        </w:tc>
        <w:tc>
          <w:tcPr>
            <w:tcW w:w="4360" w:type="dxa"/>
          </w:tcPr>
          <w:p w:rsidR="00BE4F7F" w:rsidRPr="00175043" w:rsidRDefault="00BE4F7F" w:rsidP="004B3AEF">
            <w:pPr>
              <w:rPr>
                <w:rFonts w:cstheme="minorHAnsi"/>
                <w:sz w:val="20"/>
                <w:szCs w:val="20"/>
              </w:rPr>
            </w:pPr>
            <w:r w:rsidRPr="00175043">
              <w:rPr>
                <w:rFonts w:cstheme="minorHAnsi"/>
                <w:sz w:val="20"/>
                <w:szCs w:val="20"/>
              </w:rPr>
              <w:t>Uwaga uwzględniona.</w:t>
            </w:r>
          </w:p>
          <w:p w:rsidR="00BE4F7F" w:rsidRPr="00175043" w:rsidRDefault="00BE4F7F" w:rsidP="004B3AEF">
            <w:pPr>
              <w:rPr>
                <w:rFonts w:cstheme="minorHAnsi"/>
                <w:sz w:val="20"/>
                <w:szCs w:val="20"/>
              </w:rPr>
            </w:pPr>
            <w:r w:rsidRPr="00175043">
              <w:rPr>
                <w:rFonts w:cstheme="minorHAnsi"/>
                <w:sz w:val="20"/>
                <w:szCs w:val="20"/>
              </w:rPr>
              <w:t>Wstęp do przepisu będzie nosił brzmienie:</w:t>
            </w:r>
          </w:p>
          <w:p w:rsidR="00BE4F7F" w:rsidRPr="00175043" w:rsidRDefault="00EC6341" w:rsidP="00EC6341">
            <w:pPr>
              <w:rPr>
                <w:rFonts w:cstheme="minorHAnsi"/>
                <w:sz w:val="20"/>
                <w:szCs w:val="20"/>
              </w:rPr>
            </w:pPr>
            <w:r w:rsidRPr="00175043">
              <w:rPr>
                <w:rFonts w:cstheme="minorHAnsi"/>
                <w:sz w:val="20"/>
                <w:szCs w:val="20"/>
              </w:rPr>
              <w:t>„</w:t>
            </w:r>
            <w:r w:rsidR="00BE4F7F" w:rsidRPr="00175043">
              <w:rPr>
                <w:rFonts w:cstheme="minorHAnsi"/>
                <w:sz w:val="20"/>
                <w:szCs w:val="20"/>
              </w:rPr>
              <w:t xml:space="preserve">Wytwórca </w:t>
            </w:r>
            <w:r w:rsidRPr="00175043">
              <w:rPr>
                <w:rFonts w:cstheme="minorHAnsi"/>
                <w:sz w:val="20"/>
                <w:szCs w:val="20"/>
              </w:rPr>
              <w:t xml:space="preserve">przygotowuje w 2 egzemplarzach </w:t>
            </w:r>
            <w:r w:rsidR="00BE4F7F" w:rsidRPr="00175043">
              <w:rPr>
                <w:rFonts w:cstheme="minorHAnsi"/>
                <w:sz w:val="20"/>
                <w:szCs w:val="20"/>
              </w:rPr>
              <w:t xml:space="preserve">dokumentację techniczną, </w:t>
            </w:r>
            <w:r w:rsidRPr="00175043">
              <w:rPr>
                <w:rFonts w:cstheme="minorHAnsi"/>
                <w:sz w:val="20"/>
                <w:szCs w:val="20"/>
              </w:rPr>
              <w:t>w której skład wchod</w:t>
            </w:r>
            <w:r w:rsidR="008E14BC" w:rsidRPr="00175043">
              <w:rPr>
                <w:rFonts w:cstheme="minorHAnsi"/>
                <w:sz w:val="20"/>
                <w:szCs w:val="20"/>
              </w:rPr>
              <w:t>zą co najmniej:”</w:t>
            </w:r>
          </w:p>
        </w:tc>
      </w:tr>
      <w:tr w:rsidR="008E14BC" w:rsidRPr="00175043" w:rsidTr="00D3193D">
        <w:tc>
          <w:tcPr>
            <w:tcW w:w="562" w:type="dxa"/>
          </w:tcPr>
          <w:p w:rsidR="008E14BC" w:rsidRPr="00175043" w:rsidRDefault="008E14BC" w:rsidP="00D3193D">
            <w:pPr>
              <w:rPr>
                <w:rFonts w:cstheme="minorHAnsi"/>
                <w:sz w:val="20"/>
                <w:szCs w:val="20"/>
              </w:rPr>
            </w:pPr>
            <w:r w:rsidRPr="00175043">
              <w:rPr>
                <w:rFonts w:cstheme="minorHAnsi"/>
                <w:sz w:val="20"/>
                <w:szCs w:val="20"/>
              </w:rPr>
              <w:t>30</w:t>
            </w:r>
          </w:p>
        </w:tc>
        <w:tc>
          <w:tcPr>
            <w:tcW w:w="1843" w:type="dxa"/>
          </w:tcPr>
          <w:p w:rsidR="008E14BC" w:rsidRPr="00175043" w:rsidRDefault="008E14BC" w:rsidP="00D3193D">
            <w:pPr>
              <w:rPr>
                <w:rFonts w:cstheme="minorHAnsi"/>
                <w:sz w:val="20"/>
                <w:szCs w:val="20"/>
              </w:rPr>
            </w:pPr>
            <w:r w:rsidRPr="00175043">
              <w:rPr>
                <w:rFonts w:cstheme="minorHAnsi"/>
                <w:sz w:val="20"/>
                <w:szCs w:val="20"/>
              </w:rPr>
              <w:t>RCL</w:t>
            </w:r>
          </w:p>
        </w:tc>
        <w:tc>
          <w:tcPr>
            <w:tcW w:w="1134" w:type="dxa"/>
          </w:tcPr>
          <w:p w:rsidR="008E14BC" w:rsidRPr="00175043" w:rsidRDefault="008E14BC" w:rsidP="00D3193D">
            <w:pPr>
              <w:rPr>
                <w:rFonts w:cstheme="minorHAnsi"/>
                <w:sz w:val="20"/>
                <w:szCs w:val="20"/>
              </w:rPr>
            </w:pPr>
            <w:r w:rsidRPr="00175043">
              <w:rPr>
                <w:rFonts w:cstheme="minorHAnsi"/>
                <w:sz w:val="20"/>
                <w:szCs w:val="20"/>
              </w:rPr>
              <w:t>§ 7</w:t>
            </w:r>
          </w:p>
        </w:tc>
        <w:tc>
          <w:tcPr>
            <w:tcW w:w="6095" w:type="dxa"/>
          </w:tcPr>
          <w:p w:rsidR="008E14BC" w:rsidRPr="00175043" w:rsidRDefault="008E14BC" w:rsidP="000B70C0">
            <w:pPr>
              <w:rPr>
                <w:rFonts w:cstheme="minorHAnsi"/>
                <w:sz w:val="20"/>
                <w:szCs w:val="20"/>
              </w:rPr>
            </w:pPr>
            <w:r w:rsidRPr="00175043">
              <w:rPr>
                <w:rFonts w:cstheme="minorHAnsi"/>
                <w:sz w:val="20"/>
                <w:szCs w:val="20"/>
              </w:rPr>
              <w:t>Należy zauważyć, ze zgodnie z § 8 ust. 2  pkt 2 ZTP w ustawie należy unikać posługiwania się: określeniami lub zapożyczeniami obcojęzycznymi. W związku z powyższym należy użyć polskich nazw promieniowania ultrafioletowego, promieniowania podczerwonego i światła widzialnego.</w:t>
            </w:r>
          </w:p>
        </w:tc>
        <w:tc>
          <w:tcPr>
            <w:tcW w:w="4360" w:type="dxa"/>
          </w:tcPr>
          <w:p w:rsidR="008E14BC" w:rsidRPr="00175043" w:rsidRDefault="008E14BC" w:rsidP="004B3AEF">
            <w:pPr>
              <w:rPr>
                <w:rFonts w:cstheme="minorHAnsi"/>
                <w:sz w:val="20"/>
                <w:szCs w:val="20"/>
              </w:rPr>
            </w:pPr>
            <w:r w:rsidRPr="00175043">
              <w:rPr>
                <w:rFonts w:cstheme="minorHAnsi"/>
                <w:sz w:val="20"/>
                <w:szCs w:val="20"/>
              </w:rPr>
              <w:t>Uwaga uwzględniona.</w:t>
            </w:r>
          </w:p>
          <w:p w:rsidR="008E14BC" w:rsidRPr="00175043" w:rsidRDefault="008E14BC" w:rsidP="004B3AEF">
            <w:pPr>
              <w:rPr>
                <w:rFonts w:cstheme="minorHAnsi"/>
                <w:sz w:val="20"/>
                <w:szCs w:val="20"/>
              </w:rPr>
            </w:pPr>
            <w:r w:rsidRPr="00175043">
              <w:rPr>
                <w:rFonts w:cstheme="minorHAnsi"/>
                <w:sz w:val="20"/>
                <w:szCs w:val="20"/>
              </w:rPr>
              <w:t>Nazwy zostaną zmienione.</w:t>
            </w:r>
          </w:p>
        </w:tc>
      </w:tr>
      <w:tr w:rsidR="00EC6341" w:rsidRPr="00175043" w:rsidTr="00D3193D">
        <w:tc>
          <w:tcPr>
            <w:tcW w:w="562" w:type="dxa"/>
          </w:tcPr>
          <w:p w:rsidR="00EC6341" w:rsidRPr="00175043" w:rsidRDefault="008E14BC" w:rsidP="00D3193D">
            <w:pPr>
              <w:rPr>
                <w:rFonts w:cstheme="minorHAnsi"/>
                <w:sz w:val="20"/>
                <w:szCs w:val="20"/>
              </w:rPr>
            </w:pPr>
            <w:r w:rsidRPr="00175043">
              <w:rPr>
                <w:rFonts w:cstheme="minorHAnsi"/>
                <w:sz w:val="20"/>
                <w:szCs w:val="20"/>
              </w:rPr>
              <w:t>31</w:t>
            </w:r>
          </w:p>
        </w:tc>
        <w:tc>
          <w:tcPr>
            <w:tcW w:w="1843" w:type="dxa"/>
          </w:tcPr>
          <w:p w:rsidR="00EC6341" w:rsidRPr="00175043" w:rsidRDefault="00EC6341" w:rsidP="00D3193D">
            <w:pPr>
              <w:rPr>
                <w:rFonts w:cstheme="minorHAnsi"/>
                <w:sz w:val="20"/>
                <w:szCs w:val="20"/>
              </w:rPr>
            </w:pPr>
            <w:r w:rsidRPr="00175043">
              <w:rPr>
                <w:rFonts w:cstheme="minorHAnsi"/>
                <w:sz w:val="20"/>
                <w:szCs w:val="20"/>
              </w:rPr>
              <w:t>RCL</w:t>
            </w:r>
          </w:p>
        </w:tc>
        <w:tc>
          <w:tcPr>
            <w:tcW w:w="1134" w:type="dxa"/>
          </w:tcPr>
          <w:p w:rsidR="00EC6341" w:rsidRPr="00175043" w:rsidRDefault="00EC6341" w:rsidP="00D3193D">
            <w:pPr>
              <w:rPr>
                <w:rFonts w:cstheme="minorHAnsi"/>
                <w:sz w:val="20"/>
                <w:szCs w:val="20"/>
              </w:rPr>
            </w:pPr>
            <w:r w:rsidRPr="00175043">
              <w:rPr>
                <w:rFonts w:cstheme="minorHAnsi"/>
                <w:sz w:val="20"/>
                <w:szCs w:val="20"/>
              </w:rPr>
              <w:t>§ 5-11</w:t>
            </w:r>
          </w:p>
        </w:tc>
        <w:tc>
          <w:tcPr>
            <w:tcW w:w="6095" w:type="dxa"/>
          </w:tcPr>
          <w:p w:rsidR="00EC6341" w:rsidRPr="00175043" w:rsidRDefault="00EC6341" w:rsidP="000B70C0">
            <w:pPr>
              <w:rPr>
                <w:rFonts w:cstheme="minorHAnsi"/>
                <w:sz w:val="20"/>
                <w:szCs w:val="20"/>
              </w:rPr>
            </w:pPr>
            <w:r w:rsidRPr="00175043">
              <w:rPr>
                <w:rFonts w:cstheme="minorHAnsi"/>
                <w:sz w:val="20"/>
                <w:szCs w:val="20"/>
              </w:rPr>
              <w:t>Należy zauważyć, że przepisy § 5 – 11 projektu regulują te same kwestie na różnych poziomach szczegółowości; proponuje się więc takie przeredagowanie projektu, aby nie zawierał ponownego rozstrzygania tych samych kwestii.</w:t>
            </w:r>
          </w:p>
        </w:tc>
        <w:tc>
          <w:tcPr>
            <w:tcW w:w="4360" w:type="dxa"/>
          </w:tcPr>
          <w:p w:rsidR="00EC6341" w:rsidRPr="00175043" w:rsidRDefault="00EC6341" w:rsidP="004B3AEF">
            <w:pPr>
              <w:rPr>
                <w:rFonts w:cstheme="minorHAnsi"/>
                <w:sz w:val="20"/>
                <w:szCs w:val="20"/>
              </w:rPr>
            </w:pPr>
            <w:r w:rsidRPr="00175043">
              <w:rPr>
                <w:rFonts w:cstheme="minorHAnsi"/>
                <w:sz w:val="20"/>
                <w:szCs w:val="20"/>
              </w:rPr>
              <w:t>Uwaga nieuwzględniona.</w:t>
            </w:r>
          </w:p>
          <w:p w:rsidR="00EC6341" w:rsidRPr="00175043" w:rsidRDefault="00EC6341" w:rsidP="00177B1A">
            <w:pPr>
              <w:rPr>
                <w:rFonts w:cstheme="minorHAnsi"/>
                <w:sz w:val="20"/>
                <w:szCs w:val="20"/>
              </w:rPr>
            </w:pPr>
            <w:r w:rsidRPr="00175043">
              <w:rPr>
                <w:rFonts w:cstheme="minorHAnsi"/>
                <w:sz w:val="20"/>
                <w:szCs w:val="20"/>
              </w:rPr>
              <w:t xml:space="preserve">Wskazane przepisy dotyczą różnych kwestii. § 5 dotyczy budynków i pomieszczeń w których przechowuje się blankiety, § 6 umowy pomiędzy emitentem a wytwórcą, § 7 zawartości dokumentacji technicznej, § 8 przechowywania, dostępu i przekazania emitentowi dokumentacji technicznej, § 9 przechowywania akcesoriów i materiałów, § 10 pomieszczeń w których przechowuje się dokumentację techniczną, akcesoria, materiały itp., § 11 </w:t>
            </w:r>
            <w:r w:rsidR="00177B1A" w:rsidRPr="00175043">
              <w:rPr>
                <w:rFonts w:cstheme="minorHAnsi"/>
                <w:sz w:val="20"/>
                <w:szCs w:val="20"/>
              </w:rPr>
              <w:t xml:space="preserve">szaf i pojemników znajdujących się w pomieszczenia o których mowa </w:t>
            </w:r>
            <w:r w:rsidR="00177B1A" w:rsidRPr="00175043">
              <w:rPr>
                <w:rFonts w:cstheme="minorHAnsi"/>
                <w:sz w:val="20"/>
                <w:szCs w:val="20"/>
              </w:rPr>
              <w:lastRenderedPageBreak/>
              <w:t xml:space="preserve">w § 10. Każdy spośród wskazanych przepisów dotyczy czego innego.  </w:t>
            </w:r>
          </w:p>
        </w:tc>
      </w:tr>
      <w:tr w:rsidR="00177B1A" w:rsidRPr="00175043" w:rsidTr="00D3193D">
        <w:tc>
          <w:tcPr>
            <w:tcW w:w="562" w:type="dxa"/>
          </w:tcPr>
          <w:p w:rsidR="00177B1A" w:rsidRPr="00175043" w:rsidRDefault="008E14BC" w:rsidP="00D3193D">
            <w:pPr>
              <w:rPr>
                <w:rFonts w:cstheme="minorHAnsi"/>
                <w:sz w:val="20"/>
                <w:szCs w:val="20"/>
              </w:rPr>
            </w:pPr>
            <w:r w:rsidRPr="00175043">
              <w:rPr>
                <w:rFonts w:cstheme="minorHAnsi"/>
                <w:sz w:val="20"/>
                <w:szCs w:val="20"/>
              </w:rPr>
              <w:lastRenderedPageBreak/>
              <w:t>32</w:t>
            </w:r>
          </w:p>
        </w:tc>
        <w:tc>
          <w:tcPr>
            <w:tcW w:w="1843" w:type="dxa"/>
          </w:tcPr>
          <w:p w:rsidR="00177B1A" w:rsidRPr="00175043" w:rsidRDefault="00177B1A" w:rsidP="00D3193D">
            <w:pPr>
              <w:rPr>
                <w:rFonts w:cstheme="minorHAnsi"/>
                <w:sz w:val="20"/>
                <w:szCs w:val="20"/>
              </w:rPr>
            </w:pPr>
            <w:r w:rsidRPr="00175043">
              <w:rPr>
                <w:rFonts w:cstheme="minorHAnsi"/>
                <w:sz w:val="20"/>
                <w:szCs w:val="20"/>
              </w:rPr>
              <w:t>RCL</w:t>
            </w:r>
          </w:p>
        </w:tc>
        <w:tc>
          <w:tcPr>
            <w:tcW w:w="1134" w:type="dxa"/>
          </w:tcPr>
          <w:p w:rsidR="00177B1A" w:rsidRPr="00175043" w:rsidRDefault="00177B1A" w:rsidP="00D3193D">
            <w:pPr>
              <w:rPr>
                <w:rFonts w:cstheme="minorHAnsi"/>
                <w:sz w:val="20"/>
                <w:szCs w:val="20"/>
              </w:rPr>
            </w:pPr>
            <w:r w:rsidRPr="00175043">
              <w:rPr>
                <w:rFonts w:cstheme="minorHAnsi"/>
                <w:sz w:val="20"/>
                <w:szCs w:val="20"/>
              </w:rPr>
              <w:t>§ 8 ust</w:t>
            </w:r>
            <w:r w:rsidR="00B628B1">
              <w:rPr>
                <w:rFonts w:cstheme="minorHAnsi"/>
                <w:sz w:val="20"/>
                <w:szCs w:val="20"/>
              </w:rPr>
              <w:t>.</w:t>
            </w:r>
            <w:r w:rsidRPr="00175043">
              <w:rPr>
                <w:rFonts w:cstheme="minorHAnsi"/>
                <w:sz w:val="20"/>
                <w:szCs w:val="20"/>
              </w:rPr>
              <w:t xml:space="preserve"> 3-5</w:t>
            </w:r>
          </w:p>
        </w:tc>
        <w:tc>
          <w:tcPr>
            <w:tcW w:w="6095" w:type="dxa"/>
          </w:tcPr>
          <w:p w:rsidR="00177B1A" w:rsidRPr="00175043" w:rsidRDefault="00177B1A" w:rsidP="000B70C0">
            <w:pPr>
              <w:rPr>
                <w:rFonts w:cstheme="minorHAnsi"/>
                <w:sz w:val="20"/>
                <w:szCs w:val="20"/>
              </w:rPr>
            </w:pPr>
            <w:r w:rsidRPr="00175043">
              <w:rPr>
                <w:rFonts w:cstheme="minorHAnsi"/>
                <w:sz w:val="20"/>
                <w:szCs w:val="20"/>
              </w:rPr>
              <w:t>Przepisy § 8 ust. 3 - 5 projektu wymagają wykreślenia - regulacja w nich zawarta wykracza poza upoważnienie ustawowe, ponieważ nie reguluje zasad w zakresie bezpieczeństwa wytwarzania blankietów dokumentów publicznych.</w:t>
            </w:r>
          </w:p>
        </w:tc>
        <w:tc>
          <w:tcPr>
            <w:tcW w:w="4360" w:type="dxa"/>
          </w:tcPr>
          <w:p w:rsidR="00177B1A" w:rsidRPr="00175043" w:rsidRDefault="00177B1A" w:rsidP="004B3AEF">
            <w:pPr>
              <w:rPr>
                <w:rFonts w:cstheme="minorHAnsi"/>
                <w:sz w:val="20"/>
                <w:szCs w:val="20"/>
              </w:rPr>
            </w:pPr>
            <w:r w:rsidRPr="00175043">
              <w:rPr>
                <w:rFonts w:cstheme="minorHAnsi"/>
                <w:sz w:val="20"/>
                <w:szCs w:val="20"/>
              </w:rPr>
              <w:t>Uwaga nieuwzględniona.</w:t>
            </w:r>
          </w:p>
          <w:p w:rsidR="00177B1A" w:rsidRPr="00175043" w:rsidRDefault="00177B1A" w:rsidP="00177B1A">
            <w:pPr>
              <w:rPr>
                <w:rFonts w:cstheme="minorHAnsi"/>
                <w:sz w:val="20"/>
                <w:szCs w:val="20"/>
              </w:rPr>
            </w:pPr>
            <w:r w:rsidRPr="00175043">
              <w:rPr>
                <w:rFonts w:cstheme="minorHAnsi"/>
                <w:sz w:val="20"/>
                <w:szCs w:val="20"/>
              </w:rPr>
              <w:t xml:space="preserve">Dokumentacja techniczna jest podstawowym dokumentem w oparciu o który wytwarzany jest określony blankiet dokumentu publicznego. Zawiera ona wszystkie dane niezbędne do uruchomienia produkcji danego dokumentu w jakimkolwiek innym miejscu na świecie. Z tego względu niezbędne jest utrzymywanie pełnej kontroli nad tym najważniejszym dokumentem, który ma bezpośredni i podstawowy wpływ na bezpieczeństwo wytwarzania blankietów dokumentów publicznych. Konieczne jest przy tym, aby stosowna dokumentacja znajdowała się u emitenta, który w przypadku wystąpienia sytuacji kryzysowej będzie mógł, w oparciu o dokumentację techniczną, wznowić produkcję i zapewnić odpowiednią liczbę blankietów dokumentów publicznych celem zachowania prawidłowego obrotu prawnego. Konieczne jest jednocześnie dochowanie niezbędnych środków dla zapewnienia, aby producent blankietów nie posiadał w swoich zasobach dokumentacji, która jest mu zbędna, a zetem po zakończeniu produkcji. Pozostawienie u producenta dokumentacji technicznej w sytuacji, w której jest ona zbędna na skutek zakończenia produkcji niesie ze sobą wielkie zagrożenie przeniknięcia danych produkcyjnych dokumentów do fałszerzy, co może zachwiać systemem bezpieczeństwa dokumentów publicznych. </w:t>
            </w:r>
          </w:p>
        </w:tc>
      </w:tr>
      <w:tr w:rsidR="00F96726" w:rsidRPr="00175043" w:rsidTr="00D3193D">
        <w:tc>
          <w:tcPr>
            <w:tcW w:w="562" w:type="dxa"/>
          </w:tcPr>
          <w:p w:rsidR="00F96726" w:rsidRPr="00175043" w:rsidRDefault="008E14BC" w:rsidP="00D3193D">
            <w:pPr>
              <w:rPr>
                <w:rFonts w:cstheme="minorHAnsi"/>
                <w:sz w:val="20"/>
                <w:szCs w:val="20"/>
              </w:rPr>
            </w:pPr>
            <w:r w:rsidRPr="00175043">
              <w:rPr>
                <w:rFonts w:cstheme="minorHAnsi"/>
                <w:sz w:val="20"/>
                <w:szCs w:val="20"/>
              </w:rPr>
              <w:t>33</w:t>
            </w:r>
          </w:p>
        </w:tc>
        <w:tc>
          <w:tcPr>
            <w:tcW w:w="1843" w:type="dxa"/>
          </w:tcPr>
          <w:p w:rsidR="00F96726" w:rsidRPr="00175043" w:rsidRDefault="00F96726" w:rsidP="00D3193D">
            <w:pPr>
              <w:rPr>
                <w:rFonts w:cstheme="minorHAnsi"/>
                <w:sz w:val="20"/>
                <w:szCs w:val="20"/>
              </w:rPr>
            </w:pPr>
            <w:r w:rsidRPr="00175043">
              <w:rPr>
                <w:rFonts w:cstheme="minorHAnsi"/>
                <w:sz w:val="20"/>
                <w:szCs w:val="20"/>
              </w:rPr>
              <w:t>RCL</w:t>
            </w:r>
          </w:p>
        </w:tc>
        <w:tc>
          <w:tcPr>
            <w:tcW w:w="1134" w:type="dxa"/>
          </w:tcPr>
          <w:p w:rsidR="00F96726" w:rsidRPr="00175043" w:rsidRDefault="00664228" w:rsidP="00D3193D">
            <w:pPr>
              <w:rPr>
                <w:rFonts w:cstheme="minorHAnsi"/>
                <w:sz w:val="20"/>
                <w:szCs w:val="20"/>
              </w:rPr>
            </w:pPr>
            <w:r w:rsidRPr="00175043">
              <w:rPr>
                <w:rFonts w:cstheme="minorHAnsi"/>
                <w:sz w:val="20"/>
                <w:szCs w:val="20"/>
              </w:rPr>
              <w:t>§ 10 i 11</w:t>
            </w:r>
          </w:p>
        </w:tc>
        <w:tc>
          <w:tcPr>
            <w:tcW w:w="6095" w:type="dxa"/>
          </w:tcPr>
          <w:p w:rsidR="00F96726" w:rsidRPr="00175043" w:rsidRDefault="00F96726" w:rsidP="000B70C0">
            <w:pPr>
              <w:rPr>
                <w:rFonts w:cstheme="minorHAnsi"/>
                <w:sz w:val="20"/>
                <w:szCs w:val="20"/>
              </w:rPr>
            </w:pPr>
            <w:r w:rsidRPr="00175043">
              <w:rPr>
                <w:rFonts w:cstheme="minorHAnsi"/>
                <w:sz w:val="20"/>
                <w:szCs w:val="20"/>
              </w:rPr>
              <w:t xml:space="preserve">Odnośnie do przepisów § 10 i 11 projektu należy zauważyć, że zgodnie z art. 5 ust. 3 ustawy o normalizacji z dnia 12 września 2002 r.(Dz. U. z 2015 r. poz. 1483) stosowanie Polskich Norm jest dobrowolne. Powołanie się na normę w przepisie prawnym nie zmienia jej </w:t>
            </w:r>
            <w:r w:rsidRPr="00175043">
              <w:rPr>
                <w:rFonts w:cstheme="minorHAnsi"/>
                <w:sz w:val="20"/>
                <w:szCs w:val="20"/>
              </w:rPr>
              <w:lastRenderedPageBreak/>
              <w:t>dobrowolnego statusu, chyba, że ustawodawca świadomie chce ten status zmienić. Jest to możliwe jedynie przez wyraźne wskazanie w postanowieniach innej ustawy. Odniesienie się do Polskiej Normy w akcie prawnym niższego rzędu niż ustawa nie jest wystarczającą przesłanką do stwierdzenia obowiązku jej stosowania.</w:t>
            </w:r>
          </w:p>
        </w:tc>
        <w:tc>
          <w:tcPr>
            <w:tcW w:w="4360" w:type="dxa"/>
          </w:tcPr>
          <w:p w:rsidR="00F96726" w:rsidRPr="00175043" w:rsidRDefault="00664228" w:rsidP="004B3AEF">
            <w:pPr>
              <w:rPr>
                <w:rFonts w:cstheme="minorHAnsi"/>
                <w:sz w:val="20"/>
                <w:szCs w:val="20"/>
              </w:rPr>
            </w:pPr>
            <w:r w:rsidRPr="00175043">
              <w:rPr>
                <w:rFonts w:cstheme="minorHAnsi"/>
                <w:sz w:val="20"/>
                <w:szCs w:val="20"/>
              </w:rPr>
              <w:lastRenderedPageBreak/>
              <w:t>Uwaga nieuwzględniona.</w:t>
            </w:r>
          </w:p>
          <w:p w:rsidR="00664228" w:rsidRPr="00175043" w:rsidRDefault="00664228" w:rsidP="00664228">
            <w:pPr>
              <w:rPr>
                <w:rFonts w:cstheme="minorHAnsi"/>
                <w:sz w:val="20"/>
                <w:szCs w:val="20"/>
              </w:rPr>
            </w:pPr>
            <w:r w:rsidRPr="00175043">
              <w:rPr>
                <w:rFonts w:cstheme="minorHAnsi"/>
                <w:sz w:val="20"/>
                <w:szCs w:val="20"/>
              </w:rPr>
              <w:t xml:space="preserve">Przyjęta w projekcie konstrukcja prowadzi do racjonalizacji produkcji i usług poprzez stosowanie uznanych reguł technicznych i rozwiązań </w:t>
            </w:r>
            <w:r w:rsidRPr="00175043">
              <w:rPr>
                <w:rFonts w:cstheme="minorHAnsi"/>
                <w:sz w:val="20"/>
                <w:szCs w:val="20"/>
              </w:rPr>
              <w:lastRenderedPageBreak/>
              <w:t>organizacyjnych, poprawia funkcjonalności, kompatybilności i zamienności procesów, zapewnia jakość i niezawodność procesów oraz ułatwia porozumiewanie się poprzez posługiwanie się terminami, definicjami, oznaczeniami i symbolami do powszechnego stosowania. Powyższe działania mają niezwykle doniosłe znaczenie zwłaszcza w obszarze bezpieczeństwa. Z tego względu zasadne jest kierunkowe posłużenie się zapisami określonych norm.</w:t>
            </w:r>
          </w:p>
          <w:p w:rsidR="008E14BC" w:rsidRPr="00AC65E2" w:rsidRDefault="00AC65E2" w:rsidP="008E14BC">
            <w:pPr>
              <w:rPr>
                <w:rFonts w:cstheme="minorHAnsi"/>
                <w:sz w:val="20"/>
                <w:szCs w:val="20"/>
              </w:rPr>
            </w:pPr>
            <w:r>
              <w:rPr>
                <w:rFonts w:cstheme="minorHAnsi"/>
                <w:sz w:val="20"/>
                <w:szCs w:val="20"/>
              </w:rPr>
              <w:t>Nie bez znaczenia pozostaje fakt, że praktyka odwoływania się do norm jest powszechna w systemie prawa. Sytuacja taka występuje chociażby w rozporządzeniu RM w sprawie środków bezpieczeństwa fizycznego stosowanych do zabezpieczania informacji niejawnych (Dz.U. 2017, 522).</w:t>
            </w:r>
          </w:p>
        </w:tc>
      </w:tr>
      <w:tr w:rsidR="00664228" w:rsidRPr="00175043" w:rsidTr="00D3193D">
        <w:tc>
          <w:tcPr>
            <w:tcW w:w="562" w:type="dxa"/>
          </w:tcPr>
          <w:p w:rsidR="00664228" w:rsidRPr="00175043" w:rsidRDefault="008E14BC" w:rsidP="00D3193D">
            <w:pPr>
              <w:rPr>
                <w:rFonts w:cstheme="minorHAnsi"/>
                <w:sz w:val="20"/>
                <w:szCs w:val="20"/>
              </w:rPr>
            </w:pPr>
            <w:r w:rsidRPr="00175043">
              <w:rPr>
                <w:rFonts w:cstheme="minorHAnsi"/>
                <w:sz w:val="20"/>
                <w:szCs w:val="20"/>
              </w:rPr>
              <w:lastRenderedPageBreak/>
              <w:t>34</w:t>
            </w:r>
          </w:p>
        </w:tc>
        <w:tc>
          <w:tcPr>
            <w:tcW w:w="1843" w:type="dxa"/>
          </w:tcPr>
          <w:p w:rsidR="00664228" w:rsidRPr="00175043" w:rsidRDefault="00664228" w:rsidP="00D3193D">
            <w:pPr>
              <w:rPr>
                <w:rFonts w:cstheme="minorHAnsi"/>
                <w:sz w:val="20"/>
                <w:szCs w:val="20"/>
              </w:rPr>
            </w:pPr>
            <w:r w:rsidRPr="00175043">
              <w:rPr>
                <w:rFonts w:cstheme="minorHAnsi"/>
                <w:sz w:val="20"/>
                <w:szCs w:val="20"/>
              </w:rPr>
              <w:t>RCL</w:t>
            </w:r>
          </w:p>
        </w:tc>
        <w:tc>
          <w:tcPr>
            <w:tcW w:w="1134" w:type="dxa"/>
          </w:tcPr>
          <w:p w:rsidR="00664228" w:rsidRPr="00175043" w:rsidRDefault="00664228" w:rsidP="00D3193D">
            <w:pPr>
              <w:rPr>
                <w:rFonts w:cstheme="minorHAnsi"/>
                <w:sz w:val="20"/>
                <w:szCs w:val="20"/>
              </w:rPr>
            </w:pPr>
            <w:r w:rsidRPr="00175043">
              <w:rPr>
                <w:rFonts w:cstheme="minorHAnsi"/>
                <w:sz w:val="20"/>
                <w:szCs w:val="20"/>
              </w:rPr>
              <w:t>§ 13</w:t>
            </w:r>
          </w:p>
        </w:tc>
        <w:tc>
          <w:tcPr>
            <w:tcW w:w="6095" w:type="dxa"/>
          </w:tcPr>
          <w:p w:rsidR="00664228" w:rsidRPr="00175043" w:rsidRDefault="00664228" w:rsidP="000B70C0">
            <w:pPr>
              <w:rPr>
                <w:rFonts w:cstheme="minorHAnsi"/>
                <w:sz w:val="20"/>
                <w:szCs w:val="20"/>
              </w:rPr>
            </w:pPr>
            <w:r w:rsidRPr="00175043">
              <w:rPr>
                <w:rFonts w:cstheme="minorHAnsi"/>
                <w:sz w:val="20"/>
                <w:szCs w:val="20"/>
              </w:rPr>
              <w:t>Przepis § 13 projektu reguluje kwestie niszczenia odpadów i braków produkcyjnych. Należy zauważyć, że projekt nie odnosi się do pozostałych, wymienionych w art. 19 ust. 3 pkt 7 ustawy upoważniającej, „pozostałości materiałów i innych elementów używanych do wytwarzania blankietów dokumentów publicznych wymagających protokolarnego niszczenia”, kwestia ta wymaga wyjaśnienia. Jednocześnie wymaga wskazania, że ustalenie liczby członków komisji nie znajduje podstaw w treści przepisu art. 21 ustawy upoważniającej.</w:t>
            </w:r>
          </w:p>
        </w:tc>
        <w:tc>
          <w:tcPr>
            <w:tcW w:w="4360" w:type="dxa"/>
          </w:tcPr>
          <w:p w:rsidR="00664228" w:rsidRPr="00175043" w:rsidRDefault="00664228" w:rsidP="004B3AEF">
            <w:pPr>
              <w:rPr>
                <w:rFonts w:cstheme="minorHAnsi"/>
                <w:sz w:val="20"/>
                <w:szCs w:val="20"/>
              </w:rPr>
            </w:pPr>
            <w:r w:rsidRPr="00175043">
              <w:rPr>
                <w:rFonts w:cstheme="minorHAnsi"/>
                <w:sz w:val="20"/>
                <w:szCs w:val="20"/>
              </w:rPr>
              <w:t>Uwaga uwzględniona.</w:t>
            </w:r>
          </w:p>
          <w:p w:rsidR="00664228" w:rsidRPr="00175043" w:rsidRDefault="00664228" w:rsidP="004B3AEF">
            <w:pPr>
              <w:rPr>
                <w:rFonts w:cstheme="minorHAnsi"/>
                <w:sz w:val="20"/>
                <w:szCs w:val="20"/>
              </w:rPr>
            </w:pPr>
            <w:r w:rsidRPr="00175043">
              <w:rPr>
                <w:rFonts w:cstheme="minorHAnsi"/>
                <w:sz w:val="20"/>
                <w:szCs w:val="20"/>
              </w:rPr>
              <w:t xml:space="preserve">Usunięty zostanie zapis dot. liczby członków komisji. Zapis zostanie jednocześnie uzupełniony zgodnie z brzmieniem art. 19 ust 3 pkt 7 ustawy. </w:t>
            </w:r>
          </w:p>
        </w:tc>
      </w:tr>
      <w:tr w:rsidR="00664228" w:rsidRPr="00175043" w:rsidTr="00D3193D">
        <w:tc>
          <w:tcPr>
            <w:tcW w:w="562" w:type="dxa"/>
          </w:tcPr>
          <w:p w:rsidR="00664228" w:rsidRPr="00175043" w:rsidRDefault="008E14BC" w:rsidP="00D3193D">
            <w:pPr>
              <w:rPr>
                <w:rFonts w:cstheme="minorHAnsi"/>
                <w:sz w:val="20"/>
                <w:szCs w:val="20"/>
              </w:rPr>
            </w:pPr>
            <w:r w:rsidRPr="00175043">
              <w:rPr>
                <w:rFonts w:cstheme="minorHAnsi"/>
                <w:sz w:val="20"/>
                <w:szCs w:val="20"/>
              </w:rPr>
              <w:t>35</w:t>
            </w:r>
          </w:p>
        </w:tc>
        <w:tc>
          <w:tcPr>
            <w:tcW w:w="1843" w:type="dxa"/>
          </w:tcPr>
          <w:p w:rsidR="00664228" w:rsidRPr="00175043" w:rsidRDefault="00664228" w:rsidP="00D3193D">
            <w:pPr>
              <w:rPr>
                <w:rFonts w:cstheme="minorHAnsi"/>
                <w:sz w:val="20"/>
                <w:szCs w:val="20"/>
              </w:rPr>
            </w:pPr>
            <w:r w:rsidRPr="00175043">
              <w:rPr>
                <w:rFonts w:cstheme="minorHAnsi"/>
                <w:sz w:val="20"/>
                <w:szCs w:val="20"/>
              </w:rPr>
              <w:t>RCL</w:t>
            </w:r>
          </w:p>
        </w:tc>
        <w:tc>
          <w:tcPr>
            <w:tcW w:w="1134" w:type="dxa"/>
          </w:tcPr>
          <w:p w:rsidR="00664228" w:rsidRPr="00175043" w:rsidRDefault="00664228" w:rsidP="00D3193D">
            <w:pPr>
              <w:rPr>
                <w:rFonts w:cstheme="minorHAnsi"/>
                <w:sz w:val="20"/>
                <w:szCs w:val="20"/>
              </w:rPr>
            </w:pPr>
            <w:r w:rsidRPr="00175043">
              <w:rPr>
                <w:rFonts w:cstheme="minorHAnsi"/>
                <w:sz w:val="20"/>
                <w:szCs w:val="20"/>
              </w:rPr>
              <w:t>§ 21-23</w:t>
            </w:r>
          </w:p>
        </w:tc>
        <w:tc>
          <w:tcPr>
            <w:tcW w:w="6095" w:type="dxa"/>
          </w:tcPr>
          <w:p w:rsidR="00664228" w:rsidRPr="00175043" w:rsidRDefault="00664228" w:rsidP="000B70C0">
            <w:pPr>
              <w:rPr>
                <w:rFonts w:cstheme="minorHAnsi"/>
                <w:sz w:val="20"/>
                <w:szCs w:val="20"/>
              </w:rPr>
            </w:pPr>
            <w:r w:rsidRPr="00175043">
              <w:rPr>
                <w:rFonts w:cstheme="minorHAnsi"/>
                <w:sz w:val="20"/>
                <w:szCs w:val="20"/>
              </w:rPr>
              <w:t>Przepisy § 21 – 23 projektu wymagają przeredagowania. W celu pełnej realizacji upoważnienia ustawowego powinny być sformułowane tak, by zawierały zasady bezpieczeństwa a nie obowiązki wytwórcy.</w:t>
            </w:r>
          </w:p>
        </w:tc>
        <w:tc>
          <w:tcPr>
            <w:tcW w:w="4360" w:type="dxa"/>
          </w:tcPr>
          <w:p w:rsidR="00664228" w:rsidRPr="00175043" w:rsidRDefault="00664228" w:rsidP="004B3AEF">
            <w:pPr>
              <w:rPr>
                <w:rFonts w:cstheme="minorHAnsi"/>
                <w:sz w:val="20"/>
                <w:szCs w:val="20"/>
              </w:rPr>
            </w:pPr>
            <w:r w:rsidRPr="00175043">
              <w:rPr>
                <w:rFonts w:cstheme="minorHAnsi"/>
                <w:sz w:val="20"/>
                <w:szCs w:val="20"/>
              </w:rPr>
              <w:t>Uwaga uwzględniona.</w:t>
            </w:r>
          </w:p>
          <w:p w:rsidR="00664228" w:rsidRPr="00175043" w:rsidRDefault="00664228" w:rsidP="00AC65E2">
            <w:pPr>
              <w:rPr>
                <w:rFonts w:cstheme="minorHAnsi"/>
                <w:sz w:val="20"/>
                <w:szCs w:val="20"/>
              </w:rPr>
            </w:pPr>
            <w:r w:rsidRPr="00175043">
              <w:rPr>
                <w:rFonts w:cstheme="minorHAnsi"/>
                <w:sz w:val="20"/>
                <w:szCs w:val="20"/>
              </w:rPr>
              <w:t>Przepisy zostaną zmodyfikowane tak, by nie wynikały z</w:t>
            </w:r>
            <w:r w:rsidR="00AC65E2">
              <w:rPr>
                <w:rFonts w:cstheme="minorHAnsi"/>
                <w:sz w:val="20"/>
                <w:szCs w:val="20"/>
              </w:rPr>
              <w:t xml:space="preserve"> nich wyrażone wprost obowiązki.</w:t>
            </w:r>
          </w:p>
        </w:tc>
      </w:tr>
      <w:tr w:rsidR="00664228" w:rsidRPr="00175043" w:rsidTr="00D3193D">
        <w:tc>
          <w:tcPr>
            <w:tcW w:w="562" w:type="dxa"/>
          </w:tcPr>
          <w:p w:rsidR="00664228" w:rsidRPr="00175043" w:rsidRDefault="008E14BC" w:rsidP="00D3193D">
            <w:pPr>
              <w:rPr>
                <w:rFonts w:cstheme="minorHAnsi"/>
                <w:sz w:val="20"/>
                <w:szCs w:val="20"/>
              </w:rPr>
            </w:pPr>
            <w:r w:rsidRPr="00175043">
              <w:rPr>
                <w:rFonts w:cstheme="minorHAnsi"/>
                <w:sz w:val="20"/>
                <w:szCs w:val="20"/>
              </w:rPr>
              <w:t>36</w:t>
            </w:r>
          </w:p>
        </w:tc>
        <w:tc>
          <w:tcPr>
            <w:tcW w:w="1843" w:type="dxa"/>
          </w:tcPr>
          <w:p w:rsidR="00664228" w:rsidRPr="00175043" w:rsidRDefault="00004FEB" w:rsidP="00D3193D">
            <w:pPr>
              <w:rPr>
                <w:rFonts w:cstheme="minorHAnsi"/>
                <w:sz w:val="20"/>
                <w:szCs w:val="20"/>
              </w:rPr>
            </w:pPr>
            <w:r w:rsidRPr="00175043">
              <w:rPr>
                <w:rFonts w:cstheme="minorHAnsi"/>
                <w:sz w:val="20"/>
                <w:szCs w:val="20"/>
              </w:rPr>
              <w:t>PWPW</w:t>
            </w:r>
          </w:p>
        </w:tc>
        <w:tc>
          <w:tcPr>
            <w:tcW w:w="1134" w:type="dxa"/>
          </w:tcPr>
          <w:p w:rsidR="00664228" w:rsidRPr="00175043" w:rsidRDefault="00004FEB" w:rsidP="00D3193D">
            <w:pPr>
              <w:rPr>
                <w:rFonts w:cstheme="minorHAnsi"/>
                <w:sz w:val="20"/>
                <w:szCs w:val="20"/>
              </w:rPr>
            </w:pPr>
            <w:r w:rsidRPr="00175043">
              <w:rPr>
                <w:rFonts w:cstheme="minorHAnsi"/>
                <w:sz w:val="20"/>
                <w:szCs w:val="20"/>
              </w:rPr>
              <w:t>§ 1</w:t>
            </w:r>
          </w:p>
        </w:tc>
        <w:tc>
          <w:tcPr>
            <w:tcW w:w="6095" w:type="dxa"/>
          </w:tcPr>
          <w:p w:rsidR="00664228" w:rsidRPr="00175043" w:rsidRDefault="00004FEB" w:rsidP="000B70C0">
            <w:pPr>
              <w:rPr>
                <w:rFonts w:cstheme="minorHAnsi"/>
                <w:sz w:val="20"/>
                <w:szCs w:val="20"/>
              </w:rPr>
            </w:pPr>
            <w:r w:rsidRPr="00175043">
              <w:rPr>
                <w:rFonts w:cstheme="minorHAnsi"/>
                <w:sz w:val="20"/>
                <w:szCs w:val="20"/>
              </w:rPr>
              <w:t xml:space="preserve">W celu jednoznacznego przesądzenia kwestii nie podlegania Spółki pod regulacje rozporządzenia proponujemy w § 1 rozporządzenia zawarcie doprecyzowania zawężającego stosowanie rozporządzenia </w:t>
            </w:r>
            <w:r w:rsidR="00753FFB" w:rsidRPr="00175043">
              <w:rPr>
                <w:rFonts w:cstheme="minorHAnsi"/>
                <w:sz w:val="20"/>
                <w:szCs w:val="20"/>
              </w:rPr>
              <w:t>tylko „do podmiotów innych niż Spółka”. Obecny przepis § 3 projektu wydaje się niewystarczający, gdyż nie odnosi się do całego zakresu przedmiotowego projektu a jedynie do postanowień dotyczących „wytwórcy”.</w:t>
            </w:r>
          </w:p>
        </w:tc>
        <w:tc>
          <w:tcPr>
            <w:tcW w:w="4360" w:type="dxa"/>
          </w:tcPr>
          <w:p w:rsidR="00664228" w:rsidRPr="00175043" w:rsidRDefault="00753FFB" w:rsidP="004B3AEF">
            <w:pPr>
              <w:rPr>
                <w:rFonts w:cstheme="minorHAnsi"/>
                <w:sz w:val="20"/>
                <w:szCs w:val="20"/>
              </w:rPr>
            </w:pPr>
            <w:r w:rsidRPr="00175043">
              <w:rPr>
                <w:rFonts w:cstheme="minorHAnsi"/>
                <w:sz w:val="20"/>
                <w:szCs w:val="20"/>
              </w:rPr>
              <w:t>Uwaga nieuwzględniona.</w:t>
            </w:r>
          </w:p>
          <w:p w:rsidR="00753FFB" w:rsidRPr="00175043" w:rsidRDefault="00753FFB" w:rsidP="004B3AEF">
            <w:pPr>
              <w:rPr>
                <w:rFonts w:cstheme="minorHAnsi"/>
                <w:sz w:val="20"/>
                <w:szCs w:val="20"/>
              </w:rPr>
            </w:pPr>
            <w:r w:rsidRPr="00175043">
              <w:rPr>
                <w:rFonts w:cstheme="minorHAnsi"/>
                <w:sz w:val="20"/>
                <w:szCs w:val="20"/>
              </w:rPr>
              <w:t>Wyłączenie Spółki spod regulacji omawianego rozporządzenia wynika jednoznacznie z przepisów ustawy o dokumentach publicznych. Dlatego nie ma uzasadnienia wprowadzania dodatkowych zapisów do rozporządzenia.</w:t>
            </w:r>
          </w:p>
        </w:tc>
      </w:tr>
      <w:tr w:rsidR="00482CE5" w:rsidRPr="00175043" w:rsidTr="00D3193D">
        <w:tc>
          <w:tcPr>
            <w:tcW w:w="562" w:type="dxa"/>
          </w:tcPr>
          <w:p w:rsidR="00482CE5" w:rsidRPr="00175043" w:rsidRDefault="008E14BC" w:rsidP="00D3193D">
            <w:pPr>
              <w:rPr>
                <w:rFonts w:cstheme="minorHAnsi"/>
                <w:sz w:val="20"/>
                <w:szCs w:val="20"/>
              </w:rPr>
            </w:pPr>
            <w:r w:rsidRPr="00175043">
              <w:rPr>
                <w:rFonts w:cstheme="minorHAnsi"/>
                <w:sz w:val="20"/>
                <w:szCs w:val="20"/>
              </w:rPr>
              <w:lastRenderedPageBreak/>
              <w:t>37</w:t>
            </w:r>
          </w:p>
        </w:tc>
        <w:tc>
          <w:tcPr>
            <w:tcW w:w="1843" w:type="dxa"/>
          </w:tcPr>
          <w:p w:rsidR="00482CE5" w:rsidRPr="00175043" w:rsidRDefault="00482CE5" w:rsidP="00D3193D">
            <w:pPr>
              <w:rPr>
                <w:rFonts w:cstheme="minorHAnsi"/>
                <w:sz w:val="20"/>
                <w:szCs w:val="20"/>
              </w:rPr>
            </w:pPr>
            <w:r w:rsidRPr="00175043">
              <w:rPr>
                <w:rFonts w:cstheme="minorHAnsi"/>
                <w:sz w:val="20"/>
                <w:szCs w:val="20"/>
              </w:rPr>
              <w:t>MC</w:t>
            </w:r>
          </w:p>
        </w:tc>
        <w:tc>
          <w:tcPr>
            <w:tcW w:w="1134" w:type="dxa"/>
          </w:tcPr>
          <w:p w:rsidR="00482CE5" w:rsidRPr="00175043" w:rsidRDefault="00482CE5" w:rsidP="00D3193D">
            <w:pPr>
              <w:rPr>
                <w:rFonts w:cstheme="minorHAnsi"/>
                <w:sz w:val="20"/>
                <w:szCs w:val="20"/>
              </w:rPr>
            </w:pPr>
            <w:r w:rsidRPr="00175043">
              <w:rPr>
                <w:rFonts w:cstheme="minorHAnsi"/>
                <w:sz w:val="20"/>
                <w:szCs w:val="20"/>
              </w:rPr>
              <w:t>§ 10 ust</w:t>
            </w:r>
            <w:r w:rsidR="00B628B1">
              <w:rPr>
                <w:rFonts w:cstheme="minorHAnsi"/>
                <w:sz w:val="20"/>
                <w:szCs w:val="20"/>
              </w:rPr>
              <w:t>.</w:t>
            </w:r>
            <w:r w:rsidRPr="00175043">
              <w:rPr>
                <w:rFonts w:cstheme="minorHAnsi"/>
                <w:sz w:val="20"/>
                <w:szCs w:val="20"/>
              </w:rPr>
              <w:t xml:space="preserve"> 1 pkt 4</w:t>
            </w:r>
          </w:p>
          <w:p w:rsidR="00482CE5" w:rsidRPr="00175043" w:rsidRDefault="00482CE5" w:rsidP="00D3193D">
            <w:pPr>
              <w:rPr>
                <w:rFonts w:cstheme="minorHAnsi"/>
                <w:sz w:val="20"/>
                <w:szCs w:val="20"/>
              </w:rPr>
            </w:pPr>
            <w:r w:rsidRPr="00175043">
              <w:rPr>
                <w:rFonts w:cstheme="minorHAnsi"/>
                <w:sz w:val="20"/>
                <w:szCs w:val="20"/>
              </w:rPr>
              <w:t>§ 10 ust</w:t>
            </w:r>
            <w:r w:rsidR="00B628B1">
              <w:rPr>
                <w:rFonts w:cstheme="minorHAnsi"/>
                <w:sz w:val="20"/>
                <w:szCs w:val="20"/>
              </w:rPr>
              <w:t>.</w:t>
            </w:r>
            <w:r w:rsidRPr="00175043">
              <w:rPr>
                <w:rFonts w:cstheme="minorHAnsi"/>
                <w:sz w:val="20"/>
                <w:szCs w:val="20"/>
              </w:rPr>
              <w:t xml:space="preserve"> 2 pkt 2</w:t>
            </w:r>
          </w:p>
        </w:tc>
        <w:tc>
          <w:tcPr>
            <w:tcW w:w="6095" w:type="dxa"/>
          </w:tcPr>
          <w:p w:rsidR="00482CE5" w:rsidRPr="00175043" w:rsidRDefault="00482CE5" w:rsidP="000B70C0">
            <w:pPr>
              <w:rPr>
                <w:rFonts w:cstheme="minorHAnsi"/>
                <w:sz w:val="20"/>
                <w:szCs w:val="20"/>
              </w:rPr>
            </w:pPr>
            <w:r w:rsidRPr="00175043">
              <w:rPr>
                <w:rFonts w:cstheme="minorHAnsi"/>
                <w:sz w:val="20"/>
                <w:szCs w:val="20"/>
              </w:rPr>
              <w:t>Wymieniona w § 10 ust. 1 pkt 4 norma PN-EN 50133-1 jest już wycofana i zastąpiona normą PN-EN 60839-11-1:2014. Nowa norma posiada inną klasyfikację systemów. Sytuacja analogiczna występuje w § 10 ust. 2 pkt 2.</w:t>
            </w:r>
          </w:p>
        </w:tc>
        <w:tc>
          <w:tcPr>
            <w:tcW w:w="4360" w:type="dxa"/>
          </w:tcPr>
          <w:p w:rsidR="007718DE" w:rsidRDefault="00E00A7E" w:rsidP="004B3AEF">
            <w:pPr>
              <w:rPr>
                <w:rFonts w:cstheme="minorHAnsi"/>
                <w:sz w:val="20"/>
                <w:szCs w:val="20"/>
              </w:rPr>
            </w:pPr>
            <w:r>
              <w:rPr>
                <w:rFonts w:cstheme="minorHAnsi"/>
                <w:sz w:val="20"/>
                <w:szCs w:val="20"/>
              </w:rPr>
              <w:t>Uwaga uwzględniona.</w:t>
            </w:r>
          </w:p>
          <w:p w:rsidR="00E00A7E" w:rsidRPr="00E00A7E" w:rsidRDefault="00E00A7E" w:rsidP="004B3AEF">
            <w:pPr>
              <w:rPr>
                <w:rFonts w:cstheme="minorHAnsi"/>
                <w:sz w:val="20"/>
                <w:szCs w:val="20"/>
              </w:rPr>
            </w:pPr>
            <w:r>
              <w:rPr>
                <w:rFonts w:cstheme="minorHAnsi"/>
                <w:sz w:val="20"/>
                <w:szCs w:val="20"/>
              </w:rPr>
              <w:t>Norma 50133 zostanie zastąpiona odwołaniem do normy 60839.</w:t>
            </w:r>
          </w:p>
        </w:tc>
      </w:tr>
      <w:tr w:rsidR="007718DE" w:rsidRPr="00175043" w:rsidTr="00D3193D">
        <w:tc>
          <w:tcPr>
            <w:tcW w:w="562" w:type="dxa"/>
          </w:tcPr>
          <w:p w:rsidR="007718DE" w:rsidRPr="00175043" w:rsidRDefault="007718DE" w:rsidP="00D3193D">
            <w:pPr>
              <w:rPr>
                <w:rFonts w:cstheme="minorHAnsi"/>
                <w:sz w:val="20"/>
                <w:szCs w:val="20"/>
              </w:rPr>
            </w:pPr>
            <w:r w:rsidRPr="00175043">
              <w:rPr>
                <w:rFonts w:cstheme="minorHAnsi"/>
                <w:sz w:val="20"/>
                <w:szCs w:val="20"/>
              </w:rPr>
              <w:t>38</w:t>
            </w:r>
          </w:p>
        </w:tc>
        <w:tc>
          <w:tcPr>
            <w:tcW w:w="1843" w:type="dxa"/>
          </w:tcPr>
          <w:p w:rsidR="007718DE" w:rsidRPr="00175043" w:rsidRDefault="007718DE" w:rsidP="00D3193D">
            <w:pPr>
              <w:rPr>
                <w:rFonts w:cstheme="minorHAnsi"/>
                <w:sz w:val="20"/>
                <w:szCs w:val="20"/>
              </w:rPr>
            </w:pPr>
            <w:r w:rsidRPr="00175043">
              <w:rPr>
                <w:rFonts w:cstheme="minorHAnsi"/>
                <w:sz w:val="20"/>
                <w:szCs w:val="20"/>
              </w:rPr>
              <w:t>MC</w:t>
            </w:r>
          </w:p>
        </w:tc>
        <w:tc>
          <w:tcPr>
            <w:tcW w:w="1134" w:type="dxa"/>
          </w:tcPr>
          <w:p w:rsidR="007718DE" w:rsidRPr="00175043" w:rsidRDefault="007718DE" w:rsidP="00D3193D">
            <w:pPr>
              <w:rPr>
                <w:rFonts w:cstheme="minorHAnsi"/>
                <w:sz w:val="20"/>
                <w:szCs w:val="20"/>
              </w:rPr>
            </w:pPr>
            <w:r w:rsidRPr="00175043">
              <w:rPr>
                <w:rFonts w:cstheme="minorHAnsi"/>
                <w:sz w:val="20"/>
                <w:szCs w:val="20"/>
              </w:rPr>
              <w:t>§ 4</w:t>
            </w:r>
          </w:p>
        </w:tc>
        <w:tc>
          <w:tcPr>
            <w:tcW w:w="6095" w:type="dxa"/>
          </w:tcPr>
          <w:p w:rsidR="007718DE" w:rsidRPr="00175043" w:rsidRDefault="007718DE" w:rsidP="000B70C0">
            <w:pPr>
              <w:rPr>
                <w:rFonts w:cstheme="minorHAnsi"/>
                <w:sz w:val="20"/>
                <w:szCs w:val="20"/>
              </w:rPr>
            </w:pPr>
            <w:r w:rsidRPr="00175043">
              <w:rPr>
                <w:rFonts w:cstheme="minorHAnsi"/>
                <w:sz w:val="20"/>
                <w:szCs w:val="20"/>
              </w:rPr>
              <w:t xml:space="preserve">Ponadto mając na względzie, że współczesne procesy poligraficzne opierają się na systemach teleinformatycznych, w rozporządzeniu brakuje odniesienia do kwestii </w:t>
            </w:r>
            <w:proofErr w:type="spellStart"/>
            <w:r w:rsidRPr="00175043">
              <w:rPr>
                <w:rFonts w:cstheme="minorHAnsi"/>
                <w:sz w:val="20"/>
                <w:szCs w:val="20"/>
              </w:rPr>
              <w:t>cyberbezpieczeństwa</w:t>
            </w:r>
            <w:proofErr w:type="spellEnd"/>
            <w:r w:rsidRPr="00175043">
              <w:rPr>
                <w:rFonts w:cstheme="minorHAnsi"/>
                <w:sz w:val="20"/>
                <w:szCs w:val="20"/>
              </w:rPr>
              <w:t>. W rozporządzeniu umieszczono jedynie odniesienie do wymiennych nośników informacji. Zwrócić uwagę należy jednak na fakt, że brak uregulowań w tym zakresie stwarza ryzyko wyniesienia danych niezbędnych do produkcji blankietów poprzez ich skopiowanie na nienadzorowany nośnik informacji. Dlatego też uzasadnionym wydaje się uregulowanie we wskazanym w § 4 „wewnętrznych zasadach bezpieczeństwa” obowiązku posiadania systemu zarządzania bezpieczeństwem informacji. Doprecyzowanie wymogów bezpieczeństwa teleinformatycznego mieści się w delegacji ustawowej „szczegółowe wewnętrzne zasady bezpieczeństwa”.</w:t>
            </w:r>
          </w:p>
        </w:tc>
        <w:tc>
          <w:tcPr>
            <w:tcW w:w="4360" w:type="dxa"/>
          </w:tcPr>
          <w:p w:rsidR="00AC65E2" w:rsidRPr="00AC65E2" w:rsidRDefault="00AC65E2" w:rsidP="004B3AEF">
            <w:pPr>
              <w:rPr>
                <w:rFonts w:cstheme="minorHAnsi"/>
                <w:sz w:val="20"/>
                <w:szCs w:val="20"/>
              </w:rPr>
            </w:pPr>
            <w:r w:rsidRPr="00AC65E2">
              <w:rPr>
                <w:rFonts w:cstheme="minorHAnsi"/>
                <w:sz w:val="20"/>
                <w:szCs w:val="20"/>
              </w:rPr>
              <w:t>Uwaga uwzględniona.</w:t>
            </w:r>
          </w:p>
          <w:p w:rsidR="00AC65E2" w:rsidRPr="00AC65E2" w:rsidRDefault="00AC65E2" w:rsidP="004B3AEF">
            <w:pPr>
              <w:rPr>
                <w:rFonts w:cstheme="minorHAnsi"/>
                <w:sz w:val="20"/>
                <w:szCs w:val="20"/>
              </w:rPr>
            </w:pPr>
            <w:r w:rsidRPr="00AC65E2">
              <w:rPr>
                <w:rFonts w:cstheme="minorHAnsi"/>
                <w:sz w:val="20"/>
                <w:szCs w:val="20"/>
              </w:rPr>
              <w:t>Na skutek uwag MF i RCL § 4 w dotychczasowym brzmieniu został usunięty. Na jego miejsce został wprowadzony przepis o treści: „§ 4. Wytwórca zapewnia bezpieczeństwo materiałów informatycznych dotyczących projektu dokumentu publicznego oraz służących do wytworzenia akcesoriów, o których mowa w § 9.”.</w:t>
            </w:r>
          </w:p>
          <w:p w:rsidR="007718DE" w:rsidRPr="00175043" w:rsidRDefault="007718DE" w:rsidP="004B3AEF">
            <w:pPr>
              <w:rPr>
                <w:rFonts w:cstheme="minorHAnsi"/>
                <w:b/>
                <w:sz w:val="20"/>
                <w:szCs w:val="20"/>
              </w:rPr>
            </w:pPr>
          </w:p>
        </w:tc>
      </w:tr>
      <w:tr w:rsidR="002A7FF6" w:rsidRPr="00175043" w:rsidTr="00D3193D">
        <w:tc>
          <w:tcPr>
            <w:tcW w:w="562" w:type="dxa"/>
          </w:tcPr>
          <w:p w:rsidR="002A7FF6" w:rsidRPr="00175043" w:rsidRDefault="002A7FF6" w:rsidP="00D3193D">
            <w:pPr>
              <w:rPr>
                <w:rFonts w:cstheme="minorHAnsi"/>
                <w:sz w:val="20"/>
                <w:szCs w:val="20"/>
              </w:rPr>
            </w:pPr>
            <w:r w:rsidRPr="00175043">
              <w:rPr>
                <w:rFonts w:cstheme="minorHAnsi"/>
                <w:sz w:val="20"/>
                <w:szCs w:val="20"/>
              </w:rPr>
              <w:t>39</w:t>
            </w:r>
          </w:p>
        </w:tc>
        <w:tc>
          <w:tcPr>
            <w:tcW w:w="1843" w:type="dxa"/>
          </w:tcPr>
          <w:p w:rsidR="002A7FF6" w:rsidRPr="00175043" w:rsidRDefault="002A7FF6" w:rsidP="00D3193D">
            <w:pPr>
              <w:rPr>
                <w:rFonts w:cstheme="minorHAnsi"/>
                <w:sz w:val="20"/>
                <w:szCs w:val="20"/>
              </w:rPr>
            </w:pPr>
            <w:r w:rsidRPr="00175043">
              <w:rPr>
                <w:rFonts w:cstheme="minorHAnsi"/>
                <w:sz w:val="20"/>
                <w:szCs w:val="20"/>
              </w:rPr>
              <w:t>Częstochowskie Zakłady Graficzne</w:t>
            </w:r>
          </w:p>
        </w:tc>
        <w:tc>
          <w:tcPr>
            <w:tcW w:w="1134" w:type="dxa"/>
          </w:tcPr>
          <w:p w:rsidR="002A7FF6" w:rsidRPr="00175043" w:rsidRDefault="002A7FF6" w:rsidP="00D3193D">
            <w:pPr>
              <w:rPr>
                <w:rFonts w:cstheme="minorHAnsi"/>
                <w:sz w:val="20"/>
                <w:szCs w:val="20"/>
              </w:rPr>
            </w:pPr>
            <w:r w:rsidRPr="00175043">
              <w:rPr>
                <w:rFonts w:cstheme="minorHAnsi"/>
                <w:sz w:val="20"/>
                <w:szCs w:val="20"/>
              </w:rPr>
              <w:t>§ 7 pkt 2 lit</w:t>
            </w:r>
            <w:r w:rsidR="00B628B1">
              <w:rPr>
                <w:rFonts w:cstheme="minorHAnsi"/>
                <w:sz w:val="20"/>
                <w:szCs w:val="20"/>
              </w:rPr>
              <w:t>.</w:t>
            </w:r>
            <w:r w:rsidRPr="00175043">
              <w:rPr>
                <w:rFonts w:cstheme="minorHAnsi"/>
                <w:sz w:val="20"/>
                <w:szCs w:val="20"/>
              </w:rPr>
              <w:t xml:space="preserve"> c</w:t>
            </w:r>
          </w:p>
        </w:tc>
        <w:tc>
          <w:tcPr>
            <w:tcW w:w="6095" w:type="dxa"/>
          </w:tcPr>
          <w:p w:rsidR="002A7FF6" w:rsidRPr="00175043" w:rsidRDefault="0002260C" w:rsidP="000B70C0">
            <w:pPr>
              <w:rPr>
                <w:rFonts w:cstheme="minorHAnsi"/>
                <w:sz w:val="20"/>
                <w:szCs w:val="20"/>
              </w:rPr>
            </w:pPr>
            <w:r>
              <w:rPr>
                <w:rFonts w:cstheme="minorHAnsi"/>
                <w:sz w:val="20"/>
                <w:szCs w:val="20"/>
              </w:rPr>
              <w:t xml:space="preserve">Str. 4, pkt c – </w:t>
            </w:r>
            <w:r w:rsidR="002A7FF6" w:rsidRPr="00175043">
              <w:rPr>
                <w:rFonts w:cstheme="minorHAnsi"/>
                <w:sz w:val="20"/>
                <w:szCs w:val="20"/>
              </w:rPr>
              <w:t xml:space="preserve"> co się kryje pod pojęciem "gramatura farby"</w:t>
            </w:r>
            <w:r>
              <w:rPr>
                <w:rFonts w:cstheme="minorHAnsi"/>
                <w:sz w:val="20"/>
                <w:szCs w:val="20"/>
              </w:rPr>
              <w:t>.</w:t>
            </w:r>
            <w:r w:rsidR="002A7FF6" w:rsidRPr="00175043">
              <w:rPr>
                <w:rFonts w:cstheme="minorHAnsi"/>
                <w:sz w:val="20"/>
                <w:szCs w:val="20"/>
              </w:rPr>
              <w:t xml:space="preserve"> Poprawny zapis to prawdopodobnie rodzaj farby i gramatura papieru</w:t>
            </w:r>
            <w:r>
              <w:rPr>
                <w:rFonts w:cstheme="minorHAnsi"/>
                <w:sz w:val="20"/>
                <w:szCs w:val="20"/>
              </w:rPr>
              <w:t>.</w:t>
            </w:r>
          </w:p>
        </w:tc>
        <w:tc>
          <w:tcPr>
            <w:tcW w:w="4360" w:type="dxa"/>
          </w:tcPr>
          <w:p w:rsidR="002A7FF6" w:rsidRPr="00175043" w:rsidRDefault="002A7FF6" w:rsidP="004B3AEF">
            <w:pPr>
              <w:rPr>
                <w:rFonts w:cstheme="minorHAnsi"/>
                <w:sz w:val="20"/>
                <w:szCs w:val="20"/>
              </w:rPr>
            </w:pPr>
            <w:r w:rsidRPr="00175043">
              <w:rPr>
                <w:rFonts w:cstheme="minorHAnsi"/>
                <w:sz w:val="20"/>
                <w:szCs w:val="20"/>
              </w:rPr>
              <w:t>Wyjaśnienie.</w:t>
            </w:r>
          </w:p>
          <w:p w:rsidR="002A7FF6" w:rsidRPr="00175043" w:rsidRDefault="002A7FF6" w:rsidP="004B3AEF">
            <w:pPr>
              <w:rPr>
                <w:rFonts w:cstheme="minorHAnsi"/>
                <w:sz w:val="20"/>
                <w:szCs w:val="20"/>
              </w:rPr>
            </w:pPr>
            <w:r w:rsidRPr="00175043">
              <w:rPr>
                <w:rFonts w:cstheme="minorHAnsi"/>
                <w:sz w:val="20"/>
                <w:szCs w:val="20"/>
              </w:rPr>
              <w:t>Zapis został zmodyfikowany na skutek uwagi ABW w sposób eliminujący wątpliwość dotyczącą gramatury farby.</w:t>
            </w:r>
          </w:p>
        </w:tc>
      </w:tr>
    </w:tbl>
    <w:p w:rsidR="005B0240" w:rsidRPr="00175043" w:rsidRDefault="005B0240" w:rsidP="005B0240">
      <w:pPr>
        <w:rPr>
          <w:rFonts w:cstheme="minorHAnsi"/>
          <w:sz w:val="20"/>
          <w:szCs w:val="20"/>
        </w:rPr>
      </w:pPr>
    </w:p>
    <w:sectPr w:rsidR="005B0240" w:rsidRPr="00175043" w:rsidSect="008D117D">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6E" w:rsidRDefault="00DF156E" w:rsidP="00AD0A8A">
      <w:pPr>
        <w:spacing w:after="0" w:line="240" w:lineRule="auto"/>
      </w:pPr>
      <w:r>
        <w:separator/>
      </w:r>
    </w:p>
  </w:endnote>
  <w:endnote w:type="continuationSeparator" w:id="0">
    <w:p w:rsidR="00DF156E" w:rsidRDefault="00DF156E" w:rsidP="00AD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049730"/>
      <w:docPartObj>
        <w:docPartGallery w:val="Page Numbers (Bottom of Page)"/>
        <w:docPartUnique/>
      </w:docPartObj>
    </w:sdtPr>
    <w:sdtEndPr/>
    <w:sdtContent>
      <w:p w:rsidR="00C42512" w:rsidRDefault="00C42512">
        <w:pPr>
          <w:pStyle w:val="Stopka"/>
          <w:jc w:val="right"/>
        </w:pPr>
        <w:r>
          <w:fldChar w:fldCharType="begin"/>
        </w:r>
        <w:r>
          <w:instrText>PAGE   \* MERGEFORMAT</w:instrText>
        </w:r>
        <w:r>
          <w:fldChar w:fldCharType="separate"/>
        </w:r>
        <w:r w:rsidR="006A1EF1">
          <w:rPr>
            <w:noProof/>
          </w:rPr>
          <w:t>12</w:t>
        </w:r>
        <w:r>
          <w:fldChar w:fldCharType="end"/>
        </w:r>
      </w:p>
    </w:sdtContent>
  </w:sdt>
  <w:p w:rsidR="00C42512" w:rsidRDefault="00C425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6E" w:rsidRDefault="00DF156E" w:rsidP="00AD0A8A">
      <w:pPr>
        <w:spacing w:after="0" w:line="240" w:lineRule="auto"/>
      </w:pPr>
      <w:r>
        <w:separator/>
      </w:r>
    </w:p>
  </w:footnote>
  <w:footnote w:type="continuationSeparator" w:id="0">
    <w:p w:rsidR="00DF156E" w:rsidRDefault="00DF156E" w:rsidP="00AD0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88B"/>
    <w:multiLevelType w:val="hybridMultilevel"/>
    <w:tmpl w:val="D8F6D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422C26"/>
    <w:multiLevelType w:val="hybridMultilevel"/>
    <w:tmpl w:val="A32A34E6"/>
    <w:lvl w:ilvl="0" w:tplc="3EB61E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6A572E1"/>
    <w:multiLevelType w:val="hybridMultilevel"/>
    <w:tmpl w:val="380A227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AC071E"/>
    <w:multiLevelType w:val="hybridMultilevel"/>
    <w:tmpl w:val="7662133C"/>
    <w:lvl w:ilvl="0" w:tplc="2D6270E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A92CAE"/>
    <w:multiLevelType w:val="hybridMultilevel"/>
    <w:tmpl w:val="02D85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BC0E99"/>
    <w:multiLevelType w:val="hybridMultilevel"/>
    <w:tmpl w:val="3022D3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7D"/>
    <w:rsid w:val="00004FEB"/>
    <w:rsid w:val="0002260C"/>
    <w:rsid w:val="000277F5"/>
    <w:rsid w:val="000330CC"/>
    <w:rsid w:val="00035B43"/>
    <w:rsid w:val="00047F71"/>
    <w:rsid w:val="00052679"/>
    <w:rsid w:val="00061188"/>
    <w:rsid w:val="00062C7D"/>
    <w:rsid w:val="00075072"/>
    <w:rsid w:val="00094C84"/>
    <w:rsid w:val="000A5D5D"/>
    <w:rsid w:val="000B70C0"/>
    <w:rsid w:val="000C16B0"/>
    <w:rsid w:val="00121776"/>
    <w:rsid w:val="00126859"/>
    <w:rsid w:val="00152BE1"/>
    <w:rsid w:val="00175043"/>
    <w:rsid w:val="00177B1A"/>
    <w:rsid w:val="00187D66"/>
    <w:rsid w:val="001C1F22"/>
    <w:rsid w:val="001C7F26"/>
    <w:rsid w:val="002222A0"/>
    <w:rsid w:val="002608C4"/>
    <w:rsid w:val="002715C8"/>
    <w:rsid w:val="002A4B3C"/>
    <w:rsid w:val="002A71C0"/>
    <w:rsid w:val="002A7FF6"/>
    <w:rsid w:val="002B2D16"/>
    <w:rsid w:val="002B5290"/>
    <w:rsid w:val="002F3650"/>
    <w:rsid w:val="003054E2"/>
    <w:rsid w:val="00314ADA"/>
    <w:rsid w:val="00315C09"/>
    <w:rsid w:val="003403CE"/>
    <w:rsid w:val="00341279"/>
    <w:rsid w:val="00346BCB"/>
    <w:rsid w:val="00384283"/>
    <w:rsid w:val="003D61B3"/>
    <w:rsid w:val="004025AA"/>
    <w:rsid w:val="00406622"/>
    <w:rsid w:val="004073D3"/>
    <w:rsid w:val="004424D6"/>
    <w:rsid w:val="0045698E"/>
    <w:rsid w:val="0046441C"/>
    <w:rsid w:val="0047114C"/>
    <w:rsid w:val="00482CE5"/>
    <w:rsid w:val="00494AD5"/>
    <w:rsid w:val="004B3AEF"/>
    <w:rsid w:val="004F4E21"/>
    <w:rsid w:val="00516688"/>
    <w:rsid w:val="005219E0"/>
    <w:rsid w:val="005406DB"/>
    <w:rsid w:val="00555BDA"/>
    <w:rsid w:val="005B0240"/>
    <w:rsid w:val="005C356E"/>
    <w:rsid w:val="005E438C"/>
    <w:rsid w:val="005E59B2"/>
    <w:rsid w:val="005E5A6C"/>
    <w:rsid w:val="00656DF6"/>
    <w:rsid w:val="00664228"/>
    <w:rsid w:val="006931DA"/>
    <w:rsid w:val="006A1EF1"/>
    <w:rsid w:val="006C6C99"/>
    <w:rsid w:val="00741840"/>
    <w:rsid w:val="00744944"/>
    <w:rsid w:val="00753FFB"/>
    <w:rsid w:val="007553AB"/>
    <w:rsid w:val="007617CD"/>
    <w:rsid w:val="007718DE"/>
    <w:rsid w:val="007B0A6C"/>
    <w:rsid w:val="007B342A"/>
    <w:rsid w:val="007D6857"/>
    <w:rsid w:val="007E3E73"/>
    <w:rsid w:val="00814A95"/>
    <w:rsid w:val="00827718"/>
    <w:rsid w:val="00857C24"/>
    <w:rsid w:val="00885A19"/>
    <w:rsid w:val="008D117D"/>
    <w:rsid w:val="008E14BC"/>
    <w:rsid w:val="008F13FF"/>
    <w:rsid w:val="009108C0"/>
    <w:rsid w:val="0092119B"/>
    <w:rsid w:val="0094074C"/>
    <w:rsid w:val="009417C9"/>
    <w:rsid w:val="00996501"/>
    <w:rsid w:val="00996BB5"/>
    <w:rsid w:val="00A23BA5"/>
    <w:rsid w:val="00A25C72"/>
    <w:rsid w:val="00A31BD3"/>
    <w:rsid w:val="00A34BFD"/>
    <w:rsid w:val="00A454E7"/>
    <w:rsid w:val="00A6214C"/>
    <w:rsid w:val="00A802C6"/>
    <w:rsid w:val="00A8552A"/>
    <w:rsid w:val="00A87AB2"/>
    <w:rsid w:val="00AA0FA1"/>
    <w:rsid w:val="00AB3379"/>
    <w:rsid w:val="00AC65E2"/>
    <w:rsid w:val="00AD0A8A"/>
    <w:rsid w:val="00AE04D3"/>
    <w:rsid w:val="00B11CB0"/>
    <w:rsid w:val="00B15687"/>
    <w:rsid w:val="00B26F05"/>
    <w:rsid w:val="00B628B1"/>
    <w:rsid w:val="00B65731"/>
    <w:rsid w:val="00B93A36"/>
    <w:rsid w:val="00B93AD2"/>
    <w:rsid w:val="00B95FE0"/>
    <w:rsid w:val="00B97777"/>
    <w:rsid w:val="00BB60B3"/>
    <w:rsid w:val="00BC6FA8"/>
    <w:rsid w:val="00BE4F7F"/>
    <w:rsid w:val="00C02D32"/>
    <w:rsid w:val="00C319A5"/>
    <w:rsid w:val="00C36DF4"/>
    <w:rsid w:val="00C42512"/>
    <w:rsid w:val="00C6652C"/>
    <w:rsid w:val="00C773A8"/>
    <w:rsid w:val="00C8355F"/>
    <w:rsid w:val="00C86DEE"/>
    <w:rsid w:val="00CB6866"/>
    <w:rsid w:val="00D10CB8"/>
    <w:rsid w:val="00D23300"/>
    <w:rsid w:val="00D3193D"/>
    <w:rsid w:val="00D447F7"/>
    <w:rsid w:val="00D969A5"/>
    <w:rsid w:val="00DB158D"/>
    <w:rsid w:val="00DB4A38"/>
    <w:rsid w:val="00DB7AE1"/>
    <w:rsid w:val="00DE70C8"/>
    <w:rsid w:val="00DF156E"/>
    <w:rsid w:val="00E00A7E"/>
    <w:rsid w:val="00E06A63"/>
    <w:rsid w:val="00E06E7B"/>
    <w:rsid w:val="00E20E28"/>
    <w:rsid w:val="00E74215"/>
    <w:rsid w:val="00E95DCE"/>
    <w:rsid w:val="00EC6341"/>
    <w:rsid w:val="00EF541E"/>
    <w:rsid w:val="00F03443"/>
    <w:rsid w:val="00F145EE"/>
    <w:rsid w:val="00F1724C"/>
    <w:rsid w:val="00F84DAC"/>
    <w:rsid w:val="00F96726"/>
    <w:rsid w:val="00FA50E3"/>
    <w:rsid w:val="00FC18D9"/>
    <w:rsid w:val="00FC2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9ADA-34C5-492F-9109-F802F6A4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5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D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C16B0"/>
    <w:pPr>
      <w:ind w:left="720"/>
      <w:contextualSpacing/>
    </w:pPr>
  </w:style>
  <w:style w:type="paragraph" w:styleId="Tekstdymka">
    <w:name w:val="Balloon Text"/>
    <w:basedOn w:val="Normalny"/>
    <w:link w:val="TekstdymkaZnak"/>
    <w:uiPriority w:val="99"/>
    <w:semiHidden/>
    <w:unhideWhenUsed/>
    <w:rsid w:val="007617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17CD"/>
    <w:rPr>
      <w:rFonts w:ascii="Segoe UI" w:hAnsi="Segoe UI" w:cs="Segoe UI"/>
      <w:sz w:val="18"/>
      <w:szCs w:val="18"/>
    </w:rPr>
  </w:style>
  <w:style w:type="paragraph" w:styleId="Nagwek">
    <w:name w:val="header"/>
    <w:basedOn w:val="Normalny"/>
    <w:link w:val="NagwekZnak"/>
    <w:uiPriority w:val="99"/>
    <w:unhideWhenUsed/>
    <w:rsid w:val="00AD0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0A8A"/>
  </w:style>
  <w:style w:type="paragraph" w:styleId="Stopka">
    <w:name w:val="footer"/>
    <w:basedOn w:val="Normalny"/>
    <w:link w:val="StopkaZnak"/>
    <w:uiPriority w:val="99"/>
    <w:unhideWhenUsed/>
    <w:rsid w:val="00AD0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A8A"/>
  </w:style>
  <w:style w:type="paragraph" w:styleId="Tekstprzypisukocowego">
    <w:name w:val="endnote text"/>
    <w:basedOn w:val="Normalny"/>
    <w:link w:val="TekstprzypisukocowegoZnak"/>
    <w:uiPriority w:val="99"/>
    <w:semiHidden/>
    <w:unhideWhenUsed/>
    <w:rsid w:val="004025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25AA"/>
    <w:rPr>
      <w:sz w:val="20"/>
      <w:szCs w:val="20"/>
    </w:rPr>
  </w:style>
  <w:style w:type="character" w:styleId="Odwoanieprzypisukocowego">
    <w:name w:val="endnote reference"/>
    <w:basedOn w:val="Domylnaczcionkaakapitu"/>
    <w:uiPriority w:val="99"/>
    <w:semiHidden/>
    <w:unhideWhenUsed/>
    <w:rsid w:val="00402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2899">
      <w:bodyDiv w:val="1"/>
      <w:marLeft w:val="0"/>
      <w:marRight w:val="0"/>
      <w:marTop w:val="0"/>
      <w:marBottom w:val="0"/>
      <w:divBdr>
        <w:top w:val="none" w:sz="0" w:space="0" w:color="auto"/>
        <w:left w:val="none" w:sz="0" w:space="0" w:color="auto"/>
        <w:bottom w:val="none" w:sz="0" w:space="0" w:color="auto"/>
        <w:right w:val="none" w:sz="0" w:space="0" w:color="auto"/>
      </w:divBdr>
    </w:div>
    <w:div w:id="350760981">
      <w:bodyDiv w:val="1"/>
      <w:marLeft w:val="0"/>
      <w:marRight w:val="0"/>
      <w:marTop w:val="0"/>
      <w:marBottom w:val="0"/>
      <w:divBdr>
        <w:top w:val="none" w:sz="0" w:space="0" w:color="auto"/>
        <w:left w:val="none" w:sz="0" w:space="0" w:color="auto"/>
        <w:bottom w:val="none" w:sz="0" w:space="0" w:color="auto"/>
        <w:right w:val="none" w:sz="0" w:space="0" w:color="auto"/>
      </w:divBdr>
    </w:div>
    <w:div w:id="351807283">
      <w:bodyDiv w:val="1"/>
      <w:marLeft w:val="0"/>
      <w:marRight w:val="0"/>
      <w:marTop w:val="0"/>
      <w:marBottom w:val="0"/>
      <w:divBdr>
        <w:top w:val="none" w:sz="0" w:space="0" w:color="auto"/>
        <w:left w:val="none" w:sz="0" w:space="0" w:color="auto"/>
        <w:bottom w:val="none" w:sz="0" w:space="0" w:color="auto"/>
        <w:right w:val="none" w:sz="0" w:space="0" w:color="auto"/>
      </w:divBdr>
    </w:div>
    <w:div w:id="734399288">
      <w:bodyDiv w:val="1"/>
      <w:marLeft w:val="0"/>
      <w:marRight w:val="0"/>
      <w:marTop w:val="0"/>
      <w:marBottom w:val="0"/>
      <w:divBdr>
        <w:top w:val="none" w:sz="0" w:space="0" w:color="auto"/>
        <w:left w:val="none" w:sz="0" w:space="0" w:color="auto"/>
        <w:bottom w:val="none" w:sz="0" w:space="0" w:color="auto"/>
        <w:right w:val="none" w:sz="0" w:space="0" w:color="auto"/>
      </w:divBdr>
    </w:div>
    <w:div w:id="840656054">
      <w:bodyDiv w:val="1"/>
      <w:marLeft w:val="0"/>
      <w:marRight w:val="0"/>
      <w:marTop w:val="0"/>
      <w:marBottom w:val="0"/>
      <w:divBdr>
        <w:top w:val="none" w:sz="0" w:space="0" w:color="auto"/>
        <w:left w:val="none" w:sz="0" w:space="0" w:color="auto"/>
        <w:bottom w:val="none" w:sz="0" w:space="0" w:color="auto"/>
        <w:right w:val="none" w:sz="0" w:space="0" w:color="auto"/>
      </w:divBdr>
    </w:div>
    <w:div w:id="956450149">
      <w:bodyDiv w:val="1"/>
      <w:marLeft w:val="0"/>
      <w:marRight w:val="0"/>
      <w:marTop w:val="0"/>
      <w:marBottom w:val="0"/>
      <w:divBdr>
        <w:top w:val="none" w:sz="0" w:space="0" w:color="auto"/>
        <w:left w:val="none" w:sz="0" w:space="0" w:color="auto"/>
        <w:bottom w:val="none" w:sz="0" w:space="0" w:color="auto"/>
        <w:right w:val="none" w:sz="0" w:space="0" w:color="auto"/>
      </w:divBdr>
    </w:div>
    <w:div w:id="1188907650">
      <w:bodyDiv w:val="1"/>
      <w:marLeft w:val="0"/>
      <w:marRight w:val="0"/>
      <w:marTop w:val="0"/>
      <w:marBottom w:val="0"/>
      <w:divBdr>
        <w:top w:val="none" w:sz="0" w:space="0" w:color="auto"/>
        <w:left w:val="none" w:sz="0" w:space="0" w:color="auto"/>
        <w:bottom w:val="none" w:sz="0" w:space="0" w:color="auto"/>
        <w:right w:val="none" w:sz="0" w:space="0" w:color="auto"/>
      </w:divBdr>
    </w:div>
    <w:div w:id="1283882561">
      <w:bodyDiv w:val="1"/>
      <w:marLeft w:val="0"/>
      <w:marRight w:val="0"/>
      <w:marTop w:val="0"/>
      <w:marBottom w:val="0"/>
      <w:divBdr>
        <w:top w:val="none" w:sz="0" w:space="0" w:color="auto"/>
        <w:left w:val="none" w:sz="0" w:space="0" w:color="auto"/>
        <w:bottom w:val="none" w:sz="0" w:space="0" w:color="auto"/>
        <w:right w:val="none" w:sz="0" w:space="0" w:color="auto"/>
      </w:divBdr>
    </w:div>
    <w:div w:id="1352485947">
      <w:bodyDiv w:val="1"/>
      <w:marLeft w:val="0"/>
      <w:marRight w:val="0"/>
      <w:marTop w:val="0"/>
      <w:marBottom w:val="0"/>
      <w:divBdr>
        <w:top w:val="none" w:sz="0" w:space="0" w:color="auto"/>
        <w:left w:val="none" w:sz="0" w:space="0" w:color="auto"/>
        <w:bottom w:val="none" w:sz="0" w:space="0" w:color="auto"/>
        <w:right w:val="none" w:sz="0" w:space="0" w:color="auto"/>
      </w:divBdr>
      <w:divsChild>
        <w:div w:id="2119908499">
          <w:marLeft w:val="0"/>
          <w:marRight w:val="0"/>
          <w:marTop w:val="150"/>
          <w:marBottom w:val="147"/>
          <w:divBdr>
            <w:top w:val="none" w:sz="0" w:space="0" w:color="auto"/>
            <w:left w:val="none" w:sz="0" w:space="0" w:color="auto"/>
            <w:bottom w:val="none" w:sz="0" w:space="0" w:color="auto"/>
            <w:right w:val="none" w:sz="0" w:space="0" w:color="auto"/>
          </w:divBdr>
        </w:div>
        <w:div w:id="1409695243">
          <w:marLeft w:val="0"/>
          <w:marRight w:val="0"/>
          <w:marTop w:val="0"/>
          <w:marBottom w:val="210"/>
          <w:divBdr>
            <w:top w:val="none" w:sz="0" w:space="0" w:color="auto"/>
            <w:left w:val="none" w:sz="0" w:space="0" w:color="auto"/>
            <w:bottom w:val="none" w:sz="0" w:space="0" w:color="auto"/>
            <w:right w:val="none" w:sz="0" w:space="0" w:color="auto"/>
          </w:divBdr>
          <w:divsChild>
            <w:div w:id="495649808">
              <w:marLeft w:val="0"/>
              <w:marRight w:val="0"/>
              <w:marTop w:val="0"/>
              <w:marBottom w:val="0"/>
              <w:divBdr>
                <w:top w:val="none" w:sz="0" w:space="0" w:color="auto"/>
                <w:left w:val="none" w:sz="0" w:space="0" w:color="auto"/>
                <w:bottom w:val="none" w:sz="0" w:space="0" w:color="auto"/>
                <w:right w:val="none" w:sz="0" w:space="0" w:color="auto"/>
              </w:divBdr>
              <w:divsChild>
                <w:div w:id="16684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2166">
      <w:bodyDiv w:val="1"/>
      <w:marLeft w:val="0"/>
      <w:marRight w:val="0"/>
      <w:marTop w:val="0"/>
      <w:marBottom w:val="0"/>
      <w:divBdr>
        <w:top w:val="none" w:sz="0" w:space="0" w:color="auto"/>
        <w:left w:val="none" w:sz="0" w:space="0" w:color="auto"/>
        <w:bottom w:val="none" w:sz="0" w:space="0" w:color="auto"/>
        <w:right w:val="none" w:sz="0" w:space="0" w:color="auto"/>
      </w:divBdr>
    </w:div>
    <w:div w:id="1453212537">
      <w:bodyDiv w:val="1"/>
      <w:marLeft w:val="0"/>
      <w:marRight w:val="0"/>
      <w:marTop w:val="0"/>
      <w:marBottom w:val="0"/>
      <w:divBdr>
        <w:top w:val="none" w:sz="0" w:space="0" w:color="auto"/>
        <w:left w:val="none" w:sz="0" w:space="0" w:color="auto"/>
        <w:bottom w:val="none" w:sz="0" w:space="0" w:color="auto"/>
        <w:right w:val="none" w:sz="0" w:space="0" w:color="auto"/>
      </w:divBdr>
    </w:div>
    <w:div w:id="1666665346">
      <w:bodyDiv w:val="1"/>
      <w:marLeft w:val="0"/>
      <w:marRight w:val="0"/>
      <w:marTop w:val="0"/>
      <w:marBottom w:val="0"/>
      <w:divBdr>
        <w:top w:val="none" w:sz="0" w:space="0" w:color="auto"/>
        <w:left w:val="none" w:sz="0" w:space="0" w:color="auto"/>
        <w:bottom w:val="none" w:sz="0" w:space="0" w:color="auto"/>
        <w:right w:val="none" w:sz="0" w:space="0" w:color="auto"/>
      </w:divBdr>
    </w:div>
    <w:div w:id="1924953578">
      <w:bodyDiv w:val="1"/>
      <w:marLeft w:val="0"/>
      <w:marRight w:val="0"/>
      <w:marTop w:val="0"/>
      <w:marBottom w:val="0"/>
      <w:divBdr>
        <w:top w:val="none" w:sz="0" w:space="0" w:color="auto"/>
        <w:left w:val="none" w:sz="0" w:space="0" w:color="auto"/>
        <w:bottom w:val="none" w:sz="0" w:space="0" w:color="auto"/>
        <w:right w:val="none" w:sz="0" w:space="0" w:color="auto"/>
      </w:divBdr>
    </w:div>
    <w:div w:id="2010718338">
      <w:bodyDiv w:val="1"/>
      <w:marLeft w:val="0"/>
      <w:marRight w:val="0"/>
      <w:marTop w:val="0"/>
      <w:marBottom w:val="0"/>
      <w:divBdr>
        <w:top w:val="none" w:sz="0" w:space="0" w:color="auto"/>
        <w:left w:val="none" w:sz="0" w:space="0" w:color="auto"/>
        <w:bottom w:val="none" w:sz="0" w:space="0" w:color="auto"/>
        <w:right w:val="none" w:sz="0" w:space="0" w:color="auto"/>
      </w:divBdr>
    </w:div>
    <w:div w:id="21225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2D01-9C41-4188-B0DB-EB5FE9B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3758</Words>
  <Characters>22548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Jędrzejczyk Mariusz</dc:creator>
  <cp:keywords/>
  <dc:description/>
  <cp:lastModifiedBy>Mazurek Monika</cp:lastModifiedBy>
  <cp:revision>7</cp:revision>
  <cp:lastPrinted>2019-01-30T08:55:00Z</cp:lastPrinted>
  <dcterms:created xsi:type="dcterms:W3CDTF">2019-02-07T11:39:00Z</dcterms:created>
  <dcterms:modified xsi:type="dcterms:W3CDTF">2019-02-08T08:29:00Z</dcterms:modified>
</cp:coreProperties>
</file>