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60" w:rsidRPr="00F74496" w:rsidRDefault="002D01C4" w:rsidP="00AD2160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</w:t>
      </w:r>
    </w:p>
    <w:p w:rsidR="00B878C4" w:rsidRPr="00F74496" w:rsidRDefault="00B878C4" w:rsidP="00B878C4">
      <w:pPr>
        <w:tabs>
          <w:tab w:val="left" w:pos="7621"/>
        </w:tabs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:rsidR="00AD2160" w:rsidRPr="00F74496" w:rsidRDefault="00AD2160" w:rsidP="00AD2160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F74496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chłoniaków złośliwych u dzieci</w:t>
      </w: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  <w:t>na lata 2019-2021:</w:t>
      </w:r>
    </w:p>
    <w:p w:rsidR="00AD2160" w:rsidRPr="00F74496" w:rsidRDefault="00AD2160" w:rsidP="00AD2160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:rsidR="00AD2160" w:rsidRPr="00F74496" w:rsidRDefault="00AD2160" w:rsidP="00AD2160">
      <w:pPr>
        <w:spacing w:before="120"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Poprawa wyników leczenia dzieci z chłoniakami nieziarniczymi (NHL) i chłoniakiem Hodgkina (HL).</w:t>
      </w:r>
      <w:bookmarkStart w:id="0" w:name="_GoBack"/>
      <w:bookmarkEnd w:id="0"/>
    </w:p>
    <w:p w:rsidR="00AD2160" w:rsidRPr="00F74496" w:rsidRDefault="00AD2160" w:rsidP="00AD2160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:rsidR="00AD2160" w:rsidRPr="00F74496" w:rsidRDefault="00AD2160" w:rsidP="00AD216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1. Zmniejszenie liczby błędów diagnostycznych poprzez zwiększenie precyzji klasyfikacji poszczególnych pacjentów do grup ryzyka.</w:t>
      </w:r>
    </w:p>
    <w:p w:rsidR="00AD2160" w:rsidRPr="00F74496" w:rsidRDefault="00AD2160" w:rsidP="00AD216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2.</w:t>
      </w:r>
      <w:r w:rsidRPr="00F74496">
        <w:rPr>
          <w:rFonts w:ascii="Arial" w:eastAsia="Times New Roman" w:hAnsi="Arial" w:cs="Arial"/>
          <w:color w:val="000000" w:themeColor="text1"/>
          <w:lang w:eastAsia="pl-PL"/>
        </w:rPr>
        <w:tab/>
        <w:t>Zastosowanie bardziej intensywnego leczenia u dzieci z cechami niekorzystnymi rokowniczo.</w:t>
      </w:r>
    </w:p>
    <w:p w:rsidR="00AD2160" w:rsidRPr="00F74496" w:rsidRDefault="00AD2160" w:rsidP="00AD216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3.</w:t>
      </w:r>
      <w:r w:rsidRPr="00F74496">
        <w:rPr>
          <w:rFonts w:ascii="Arial" w:eastAsia="Times New Roman" w:hAnsi="Arial" w:cs="Arial"/>
          <w:color w:val="000000" w:themeColor="text1"/>
          <w:lang w:eastAsia="pl-PL"/>
        </w:rPr>
        <w:tab/>
        <w:t>Zwiększenie liczby przypadków całkowitych wyleczeń u dzieci z NHL i HL, u których z dużą wiarygodnością można wykluczyć obecność cech niekorzystnych rokowniczo przy zredukowanej intensywności chemioterapii.</w:t>
      </w:r>
    </w:p>
    <w:p w:rsidR="00AD2160" w:rsidRPr="00F74496" w:rsidRDefault="00AD2160" w:rsidP="00AD216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4.</w:t>
      </w:r>
      <w:r w:rsidRPr="00F74496">
        <w:rPr>
          <w:rFonts w:ascii="Arial" w:eastAsia="Times New Roman" w:hAnsi="Arial" w:cs="Arial"/>
          <w:color w:val="000000" w:themeColor="text1"/>
          <w:lang w:eastAsia="pl-PL"/>
        </w:rPr>
        <w:tab/>
        <w:t>Zmniejszenie toksyczności i późnych następstw leczenia.</w:t>
      </w:r>
    </w:p>
    <w:p w:rsidR="00AD2160" w:rsidRPr="00F74496" w:rsidRDefault="00AD2160" w:rsidP="00AD216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color w:val="000000" w:themeColor="text1"/>
          <w:lang w:eastAsia="pl-PL"/>
        </w:rPr>
        <w:t>5.</w:t>
      </w:r>
      <w:r w:rsidRPr="00F74496">
        <w:rPr>
          <w:rFonts w:ascii="Arial" w:eastAsia="Times New Roman" w:hAnsi="Arial" w:cs="Arial"/>
          <w:color w:val="000000" w:themeColor="text1"/>
          <w:lang w:eastAsia="pl-PL"/>
        </w:rPr>
        <w:tab/>
        <w:t>Zredukowanie kosztów leczenia.</w:t>
      </w:r>
    </w:p>
    <w:p w:rsidR="00AD2160" w:rsidRPr="00F74496" w:rsidRDefault="00AD2160" w:rsidP="00AD2160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Programu: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Chłoniaki to bardzo niejednorodna grupa chorób obejmująca różne podtypy histopatologiczne. Diagnostyka tych schorzeń wymaga dobrze rozwiniętego zaplecza laboratoryjnego oraz dużego doświadczenia. Z powodu różnych przyczyn może dochodzić do postawienia nieprawidłowego rozpoznania, co ma zasadniczy wpływ na rokowanie pacjenta. W Polsce chłoniaki rozpoznawane są zbyt późno – gdy znajdują się w stadiach zaawansowanych. Wyniki wyleczalności niektórych podtypów chłoniaków są o kilkanaście procent niższe niż w europejskich ośrodkach wiodących. Dzięki doskonaleniu i koordynacji diagnostyki i leczenia chłoniaków można zwiększyć odsetek dzieci całkowicie wyleczonych.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W ostatnich latach, poziom wyleczalności dzieci z chłoniakami nieziarniczymi (NHL) w Europie i na świecie jest bardzo wysoki, co oznacza, że 80-90% dzieci może być całkowicie wyleczonych. Warunkiem wysokiej skuteczności leczenia jest szybkie rozpoznanie chłoniaka na wczesnym etapie jego zaawansowania i wdrożenie właściwego leczenia. Podstawą prawidłowej diagnostyki jest zasada centralnej weryfikacji badań histopatologicznych przez ośrodek referencyjny, dysponujący bogatymi możliwościami diagnostycznymi (szerokie badania immunocytochemiczne, cytometryczne, molekularne) i dużym doświadczeniem laboratoryjno-naukowym, natomiast istotnym elementem wpływającym na zwiększenie wyleczalności u dzieci, jest stosowanie ujednoliconych i nowoczesnych programów terapeutycznych w ośrodkach leczących.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Wprowadzane przez Polską Pediatryczną Grupę Leczenia Białaczek i Chłoniaków kolejne modyfikacje terapii, przyczyniły się do poprawy wyleczalności HL - uzyskano istotnie wyższe wskaźniki przeżyć 5-letnich. Kolejne modyfikacje terapii powinny dążyć do zwiększenia wyleczalności z równoczesnym zmniejszeniem ryzyka wystąpienia późnych powikłań. Obecna strategia diagnozowania i leczenia HL zmierza do zachowania równowagi między uzyskiwaniem maksymalnego odsetka wyleczeń, a ryzykiem występowania ciężkich powikłań. W celu dalszej poprawy wyników leczenia oraz zmniejszenia ryzyka występowania późnych powikłań u wszystkich dzieci, w 2009 r. wprowadzono w naszym kraju kolejny protokół terapeutyczny, w którym prowadzona jest centralna weryfikacja badań.</w:t>
      </w:r>
    </w:p>
    <w:p w:rsidR="00AD2160" w:rsidRPr="00F74496" w:rsidRDefault="00AD2160" w:rsidP="00AD2160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Działania do realizacji: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1. Prowadzenie centralnej weryfikacji badań patomorfologicznych/histopatologicznych. 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2. Prowadzenie centralnej weryfikacji badań immunohistochemicznych/immunofenotypu.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3. Prowadzenie centralnej weryfikacji badań molekularnych.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>4. Prowadzenie centralnej weryfikacji badań obrazowych w HL.</w:t>
      </w:r>
    </w:p>
    <w:p w:rsidR="00AD2160" w:rsidRPr="00F74496" w:rsidRDefault="00AD2160" w:rsidP="00AD2160">
      <w:pPr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74496">
        <w:rPr>
          <w:rFonts w:ascii="Arial" w:eastAsia="Times New Roman" w:hAnsi="Arial" w:cs="Arial"/>
          <w:bCs/>
          <w:lang w:eastAsia="pl-PL"/>
        </w:rPr>
        <w:t xml:space="preserve">5. Organizacja 2 sesji weryfikacyjnych dla NHL, z udziałem przedstawicieli 14 ośrodków diagnostycznych, w czasie których omawiane będą wyniki zweryfikowanych badań. Finansowaniu podlegać będą </w:t>
      </w:r>
      <w:r w:rsidRPr="00F74496">
        <w:rPr>
          <w:rFonts w:ascii="Arial" w:eastAsia="Times New Roman" w:hAnsi="Arial" w:cs="Arial"/>
          <w:bCs/>
          <w:u w:val="single"/>
          <w:lang w:eastAsia="pl-PL"/>
        </w:rPr>
        <w:t>wyłącznie</w:t>
      </w:r>
      <w:r w:rsidRPr="00F74496">
        <w:rPr>
          <w:rFonts w:ascii="Arial" w:eastAsia="Times New Roman" w:hAnsi="Arial" w:cs="Arial"/>
          <w:bCs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zakupu materiałów do badań, wydruku/zakupu materiałów konferencyjnych/szkoleniowych, prowadzenia wykładów, obsługi administracyjnej.</w:t>
      </w:r>
    </w:p>
    <w:p w:rsidR="00AD2160" w:rsidRPr="00F74496" w:rsidRDefault="00AD2160" w:rsidP="00AD2160">
      <w:pPr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74496">
        <w:rPr>
          <w:rFonts w:ascii="Arial" w:eastAsia="Times New Roman" w:hAnsi="Arial" w:cs="Arial"/>
          <w:bCs/>
          <w:lang w:eastAsia="pl-PL"/>
        </w:rPr>
        <w:t xml:space="preserve">6. Organizacja 2 sesji weryfikacyjnych dla HL, z udziałem przedstawicieli 14 ośrodków diagnostycznych, w czasie których omawiane będą wyniki zweryfikowanych badań. Finansowaniu podlegać będą </w:t>
      </w:r>
      <w:r w:rsidRPr="00F74496">
        <w:rPr>
          <w:rFonts w:ascii="Arial" w:eastAsia="Times New Roman" w:hAnsi="Arial" w:cs="Arial"/>
          <w:bCs/>
          <w:u w:val="single"/>
          <w:lang w:eastAsia="pl-PL"/>
        </w:rPr>
        <w:t>wyłącznie</w:t>
      </w:r>
      <w:r w:rsidRPr="00F74496">
        <w:rPr>
          <w:rFonts w:ascii="Arial" w:eastAsia="Times New Roman" w:hAnsi="Arial" w:cs="Arial"/>
          <w:bCs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zakupu materiałów do badań, wydruku/zakupu materiałów konferencyjnych/szkoleniowych, prowadzenia wykładów, obsługi administracyjnej.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D2160" w:rsidRPr="00F74496" w:rsidRDefault="00AD2160" w:rsidP="00AD2160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:rsidR="00AD2160" w:rsidRPr="00F74496" w:rsidRDefault="00AD2160" w:rsidP="00AD2160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Dzieci i młodzież do 18 r.ż., u których zdiagnozowano chłoniaka złośliwego. </w:t>
      </w:r>
    </w:p>
    <w:p w:rsidR="00AD2160" w:rsidRPr="00F74496" w:rsidRDefault="00AD2160" w:rsidP="00AD216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74496">
        <w:rPr>
          <w:rFonts w:ascii="Arial" w:eastAsia="Times New Roman" w:hAnsi="Arial" w:cs="Arial"/>
          <w:b/>
          <w:bCs/>
          <w:color w:val="000000" w:themeColor="text1"/>
          <w:lang w:eastAsia="pl-PL"/>
        </w:rPr>
        <w:t>Ogólne warunki realizacji zadania:</w:t>
      </w:r>
    </w:p>
    <w:p w:rsidR="00AD2160" w:rsidRPr="00F74496" w:rsidRDefault="00AD2160" w:rsidP="00AD2160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highlight w:val="cyan"/>
          <w:lang w:eastAsia="pl-PL"/>
        </w:rPr>
      </w:pPr>
      <w:r w:rsidRPr="00F74496">
        <w:rPr>
          <w:rFonts w:ascii="Arial" w:hAnsi="Arial" w:cs="Arial"/>
          <w:bCs/>
          <w:color w:val="000000" w:themeColor="text1"/>
        </w:rPr>
        <w:t>Wykaz limitów kosztów, możliwych do rozliczania w ramach organizacji sesji weryfikacyjnych:</w:t>
      </w:r>
    </w:p>
    <w:p w:rsidR="00AD2160" w:rsidRPr="00F74496" w:rsidRDefault="00AD2160" w:rsidP="00AD21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>Koszty wynajęcia sal wykładowych (cena max. na osobę – 40 zł, jednak nie więcej niż 3 500 zł za dzień). W przypadku, gdy realizator zorganizuje spotkanie w swojej siedzibie, koszty wynajmu sali nie będą refundowane,</w:t>
      </w:r>
    </w:p>
    <w:p w:rsidR="00AD2160" w:rsidRPr="00F74496" w:rsidRDefault="00AD2160" w:rsidP="00AD21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>Koszty wynagrodzenia wykładowców – max. 500 zł dla osoby posiadającej co najmniej stopień naukowy doktora oraz max. 300 zł dla pozostałych osób (za godzinę wykładową tj. min. 45 min.),</w:t>
      </w:r>
    </w:p>
    <w:p w:rsidR="00AD2160" w:rsidRPr="00F74496" w:rsidRDefault="00AD2160" w:rsidP="00AD21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357" w:hanging="357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>Koszty  dojazdów (najbardziej ekonomicznym środkiem transportu):</w:t>
      </w:r>
    </w:p>
    <w:p w:rsidR="00AD2160" w:rsidRPr="00F74496" w:rsidRDefault="00AD2160" w:rsidP="00AD2160">
      <w:pPr>
        <w:pStyle w:val="Akapitzlist"/>
        <w:tabs>
          <w:tab w:val="left" w:pos="0"/>
          <w:tab w:val="left" w:pos="284"/>
        </w:tabs>
        <w:spacing w:after="120"/>
        <w:ind w:left="357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 xml:space="preserve">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</w:t>
      </w:r>
      <w:r w:rsidR="006773B5" w:rsidRPr="00F74496">
        <w:rPr>
          <w:rFonts w:ascii="Arial" w:hAnsi="Arial" w:cs="Arial"/>
          <w:bCs/>
          <w:color w:val="000000" w:themeColor="text1"/>
        </w:rPr>
        <w:t>Realizator</w:t>
      </w:r>
      <w:r w:rsidRPr="00F74496">
        <w:rPr>
          <w:rFonts w:ascii="Arial" w:hAnsi="Arial" w:cs="Arial"/>
          <w:bCs/>
          <w:color w:val="000000" w:themeColor="text1"/>
        </w:rPr>
        <w:t xml:space="preserve">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</w:t>
      </w:r>
      <w:r w:rsidRPr="00F74496">
        <w:rPr>
          <w:rFonts w:ascii="Arial" w:hAnsi="Arial" w:cs="Arial"/>
          <w:bCs/>
          <w:color w:val="000000" w:themeColor="text1"/>
        </w:rPr>
        <w:lastRenderedPageBreak/>
        <w:t>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nich.</w:t>
      </w:r>
    </w:p>
    <w:p w:rsidR="00AD2160" w:rsidRPr="00F74496" w:rsidRDefault="00AD2160" w:rsidP="00AD21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>Koszty usługi gastronomicznej (cateringu) - max. 35 zł za osobę na dzień,</w:t>
      </w:r>
    </w:p>
    <w:p w:rsidR="00AD2160" w:rsidRPr="00F74496" w:rsidRDefault="00AD2160" w:rsidP="00AD216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F74496">
        <w:rPr>
          <w:rFonts w:ascii="Arial" w:hAnsi="Arial" w:cs="Arial"/>
          <w:bCs/>
          <w:color w:val="000000" w:themeColor="text1"/>
        </w:rPr>
        <w:t>Koszty noclegów dla wykładowców i uczestników sesji – max. 220 zł za osobę za dzień</w:t>
      </w:r>
    </w:p>
    <w:p w:rsidR="00AD2160" w:rsidRPr="00F74496" w:rsidRDefault="00AD2160" w:rsidP="00AD2160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F74496">
        <w:rPr>
          <w:rFonts w:ascii="Arial" w:eastAsia="Times New Roman" w:hAnsi="Arial" w:cs="Arial"/>
          <w:bCs/>
        </w:rPr>
        <w:t>Koszty obsługi administracyjnej – max. 10% łącznej kwoty środków przeznaczonych na organizację sesji weryfikacyjnych,</w:t>
      </w:r>
    </w:p>
    <w:p w:rsidR="00AD2160" w:rsidRPr="00F74496" w:rsidRDefault="00AD2160" w:rsidP="00AD2160">
      <w:pPr>
        <w:numPr>
          <w:ilvl w:val="0"/>
          <w:numId w:val="1"/>
        </w:numPr>
        <w:tabs>
          <w:tab w:val="left" w:pos="0"/>
          <w:tab w:val="left" w:pos="284"/>
        </w:tabs>
        <w:spacing w:after="12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F74496">
        <w:rPr>
          <w:rFonts w:ascii="Arial" w:eastAsia="Times New Roman" w:hAnsi="Arial" w:cs="Arial"/>
          <w:bCs/>
        </w:rPr>
        <w:t>Nie podlegają refundacji koszty wynajmu sprzętu medycznego, w przypadku, gdy jest on własnością realizatora Programu.</w:t>
      </w:r>
    </w:p>
    <w:p w:rsidR="00A62D4D" w:rsidRPr="00F74496" w:rsidRDefault="00C430E5">
      <w:pPr>
        <w:rPr>
          <w:rFonts w:ascii="Arial" w:hAnsi="Arial" w:cs="Arial"/>
        </w:rPr>
      </w:pPr>
    </w:p>
    <w:sectPr w:rsidR="00A62D4D" w:rsidRPr="00F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5B99"/>
    <w:multiLevelType w:val="hybridMultilevel"/>
    <w:tmpl w:val="86447BEA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8"/>
    <w:rsid w:val="00157264"/>
    <w:rsid w:val="002323D2"/>
    <w:rsid w:val="002D01C4"/>
    <w:rsid w:val="00557695"/>
    <w:rsid w:val="005822A8"/>
    <w:rsid w:val="006773B5"/>
    <w:rsid w:val="00AD2160"/>
    <w:rsid w:val="00B878C4"/>
    <w:rsid w:val="00C430E5"/>
    <w:rsid w:val="00F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0C91-ACCA-4844-A983-005DA7C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21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2019-05-07T09:39:00Z</dcterms:created>
  <dcterms:modified xsi:type="dcterms:W3CDTF">2019-05-07T09:39:00Z</dcterms:modified>
</cp:coreProperties>
</file>