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5260F" w14:textId="77777777" w:rsidR="0059388A" w:rsidRDefault="0059388A"/>
    <w:tbl>
      <w:tblPr>
        <w:tblStyle w:val="Tabela-Siatka"/>
        <w:tblW w:w="0" w:type="auto"/>
        <w:tblLook w:val="04A0" w:firstRow="1" w:lastRow="0" w:firstColumn="1" w:lastColumn="0" w:noHBand="0" w:noVBand="1"/>
      </w:tblPr>
      <w:tblGrid>
        <w:gridCol w:w="631"/>
        <w:gridCol w:w="1408"/>
        <w:gridCol w:w="1991"/>
        <w:gridCol w:w="5108"/>
        <w:gridCol w:w="4856"/>
      </w:tblGrid>
      <w:tr w:rsidR="002404B1" w14:paraId="413FB8B4" w14:textId="77777777" w:rsidTr="00204199">
        <w:trPr>
          <w:trHeight w:val="1133"/>
        </w:trPr>
        <w:tc>
          <w:tcPr>
            <w:tcW w:w="13994" w:type="dxa"/>
            <w:gridSpan w:val="5"/>
            <w:vAlign w:val="center"/>
          </w:tcPr>
          <w:p w14:paraId="6A87C7A2" w14:textId="76027979" w:rsidR="00266323" w:rsidRDefault="00266323" w:rsidP="0059388A">
            <w:pPr>
              <w:jc w:val="center"/>
              <w:rPr>
                <w:b/>
              </w:rPr>
            </w:pPr>
            <w:r>
              <w:rPr>
                <w:b/>
              </w:rPr>
              <w:t>Zestawienie uwag z uzgodnień międzyresortowych do</w:t>
            </w:r>
          </w:p>
          <w:p w14:paraId="07C21406" w14:textId="57FB1F2D" w:rsidR="002404B1" w:rsidRPr="00B10590" w:rsidRDefault="00B10590" w:rsidP="0059388A">
            <w:pPr>
              <w:jc w:val="center"/>
              <w:rPr>
                <w:b/>
              </w:rPr>
            </w:pPr>
            <w:r w:rsidRPr="00B10590">
              <w:rPr>
                <w:b/>
              </w:rPr>
              <w:t>projekt</w:t>
            </w:r>
            <w:r w:rsidR="00266323">
              <w:rPr>
                <w:b/>
              </w:rPr>
              <w:t>u</w:t>
            </w:r>
            <w:r w:rsidRPr="00B10590">
              <w:rPr>
                <w:b/>
              </w:rPr>
              <w:t xml:space="preserve"> rozporządzenia Ministra Cyfryzacji w sprawie opłaty ewidencyjnej stanowiącej przychód Funduszu – Centralna Ewidencja Pojazdów i Kierowców</w:t>
            </w:r>
            <w:r w:rsidR="002404B1" w:rsidRPr="00B10590">
              <w:rPr>
                <w:b/>
              </w:rPr>
              <w:t xml:space="preserve"> (</w:t>
            </w:r>
            <w:r w:rsidRPr="00B10590">
              <w:rPr>
                <w:b/>
              </w:rPr>
              <w:t>139</w:t>
            </w:r>
            <w:r w:rsidR="002404B1" w:rsidRPr="00B10590">
              <w:rPr>
                <w:b/>
              </w:rPr>
              <w:t>)</w:t>
            </w:r>
          </w:p>
          <w:p w14:paraId="3B86E659" w14:textId="77777777" w:rsidR="002404B1" w:rsidRPr="00CF4E33" w:rsidRDefault="00B10590" w:rsidP="0059388A">
            <w:pPr>
              <w:jc w:val="center"/>
              <w:rPr>
                <w:b/>
                <w:sz w:val="28"/>
                <w:szCs w:val="28"/>
              </w:rPr>
            </w:pPr>
            <w:r>
              <w:t xml:space="preserve">Minister Cyfryzacji </w:t>
            </w:r>
          </w:p>
        </w:tc>
      </w:tr>
      <w:tr w:rsidR="002404B1" w:rsidRPr="00CF4E33" w14:paraId="07C7F929" w14:textId="77777777" w:rsidTr="00476886">
        <w:tc>
          <w:tcPr>
            <w:tcW w:w="631" w:type="dxa"/>
          </w:tcPr>
          <w:p w14:paraId="449D9919" w14:textId="77777777" w:rsidR="002404B1" w:rsidRPr="00CF4E33" w:rsidRDefault="002404B1" w:rsidP="00CF4E33">
            <w:pPr>
              <w:jc w:val="center"/>
              <w:rPr>
                <w:b/>
              </w:rPr>
            </w:pPr>
            <w:r w:rsidRPr="00CF4E33">
              <w:rPr>
                <w:b/>
              </w:rPr>
              <w:t>L. p.</w:t>
            </w:r>
          </w:p>
        </w:tc>
        <w:tc>
          <w:tcPr>
            <w:tcW w:w="1408" w:type="dxa"/>
          </w:tcPr>
          <w:p w14:paraId="6D072766" w14:textId="77777777" w:rsidR="002404B1" w:rsidRPr="00CF4E33" w:rsidRDefault="002404B1" w:rsidP="00CF4E33">
            <w:pPr>
              <w:jc w:val="center"/>
              <w:rPr>
                <w:b/>
              </w:rPr>
            </w:pPr>
            <w:r w:rsidRPr="00CF4E33">
              <w:rPr>
                <w:b/>
              </w:rPr>
              <w:t>Jednostka redakcyjna</w:t>
            </w:r>
          </w:p>
        </w:tc>
        <w:tc>
          <w:tcPr>
            <w:tcW w:w="1991" w:type="dxa"/>
          </w:tcPr>
          <w:p w14:paraId="467F73A8" w14:textId="77777777" w:rsidR="002404B1" w:rsidRPr="00CF4E33" w:rsidRDefault="002404B1" w:rsidP="00CF4E33">
            <w:pPr>
              <w:jc w:val="center"/>
              <w:rPr>
                <w:b/>
              </w:rPr>
            </w:pPr>
            <w:r w:rsidRPr="00CF4E33">
              <w:rPr>
                <w:b/>
              </w:rPr>
              <w:t>Podmiot zgłaszający uwagę</w:t>
            </w:r>
          </w:p>
        </w:tc>
        <w:tc>
          <w:tcPr>
            <w:tcW w:w="5108" w:type="dxa"/>
          </w:tcPr>
          <w:p w14:paraId="2284DAC3" w14:textId="77777777" w:rsidR="002404B1" w:rsidRPr="00CF4E33" w:rsidRDefault="002404B1" w:rsidP="00CF4E33">
            <w:pPr>
              <w:jc w:val="center"/>
              <w:rPr>
                <w:b/>
              </w:rPr>
            </w:pPr>
            <w:r w:rsidRPr="00CF4E33">
              <w:rPr>
                <w:b/>
              </w:rPr>
              <w:t>Treść uwagi</w:t>
            </w:r>
          </w:p>
        </w:tc>
        <w:tc>
          <w:tcPr>
            <w:tcW w:w="4856" w:type="dxa"/>
          </w:tcPr>
          <w:p w14:paraId="5DC91F70" w14:textId="77777777" w:rsidR="002404B1" w:rsidRPr="00CF4E33" w:rsidRDefault="002404B1" w:rsidP="00CF4E33">
            <w:pPr>
              <w:jc w:val="center"/>
              <w:rPr>
                <w:b/>
              </w:rPr>
            </w:pPr>
            <w:r>
              <w:rPr>
                <w:b/>
              </w:rPr>
              <w:t>Stanowisko MC</w:t>
            </w:r>
          </w:p>
        </w:tc>
      </w:tr>
      <w:tr w:rsidR="002404B1" w14:paraId="106E355C" w14:textId="77777777" w:rsidTr="00476886">
        <w:tc>
          <w:tcPr>
            <w:tcW w:w="631" w:type="dxa"/>
          </w:tcPr>
          <w:p w14:paraId="1DAE5BD5" w14:textId="77777777" w:rsidR="002404B1" w:rsidRDefault="002404B1" w:rsidP="00CF4E33">
            <w:pPr>
              <w:pStyle w:val="Akapitzlist"/>
              <w:numPr>
                <w:ilvl w:val="0"/>
                <w:numId w:val="1"/>
              </w:numPr>
            </w:pPr>
          </w:p>
        </w:tc>
        <w:tc>
          <w:tcPr>
            <w:tcW w:w="1408" w:type="dxa"/>
          </w:tcPr>
          <w:p w14:paraId="4505CE39" w14:textId="77777777" w:rsidR="002404B1" w:rsidRDefault="00E21929">
            <w:r>
              <w:t>§ 2 ust. 1 pkt 1 lit. a</w:t>
            </w:r>
          </w:p>
        </w:tc>
        <w:tc>
          <w:tcPr>
            <w:tcW w:w="1991" w:type="dxa"/>
          </w:tcPr>
          <w:p w14:paraId="0AC5445D" w14:textId="77777777" w:rsidR="002404B1" w:rsidRDefault="00E21929">
            <w:r>
              <w:t>RCL</w:t>
            </w:r>
          </w:p>
        </w:tc>
        <w:tc>
          <w:tcPr>
            <w:tcW w:w="5108" w:type="dxa"/>
          </w:tcPr>
          <w:p w14:paraId="4CDC6D97" w14:textId="77777777" w:rsidR="008F7DD8" w:rsidRDefault="00E21929" w:rsidP="00E21929">
            <w:r w:rsidRPr="00E21929">
              <w:t xml:space="preserve">a) </w:t>
            </w:r>
            <w:proofErr w:type="spellStart"/>
            <w:r w:rsidRPr="00E21929">
              <w:t>tiret</w:t>
            </w:r>
            <w:proofErr w:type="spellEnd"/>
            <w:r w:rsidRPr="00E21929">
              <w:t xml:space="preserve"> dziewiąte – stanowi o wysokości opłaty za wydanie zezwolenia na kierowanie pojazdem przewożącym wartości pieniężne albo inne przedmioty wartościowe lub niebezpieczne (podobnie w § 2 ust. 1 pkt 1 lit. b </w:t>
            </w:r>
            <w:proofErr w:type="spellStart"/>
            <w:r w:rsidRPr="00E21929">
              <w:t>tiret</w:t>
            </w:r>
            <w:proofErr w:type="spellEnd"/>
            <w:r w:rsidRPr="00E21929">
              <w:t xml:space="preserve"> czwarte – w przypadku przedłużenia okresu ważności ww. zezwolenia – oraz w § 2 ust. 1 pkt 1 lit. c </w:t>
            </w:r>
            <w:proofErr w:type="spellStart"/>
            <w:r w:rsidRPr="00E21929">
              <w:t>tiret</w:t>
            </w:r>
            <w:proofErr w:type="spellEnd"/>
            <w:r w:rsidRPr="00E21929">
              <w:t xml:space="preserve"> drugie – w przypadku rozszerzenia zakresu ww. zezwolenia),</w:t>
            </w:r>
          </w:p>
          <w:p w14:paraId="3F651079" w14:textId="77777777" w:rsidR="002404B1" w:rsidRDefault="00E21929" w:rsidP="00E21929">
            <w:r w:rsidRPr="00E21929">
              <w:t xml:space="preserve">b) </w:t>
            </w:r>
            <w:proofErr w:type="spellStart"/>
            <w:r w:rsidRPr="00E21929">
              <w:t>tiret</w:t>
            </w:r>
            <w:proofErr w:type="spellEnd"/>
            <w:r w:rsidRPr="00E21929">
              <w:t xml:space="preserve"> dziesiąte – stanowi o wysokości opłaty za wydanie zaświadczenia ADR. Z uwagi na fakt, iż ustawa – przykładowo w art. 100aa ust. 4 pkt 14 i 16 – odnosi się do „zaświadczeń ADR, o których mowa w przepisach o przewozie towarów niebezpiecznych” 2 oraz do „zezwoleń na kierowanie pojazdami uprzywilejowanymi lub pojazdami, przewożącymi wartości pieniężne albo inne przedmioty wartościowe lub niebezpieczne, o których mowa w ustawie z dnia 22 sierpnia 1997 r. o ochronie osób i mienia (Dz. U. z 2018 r. poz. 2142, z </w:t>
            </w:r>
            <w:proofErr w:type="spellStart"/>
            <w:r w:rsidRPr="00E21929">
              <w:t>późn</w:t>
            </w:r>
            <w:proofErr w:type="spellEnd"/>
            <w:r w:rsidRPr="00E21929">
              <w:t>. zm.)”, zasadnym wydaje się analogiczne doprecyzowanie projektowanego rozporządzenia w ww. przypadkach (także w załączniku do rozporządzenia, w c</w:t>
            </w:r>
            <w:r w:rsidR="00FC0262">
              <w:t xml:space="preserve">zęści A, blok 4 i 6); </w:t>
            </w:r>
            <w:r w:rsidRPr="00E21929">
              <w:t xml:space="preserve"> </w:t>
            </w:r>
          </w:p>
        </w:tc>
        <w:tc>
          <w:tcPr>
            <w:tcW w:w="4856" w:type="dxa"/>
          </w:tcPr>
          <w:p w14:paraId="61B5A455" w14:textId="62F50E46" w:rsidR="001D57F9" w:rsidRDefault="00B26B37">
            <w:r>
              <w:t>Uwzględniona</w:t>
            </w:r>
          </w:p>
        </w:tc>
      </w:tr>
      <w:tr w:rsidR="002404B1" w14:paraId="2F7E18D2" w14:textId="77777777" w:rsidTr="00476886">
        <w:tc>
          <w:tcPr>
            <w:tcW w:w="631" w:type="dxa"/>
          </w:tcPr>
          <w:p w14:paraId="6F01D426" w14:textId="77777777" w:rsidR="002404B1" w:rsidRDefault="002404B1" w:rsidP="00CF4E33">
            <w:pPr>
              <w:pStyle w:val="Akapitzlist"/>
              <w:numPr>
                <w:ilvl w:val="0"/>
                <w:numId w:val="1"/>
              </w:numPr>
            </w:pPr>
          </w:p>
        </w:tc>
        <w:tc>
          <w:tcPr>
            <w:tcW w:w="1408" w:type="dxa"/>
          </w:tcPr>
          <w:p w14:paraId="3434ABD1" w14:textId="77777777" w:rsidR="002404B1" w:rsidRDefault="008F7DD8" w:rsidP="008F7DD8">
            <w:pPr>
              <w:tabs>
                <w:tab w:val="left" w:pos="880"/>
              </w:tabs>
            </w:pPr>
            <w:r>
              <w:t>§ 4 ust. 2</w:t>
            </w:r>
          </w:p>
        </w:tc>
        <w:tc>
          <w:tcPr>
            <w:tcW w:w="1991" w:type="dxa"/>
          </w:tcPr>
          <w:p w14:paraId="63B04E0F" w14:textId="77777777" w:rsidR="002404B1" w:rsidRDefault="008F7DD8">
            <w:r>
              <w:t xml:space="preserve">RCL </w:t>
            </w:r>
          </w:p>
        </w:tc>
        <w:tc>
          <w:tcPr>
            <w:tcW w:w="5108" w:type="dxa"/>
          </w:tcPr>
          <w:p w14:paraId="7DAF8D2E" w14:textId="77777777" w:rsidR="002404B1" w:rsidRDefault="00FC0262">
            <w:r w:rsidRPr="00FC0262">
              <w:t xml:space="preserve">upoważnienie ustawowe zawarte w art. 80d ust. 7 ustawy przekazuje do uregulowania w akcie wykonawczym m.in. tryb i zasady pobierania, </w:t>
            </w:r>
            <w:r w:rsidRPr="00FC0262">
              <w:lastRenderedPageBreak/>
              <w:t>ewidencjonowania, przekazywania i rozliczania opłaty ewidencyjnej przez organy i podmioty zobowiązane do jej pobierania. Zaś w § 4 ust. 2 projektu rozporządzenia reguluje się zawartość ewidencji pobranych i przekazanych opłat ewidencyjnych, co stanowi wykroczenie poza delegację ustawową;</w:t>
            </w:r>
          </w:p>
        </w:tc>
        <w:tc>
          <w:tcPr>
            <w:tcW w:w="4856" w:type="dxa"/>
          </w:tcPr>
          <w:p w14:paraId="63B19A6C" w14:textId="6201F3CB" w:rsidR="00E25292" w:rsidRDefault="00597CAB">
            <w:r>
              <w:lastRenderedPageBreak/>
              <w:t>Uwzględniona. Dokonano stosownych zmian w projekcie</w:t>
            </w:r>
          </w:p>
        </w:tc>
      </w:tr>
      <w:tr w:rsidR="002404B1" w14:paraId="1F2CFA6C" w14:textId="77777777" w:rsidTr="00476886">
        <w:tc>
          <w:tcPr>
            <w:tcW w:w="631" w:type="dxa"/>
          </w:tcPr>
          <w:p w14:paraId="138B063C" w14:textId="77777777" w:rsidR="002404B1" w:rsidRDefault="002404B1" w:rsidP="00CF4E33">
            <w:pPr>
              <w:pStyle w:val="Akapitzlist"/>
              <w:numPr>
                <w:ilvl w:val="0"/>
                <w:numId w:val="1"/>
              </w:numPr>
            </w:pPr>
          </w:p>
        </w:tc>
        <w:tc>
          <w:tcPr>
            <w:tcW w:w="1408" w:type="dxa"/>
          </w:tcPr>
          <w:p w14:paraId="577AEC62" w14:textId="77777777" w:rsidR="002404B1" w:rsidRDefault="00FC0262">
            <w:r>
              <w:t>§ 6</w:t>
            </w:r>
          </w:p>
        </w:tc>
        <w:tc>
          <w:tcPr>
            <w:tcW w:w="1991" w:type="dxa"/>
          </w:tcPr>
          <w:p w14:paraId="21CB5B79" w14:textId="77777777" w:rsidR="002404B1" w:rsidRDefault="00FC0262">
            <w:r>
              <w:t>RCL</w:t>
            </w:r>
          </w:p>
        </w:tc>
        <w:tc>
          <w:tcPr>
            <w:tcW w:w="5108" w:type="dxa"/>
          </w:tcPr>
          <w:p w14:paraId="1180EBB4" w14:textId="77777777" w:rsidR="002404B1" w:rsidRDefault="00FC0262" w:rsidP="00FC0262">
            <w:r w:rsidRPr="00FC0262">
              <w:t xml:space="preserve">w § 6 projektowanego rozporządzenia przesądza się o obowiązku pobierającego przekazywania do ministra właściwego do spraw informatyzacji (dalej jako „Minister”) sprawozdania z pobranych i przekazanych lub uiszczonych opłat ewidencyjnych na rachunek Funduszu – Centralna Ewidencja Pojazdów i Kierowców. Zgodnie z § 5 projektowanej regulacji pobierający jedynie przekazuje pobrane opłaty ewidencyjne na rachunek Funduszu. Z uwagi na powyższe sprawozdanie przekazywane Ministrowi powinno być, zgodnie także z częścią A i B załącznika do rozporządzenia, sprawozdaniem z opłat pobranych i przekazanych, nie zaś z opłat uiszczonych. Natomiast w § 7 projektu rozporządzenia, który przewiduje przekazywanie opłat ewidencyjnych przez zakład ubezpieczeń na rachunek bankowy Funduszu a następnie przekazywanie Ministrowi sprawozdania z pobranych i przekazanych lub uiszczonych opłat ewidencyjnych na rachunek Funduszu, stanowić powinien odpowiednio: o uiszczaniu należnych opłat na rachunek Funduszu oraz o przekazywaniu sprawozdania z opłat uiszczonych (co pozostaje w zgodzie z częścią C załącznika do rozporządzenia); </w:t>
            </w:r>
          </w:p>
        </w:tc>
        <w:tc>
          <w:tcPr>
            <w:tcW w:w="4856" w:type="dxa"/>
          </w:tcPr>
          <w:p w14:paraId="19DF1B74" w14:textId="363C0619" w:rsidR="00782128" w:rsidRDefault="00692FE7" w:rsidP="008D3C7F">
            <w:r>
              <w:t>Uwzględniona. Dokonano stosownych zmian w projekcie.</w:t>
            </w:r>
            <w:r w:rsidR="008D3C7F">
              <w:t xml:space="preserve"> </w:t>
            </w:r>
          </w:p>
        </w:tc>
      </w:tr>
      <w:tr w:rsidR="002404B1" w14:paraId="36499145" w14:textId="77777777" w:rsidTr="00476886">
        <w:tc>
          <w:tcPr>
            <w:tcW w:w="631" w:type="dxa"/>
          </w:tcPr>
          <w:p w14:paraId="1B8FCD70" w14:textId="77777777" w:rsidR="002404B1" w:rsidRDefault="002404B1" w:rsidP="00CF4E33">
            <w:pPr>
              <w:pStyle w:val="Akapitzlist"/>
              <w:numPr>
                <w:ilvl w:val="0"/>
                <w:numId w:val="1"/>
              </w:numPr>
            </w:pPr>
          </w:p>
        </w:tc>
        <w:tc>
          <w:tcPr>
            <w:tcW w:w="1408" w:type="dxa"/>
          </w:tcPr>
          <w:p w14:paraId="76C9111C" w14:textId="77777777" w:rsidR="002404B1" w:rsidRDefault="0052083D">
            <w:r>
              <w:t>§ 9</w:t>
            </w:r>
          </w:p>
        </w:tc>
        <w:tc>
          <w:tcPr>
            <w:tcW w:w="1991" w:type="dxa"/>
          </w:tcPr>
          <w:p w14:paraId="1AA24DB2" w14:textId="77777777" w:rsidR="002404B1" w:rsidRDefault="0052083D">
            <w:r>
              <w:t>RCL</w:t>
            </w:r>
          </w:p>
        </w:tc>
        <w:tc>
          <w:tcPr>
            <w:tcW w:w="5108" w:type="dxa"/>
          </w:tcPr>
          <w:p w14:paraId="5F8B5624" w14:textId="77777777" w:rsidR="002404B1" w:rsidRDefault="0052083D">
            <w:r w:rsidRPr="0052083D">
              <w:t xml:space="preserve">w § 9 projektu rozporządzenia uzależnia się terminy stosowania przepisów określających wysokość opłaty ewidencyjnej od dnia wdrożenia rozwiązań technicznych: a) umożliwiających funkcjonowanie </w:t>
            </w:r>
            <w:r w:rsidRPr="0052083D">
              <w:lastRenderedPageBreak/>
              <w:t xml:space="preserve">centralnej ewidencji posiadaczy kart parkingowych, określonym w komunikacie, o którym mowa w art. 10b ust. 2 ustawy z dnia 24 lipca 2015 r. o zmianie ustawy – Prawo o ruchu drogowym oraz niektórych innych ustaw (Dz. U. poz. 1273, z </w:t>
            </w:r>
            <w:proofErr w:type="spellStart"/>
            <w:r w:rsidRPr="0052083D">
              <w:t>późn</w:t>
            </w:r>
            <w:proofErr w:type="spellEnd"/>
            <w:r w:rsidRPr="0052083D">
              <w:t xml:space="preserve">. zm.), b) określonym w komunikacie, o którym mowa w art. 138a ust. 2 ustawy z dnia 5 stycznia 2011 r. o kierujących pojazdami. 3 W pierwszym przypadku niejasne pozostaje uzależnienie możliwości stosowania przepisów rozporządzenia określających wysokość opłat ewidencyjnych za wydanie karty parkingowej osobie niepełnosprawnej oraz placówce zajmującej się opieką, rehabilitacją lub edukacją osób niepełnosprawnych mających znacznie ograniczone możliwości samodzielnego poruszania się, od wdrożenia rozwiązań technicznych umożliwiających funkcjonowanie centralnej ewidencji posiadaczy kart parkingowych w systemie teleinformatycznym. W drugim przypadku natomiast regulacja dotycząca odroczenia pobierania opłat ewidencyjnych zawarta jest już wprost w ustawie z dnia 5 stycznia 2011 r. o kierujących pojazdami – art. 138a ust. 1 ww. ustawy stanowi bowiem o możliwości pobierania ww. opłat dopiero od dnia wdrożenia rozwiązań technicznych umożliwiających wprowadzanie do centralnej ewidencji kierowców danych, o których mowa w art. 100aa ust. 1 pkt 5–14 oraz ust. 4 pkt 16 ustawy – Prawo o ruchu drogowym. Tym samym nie tylko przepisy przedmiotowego rozporządzenia określające wysokość opłaty ewidencyjnej, o której mowa w artykułach wskazanych w § 9 pkt 2 projektu rozporządzenia, będą miały zastosowanie od terminu określonego w komunikacie Ministra, ale także </w:t>
            </w:r>
            <w:r w:rsidRPr="0052083D">
              <w:lastRenderedPageBreak/>
              <w:t>pozostałe przepisy regulujące tryb i zasady pobierania, ewidencjonowania, przekazywania i uiszczania opłat ewidencyjnych.</w:t>
            </w:r>
          </w:p>
        </w:tc>
        <w:tc>
          <w:tcPr>
            <w:tcW w:w="4856" w:type="dxa"/>
          </w:tcPr>
          <w:p w14:paraId="0437ECB0" w14:textId="77777777" w:rsidR="00153A20" w:rsidRPr="00153A20" w:rsidRDefault="00153A20" w:rsidP="00153A20">
            <w:r w:rsidRPr="00153A20">
              <w:lastRenderedPageBreak/>
              <w:t xml:space="preserve">Wyjaśniam, iż utworzenie centralnej ewidencji posiadaczy kart parkingowych jest ściśle powiązane z pobieraniem opłaty ewidencyjnej za wydanie karty parkingowej. Opłata ta bowiem może być </w:t>
            </w:r>
            <w:r w:rsidRPr="00153A20">
              <w:lastRenderedPageBreak/>
              <w:t>pobierana od momentu, w którym dane o wydanej karcie parkingowej będą gromadzone w tej ewidencji. Biorąc pod uwagę, iż wdrożenie rozwiązań umożlwiających gromadzenie i udostępnianie danych o kartach parkingowych będzie możliwe od daty określonej w komunikacie Ministra od tej daty również pobierana będzie oplata. Biorąc pod uwagę, że przepisy w zakresie komunikatów znajdują się w przepisach przejściowych, aby zapewnić klarowność w zakresie opłaty ewidencyjnej taki przepis został wprowadzony do rozporządzenia. Nadmieniam również, iż funkcjonuje on już w obowiązującym rozporządzeniu. Dlatego zasadne jest jego pozostawienie.</w:t>
            </w:r>
          </w:p>
          <w:p w14:paraId="707FDB40" w14:textId="77777777" w:rsidR="00153A20" w:rsidRPr="00153A20" w:rsidRDefault="00153A20" w:rsidP="00153A20">
            <w:r w:rsidRPr="00153A20">
              <w:t>Analogicznie w przypadku przepisu art. 138a ust. 2.</w:t>
            </w:r>
          </w:p>
          <w:p w14:paraId="0EBB7853" w14:textId="77777777" w:rsidR="00153A20" w:rsidRDefault="00153A20" w:rsidP="00D55FFE"/>
          <w:p w14:paraId="4903BD0D" w14:textId="77777777" w:rsidR="00153A20" w:rsidRDefault="00153A20" w:rsidP="00D55FFE"/>
          <w:p w14:paraId="35E89284" w14:textId="627C99D2" w:rsidR="00D55FFE" w:rsidRDefault="00D55FFE" w:rsidP="00D55FFE"/>
        </w:tc>
      </w:tr>
      <w:tr w:rsidR="002404B1" w14:paraId="4ECD0A6A" w14:textId="77777777" w:rsidTr="00476886">
        <w:tc>
          <w:tcPr>
            <w:tcW w:w="631" w:type="dxa"/>
          </w:tcPr>
          <w:p w14:paraId="3F56CA33" w14:textId="77777777" w:rsidR="002404B1" w:rsidRDefault="002404B1" w:rsidP="00CF4E33">
            <w:pPr>
              <w:pStyle w:val="Akapitzlist"/>
              <w:numPr>
                <w:ilvl w:val="0"/>
                <w:numId w:val="1"/>
              </w:numPr>
            </w:pPr>
          </w:p>
        </w:tc>
        <w:tc>
          <w:tcPr>
            <w:tcW w:w="1408" w:type="dxa"/>
          </w:tcPr>
          <w:p w14:paraId="7F97E0F6" w14:textId="77777777" w:rsidR="002404B1" w:rsidRDefault="0052083D">
            <w:r>
              <w:t>Uzasadnienie</w:t>
            </w:r>
          </w:p>
        </w:tc>
        <w:tc>
          <w:tcPr>
            <w:tcW w:w="1991" w:type="dxa"/>
          </w:tcPr>
          <w:p w14:paraId="009E46CA" w14:textId="77777777" w:rsidR="002404B1" w:rsidRDefault="0052083D">
            <w:r>
              <w:t>RCL</w:t>
            </w:r>
          </w:p>
        </w:tc>
        <w:tc>
          <w:tcPr>
            <w:tcW w:w="5108" w:type="dxa"/>
          </w:tcPr>
          <w:p w14:paraId="530E6BF4" w14:textId="77777777" w:rsidR="0052083D" w:rsidRDefault="0052083D">
            <w:r>
              <w:t xml:space="preserve">5) </w:t>
            </w:r>
            <w:r w:rsidRPr="0052083D">
              <w:t xml:space="preserve">wyjaśnienia wymaga, czy projekt rozporządzenia uzyskał opinię Komisji Wspólnej Rządu i Samorządu Terytorialnego, jako że dotyka problematyki związanej z funkcjonowaniem samorządu terytorialnego – pobieranie opłat ewidencyjnych odbywa się m.in. przez organy tego samorządu; </w:t>
            </w:r>
          </w:p>
          <w:p w14:paraId="6B504ECC" w14:textId="77777777" w:rsidR="002404B1" w:rsidRDefault="0052083D">
            <w:r w:rsidRPr="0052083D">
              <w:t>6) uzasadnienie projektowanej regulacji powinno wskazywać na informację o zgłoszeniach zainteresowania pracami nad projektem rozporządzenia w trybie ustawy z dnia 7 lipca 2005 r. o działalności lobbingowej w procesie stosowania prawa (Dz. U. z 2017 r. poz. 248).</w:t>
            </w:r>
          </w:p>
        </w:tc>
        <w:tc>
          <w:tcPr>
            <w:tcW w:w="4856" w:type="dxa"/>
          </w:tcPr>
          <w:p w14:paraId="189B9DA7" w14:textId="08CF643D" w:rsidR="00153A20" w:rsidRPr="00153A20" w:rsidRDefault="00153A20" w:rsidP="00153A20">
            <w:r>
              <w:t>O</w:t>
            </w:r>
            <w:r w:rsidRPr="00153A20">
              <w:t xml:space="preserve">mawiany projekt został skierowany równocześnie do uzgodnień międzyresortowych, konsultacji publicznych i opiniowania oraz zastał zamieszczony na RPL i stronie BIP Ministerstwa Cyfryzacji. Zatem Ministerstwo Cyfryzacji w chwili skierowania projektu do uzgodnień nie mogło mieć informacji czy są podmioty zainteresowane pracami nad projektem rozporządzenia w trybie ustawy z dnia 7 lipca 2005 r. o działalności lobbingowej w procesie stosowania prawa (Dz. U. z 2017 r. poz. 248). </w:t>
            </w:r>
          </w:p>
          <w:p w14:paraId="24FBC1DF" w14:textId="0E2AD04F" w:rsidR="00153A20" w:rsidRPr="00153A20" w:rsidRDefault="00153A20" w:rsidP="00153A20">
            <w:r w:rsidRPr="00153A20">
              <w:t xml:space="preserve">Niezależnie od powyższego informuję, że żaden podmiot nie zgłosił zainteresowania pracami nad projektem rozporządzenia w trybie ustawy z dnia 7 lipca 2005 r. o działalności lobbingowej w procesie stosowania prawa, a informacja ta została wskazana w uzasadnieniu projektu. </w:t>
            </w:r>
          </w:p>
          <w:p w14:paraId="6949564F" w14:textId="77777777" w:rsidR="00153A20" w:rsidRDefault="00153A20" w:rsidP="00153A20">
            <w:r w:rsidRPr="00153A20">
              <w:t xml:space="preserve">Projekt nie był kierowany do zaopiniowania przez </w:t>
            </w:r>
            <w:proofErr w:type="spellStart"/>
            <w:r w:rsidRPr="00153A20">
              <w:t>KWRiST</w:t>
            </w:r>
            <w:proofErr w:type="spellEnd"/>
            <w:r w:rsidRPr="00153A20">
              <w:t xml:space="preserve"> (przekazano go wyłącznie jako materiał informacyjny) z uwagi na to, że treść projektu nie zmieniła brzmienia w zakresie dotyczącym organów samorządu terytorialnego w stosunku do obecnie obowiązującej. Jedyną zmianą w nowym rozporządzeniu jest uwzględnienie nowej opłaty ewidencyjnej, o której mowa w art. 81b ust. 3 w katalogu pobieranych opłat oraz we wzorze sprawozdania – pobieranej przez stacje kontroli pojazdów w związku z odczytem wskazania drogomierza po wymianie.</w:t>
            </w:r>
          </w:p>
          <w:p w14:paraId="02C6A09A" w14:textId="77777777" w:rsidR="00A838B1" w:rsidRDefault="00A838B1" w:rsidP="00153A20"/>
          <w:p w14:paraId="2F22380D" w14:textId="77777777" w:rsidR="00A86A88" w:rsidRDefault="00A86A88" w:rsidP="0098654E"/>
        </w:tc>
      </w:tr>
      <w:tr w:rsidR="002404B1" w14:paraId="2E45B476" w14:textId="77777777" w:rsidTr="00476886">
        <w:tc>
          <w:tcPr>
            <w:tcW w:w="631" w:type="dxa"/>
          </w:tcPr>
          <w:p w14:paraId="2B155E20" w14:textId="77777777" w:rsidR="002404B1" w:rsidRDefault="002404B1" w:rsidP="00CF4E33">
            <w:pPr>
              <w:pStyle w:val="Akapitzlist"/>
              <w:numPr>
                <w:ilvl w:val="0"/>
                <w:numId w:val="1"/>
              </w:numPr>
            </w:pPr>
          </w:p>
        </w:tc>
        <w:tc>
          <w:tcPr>
            <w:tcW w:w="1408" w:type="dxa"/>
          </w:tcPr>
          <w:p w14:paraId="6DC8AE64" w14:textId="77777777" w:rsidR="002404B1" w:rsidRDefault="002877ED">
            <w:r>
              <w:t>Uzasadnienie</w:t>
            </w:r>
          </w:p>
        </w:tc>
        <w:tc>
          <w:tcPr>
            <w:tcW w:w="1991" w:type="dxa"/>
          </w:tcPr>
          <w:p w14:paraId="46D71815" w14:textId="77777777" w:rsidR="002404B1" w:rsidRDefault="002877ED">
            <w:r>
              <w:t>MI</w:t>
            </w:r>
          </w:p>
        </w:tc>
        <w:tc>
          <w:tcPr>
            <w:tcW w:w="5108" w:type="dxa"/>
          </w:tcPr>
          <w:p w14:paraId="44C3AAE1" w14:textId="77777777" w:rsidR="002404B1" w:rsidRDefault="002877ED" w:rsidP="002877ED">
            <w:r w:rsidRPr="002877ED">
              <w:t>Mając na uwadze zasadę zmniejszania opłat administracyjnych nakładanych na obywatela zwracam się z prośbą o uzup</w:t>
            </w:r>
            <w:bookmarkStart w:id="0" w:name="_GoBack"/>
            <w:bookmarkEnd w:id="0"/>
            <w:r w:rsidRPr="002877ED">
              <w:t xml:space="preserve">ełnienie uzasadnienia o informację dotyczącą ustalenia wysokość opłaty ewidencyjnej za dokonanie odczytu wskazania drogomierza (§ 2 pkt 2 lit. h projektu) na poziomie 1 zł. </w:t>
            </w:r>
          </w:p>
        </w:tc>
        <w:tc>
          <w:tcPr>
            <w:tcW w:w="4856" w:type="dxa"/>
          </w:tcPr>
          <w:p w14:paraId="217F5DFF" w14:textId="77777777" w:rsidR="002404B1" w:rsidRDefault="00A86A88">
            <w:r>
              <w:t>Uwzględnione</w:t>
            </w:r>
          </w:p>
        </w:tc>
      </w:tr>
    </w:tbl>
    <w:p w14:paraId="08C5FF7B" w14:textId="77777777" w:rsidR="004F612A" w:rsidRDefault="004F612A"/>
    <w:sectPr w:rsidR="004F612A" w:rsidSect="0059388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FE7441"/>
    <w:multiLevelType w:val="hybridMultilevel"/>
    <w:tmpl w:val="7592E5F8"/>
    <w:lvl w:ilvl="0" w:tplc="FA2ACB2E">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B202C0D"/>
    <w:multiLevelType w:val="hybridMultilevel"/>
    <w:tmpl w:val="57E8D8AE"/>
    <w:lvl w:ilvl="0" w:tplc="FFFFFFFF">
      <w:start w:val="1"/>
      <w:numFmt w:val="decimal"/>
      <w:lvlText w:val="%1)"/>
      <w:lvlJc w:val="left"/>
      <w:pPr>
        <w:ind w:left="720" w:hanging="360"/>
      </w:pPr>
      <w:rPr>
        <w:rFonts w:ascii="Calibr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88A"/>
    <w:rsid w:val="000F2D5A"/>
    <w:rsid w:val="00153A20"/>
    <w:rsid w:val="001C0A41"/>
    <w:rsid w:val="001D57F9"/>
    <w:rsid w:val="002404B1"/>
    <w:rsid w:val="00266323"/>
    <w:rsid w:val="002877ED"/>
    <w:rsid w:val="00334A84"/>
    <w:rsid w:val="00346EE3"/>
    <w:rsid w:val="00476886"/>
    <w:rsid w:val="004F612A"/>
    <w:rsid w:val="0052083D"/>
    <w:rsid w:val="00564447"/>
    <w:rsid w:val="0059388A"/>
    <w:rsid w:val="00597CAB"/>
    <w:rsid w:val="006069C0"/>
    <w:rsid w:val="00692FE7"/>
    <w:rsid w:val="00782128"/>
    <w:rsid w:val="008C0879"/>
    <w:rsid w:val="008D3C7F"/>
    <w:rsid w:val="008F7DD8"/>
    <w:rsid w:val="00906DF6"/>
    <w:rsid w:val="0098654E"/>
    <w:rsid w:val="0099565A"/>
    <w:rsid w:val="009A7962"/>
    <w:rsid w:val="00A838B1"/>
    <w:rsid w:val="00A86A88"/>
    <w:rsid w:val="00B10590"/>
    <w:rsid w:val="00B26B37"/>
    <w:rsid w:val="00CC1E6B"/>
    <w:rsid w:val="00CF4E33"/>
    <w:rsid w:val="00D55FFE"/>
    <w:rsid w:val="00E21929"/>
    <w:rsid w:val="00E25292"/>
    <w:rsid w:val="00E7500B"/>
    <w:rsid w:val="00EB5165"/>
    <w:rsid w:val="00FC02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59959"/>
  <w15:chartTrackingRefBased/>
  <w15:docId w15:val="{348D71CB-D26B-4214-B5E9-9F9B5AF26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93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F4E33"/>
    <w:pPr>
      <w:ind w:left="720"/>
      <w:contextualSpacing/>
    </w:pPr>
  </w:style>
  <w:style w:type="character" w:styleId="Odwoaniedokomentarza">
    <w:name w:val="annotation reference"/>
    <w:basedOn w:val="Domylnaczcionkaakapitu"/>
    <w:uiPriority w:val="99"/>
    <w:semiHidden/>
    <w:unhideWhenUsed/>
    <w:rsid w:val="008D3C7F"/>
    <w:rPr>
      <w:sz w:val="16"/>
      <w:szCs w:val="16"/>
    </w:rPr>
  </w:style>
  <w:style w:type="paragraph" w:styleId="Tekstkomentarza">
    <w:name w:val="annotation text"/>
    <w:basedOn w:val="Normalny"/>
    <w:link w:val="TekstkomentarzaZnak"/>
    <w:uiPriority w:val="99"/>
    <w:semiHidden/>
    <w:unhideWhenUsed/>
    <w:rsid w:val="008D3C7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D3C7F"/>
    <w:rPr>
      <w:sz w:val="20"/>
      <w:szCs w:val="20"/>
    </w:rPr>
  </w:style>
  <w:style w:type="paragraph" w:styleId="Tematkomentarza">
    <w:name w:val="annotation subject"/>
    <w:basedOn w:val="Tekstkomentarza"/>
    <w:next w:val="Tekstkomentarza"/>
    <w:link w:val="TematkomentarzaZnak"/>
    <w:uiPriority w:val="99"/>
    <w:semiHidden/>
    <w:unhideWhenUsed/>
    <w:rsid w:val="008D3C7F"/>
    <w:rPr>
      <w:b/>
      <w:bCs/>
    </w:rPr>
  </w:style>
  <w:style w:type="character" w:customStyle="1" w:styleId="TematkomentarzaZnak">
    <w:name w:val="Temat komentarza Znak"/>
    <w:basedOn w:val="TekstkomentarzaZnak"/>
    <w:link w:val="Tematkomentarza"/>
    <w:uiPriority w:val="99"/>
    <w:semiHidden/>
    <w:rsid w:val="008D3C7F"/>
    <w:rPr>
      <w:b/>
      <w:bCs/>
      <w:sz w:val="20"/>
      <w:szCs w:val="20"/>
    </w:rPr>
  </w:style>
  <w:style w:type="paragraph" w:styleId="Tekstdymka">
    <w:name w:val="Balloon Text"/>
    <w:basedOn w:val="Normalny"/>
    <w:link w:val="TekstdymkaZnak"/>
    <w:uiPriority w:val="99"/>
    <w:semiHidden/>
    <w:unhideWhenUsed/>
    <w:rsid w:val="008D3C7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D3C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1149</Words>
  <Characters>6894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8027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Wójcik Małgorzata</dc:creator>
  <cp:keywords/>
  <dc:description/>
  <cp:lastModifiedBy>Kołtunowicz Dariusz</cp:lastModifiedBy>
  <cp:revision>14</cp:revision>
  <dcterms:created xsi:type="dcterms:W3CDTF">2019-11-12T09:19:00Z</dcterms:created>
  <dcterms:modified xsi:type="dcterms:W3CDTF">2019-12-10T14:53:00Z</dcterms:modified>
</cp:coreProperties>
</file>