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9B372F5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3ED324A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KR</w:t>
      </w:r>
      <w:r w:rsidR="005B32DA">
        <w:rPr>
          <w:rFonts w:ascii="Arial" w:hAnsi="Arial" w:cs="Arial"/>
          <w:b/>
          <w:bCs/>
          <w:sz w:val="24"/>
          <w:szCs w:val="24"/>
        </w:rPr>
        <w:t>-V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5B32DA">
        <w:rPr>
          <w:rFonts w:ascii="Arial" w:hAnsi="Arial" w:cs="Arial"/>
          <w:b/>
          <w:bCs/>
          <w:sz w:val="24"/>
          <w:szCs w:val="24"/>
        </w:rPr>
        <w:t>-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E6DEE">
        <w:rPr>
          <w:rFonts w:ascii="Arial" w:hAnsi="Arial" w:cs="Arial"/>
          <w:b/>
          <w:bCs/>
          <w:sz w:val="24"/>
          <w:szCs w:val="24"/>
        </w:rPr>
        <w:t>95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604EA4F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E6DEE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7382C87E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6E6DEE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77F65FF" w14:textId="0C7CBBB6" w:rsidR="003C20B7" w:rsidRPr="006A17DE" w:rsidRDefault="006A17DE" w:rsidP="006A17DE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Klimiuk, Łukasz Kondratko, Robert Kropiwnicki, Jan Mosiński, Paweł Lisiecki, Sławomir Potapowicz, Adam Zieliński</w:t>
      </w:r>
    </w:p>
    <w:p w14:paraId="59E40D17" w14:textId="226BDDA7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6E6DEE">
        <w:rPr>
          <w:rFonts w:ascii="Arial" w:eastAsiaTheme="minorHAnsi" w:hAnsi="Arial" w:cs="Arial"/>
          <w:sz w:val="24"/>
          <w:szCs w:val="24"/>
          <w:lang w:eastAsia="en-US"/>
        </w:rPr>
        <w:t>lutego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9A1ADC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0A2185F9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6E6DEE">
        <w:rPr>
          <w:rFonts w:ascii="Arial" w:hAnsi="Arial" w:cs="Arial"/>
          <w:sz w:val="24"/>
          <w:szCs w:val="24"/>
        </w:rPr>
        <w:t>14 maja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>, sygn. akt KR</w:t>
      </w:r>
      <w:r w:rsidR="005B32DA">
        <w:rPr>
          <w:rFonts w:ascii="Arial" w:hAnsi="Arial" w:cs="Arial"/>
          <w:sz w:val="24"/>
          <w:szCs w:val="24"/>
        </w:rPr>
        <w:t>-</w:t>
      </w:r>
      <w:r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5B32DA">
        <w:rPr>
          <w:rFonts w:ascii="Arial" w:hAnsi="Arial" w:cs="Arial"/>
          <w:sz w:val="24"/>
          <w:szCs w:val="24"/>
        </w:rPr>
        <w:t>-</w:t>
      </w:r>
      <w:r w:rsidRPr="00936788">
        <w:rPr>
          <w:rFonts w:ascii="Arial" w:hAnsi="Arial" w:cs="Arial"/>
          <w:sz w:val="24"/>
          <w:szCs w:val="24"/>
        </w:rPr>
        <w:t xml:space="preserve">KW </w:t>
      </w:r>
      <w:r w:rsidR="006E6DEE">
        <w:rPr>
          <w:rFonts w:ascii="Arial" w:hAnsi="Arial" w:cs="Arial"/>
          <w:sz w:val="24"/>
          <w:szCs w:val="24"/>
        </w:rPr>
        <w:t>95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6E6DEE">
        <w:rPr>
          <w:rFonts w:ascii="Arial" w:hAnsi="Arial" w:cs="Arial"/>
          <w:b/>
          <w:sz w:val="24"/>
          <w:szCs w:val="24"/>
        </w:rPr>
        <w:t>Dobrej 87 (ul. Bednarskiej 6,6a)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A17D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17D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KR-VII-KW 64/18  o uchyleniu zabezpieczenia ul. Bagatela 14</vt:lpstr>
    </vt:vector>
  </TitlesOfParts>
  <Company>MS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KR-VII-KW 95/18  o uchyleniu zabezpieczenia ul. Dobra 87 (ul. Bednarska 6, 6a)</dc:title>
  <dc:creator>Dalkowska Anna  (DWOiP)</dc:creator>
  <cp:lastModifiedBy>Mykietyn-Furca Beata  (DPA)</cp:lastModifiedBy>
  <cp:revision>35</cp:revision>
  <cp:lastPrinted>2019-01-30T15:24:00Z</cp:lastPrinted>
  <dcterms:created xsi:type="dcterms:W3CDTF">2021-11-19T09:23:00Z</dcterms:created>
  <dcterms:modified xsi:type="dcterms:W3CDTF">2023-02-15T13:04:00Z</dcterms:modified>
</cp:coreProperties>
</file>