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zawiadomienia o przetargu nr </w:t>
      </w:r>
      <w:r w:rsidR="0092533F">
        <w:rPr>
          <w:rFonts w:ascii="Calibri" w:hAnsi="Calibri" w:cs="Calibri"/>
          <w:b/>
          <w:szCs w:val="24"/>
          <w:u w:val="single"/>
        </w:rPr>
        <w:t>D</w:t>
      </w:r>
      <w:r w:rsidR="0000613F">
        <w:rPr>
          <w:rFonts w:ascii="Calibri" w:hAnsi="Calibri" w:cs="Calibri"/>
          <w:b/>
          <w:szCs w:val="24"/>
          <w:u w:val="single"/>
        </w:rPr>
        <w:t>A</w:t>
      </w:r>
      <w:r w:rsidR="0092533F">
        <w:rPr>
          <w:rFonts w:ascii="Calibri" w:hAnsi="Calibri" w:cs="Calibri"/>
          <w:b/>
          <w:szCs w:val="24"/>
          <w:u w:val="single"/>
        </w:rPr>
        <w:t>G</w:t>
      </w:r>
      <w:r w:rsidR="0000613F">
        <w:rPr>
          <w:rFonts w:ascii="Calibri" w:hAnsi="Calibri" w:cs="Calibri"/>
          <w:b/>
          <w:szCs w:val="24"/>
          <w:u w:val="single"/>
        </w:rPr>
        <w:t>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Pr="003076BB">
        <w:rPr>
          <w:rFonts w:ascii="Calibri" w:hAnsi="Calibri" w:cs="Calibri"/>
          <w:b/>
          <w:szCs w:val="24"/>
          <w:u w:val="single"/>
        </w:rPr>
        <w:t>.</w:t>
      </w:r>
      <w:r w:rsidR="0092533F">
        <w:rPr>
          <w:rFonts w:ascii="Calibri" w:hAnsi="Calibri" w:cs="Calibri"/>
          <w:b/>
          <w:szCs w:val="24"/>
          <w:u w:val="single"/>
        </w:rPr>
        <w:t>9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 w:rsidR="003076BB">
        <w:rPr>
          <w:rFonts w:ascii="Calibri" w:hAnsi="Calibri" w:cs="Calibri"/>
          <w:b/>
          <w:szCs w:val="24"/>
          <w:u w:val="single"/>
        </w:rPr>
        <w:t>2</w:t>
      </w:r>
      <w:r w:rsidR="005F527F">
        <w:rPr>
          <w:rFonts w:ascii="Calibri" w:hAnsi="Calibri" w:cs="Calibri"/>
          <w:b/>
          <w:szCs w:val="24"/>
          <w:u w:val="single"/>
        </w:rPr>
        <w:t>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3076BB">
        <w:rPr>
          <w:rFonts w:ascii="Calibri" w:hAnsi="Calibri" w:cs="Calibri"/>
          <w:b/>
          <w:szCs w:val="24"/>
          <w:u w:val="single"/>
        </w:rPr>
        <w:t>z dnia</w:t>
      </w:r>
      <w:r w:rsidR="00E40FD0" w:rsidRPr="003076BB">
        <w:rPr>
          <w:rFonts w:ascii="Calibri" w:hAnsi="Calibri" w:cs="Calibri"/>
          <w:b/>
          <w:szCs w:val="24"/>
          <w:u w:val="single"/>
        </w:rPr>
        <w:t xml:space="preserve"> </w:t>
      </w:r>
      <w:r w:rsidR="00F02051">
        <w:rPr>
          <w:rFonts w:ascii="Calibri" w:hAnsi="Calibri" w:cs="Calibri"/>
          <w:b/>
          <w:szCs w:val="24"/>
          <w:u w:val="single"/>
        </w:rPr>
        <w:t>21</w:t>
      </w:r>
      <w:r w:rsidR="0092533F">
        <w:rPr>
          <w:rFonts w:ascii="Calibri" w:hAnsi="Calibri" w:cs="Calibri"/>
          <w:b/>
          <w:szCs w:val="24"/>
          <w:u w:val="single"/>
        </w:rPr>
        <w:t xml:space="preserve"> lipca</w:t>
      </w:r>
      <w:r w:rsidR="003076BB">
        <w:rPr>
          <w:rFonts w:ascii="Calibri" w:hAnsi="Calibri" w:cs="Calibri"/>
          <w:b/>
          <w:szCs w:val="24"/>
          <w:u w:val="single"/>
        </w:rPr>
        <w:t xml:space="preserve"> 202</w:t>
      </w:r>
      <w:r w:rsidR="00DB2552">
        <w:rPr>
          <w:rFonts w:ascii="Calibri" w:hAnsi="Calibri" w:cs="Calibri"/>
          <w:b/>
          <w:szCs w:val="24"/>
          <w:u w:val="single"/>
        </w:rPr>
        <w:t>2</w:t>
      </w:r>
      <w:r w:rsidR="00922632" w:rsidRPr="003076BB">
        <w:rPr>
          <w:rFonts w:ascii="Calibri" w:hAnsi="Calibri" w:cs="Calibri"/>
          <w:b/>
          <w:szCs w:val="24"/>
          <w:u w:val="single"/>
        </w:rPr>
        <w:t xml:space="preserve"> r.</w:t>
      </w:r>
      <w:r w:rsidR="00375CA3">
        <w:rPr>
          <w:rFonts w:ascii="Calibri" w:hAnsi="Calibri" w:cs="Calibri"/>
          <w:b/>
          <w:szCs w:val="24"/>
          <w:u w:val="single"/>
        </w:rPr>
        <w:t xml:space="preserve"> 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3) 0</w:t>
      </w:r>
      <w:r w:rsidR="002953FA">
        <w:rPr>
          <w:rFonts w:ascii="Calibri" w:hAnsi="Calibri" w:cs="Calibri"/>
          <w:bCs/>
          <w:color w:val="auto"/>
          <w:sz w:val="24"/>
        </w:rPr>
        <w:t xml:space="preserve"> </w:t>
      </w:r>
      <w:r w:rsidRPr="003076BB">
        <w:rPr>
          <w:rFonts w:ascii="Calibri" w:hAnsi="Calibri" w:cs="Calibri"/>
          <w:bCs/>
          <w:color w:val="auto"/>
          <w:sz w:val="24"/>
        </w:rPr>
        <w:t xml:space="preserve">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5E" w:rsidRDefault="00536F5E">
      <w:r>
        <w:separator/>
      </w:r>
    </w:p>
  </w:endnote>
  <w:endnote w:type="continuationSeparator" w:id="0">
    <w:p w:rsidR="00536F5E" w:rsidRDefault="005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2E53FD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5E" w:rsidRDefault="00536F5E">
      <w:r>
        <w:separator/>
      </w:r>
    </w:p>
  </w:footnote>
  <w:footnote w:type="continuationSeparator" w:id="0">
    <w:p w:rsidR="00536F5E" w:rsidRDefault="0053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0613F"/>
    <w:rsid w:val="00015E1D"/>
    <w:rsid w:val="000704A6"/>
    <w:rsid w:val="000B4767"/>
    <w:rsid w:val="000E447E"/>
    <w:rsid w:val="00120F8C"/>
    <w:rsid w:val="00123281"/>
    <w:rsid w:val="00123D92"/>
    <w:rsid w:val="00166531"/>
    <w:rsid w:val="001D0741"/>
    <w:rsid w:val="00207411"/>
    <w:rsid w:val="002173ED"/>
    <w:rsid w:val="00275A4D"/>
    <w:rsid w:val="002953FA"/>
    <w:rsid w:val="002A0C41"/>
    <w:rsid w:val="002A31E7"/>
    <w:rsid w:val="002E53FD"/>
    <w:rsid w:val="003076BB"/>
    <w:rsid w:val="003331E5"/>
    <w:rsid w:val="00375CA3"/>
    <w:rsid w:val="003C10C1"/>
    <w:rsid w:val="00444F23"/>
    <w:rsid w:val="00472B14"/>
    <w:rsid w:val="0047577C"/>
    <w:rsid w:val="004E7BEA"/>
    <w:rsid w:val="00536F5E"/>
    <w:rsid w:val="005F527F"/>
    <w:rsid w:val="00630116"/>
    <w:rsid w:val="006A6A66"/>
    <w:rsid w:val="00732C6F"/>
    <w:rsid w:val="007563FA"/>
    <w:rsid w:val="007601E0"/>
    <w:rsid w:val="007F7CEC"/>
    <w:rsid w:val="00877309"/>
    <w:rsid w:val="008C4DFC"/>
    <w:rsid w:val="00922632"/>
    <w:rsid w:val="0092533F"/>
    <w:rsid w:val="00931D6E"/>
    <w:rsid w:val="009738EC"/>
    <w:rsid w:val="009A2B03"/>
    <w:rsid w:val="009E0AE1"/>
    <w:rsid w:val="00A01C33"/>
    <w:rsid w:val="00A026C4"/>
    <w:rsid w:val="00A10BE1"/>
    <w:rsid w:val="00A97789"/>
    <w:rsid w:val="00AA26A5"/>
    <w:rsid w:val="00AA5529"/>
    <w:rsid w:val="00B33DB3"/>
    <w:rsid w:val="00B36ABE"/>
    <w:rsid w:val="00B54091"/>
    <w:rsid w:val="00BC2415"/>
    <w:rsid w:val="00CA2441"/>
    <w:rsid w:val="00CF5CE4"/>
    <w:rsid w:val="00D02971"/>
    <w:rsid w:val="00D47C3A"/>
    <w:rsid w:val="00D53814"/>
    <w:rsid w:val="00D61C49"/>
    <w:rsid w:val="00DB2552"/>
    <w:rsid w:val="00E07B38"/>
    <w:rsid w:val="00E10BD5"/>
    <w:rsid w:val="00E252E0"/>
    <w:rsid w:val="00E40FD0"/>
    <w:rsid w:val="00E619C0"/>
    <w:rsid w:val="00EA1EFE"/>
    <w:rsid w:val="00F02051"/>
    <w:rsid w:val="00F04B0B"/>
    <w:rsid w:val="00FA29F3"/>
    <w:rsid w:val="00FB1216"/>
    <w:rsid w:val="00FC0580"/>
    <w:rsid w:val="00FE7DC2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2022-07-21T07:31:00Z</dcterms:created>
  <dcterms:modified xsi:type="dcterms:W3CDTF">2022-07-21T07:31:00Z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2022-01-11T10:21:05.9323299+01:00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GRN-06784442-7202-4549-8035-66e930ffe3f9</vt:lpwstr>
  </property>
  <property fmtid="{D5CDD505-2E9C-101B-9397-08002B2CF9AE}" pid="7" name="MFHash">
    <vt:lpwstr>laVgiFAh4TeQSarxnFljEdbo+0Zf1kJrF5Vf6gIMu/k=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