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E352AA" w:rsidP="00E352AA">
      <w:pPr>
        <w:autoSpaceDE w:val="0"/>
        <w:autoSpaceDN w:val="0"/>
        <w:adjustRightInd w:val="0"/>
        <w:spacing w:after="120" w:line="240" w:lineRule="atLeast"/>
        <w:ind w:left="1"/>
        <w:jc w:val="center"/>
        <w:rPr>
          <w:sz w:val="24"/>
        </w:rPr>
      </w:pPr>
    </w:p>
    <w:p w:rsidR="00E352AA" w:rsidRPr="007E469E" w:rsidRDefault="00423B97" w:rsidP="00E352AA">
      <w:pPr>
        <w:autoSpaceDE w:val="0"/>
        <w:autoSpaceDN w:val="0"/>
        <w:adjustRightInd w:val="0"/>
        <w:spacing w:after="120" w:line="240" w:lineRule="atLeast"/>
        <w:ind w:left="1"/>
        <w:jc w:val="center"/>
        <w:rPr>
          <w:sz w:val="24"/>
        </w:rPr>
      </w:pPr>
      <w:r>
        <w:rPr>
          <w:noProof/>
          <w:sz w:val="24"/>
          <w:lang w:eastAsia="pl-PL"/>
        </w:rPr>
        <w:drawing>
          <wp:inline distT="0" distB="0" distL="0" distR="0" wp14:anchorId="6E374EC3" wp14:editId="5AD58453">
            <wp:extent cx="5761355" cy="80272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1355" cy="802724"/>
                    </a:xfrm>
                    <a:prstGeom prst="rect">
                      <a:avLst/>
                    </a:prstGeom>
                    <a:noFill/>
                  </pic:spPr>
                </pic:pic>
              </a:graphicData>
            </a:graphic>
          </wp:inline>
        </w:drawing>
      </w:r>
    </w:p>
    <w:p w:rsidR="00423B97" w:rsidRPr="007E469E" w:rsidRDefault="00423B97" w:rsidP="00316996">
      <w:pPr>
        <w:autoSpaceDE w:val="0"/>
        <w:autoSpaceDN w:val="0"/>
        <w:adjustRightInd w:val="0"/>
        <w:spacing w:after="2880" w:line="240" w:lineRule="atLeast"/>
        <w:jc w:val="center"/>
        <w:rPr>
          <w:sz w:val="24"/>
        </w:rPr>
      </w:pPr>
    </w:p>
    <w:p w:rsidR="0074275F" w:rsidRDefault="00E43D75" w:rsidP="000C2C01">
      <w:pPr>
        <w:jc w:val="center"/>
        <w:rPr>
          <w:rFonts w:ascii="Arial" w:hAnsi="Arial" w:cs="Arial"/>
          <w:b/>
          <w:sz w:val="24"/>
          <w:szCs w:val="24"/>
        </w:rPr>
      </w:pPr>
      <w:bookmarkStart w:id="0" w:name="_Toc394500559"/>
      <w:bookmarkStart w:id="1" w:name="_Toc394501845"/>
      <w:bookmarkStart w:id="2" w:name="_Toc396130038"/>
      <w:bookmarkStart w:id="3" w:name="_Toc418665109"/>
      <w:bookmarkStart w:id="4" w:name="_Toc418754015"/>
      <w:bookmarkStart w:id="5" w:name="_Toc419379858"/>
      <w:bookmarkStart w:id="6" w:name="_Toc419383535"/>
      <w:bookmarkStart w:id="7" w:name="_Toc419391927"/>
      <w:bookmarkStart w:id="8" w:name="_Toc419458324"/>
      <w:bookmarkStart w:id="9" w:name="_Toc420679283"/>
      <w:r>
        <w:rPr>
          <w:rFonts w:ascii="Arial" w:hAnsi="Arial" w:cs="Arial"/>
          <w:b/>
          <w:sz w:val="24"/>
          <w:szCs w:val="24"/>
        </w:rPr>
        <w:t xml:space="preserve">Katalog wydatków </w:t>
      </w:r>
      <w:bookmarkEnd w:id="0"/>
      <w:bookmarkEnd w:id="1"/>
      <w:r w:rsidR="0054596B" w:rsidRPr="00B81671">
        <w:rPr>
          <w:rFonts w:ascii="Arial" w:hAnsi="Arial" w:cs="Arial"/>
          <w:b/>
          <w:sz w:val="24"/>
          <w:szCs w:val="24"/>
        </w:rPr>
        <w:t>kwalifikowaln</w:t>
      </w:r>
      <w:r>
        <w:rPr>
          <w:rFonts w:ascii="Arial" w:hAnsi="Arial" w:cs="Arial"/>
          <w:b/>
          <w:sz w:val="24"/>
          <w:szCs w:val="24"/>
        </w:rPr>
        <w:t>ych</w:t>
      </w:r>
      <w:r w:rsidR="0074275F">
        <w:rPr>
          <w:rFonts w:ascii="Arial" w:hAnsi="Arial" w:cs="Arial"/>
          <w:b/>
          <w:sz w:val="24"/>
          <w:szCs w:val="24"/>
        </w:rPr>
        <w:t xml:space="preserve"> </w:t>
      </w:r>
    </w:p>
    <w:p w:rsidR="0074275F" w:rsidRDefault="0074275F" w:rsidP="00B81671">
      <w:pPr>
        <w:jc w:val="center"/>
        <w:rPr>
          <w:rFonts w:ascii="Arial" w:hAnsi="Arial" w:cs="Arial"/>
          <w:b/>
          <w:sz w:val="24"/>
          <w:szCs w:val="24"/>
        </w:rPr>
      </w:pPr>
      <w:r>
        <w:rPr>
          <w:rFonts w:ascii="Arial" w:hAnsi="Arial" w:cs="Arial"/>
          <w:b/>
          <w:sz w:val="24"/>
          <w:szCs w:val="24"/>
        </w:rPr>
        <w:t xml:space="preserve">w projektach realizowanych w ramach I osi priorytetowej </w:t>
      </w:r>
    </w:p>
    <w:p w:rsidR="00E352AA" w:rsidRPr="00B81671" w:rsidRDefault="007005C1" w:rsidP="00B81671">
      <w:pPr>
        <w:jc w:val="center"/>
        <w:rPr>
          <w:sz w:val="24"/>
          <w:szCs w:val="24"/>
        </w:rPr>
      </w:pPr>
      <w:r w:rsidRPr="00B81671">
        <w:rPr>
          <w:rFonts w:ascii="Arial" w:hAnsi="Arial" w:cs="Arial"/>
          <w:b/>
          <w:sz w:val="24"/>
          <w:szCs w:val="24"/>
        </w:rPr>
        <w:t>Program</w:t>
      </w:r>
      <w:r w:rsidR="0074275F">
        <w:rPr>
          <w:rFonts w:ascii="Arial" w:hAnsi="Arial" w:cs="Arial"/>
          <w:b/>
          <w:sz w:val="24"/>
          <w:szCs w:val="24"/>
        </w:rPr>
        <w:t>u</w:t>
      </w:r>
      <w:r w:rsidRPr="00B81671">
        <w:rPr>
          <w:rFonts w:ascii="Arial" w:hAnsi="Arial" w:cs="Arial"/>
          <w:b/>
          <w:sz w:val="24"/>
          <w:szCs w:val="24"/>
        </w:rPr>
        <w:t xml:space="preserve"> Operacyjn</w:t>
      </w:r>
      <w:r w:rsidR="0074275F">
        <w:rPr>
          <w:rFonts w:ascii="Arial" w:hAnsi="Arial" w:cs="Arial"/>
          <w:b/>
          <w:sz w:val="24"/>
          <w:szCs w:val="24"/>
        </w:rPr>
        <w:t>ego</w:t>
      </w:r>
      <w:r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Pr="00B81671">
        <w:rPr>
          <w:rFonts w:ascii="Arial" w:hAnsi="Arial" w:cs="Arial"/>
          <w:b/>
          <w:sz w:val="24"/>
          <w:szCs w:val="24"/>
        </w:rPr>
        <w:t>2014-2020</w:t>
      </w:r>
      <w:bookmarkEnd w:id="2"/>
      <w:bookmarkEnd w:id="3"/>
      <w:bookmarkEnd w:id="4"/>
      <w:bookmarkEnd w:id="5"/>
      <w:bookmarkEnd w:id="6"/>
      <w:bookmarkEnd w:id="7"/>
      <w:bookmarkEnd w:id="8"/>
      <w:bookmarkEnd w:id="9"/>
      <w:permStart w:id="380442642" w:edGrp="everyone"/>
      <w:permEnd w:id="380442642"/>
    </w:p>
    <w:p w:rsidR="00E352AA" w:rsidRPr="007E469E" w:rsidRDefault="00E352AA" w:rsidP="00316996">
      <w:pPr>
        <w:autoSpaceDE w:val="0"/>
        <w:autoSpaceDN w:val="0"/>
        <w:adjustRightInd w:val="0"/>
        <w:spacing w:after="3480" w:line="240" w:lineRule="atLeast"/>
        <w:rPr>
          <w:b/>
          <w:bCs/>
          <w:i/>
          <w:iCs/>
          <w:color w:val="000000"/>
        </w:rPr>
      </w:pPr>
    </w:p>
    <w:p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2C0FB6">
        <w:rPr>
          <w:b/>
          <w:bCs/>
          <w:i/>
          <w:iCs/>
          <w:color w:val="000000"/>
        </w:rPr>
        <w:t xml:space="preserve"> </w:t>
      </w:r>
      <w:r w:rsidR="00374A08">
        <w:rPr>
          <w:b/>
          <w:bCs/>
          <w:i/>
          <w:iCs/>
          <w:color w:val="000000"/>
        </w:rPr>
        <w:t>12</w:t>
      </w:r>
      <w:bookmarkStart w:id="10" w:name="_GoBack"/>
      <w:bookmarkEnd w:id="10"/>
      <w:r w:rsidR="00537344">
        <w:rPr>
          <w:b/>
          <w:bCs/>
          <w:i/>
          <w:iCs/>
          <w:color w:val="000000"/>
        </w:rPr>
        <w:t xml:space="preserve"> marca</w:t>
      </w:r>
      <w:r w:rsidR="002C0FB6">
        <w:rPr>
          <w:b/>
          <w:bCs/>
          <w:i/>
          <w:iCs/>
          <w:color w:val="000000"/>
        </w:rPr>
        <w:t xml:space="preserve"> </w:t>
      </w:r>
      <w:r w:rsidR="00CF0209" w:rsidRPr="007E469E">
        <w:rPr>
          <w:b/>
          <w:bCs/>
          <w:i/>
          <w:iCs/>
          <w:color w:val="000000"/>
        </w:rPr>
        <w:t>201</w:t>
      </w:r>
      <w:r w:rsidR="00DB0A7D">
        <w:rPr>
          <w:b/>
          <w:bCs/>
          <w:i/>
          <w:iCs/>
          <w:color w:val="000000"/>
        </w:rPr>
        <w:t>8</w:t>
      </w:r>
      <w:r w:rsidR="00CF0209" w:rsidRPr="007E469E">
        <w:rPr>
          <w:b/>
          <w:bCs/>
          <w:i/>
          <w:iCs/>
          <w:color w:val="000000"/>
        </w:rPr>
        <w:t xml:space="preserve"> r.</w:t>
      </w:r>
    </w:p>
    <w:p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rsidR="00947609"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508630097" w:history="1">
            <w:r w:rsidR="00947609" w:rsidRPr="000A1642">
              <w:rPr>
                <w:rStyle w:val="Hipercze"/>
              </w:rPr>
              <w:t>Wykaz skrótów</w:t>
            </w:r>
            <w:r w:rsidR="00947609">
              <w:rPr>
                <w:webHidden/>
              </w:rPr>
              <w:tab/>
            </w:r>
            <w:r w:rsidR="00947609">
              <w:rPr>
                <w:webHidden/>
              </w:rPr>
              <w:fldChar w:fldCharType="begin"/>
            </w:r>
            <w:r w:rsidR="00947609">
              <w:rPr>
                <w:webHidden/>
              </w:rPr>
              <w:instrText xml:space="preserve"> PAGEREF _Toc508630097 \h </w:instrText>
            </w:r>
            <w:r w:rsidR="00947609">
              <w:rPr>
                <w:webHidden/>
              </w:rPr>
            </w:r>
            <w:r w:rsidR="00947609">
              <w:rPr>
                <w:webHidden/>
              </w:rPr>
              <w:fldChar w:fldCharType="separate"/>
            </w:r>
            <w:r w:rsidR="00947609">
              <w:rPr>
                <w:webHidden/>
              </w:rPr>
              <w:t>4</w:t>
            </w:r>
            <w:r w:rsidR="00947609">
              <w:rPr>
                <w:webHidden/>
              </w:rPr>
              <w:fldChar w:fldCharType="end"/>
            </w:r>
          </w:hyperlink>
        </w:p>
        <w:p w:rsidR="00947609" w:rsidRDefault="00374A08">
          <w:pPr>
            <w:pStyle w:val="Spistreci1"/>
            <w:rPr>
              <w:rFonts w:asciiTheme="minorHAnsi" w:hAnsiTheme="minorHAnsi" w:cstheme="minorBidi"/>
              <w:b w:val="0"/>
            </w:rPr>
          </w:pPr>
          <w:hyperlink w:anchor="_Toc508630098" w:history="1">
            <w:r w:rsidR="00947609" w:rsidRPr="000A1642">
              <w:rPr>
                <w:rStyle w:val="Hipercze"/>
              </w:rPr>
              <w:t>1.</w:t>
            </w:r>
            <w:r w:rsidR="00947609">
              <w:rPr>
                <w:rFonts w:asciiTheme="minorHAnsi" w:hAnsiTheme="minorHAnsi" w:cstheme="minorBidi"/>
                <w:b w:val="0"/>
              </w:rPr>
              <w:tab/>
            </w:r>
            <w:r w:rsidR="00947609" w:rsidRPr="000A1642">
              <w:rPr>
                <w:rStyle w:val="Hipercze"/>
              </w:rPr>
              <w:t>Rozdział - Słowniczek pojęć</w:t>
            </w:r>
            <w:r w:rsidR="00947609">
              <w:rPr>
                <w:webHidden/>
              </w:rPr>
              <w:tab/>
            </w:r>
            <w:r w:rsidR="00947609">
              <w:rPr>
                <w:webHidden/>
              </w:rPr>
              <w:fldChar w:fldCharType="begin"/>
            </w:r>
            <w:r w:rsidR="00947609">
              <w:rPr>
                <w:webHidden/>
              </w:rPr>
              <w:instrText xml:space="preserve"> PAGEREF _Toc508630098 \h </w:instrText>
            </w:r>
            <w:r w:rsidR="00947609">
              <w:rPr>
                <w:webHidden/>
              </w:rPr>
            </w:r>
            <w:r w:rsidR="00947609">
              <w:rPr>
                <w:webHidden/>
              </w:rPr>
              <w:fldChar w:fldCharType="separate"/>
            </w:r>
            <w:r w:rsidR="00947609">
              <w:rPr>
                <w:webHidden/>
              </w:rPr>
              <w:t>5</w:t>
            </w:r>
            <w:r w:rsidR="00947609">
              <w:rPr>
                <w:webHidden/>
              </w:rPr>
              <w:fldChar w:fldCharType="end"/>
            </w:r>
          </w:hyperlink>
        </w:p>
        <w:p w:rsidR="00947609" w:rsidRDefault="00374A08">
          <w:pPr>
            <w:pStyle w:val="Spistreci1"/>
            <w:rPr>
              <w:rFonts w:asciiTheme="minorHAnsi" w:hAnsiTheme="minorHAnsi" w:cstheme="minorBidi"/>
              <w:b w:val="0"/>
            </w:rPr>
          </w:pPr>
          <w:hyperlink w:anchor="_Toc508630099" w:history="1">
            <w:r w:rsidR="00947609" w:rsidRPr="000A1642">
              <w:rPr>
                <w:rStyle w:val="Hipercze"/>
              </w:rPr>
              <w:t>2.</w:t>
            </w:r>
            <w:r w:rsidR="00947609">
              <w:rPr>
                <w:rFonts w:asciiTheme="minorHAnsi" w:hAnsiTheme="minorHAnsi" w:cstheme="minorBidi"/>
                <w:b w:val="0"/>
              </w:rPr>
              <w:tab/>
            </w:r>
            <w:r w:rsidR="00947609" w:rsidRPr="000A1642">
              <w:rPr>
                <w:rStyle w:val="Hipercze"/>
              </w:rPr>
              <w:t xml:space="preserve">Rozdział - Cel, zakres oraz obowiązywanie </w:t>
            </w:r>
            <w:r w:rsidR="00947609" w:rsidRPr="000A1642">
              <w:rPr>
                <w:rStyle w:val="Hipercze"/>
                <w:i/>
              </w:rPr>
              <w:t>Katalogu</w:t>
            </w:r>
            <w:r w:rsidR="00947609">
              <w:rPr>
                <w:webHidden/>
              </w:rPr>
              <w:tab/>
            </w:r>
            <w:r w:rsidR="00947609">
              <w:rPr>
                <w:webHidden/>
              </w:rPr>
              <w:fldChar w:fldCharType="begin"/>
            </w:r>
            <w:r w:rsidR="00947609">
              <w:rPr>
                <w:webHidden/>
              </w:rPr>
              <w:instrText xml:space="preserve"> PAGEREF _Toc508630099 \h </w:instrText>
            </w:r>
            <w:r w:rsidR="00947609">
              <w:rPr>
                <w:webHidden/>
              </w:rPr>
            </w:r>
            <w:r w:rsidR="00947609">
              <w:rPr>
                <w:webHidden/>
              </w:rPr>
              <w:fldChar w:fldCharType="separate"/>
            </w:r>
            <w:r w:rsidR="00947609">
              <w:rPr>
                <w:webHidden/>
              </w:rPr>
              <w:t>12</w:t>
            </w:r>
            <w:r w:rsidR="00947609">
              <w:rPr>
                <w:webHidden/>
              </w:rPr>
              <w:fldChar w:fldCharType="end"/>
            </w:r>
          </w:hyperlink>
        </w:p>
        <w:p w:rsidR="00947609" w:rsidRDefault="00374A08">
          <w:pPr>
            <w:pStyle w:val="Spistreci1"/>
            <w:rPr>
              <w:rFonts w:asciiTheme="minorHAnsi" w:hAnsiTheme="minorHAnsi" w:cstheme="minorBidi"/>
              <w:b w:val="0"/>
            </w:rPr>
          </w:pPr>
          <w:hyperlink w:anchor="_Toc508630100" w:history="1">
            <w:r w:rsidR="00947609" w:rsidRPr="000A1642">
              <w:rPr>
                <w:rStyle w:val="Hipercze"/>
              </w:rPr>
              <w:t>3.</w:t>
            </w:r>
            <w:r w:rsidR="00947609">
              <w:rPr>
                <w:rFonts w:asciiTheme="minorHAnsi" w:hAnsiTheme="minorHAnsi" w:cstheme="minorBidi"/>
                <w:b w:val="0"/>
              </w:rPr>
              <w:tab/>
            </w:r>
            <w:r w:rsidR="00947609" w:rsidRPr="000A1642">
              <w:rPr>
                <w:rStyle w:val="Hipercze"/>
              </w:rPr>
              <w:t>Rozdział - Wspólne warunki i procedury w zakresie kwalifikowalności wydatków</w:t>
            </w:r>
            <w:r w:rsidR="00947609">
              <w:rPr>
                <w:webHidden/>
              </w:rPr>
              <w:tab/>
            </w:r>
            <w:r w:rsidR="00947609">
              <w:rPr>
                <w:webHidden/>
              </w:rPr>
              <w:fldChar w:fldCharType="begin"/>
            </w:r>
            <w:r w:rsidR="00947609">
              <w:rPr>
                <w:webHidden/>
              </w:rPr>
              <w:instrText xml:space="preserve"> PAGEREF _Toc508630100 \h </w:instrText>
            </w:r>
            <w:r w:rsidR="00947609">
              <w:rPr>
                <w:webHidden/>
              </w:rPr>
            </w:r>
            <w:r w:rsidR="00947609">
              <w:rPr>
                <w:webHidden/>
              </w:rPr>
              <w:fldChar w:fldCharType="separate"/>
            </w:r>
            <w:r w:rsidR="00947609">
              <w:rPr>
                <w:webHidden/>
              </w:rPr>
              <w:t>14</w:t>
            </w:r>
            <w:r w:rsidR="00947609">
              <w:rPr>
                <w:webHidden/>
              </w:rPr>
              <w:fldChar w:fldCharType="end"/>
            </w:r>
          </w:hyperlink>
        </w:p>
        <w:p w:rsidR="00947609" w:rsidRDefault="00374A08">
          <w:pPr>
            <w:pStyle w:val="Spistreci2"/>
            <w:tabs>
              <w:tab w:val="left" w:pos="880"/>
              <w:tab w:val="right" w:leader="dot" w:pos="9060"/>
            </w:tabs>
            <w:rPr>
              <w:noProof/>
            </w:rPr>
          </w:pPr>
          <w:hyperlink w:anchor="_Toc508630101" w:history="1">
            <w:r w:rsidR="00947609" w:rsidRPr="000A1642">
              <w:rPr>
                <w:rStyle w:val="Hipercze"/>
                <w:rFonts w:ascii="Arial" w:hAnsi="Arial" w:cs="Arial"/>
                <w:i/>
                <w:noProof/>
              </w:rPr>
              <w:t>3.1</w:t>
            </w:r>
            <w:r w:rsidR="00947609">
              <w:rPr>
                <w:noProof/>
              </w:rPr>
              <w:tab/>
            </w:r>
            <w:r w:rsidR="00947609" w:rsidRPr="000A1642">
              <w:rPr>
                <w:rStyle w:val="Hipercze"/>
                <w:rFonts w:ascii="Arial" w:hAnsi="Arial" w:cs="Arial"/>
                <w:i/>
                <w:noProof/>
              </w:rPr>
              <w:t>Ocena kwalifikowalności wydatku.</w:t>
            </w:r>
            <w:r w:rsidR="00947609">
              <w:rPr>
                <w:noProof/>
                <w:webHidden/>
              </w:rPr>
              <w:tab/>
            </w:r>
            <w:r w:rsidR="00947609">
              <w:rPr>
                <w:noProof/>
                <w:webHidden/>
              </w:rPr>
              <w:fldChar w:fldCharType="begin"/>
            </w:r>
            <w:r w:rsidR="00947609">
              <w:rPr>
                <w:noProof/>
                <w:webHidden/>
              </w:rPr>
              <w:instrText xml:space="preserve"> PAGEREF _Toc508630101 \h </w:instrText>
            </w:r>
            <w:r w:rsidR="00947609">
              <w:rPr>
                <w:noProof/>
                <w:webHidden/>
              </w:rPr>
            </w:r>
            <w:r w:rsidR="00947609">
              <w:rPr>
                <w:noProof/>
                <w:webHidden/>
              </w:rPr>
              <w:fldChar w:fldCharType="separate"/>
            </w:r>
            <w:r w:rsidR="00947609">
              <w:rPr>
                <w:noProof/>
                <w:webHidden/>
              </w:rPr>
              <w:t>14</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2" w:history="1">
            <w:r w:rsidR="00947609" w:rsidRPr="000A1642">
              <w:rPr>
                <w:rStyle w:val="Hipercze"/>
                <w:rFonts w:ascii="Arial" w:hAnsi="Arial" w:cs="Arial"/>
                <w:i/>
                <w:noProof/>
              </w:rPr>
              <w:t>3.2</w:t>
            </w:r>
            <w:r w:rsidR="00947609">
              <w:rPr>
                <w:noProof/>
              </w:rPr>
              <w:tab/>
            </w:r>
            <w:r w:rsidR="00947609" w:rsidRPr="000A1642">
              <w:rPr>
                <w:rStyle w:val="Hipercze"/>
                <w:rFonts w:ascii="Arial" w:hAnsi="Arial" w:cs="Arial"/>
                <w:i/>
                <w:noProof/>
              </w:rPr>
              <w:t>Wydatki niekwalifikowalne</w:t>
            </w:r>
            <w:r w:rsidR="00947609">
              <w:rPr>
                <w:noProof/>
                <w:webHidden/>
              </w:rPr>
              <w:tab/>
            </w:r>
            <w:r w:rsidR="00947609">
              <w:rPr>
                <w:noProof/>
                <w:webHidden/>
              </w:rPr>
              <w:fldChar w:fldCharType="begin"/>
            </w:r>
            <w:r w:rsidR="00947609">
              <w:rPr>
                <w:noProof/>
                <w:webHidden/>
              </w:rPr>
              <w:instrText xml:space="preserve"> PAGEREF _Toc508630102 \h </w:instrText>
            </w:r>
            <w:r w:rsidR="00947609">
              <w:rPr>
                <w:noProof/>
                <w:webHidden/>
              </w:rPr>
            </w:r>
            <w:r w:rsidR="00947609">
              <w:rPr>
                <w:noProof/>
                <w:webHidden/>
              </w:rPr>
              <w:fldChar w:fldCharType="separate"/>
            </w:r>
            <w:r w:rsidR="00947609">
              <w:rPr>
                <w:noProof/>
                <w:webHidden/>
              </w:rPr>
              <w:t>14</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3" w:history="1">
            <w:r w:rsidR="00947609" w:rsidRPr="000A1642">
              <w:rPr>
                <w:rStyle w:val="Hipercze"/>
                <w:rFonts w:ascii="Arial" w:hAnsi="Arial" w:cs="Arial"/>
                <w:i/>
                <w:noProof/>
              </w:rPr>
              <w:t>3.3</w:t>
            </w:r>
            <w:r w:rsidR="00947609">
              <w:rPr>
                <w:noProof/>
              </w:rPr>
              <w:tab/>
            </w:r>
            <w:r w:rsidR="00947609" w:rsidRPr="000A1642">
              <w:rPr>
                <w:rStyle w:val="Hipercze"/>
                <w:rFonts w:ascii="Arial" w:hAnsi="Arial" w:cs="Arial"/>
                <w:i/>
                <w:noProof/>
              </w:rPr>
              <w:t>Zasada faktycznego poniesienia wydatku</w:t>
            </w:r>
            <w:r w:rsidR="00947609">
              <w:rPr>
                <w:noProof/>
                <w:webHidden/>
              </w:rPr>
              <w:tab/>
            </w:r>
            <w:r w:rsidR="00947609">
              <w:rPr>
                <w:noProof/>
                <w:webHidden/>
              </w:rPr>
              <w:fldChar w:fldCharType="begin"/>
            </w:r>
            <w:r w:rsidR="00947609">
              <w:rPr>
                <w:noProof/>
                <w:webHidden/>
              </w:rPr>
              <w:instrText xml:space="preserve"> PAGEREF _Toc508630103 \h </w:instrText>
            </w:r>
            <w:r w:rsidR="00947609">
              <w:rPr>
                <w:noProof/>
                <w:webHidden/>
              </w:rPr>
            </w:r>
            <w:r w:rsidR="00947609">
              <w:rPr>
                <w:noProof/>
                <w:webHidden/>
              </w:rPr>
              <w:fldChar w:fldCharType="separate"/>
            </w:r>
            <w:r w:rsidR="00947609">
              <w:rPr>
                <w:noProof/>
                <w:webHidden/>
              </w:rPr>
              <w:t>14</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4" w:history="1">
            <w:r w:rsidR="00947609" w:rsidRPr="000A1642">
              <w:rPr>
                <w:rStyle w:val="Hipercze"/>
                <w:rFonts w:ascii="Arial" w:hAnsi="Arial" w:cs="Arial"/>
                <w:i/>
                <w:noProof/>
              </w:rPr>
              <w:t>3.4</w:t>
            </w:r>
            <w:r w:rsidR="00947609">
              <w:rPr>
                <w:noProof/>
              </w:rPr>
              <w:tab/>
            </w:r>
            <w:r w:rsidR="00947609" w:rsidRPr="000A1642">
              <w:rPr>
                <w:rStyle w:val="Hipercze"/>
                <w:rFonts w:ascii="Arial" w:hAnsi="Arial" w:cs="Arial"/>
                <w:i/>
                <w:noProof/>
              </w:rPr>
              <w:t>Warunki oraz okres kwalifikowania wydatków w projektach podlegających zasadom pomocy publicznej</w:t>
            </w:r>
            <w:r w:rsidR="00947609">
              <w:rPr>
                <w:noProof/>
                <w:webHidden/>
              </w:rPr>
              <w:tab/>
            </w:r>
            <w:r w:rsidR="00947609">
              <w:rPr>
                <w:noProof/>
                <w:webHidden/>
              </w:rPr>
              <w:fldChar w:fldCharType="begin"/>
            </w:r>
            <w:r w:rsidR="00947609">
              <w:rPr>
                <w:noProof/>
                <w:webHidden/>
              </w:rPr>
              <w:instrText xml:space="preserve"> PAGEREF _Toc508630104 \h </w:instrText>
            </w:r>
            <w:r w:rsidR="00947609">
              <w:rPr>
                <w:noProof/>
                <w:webHidden/>
              </w:rPr>
            </w:r>
            <w:r w:rsidR="00947609">
              <w:rPr>
                <w:noProof/>
                <w:webHidden/>
              </w:rPr>
              <w:fldChar w:fldCharType="separate"/>
            </w:r>
            <w:r w:rsidR="00947609">
              <w:rPr>
                <w:noProof/>
                <w:webHidden/>
              </w:rPr>
              <w:t>21</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5" w:history="1">
            <w:r w:rsidR="00947609" w:rsidRPr="000A1642">
              <w:rPr>
                <w:rStyle w:val="Hipercze"/>
                <w:rFonts w:ascii="Arial" w:hAnsi="Arial" w:cs="Arial"/>
                <w:i/>
                <w:noProof/>
              </w:rPr>
              <w:t>3.5</w:t>
            </w:r>
            <w:r w:rsidR="00947609">
              <w:rPr>
                <w:noProof/>
              </w:rPr>
              <w:tab/>
            </w:r>
            <w:r w:rsidR="00947609" w:rsidRPr="000A1642">
              <w:rPr>
                <w:rStyle w:val="Hipercze"/>
                <w:rFonts w:ascii="Arial" w:hAnsi="Arial" w:cs="Arial"/>
                <w:i/>
                <w:noProof/>
              </w:rPr>
              <w:t>Zamówienia udzielane w projektach</w:t>
            </w:r>
            <w:r w:rsidR="00947609">
              <w:rPr>
                <w:noProof/>
                <w:webHidden/>
              </w:rPr>
              <w:tab/>
            </w:r>
            <w:r w:rsidR="00947609">
              <w:rPr>
                <w:noProof/>
                <w:webHidden/>
              </w:rPr>
              <w:fldChar w:fldCharType="begin"/>
            </w:r>
            <w:r w:rsidR="00947609">
              <w:rPr>
                <w:noProof/>
                <w:webHidden/>
              </w:rPr>
              <w:instrText xml:space="preserve"> PAGEREF _Toc508630105 \h </w:instrText>
            </w:r>
            <w:r w:rsidR="00947609">
              <w:rPr>
                <w:noProof/>
                <w:webHidden/>
              </w:rPr>
            </w:r>
            <w:r w:rsidR="00947609">
              <w:rPr>
                <w:noProof/>
                <w:webHidden/>
              </w:rPr>
              <w:fldChar w:fldCharType="separate"/>
            </w:r>
            <w:r w:rsidR="00947609">
              <w:rPr>
                <w:noProof/>
                <w:webHidden/>
              </w:rPr>
              <w:t>25</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6" w:history="1">
            <w:r w:rsidR="00947609" w:rsidRPr="000A1642">
              <w:rPr>
                <w:rStyle w:val="Hipercze"/>
                <w:rFonts w:ascii="Arial" w:hAnsi="Arial" w:cs="Arial"/>
                <w:i/>
                <w:noProof/>
              </w:rPr>
              <w:t>3.6</w:t>
            </w:r>
            <w:r w:rsidR="00947609">
              <w:rPr>
                <w:noProof/>
              </w:rPr>
              <w:tab/>
            </w:r>
            <w:r w:rsidR="00947609" w:rsidRPr="000A1642">
              <w:rPr>
                <w:rStyle w:val="Hipercze"/>
                <w:rFonts w:ascii="Arial" w:hAnsi="Arial" w:cs="Arial"/>
                <w:i/>
                <w:noProof/>
              </w:rPr>
              <w:t>Leasing</w:t>
            </w:r>
            <w:r w:rsidR="00947609">
              <w:rPr>
                <w:noProof/>
                <w:webHidden/>
              </w:rPr>
              <w:tab/>
            </w:r>
            <w:r w:rsidR="00947609">
              <w:rPr>
                <w:noProof/>
                <w:webHidden/>
              </w:rPr>
              <w:fldChar w:fldCharType="begin"/>
            </w:r>
            <w:r w:rsidR="00947609">
              <w:rPr>
                <w:noProof/>
                <w:webHidden/>
              </w:rPr>
              <w:instrText xml:space="preserve"> PAGEREF _Toc508630106 \h </w:instrText>
            </w:r>
            <w:r w:rsidR="00947609">
              <w:rPr>
                <w:noProof/>
                <w:webHidden/>
              </w:rPr>
            </w:r>
            <w:r w:rsidR="00947609">
              <w:rPr>
                <w:noProof/>
                <w:webHidden/>
              </w:rPr>
              <w:fldChar w:fldCharType="separate"/>
            </w:r>
            <w:r w:rsidR="00947609">
              <w:rPr>
                <w:noProof/>
                <w:webHidden/>
              </w:rPr>
              <w:t>25</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7" w:history="1">
            <w:r w:rsidR="00947609" w:rsidRPr="000A1642">
              <w:rPr>
                <w:rStyle w:val="Hipercze"/>
                <w:rFonts w:ascii="Arial" w:hAnsi="Arial" w:cs="Arial"/>
                <w:i/>
                <w:noProof/>
              </w:rPr>
              <w:t>3.7</w:t>
            </w:r>
            <w:r w:rsidR="00947609">
              <w:rPr>
                <w:noProof/>
              </w:rPr>
              <w:tab/>
            </w:r>
            <w:r w:rsidR="00947609" w:rsidRPr="000A1642">
              <w:rPr>
                <w:rStyle w:val="Hipercze"/>
                <w:rFonts w:ascii="Arial" w:hAnsi="Arial" w:cs="Arial"/>
                <w:i/>
                <w:noProof/>
              </w:rPr>
              <w:t>Projekty generujące dochód po zakończeniu realizacji projektów</w:t>
            </w:r>
            <w:r w:rsidR="00947609">
              <w:rPr>
                <w:noProof/>
                <w:webHidden/>
              </w:rPr>
              <w:tab/>
            </w:r>
            <w:r w:rsidR="00947609">
              <w:rPr>
                <w:noProof/>
                <w:webHidden/>
              </w:rPr>
              <w:fldChar w:fldCharType="begin"/>
            </w:r>
            <w:r w:rsidR="00947609">
              <w:rPr>
                <w:noProof/>
                <w:webHidden/>
              </w:rPr>
              <w:instrText xml:space="preserve"> PAGEREF _Toc508630107 \h </w:instrText>
            </w:r>
            <w:r w:rsidR="00947609">
              <w:rPr>
                <w:noProof/>
                <w:webHidden/>
              </w:rPr>
            </w:r>
            <w:r w:rsidR="00947609">
              <w:rPr>
                <w:noProof/>
                <w:webHidden/>
              </w:rPr>
              <w:fldChar w:fldCharType="separate"/>
            </w:r>
            <w:r w:rsidR="00947609">
              <w:rPr>
                <w:noProof/>
                <w:webHidden/>
              </w:rPr>
              <w:t>26</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8" w:history="1">
            <w:r w:rsidR="00947609" w:rsidRPr="000A1642">
              <w:rPr>
                <w:rStyle w:val="Hipercze"/>
                <w:rFonts w:ascii="Arial" w:hAnsi="Arial" w:cs="Arial"/>
                <w:i/>
                <w:noProof/>
              </w:rPr>
              <w:t>3.8</w:t>
            </w:r>
            <w:r w:rsidR="00947609">
              <w:rPr>
                <w:noProof/>
              </w:rPr>
              <w:tab/>
            </w:r>
            <w:r w:rsidR="00947609" w:rsidRPr="000A1642">
              <w:rPr>
                <w:rStyle w:val="Hipercze"/>
                <w:rFonts w:ascii="Arial" w:hAnsi="Arial" w:cs="Arial"/>
                <w:i/>
                <w:noProof/>
              </w:rPr>
              <w:t>Kwalifikowalność podatku VAT i innych podatków, opłat i obciążeń</w:t>
            </w:r>
            <w:r w:rsidR="00947609">
              <w:rPr>
                <w:noProof/>
                <w:webHidden/>
              </w:rPr>
              <w:tab/>
            </w:r>
            <w:r w:rsidR="00947609">
              <w:rPr>
                <w:noProof/>
                <w:webHidden/>
              </w:rPr>
              <w:fldChar w:fldCharType="begin"/>
            </w:r>
            <w:r w:rsidR="00947609">
              <w:rPr>
                <w:noProof/>
                <w:webHidden/>
              </w:rPr>
              <w:instrText xml:space="preserve"> PAGEREF _Toc508630108 \h </w:instrText>
            </w:r>
            <w:r w:rsidR="00947609">
              <w:rPr>
                <w:noProof/>
                <w:webHidden/>
              </w:rPr>
            </w:r>
            <w:r w:rsidR="00947609">
              <w:rPr>
                <w:noProof/>
                <w:webHidden/>
              </w:rPr>
              <w:fldChar w:fldCharType="separate"/>
            </w:r>
            <w:r w:rsidR="00947609">
              <w:rPr>
                <w:noProof/>
                <w:webHidden/>
              </w:rPr>
              <w:t>26</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09" w:history="1">
            <w:r w:rsidR="00947609" w:rsidRPr="000A1642">
              <w:rPr>
                <w:rStyle w:val="Hipercze"/>
                <w:rFonts w:ascii="Arial" w:hAnsi="Arial" w:cs="Arial"/>
                <w:i/>
                <w:noProof/>
              </w:rPr>
              <w:t>3.9</w:t>
            </w:r>
            <w:r w:rsidR="00947609">
              <w:rPr>
                <w:noProof/>
              </w:rPr>
              <w:tab/>
            </w:r>
            <w:r w:rsidR="00947609" w:rsidRPr="000A1642">
              <w:rPr>
                <w:rStyle w:val="Hipercze"/>
                <w:rFonts w:ascii="Arial" w:hAnsi="Arial" w:cs="Arial"/>
                <w:i/>
                <w:noProof/>
              </w:rPr>
              <w:t>Zmiany projektów</w:t>
            </w:r>
            <w:r w:rsidR="00947609">
              <w:rPr>
                <w:noProof/>
                <w:webHidden/>
              </w:rPr>
              <w:tab/>
            </w:r>
            <w:r w:rsidR="00947609">
              <w:rPr>
                <w:noProof/>
                <w:webHidden/>
              </w:rPr>
              <w:fldChar w:fldCharType="begin"/>
            </w:r>
            <w:r w:rsidR="00947609">
              <w:rPr>
                <w:noProof/>
                <w:webHidden/>
              </w:rPr>
              <w:instrText xml:space="preserve"> PAGEREF _Toc508630109 \h </w:instrText>
            </w:r>
            <w:r w:rsidR="00947609">
              <w:rPr>
                <w:noProof/>
                <w:webHidden/>
              </w:rPr>
            </w:r>
            <w:r w:rsidR="00947609">
              <w:rPr>
                <w:noProof/>
                <w:webHidden/>
              </w:rPr>
              <w:fldChar w:fldCharType="separate"/>
            </w:r>
            <w:r w:rsidR="00947609">
              <w:rPr>
                <w:noProof/>
                <w:webHidden/>
              </w:rPr>
              <w:t>26</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10" w:history="1">
            <w:r w:rsidR="00947609" w:rsidRPr="000A1642">
              <w:rPr>
                <w:rStyle w:val="Hipercze"/>
                <w:rFonts w:ascii="Arial" w:hAnsi="Arial" w:cs="Arial"/>
                <w:i/>
                <w:noProof/>
              </w:rPr>
              <w:t>3.10</w:t>
            </w:r>
            <w:r w:rsidR="00947609">
              <w:rPr>
                <w:noProof/>
              </w:rPr>
              <w:tab/>
            </w:r>
            <w:r w:rsidR="00947609" w:rsidRPr="000A1642">
              <w:rPr>
                <w:rStyle w:val="Hipercze"/>
                <w:rFonts w:ascii="Arial" w:hAnsi="Arial" w:cs="Arial"/>
                <w:i/>
                <w:noProof/>
              </w:rPr>
              <w:t>Duży projekt – zasady identyfikacji</w:t>
            </w:r>
            <w:r w:rsidR="00947609">
              <w:rPr>
                <w:noProof/>
                <w:webHidden/>
              </w:rPr>
              <w:tab/>
            </w:r>
            <w:r w:rsidR="00947609">
              <w:rPr>
                <w:noProof/>
                <w:webHidden/>
              </w:rPr>
              <w:fldChar w:fldCharType="begin"/>
            </w:r>
            <w:r w:rsidR="00947609">
              <w:rPr>
                <w:noProof/>
                <w:webHidden/>
              </w:rPr>
              <w:instrText xml:space="preserve"> PAGEREF _Toc508630110 \h </w:instrText>
            </w:r>
            <w:r w:rsidR="00947609">
              <w:rPr>
                <w:noProof/>
                <w:webHidden/>
              </w:rPr>
            </w:r>
            <w:r w:rsidR="00947609">
              <w:rPr>
                <w:noProof/>
                <w:webHidden/>
              </w:rPr>
              <w:fldChar w:fldCharType="separate"/>
            </w:r>
            <w:r w:rsidR="00947609">
              <w:rPr>
                <w:noProof/>
                <w:webHidden/>
              </w:rPr>
              <w:t>26</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11" w:history="1">
            <w:r w:rsidR="00947609" w:rsidRPr="000A1642">
              <w:rPr>
                <w:rStyle w:val="Hipercze"/>
                <w:rFonts w:ascii="Arial" w:hAnsi="Arial" w:cs="Arial"/>
                <w:i/>
                <w:noProof/>
              </w:rPr>
              <w:t>3.11</w:t>
            </w:r>
            <w:r w:rsidR="00947609">
              <w:rPr>
                <w:noProof/>
              </w:rPr>
              <w:tab/>
            </w:r>
            <w:r w:rsidR="00947609" w:rsidRPr="000A1642">
              <w:rPr>
                <w:rStyle w:val="Hipercze"/>
                <w:rFonts w:ascii="Arial" w:hAnsi="Arial" w:cs="Arial"/>
                <w:i/>
                <w:noProof/>
              </w:rPr>
              <w:t>Podmiot dokonujący wydatków kwalifikowalnych</w:t>
            </w:r>
            <w:r w:rsidR="00947609">
              <w:rPr>
                <w:noProof/>
                <w:webHidden/>
              </w:rPr>
              <w:tab/>
            </w:r>
            <w:r w:rsidR="00947609">
              <w:rPr>
                <w:noProof/>
                <w:webHidden/>
              </w:rPr>
              <w:fldChar w:fldCharType="begin"/>
            </w:r>
            <w:r w:rsidR="00947609">
              <w:rPr>
                <w:noProof/>
                <w:webHidden/>
              </w:rPr>
              <w:instrText xml:space="preserve"> PAGEREF _Toc508630111 \h </w:instrText>
            </w:r>
            <w:r w:rsidR="00947609">
              <w:rPr>
                <w:noProof/>
                <w:webHidden/>
              </w:rPr>
            </w:r>
            <w:r w:rsidR="00947609">
              <w:rPr>
                <w:noProof/>
                <w:webHidden/>
              </w:rPr>
              <w:fldChar w:fldCharType="separate"/>
            </w:r>
            <w:r w:rsidR="00947609">
              <w:rPr>
                <w:noProof/>
                <w:webHidden/>
              </w:rPr>
              <w:t>27</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12" w:history="1">
            <w:r w:rsidR="00947609" w:rsidRPr="000A1642">
              <w:rPr>
                <w:rStyle w:val="Hipercze"/>
                <w:rFonts w:ascii="Arial" w:hAnsi="Arial" w:cs="Arial"/>
                <w:i/>
                <w:noProof/>
              </w:rPr>
              <w:t>3.12</w:t>
            </w:r>
            <w:r w:rsidR="00947609">
              <w:rPr>
                <w:noProof/>
              </w:rPr>
              <w:tab/>
            </w:r>
            <w:r w:rsidR="00947609" w:rsidRPr="000A1642">
              <w:rPr>
                <w:rStyle w:val="Hipercze"/>
                <w:rFonts w:ascii="Arial" w:hAnsi="Arial" w:cs="Arial"/>
                <w:i/>
                <w:noProof/>
              </w:rPr>
              <w:t>Podmiot na rzecz którego ponoszone są wydatki kwalifikowalne</w:t>
            </w:r>
            <w:r w:rsidR="00947609">
              <w:rPr>
                <w:noProof/>
                <w:webHidden/>
              </w:rPr>
              <w:tab/>
            </w:r>
            <w:r w:rsidR="00947609">
              <w:rPr>
                <w:noProof/>
                <w:webHidden/>
              </w:rPr>
              <w:fldChar w:fldCharType="begin"/>
            </w:r>
            <w:r w:rsidR="00947609">
              <w:rPr>
                <w:noProof/>
                <w:webHidden/>
              </w:rPr>
              <w:instrText xml:space="preserve"> PAGEREF _Toc508630112 \h </w:instrText>
            </w:r>
            <w:r w:rsidR="00947609">
              <w:rPr>
                <w:noProof/>
                <w:webHidden/>
              </w:rPr>
            </w:r>
            <w:r w:rsidR="00947609">
              <w:rPr>
                <w:noProof/>
                <w:webHidden/>
              </w:rPr>
              <w:fldChar w:fldCharType="separate"/>
            </w:r>
            <w:r w:rsidR="00947609">
              <w:rPr>
                <w:noProof/>
                <w:webHidden/>
              </w:rPr>
              <w:t>28</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13" w:history="1">
            <w:r w:rsidR="00947609" w:rsidRPr="000A1642">
              <w:rPr>
                <w:rStyle w:val="Hipercze"/>
                <w:rFonts w:ascii="Arial" w:hAnsi="Arial" w:cs="Arial"/>
                <w:i/>
                <w:noProof/>
              </w:rPr>
              <w:t>3.13</w:t>
            </w:r>
            <w:r w:rsidR="00947609">
              <w:rPr>
                <w:noProof/>
              </w:rPr>
              <w:tab/>
            </w:r>
            <w:r w:rsidR="00947609" w:rsidRPr="000A1642">
              <w:rPr>
                <w:rStyle w:val="Hipercze"/>
                <w:rFonts w:ascii="Arial" w:hAnsi="Arial" w:cs="Arial"/>
                <w:i/>
                <w:noProof/>
              </w:rPr>
              <w:t>Zasady kwalifikowalności wydatków w ramach instrumentów finansowych</w:t>
            </w:r>
            <w:r w:rsidR="00947609">
              <w:rPr>
                <w:noProof/>
                <w:webHidden/>
              </w:rPr>
              <w:tab/>
            </w:r>
            <w:r w:rsidR="00947609">
              <w:rPr>
                <w:noProof/>
                <w:webHidden/>
              </w:rPr>
              <w:fldChar w:fldCharType="begin"/>
            </w:r>
            <w:r w:rsidR="00947609">
              <w:rPr>
                <w:noProof/>
                <w:webHidden/>
              </w:rPr>
              <w:instrText xml:space="preserve"> PAGEREF _Toc508630113 \h </w:instrText>
            </w:r>
            <w:r w:rsidR="00947609">
              <w:rPr>
                <w:noProof/>
                <w:webHidden/>
              </w:rPr>
            </w:r>
            <w:r w:rsidR="00947609">
              <w:rPr>
                <w:noProof/>
                <w:webHidden/>
              </w:rPr>
              <w:fldChar w:fldCharType="separate"/>
            </w:r>
            <w:r w:rsidR="00947609">
              <w:rPr>
                <w:noProof/>
                <w:webHidden/>
              </w:rPr>
              <w:t>30</w:t>
            </w:r>
            <w:r w:rsidR="00947609">
              <w:rPr>
                <w:noProof/>
                <w:webHidden/>
              </w:rPr>
              <w:fldChar w:fldCharType="end"/>
            </w:r>
          </w:hyperlink>
        </w:p>
        <w:p w:rsidR="00947609" w:rsidRDefault="00374A08">
          <w:pPr>
            <w:pStyle w:val="Spistreci1"/>
            <w:rPr>
              <w:rFonts w:asciiTheme="minorHAnsi" w:hAnsiTheme="minorHAnsi" w:cstheme="minorBidi"/>
              <w:b w:val="0"/>
            </w:rPr>
          </w:pPr>
          <w:hyperlink w:anchor="_Toc508630114" w:history="1">
            <w:r w:rsidR="00947609" w:rsidRPr="000A1642">
              <w:rPr>
                <w:rStyle w:val="Hipercze"/>
              </w:rPr>
              <w:t>4.</w:t>
            </w:r>
            <w:r w:rsidR="00947609">
              <w:rPr>
                <w:rFonts w:asciiTheme="minorHAnsi" w:hAnsiTheme="minorHAnsi" w:cstheme="minorBidi"/>
                <w:b w:val="0"/>
              </w:rPr>
              <w:tab/>
            </w:r>
            <w:r w:rsidR="00947609" w:rsidRPr="000A1642">
              <w:rPr>
                <w:rStyle w:val="Hipercze"/>
              </w:rPr>
              <w:t>Rozdział – Oś priorytetowa I. Powszechny dostęp do szybkiego internetu – szczegółowe zasady kwalifikowalności wydatków w ramach EFRR</w:t>
            </w:r>
            <w:r w:rsidR="00947609">
              <w:rPr>
                <w:webHidden/>
              </w:rPr>
              <w:tab/>
            </w:r>
            <w:r w:rsidR="00947609">
              <w:rPr>
                <w:webHidden/>
              </w:rPr>
              <w:fldChar w:fldCharType="begin"/>
            </w:r>
            <w:r w:rsidR="00947609">
              <w:rPr>
                <w:webHidden/>
              </w:rPr>
              <w:instrText xml:space="preserve"> PAGEREF _Toc508630114 \h </w:instrText>
            </w:r>
            <w:r w:rsidR="00947609">
              <w:rPr>
                <w:webHidden/>
              </w:rPr>
            </w:r>
            <w:r w:rsidR="00947609">
              <w:rPr>
                <w:webHidden/>
              </w:rPr>
              <w:fldChar w:fldCharType="separate"/>
            </w:r>
            <w:r w:rsidR="00947609">
              <w:rPr>
                <w:webHidden/>
              </w:rPr>
              <w:t>31</w:t>
            </w:r>
            <w:r w:rsidR="00947609">
              <w:rPr>
                <w:webHidden/>
              </w:rPr>
              <w:fldChar w:fldCharType="end"/>
            </w:r>
          </w:hyperlink>
        </w:p>
        <w:p w:rsidR="00947609" w:rsidRDefault="00374A08">
          <w:pPr>
            <w:pStyle w:val="Spistreci2"/>
            <w:tabs>
              <w:tab w:val="left" w:pos="880"/>
              <w:tab w:val="right" w:leader="dot" w:pos="9060"/>
            </w:tabs>
            <w:rPr>
              <w:noProof/>
            </w:rPr>
          </w:pPr>
          <w:hyperlink w:anchor="_Toc508630115" w:history="1">
            <w:r w:rsidR="00947609" w:rsidRPr="000A1642">
              <w:rPr>
                <w:rStyle w:val="Hipercze"/>
                <w:rFonts w:ascii="Arial" w:hAnsi="Arial" w:cs="Arial"/>
                <w:i/>
                <w:noProof/>
              </w:rPr>
              <w:t>4.1</w:t>
            </w:r>
            <w:r w:rsidR="00947609">
              <w:rPr>
                <w:noProof/>
              </w:rPr>
              <w:tab/>
            </w:r>
            <w:r w:rsidR="00947609" w:rsidRPr="000A1642">
              <w:rPr>
                <w:rStyle w:val="Hipercze"/>
                <w:rFonts w:ascii="Arial" w:hAnsi="Arial" w:cs="Arial"/>
                <w:i/>
                <w:noProof/>
              </w:rPr>
              <w:t>Katalog wydatków kwalifikowalnych w ramach Działania 1.1 „Wyeliminowanie terytorialnych różnic w możliwości dostępu do szerokopasmowego internetu o wysokich przepustowościach” dla naboru nr POPC.01.01.00-IP.01-00-001/15</w:t>
            </w:r>
            <w:r w:rsidR="00947609">
              <w:rPr>
                <w:noProof/>
                <w:webHidden/>
              </w:rPr>
              <w:tab/>
            </w:r>
            <w:r w:rsidR="00947609">
              <w:rPr>
                <w:noProof/>
                <w:webHidden/>
              </w:rPr>
              <w:fldChar w:fldCharType="begin"/>
            </w:r>
            <w:r w:rsidR="00947609">
              <w:rPr>
                <w:noProof/>
                <w:webHidden/>
              </w:rPr>
              <w:instrText xml:space="preserve"> PAGEREF _Toc508630115 \h </w:instrText>
            </w:r>
            <w:r w:rsidR="00947609">
              <w:rPr>
                <w:noProof/>
                <w:webHidden/>
              </w:rPr>
            </w:r>
            <w:r w:rsidR="00947609">
              <w:rPr>
                <w:noProof/>
                <w:webHidden/>
              </w:rPr>
              <w:fldChar w:fldCharType="separate"/>
            </w:r>
            <w:r w:rsidR="00947609">
              <w:rPr>
                <w:noProof/>
                <w:webHidden/>
              </w:rPr>
              <w:t>31</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16" w:history="1">
            <w:r w:rsidR="00947609" w:rsidRPr="000A1642">
              <w:rPr>
                <w:rStyle w:val="Hipercze"/>
                <w:rFonts w:ascii="Arial" w:hAnsi="Arial" w:cs="Arial"/>
                <w:i/>
                <w:noProof/>
              </w:rPr>
              <w:t>4.1.1</w:t>
            </w:r>
            <w:r w:rsidR="00947609">
              <w:rPr>
                <w:noProof/>
              </w:rPr>
              <w:tab/>
            </w:r>
            <w:r w:rsidR="00947609" w:rsidRPr="000A1642">
              <w:rPr>
                <w:rStyle w:val="Hipercze"/>
                <w:rFonts w:ascii="Arial" w:hAnsi="Arial" w:cs="Arial"/>
                <w:i/>
                <w:noProof/>
              </w:rPr>
              <w:t>Wydatki kwalifikowalne</w:t>
            </w:r>
            <w:r w:rsidR="00947609">
              <w:rPr>
                <w:noProof/>
                <w:webHidden/>
              </w:rPr>
              <w:tab/>
            </w:r>
            <w:r w:rsidR="00947609">
              <w:rPr>
                <w:noProof/>
                <w:webHidden/>
              </w:rPr>
              <w:fldChar w:fldCharType="begin"/>
            </w:r>
            <w:r w:rsidR="00947609">
              <w:rPr>
                <w:noProof/>
                <w:webHidden/>
              </w:rPr>
              <w:instrText xml:space="preserve"> PAGEREF _Toc508630116 \h </w:instrText>
            </w:r>
            <w:r w:rsidR="00947609">
              <w:rPr>
                <w:noProof/>
                <w:webHidden/>
              </w:rPr>
            </w:r>
            <w:r w:rsidR="00947609">
              <w:rPr>
                <w:noProof/>
                <w:webHidden/>
              </w:rPr>
              <w:fldChar w:fldCharType="separate"/>
            </w:r>
            <w:r w:rsidR="00947609">
              <w:rPr>
                <w:noProof/>
                <w:webHidden/>
              </w:rPr>
              <w:t>31</w:t>
            </w:r>
            <w:r w:rsidR="00947609">
              <w:rPr>
                <w:noProof/>
                <w:webHidden/>
              </w:rPr>
              <w:fldChar w:fldCharType="end"/>
            </w:r>
          </w:hyperlink>
        </w:p>
        <w:p w:rsidR="00947609" w:rsidRDefault="00374A08">
          <w:pPr>
            <w:pStyle w:val="Spistreci3"/>
            <w:tabs>
              <w:tab w:val="left" w:pos="1320"/>
              <w:tab w:val="right" w:leader="dot" w:pos="9060"/>
            </w:tabs>
            <w:rPr>
              <w:noProof/>
            </w:rPr>
          </w:pPr>
          <w:hyperlink w:anchor="_Toc508630117" w:history="1">
            <w:r w:rsidR="00947609" w:rsidRPr="000A1642">
              <w:rPr>
                <w:rStyle w:val="Hipercze"/>
                <w:rFonts w:ascii="Arial" w:eastAsiaTheme="majorEastAsia" w:hAnsi="Arial" w:cs="Arial"/>
                <w:bCs/>
                <w:i/>
                <w:noProof/>
              </w:rPr>
              <w:t>4.1.2</w:t>
            </w:r>
            <w:r w:rsidR="00947609">
              <w:rPr>
                <w:noProof/>
              </w:rPr>
              <w:tab/>
            </w:r>
            <w:r w:rsidR="00947609" w:rsidRPr="000A1642">
              <w:rPr>
                <w:rStyle w:val="Hipercze"/>
                <w:rFonts w:ascii="Arial" w:eastAsiaTheme="majorEastAsia" w:hAnsi="Arial" w:cs="Arial"/>
                <w:bCs/>
                <w:i/>
                <w:noProof/>
              </w:rPr>
              <w:t>Kwalifikowalność wydatków w ramach pomocy na infrastrukturę szerokopasmową</w:t>
            </w:r>
            <w:r w:rsidR="00947609">
              <w:rPr>
                <w:noProof/>
                <w:webHidden/>
              </w:rPr>
              <w:tab/>
            </w:r>
            <w:r w:rsidR="00947609">
              <w:rPr>
                <w:noProof/>
                <w:webHidden/>
              </w:rPr>
              <w:fldChar w:fldCharType="begin"/>
            </w:r>
            <w:r w:rsidR="00947609">
              <w:rPr>
                <w:noProof/>
                <w:webHidden/>
              </w:rPr>
              <w:instrText xml:space="preserve"> PAGEREF _Toc508630117 \h </w:instrText>
            </w:r>
            <w:r w:rsidR="00947609">
              <w:rPr>
                <w:noProof/>
                <w:webHidden/>
              </w:rPr>
            </w:r>
            <w:r w:rsidR="00947609">
              <w:rPr>
                <w:noProof/>
                <w:webHidden/>
              </w:rPr>
              <w:fldChar w:fldCharType="separate"/>
            </w:r>
            <w:r w:rsidR="00947609">
              <w:rPr>
                <w:noProof/>
                <w:webHidden/>
              </w:rPr>
              <w:t>33</w:t>
            </w:r>
            <w:r w:rsidR="00947609">
              <w:rPr>
                <w:noProof/>
                <w:webHidden/>
              </w:rPr>
              <w:fldChar w:fldCharType="end"/>
            </w:r>
          </w:hyperlink>
        </w:p>
        <w:p w:rsidR="00947609" w:rsidRDefault="00374A08">
          <w:pPr>
            <w:pStyle w:val="Spistreci3"/>
            <w:tabs>
              <w:tab w:val="left" w:pos="1320"/>
              <w:tab w:val="right" w:leader="dot" w:pos="9060"/>
            </w:tabs>
            <w:rPr>
              <w:noProof/>
            </w:rPr>
          </w:pPr>
          <w:hyperlink w:anchor="_Toc508630118" w:history="1">
            <w:r w:rsidR="00947609" w:rsidRPr="000A1642">
              <w:rPr>
                <w:rStyle w:val="Hipercze"/>
                <w:rFonts w:ascii="Arial" w:eastAsiaTheme="majorEastAsia" w:hAnsi="Arial" w:cs="Arial"/>
                <w:bCs/>
                <w:i/>
                <w:noProof/>
              </w:rPr>
              <w:t>4.1.3</w:t>
            </w:r>
            <w:r w:rsidR="00947609">
              <w:rPr>
                <w:noProof/>
              </w:rPr>
              <w:tab/>
            </w:r>
            <w:r w:rsidR="00947609" w:rsidRPr="000A1642">
              <w:rPr>
                <w:rStyle w:val="Hipercze"/>
                <w:rFonts w:ascii="Arial" w:eastAsiaTheme="majorEastAsia" w:hAnsi="Arial" w:cs="Arial"/>
                <w:bCs/>
                <w:i/>
                <w:noProof/>
              </w:rPr>
              <w:t>Kwalifikowalność wydatków w ramach pomocy de minimis</w:t>
            </w:r>
            <w:r w:rsidR="00947609">
              <w:rPr>
                <w:noProof/>
                <w:webHidden/>
              </w:rPr>
              <w:tab/>
            </w:r>
            <w:r w:rsidR="00947609">
              <w:rPr>
                <w:noProof/>
                <w:webHidden/>
              </w:rPr>
              <w:fldChar w:fldCharType="begin"/>
            </w:r>
            <w:r w:rsidR="00947609">
              <w:rPr>
                <w:noProof/>
                <w:webHidden/>
              </w:rPr>
              <w:instrText xml:space="preserve"> PAGEREF _Toc508630118 \h </w:instrText>
            </w:r>
            <w:r w:rsidR="00947609">
              <w:rPr>
                <w:noProof/>
                <w:webHidden/>
              </w:rPr>
            </w:r>
            <w:r w:rsidR="00947609">
              <w:rPr>
                <w:noProof/>
                <w:webHidden/>
              </w:rPr>
              <w:fldChar w:fldCharType="separate"/>
            </w:r>
            <w:r w:rsidR="00947609">
              <w:rPr>
                <w:noProof/>
                <w:webHidden/>
              </w:rPr>
              <w:t>38</w:t>
            </w:r>
            <w:r w:rsidR="00947609">
              <w:rPr>
                <w:noProof/>
                <w:webHidden/>
              </w:rPr>
              <w:fldChar w:fldCharType="end"/>
            </w:r>
          </w:hyperlink>
        </w:p>
        <w:p w:rsidR="00947609" w:rsidRDefault="00374A08">
          <w:pPr>
            <w:pStyle w:val="Spistreci3"/>
            <w:tabs>
              <w:tab w:val="left" w:pos="1320"/>
              <w:tab w:val="right" w:leader="dot" w:pos="9060"/>
            </w:tabs>
            <w:rPr>
              <w:noProof/>
            </w:rPr>
          </w:pPr>
          <w:hyperlink w:anchor="_Toc508630119" w:history="1">
            <w:r w:rsidR="00947609" w:rsidRPr="000A1642">
              <w:rPr>
                <w:rStyle w:val="Hipercze"/>
                <w:rFonts w:ascii="Arial" w:eastAsiaTheme="majorEastAsia" w:hAnsi="Arial" w:cs="Arial"/>
                <w:bCs/>
                <w:i/>
                <w:noProof/>
              </w:rPr>
              <w:t>4.1.4</w:t>
            </w:r>
            <w:r w:rsidR="00947609">
              <w:rPr>
                <w:noProof/>
              </w:rPr>
              <w:tab/>
            </w:r>
            <w:r w:rsidR="00947609" w:rsidRPr="000A1642">
              <w:rPr>
                <w:rStyle w:val="Hipercze"/>
                <w:rFonts w:ascii="Arial" w:eastAsiaTheme="majorEastAsia" w:hAnsi="Arial" w:cs="Arial"/>
                <w:bCs/>
                <w:i/>
                <w:noProof/>
              </w:rPr>
              <w:t>Wydatki niekwalifikowalne</w:t>
            </w:r>
            <w:r w:rsidR="00947609">
              <w:rPr>
                <w:noProof/>
                <w:webHidden/>
              </w:rPr>
              <w:tab/>
            </w:r>
            <w:r w:rsidR="00947609">
              <w:rPr>
                <w:noProof/>
                <w:webHidden/>
              </w:rPr>
              <w:fldChar w:fldCharType="begin"/>
            </w:r>
            <w:r w:rsidR="00947609">
              <w:rPr>
                <w:noProof/>
                <w:webHidden/>
              </w:rPr>
              <w:instrText xml:space="preserve"> PAGEREF _Toc508630119 \h </w:instrText>
            </w:r>
            <w:r w:rsidR="00947609">
              <w:rPr>
                <w:noProof/>
                <w:webHidden/>
              </w:rPr>
            </w:r>
            <w:r w:rsidR="00947609">
              <w:rPr>
                <w:noProof/>
                <w:webHidden/>
              </w:rPr>
              <w:fldChar w:fldCharType="separate"/>
            </w:r>
            <w:r w:rsidR="00947609">
              <w:rPr>
                <w:noProof/>
                <w:webHidden/>
              </w:rPr>
              <w:t>38</w:t>
            </w:r>
            <w:r w:rsidR="00947609">
              <w:rPr>
                <w:noProof/>
                <w:webHidden/>
              </w:rPr>
              <w:fldChar w:fldCharType="end"/>
            </w:r>
          </w:hyperlink>
        </w:p>
        <w:p w:rsidR="00947609" w:rsidRDefault="00374A08">
          <w:pPr>
            <w:pStyle w:val="Spistreci3"/>
            <w:tabs>
              <w:tab w:val="left" w:pos="1320"/>
              <w:tab w:val="right" w:leader="dot" w:pos="9060"/>
            </w:tabs>
            <w:rPr>
              <w:noProof/>
            </w:rPr>
          </w:pPr>
          <w:hyperlink w:anchor="_Toc508630120" w:history="1">
            <w:r w:rsidR="00947609" w:rsidRPr="000A1642">
              <w:rPr>
                <w:rStyle w:val="Hipercze"/>
                <w:rFonts w:ascii="Arial" w:eastAsiaTheme="majorEastAsia" w:hAnsi="Arial" w:cs="Arial"/>
                <w:bCs/>
                <w:i/>
                <w:noProof/>
              </w:rPr>
              <w:t>4.1.5</w:t>
            </w:r>
            <w:r w:rsidR="00947609">
              <w:rPr>
                <w:noProof/>
              </w:rPr>
              <w:tab/>
            </w:r>
            <w:r w:rsidR="00947609" w:rsidRPr="000A1642">
              <w:rPr>
                <w:rStyle w:val="Hipercze"/>
                <w:rFonts w:ascii="Arial" w:eastAsiaTheme="majorEastAsia" w:hAnsi="Arial" w:cs="Arial"/>
                <w:bCs/>
                <w:i/>
                <w:noProof/>
              </w:rPr>
              <w:t>Warunki oraz okres kwalifikowania wydatków w projektach podlegających zasadom pomocy publicznej</w:t>
            </w:r>
            <w:r w:rsidR="00947609">
              <w:rPr>
                <w:noProof/>
                <w:webHidden/>
              </w:rPr>
              <w:tab/>
            </w:r>
            <w:r w:rsidR="00947609">
              <w:rPr>
                <w:noProof/>
                <w:webHidden/>
              </w:rPr>
              <w:fldChar w:fldCharType="begin"/>
            </w:r>
            <w:r w:rsidR="00947609">
              <w:rPr>
                <w:noProof/>
                <w:webHidden/>
              </w:rPr>
              <w:instrText xml:space="preserve"> PAGEREF _Toc508630120 \h </w:instrText>
            </w:r>
            <w:r w:rsidR="00947609">
              <w:rPr>
                <w:noProof/>
                <w:webHidden/>
              </w:rPr>
            </w:r>
            <w:r w:rsidR="00947609">
              <w:rPr>
                <w:noProof/>
                <w:webHidden/>
              </w:rPr>
              <w:fldChar w:fldCharType="separate"/>
            </w:r>
            <w:r w:rsidR="00947609">
              <w:rPr>
                <w:noProof/>
                <w:webHidden/>
              </w:rPr>
              <w:t>41</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21" w:history="1">
            <w:r w:rsidR="00947609" w:rsidRPr="000A1642">
              <w:rPr>
                <w:rStyle w:val="Hipercze"/>
                <w:rFonts w:ascii="Arial" w:hAnsi="Arial" w:cs="Arial"/>
                <w:i/>
                <w:noProof/>
              </w:rPr>
              <w:t>4.3</w:t>
            </w:r>
            <w:r w:rsidR="00947609">
              <w:rPr>
                <w:noProof/>
              </w:rPr>
              <w:tab/>
            </w:r>
            <w:r w:rsidR="00947609" w:rsidRPr="000A1642">
              <w:rPr>
                <w:rStyle w:val="Hipercze"/>
                <w:rFonts w:ascii="Arial" w:hAnsi="Arial" w:cs="Arial"/>
                <w:i/>
                <w:noProof/>
              </w:rPr>
              <w:t>Katalog wydatków kwalifikowalnych w ramach Działania 1.1 „Wyeliminowanie terytorialnych różnic w możliwości dostępu do szerokopasmowego internetu o wysokich przepustowościach” dla naborów nr POPC.01.01.00-IP.01-00-002/16</w:t>
            </w:r>
            <w:r w:rsidR="00947609">
              <w:rPr>
                <w:noProof/>
                <w:webHidden/>
              </w:rPr>
              <w:tab/>
            </w:r>
            <w:r w:rsidR="00947609">
              <w:rPr>
                <w:noProof/>
                <w:webHidden/>
              </w:rPr>
              <w:fldChar w:fldCharType="begin"/>
            </w:r>
            <w:r w:rsidR="00947609">
              <w:rPr>
                <w:noProof/>
                <w:webHidden/>
              </w:rPr>
              <w:instrText xml:space="preserve"> PAGEREF _Toc508630121 \h </w:instrText>
            </w:r>
            <w:r w:rsidR="00947609">
              <w:rPr>
                <w:noProof/>
                <w:webHidden/>
              </w:rPr>
            </w:r>
            <w:r w:rsidR="00947609">
              <w:rPr>
                <w:noProof/>
                <w:webHidden/>
              </w:rPr>
              <w:fldChar w:fldCharType="separate"/>
            </w:r>
            <w:r w:rsidR="00947609">
              <w:rPr>
                <w:noProof/>
                <w:webHidden/>
              </w:rPr>
              <w:t>42</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22" w:history="1">
            <w:r w:rsidR="00947609" w:rsidRPr="000A1642">
              <w:rPr>
                <w:rStyle w:val="Hipercze"/>
                <w:rFonts w:ascii="Arial" w:hAnsi="Arial" w:cs="Arial"/>
                <w:i/>
                <w:noProof/>
              </w:rPr>
              <w:t>4.3.1</w:t>
            </w:r>
            <w:r w:rsidR="00947609">
              <w:rPr>
                <w:noProof/>
              </w:rPr>
              <w:tab/>
            </w:r>
            <w:r w:rsidR="00947609" w:rsidRPr="000A1642">
              <w:rPr>
                <w:rStyle w:val="Hipercze"/>
                <w:rFonts w:ascii="Arial" w:hAnsi="Arial" w:cs="Arial"/>
                <w:i/>
                <w:noProof/>
              </w:rPr>
              <w:t>Wydatki kwalifikowalne</w:t>
            </w:r>
            <w:r w:rsidR="00947609">
              <w:rPr>
                <w:noProof/>
                <w:webHidden/>
              </w:rPr>
              <w:tab/>
            </w:r>
            <w:r w:rsidR="00947609">
              <w:rPr>
                <w:noProof/>
                <w:webHidden/>
              </w:rPr>
              <w:fldChar w:fldCharType="begin"/>
            </w:r>
            <w:r w:rsidR="00947609">
              <w:rPr>
                <w:noProof/>
                <w:webHidden/>
              </w:rPr>
              <w:instrText xml:space="preserve"> PAGEREF _Toc508630122 \h </w:instrText>
            </w:r>
            <w:r w:rsidR="00947609">
              <w:rPr>
                <w:noProof/>
                <w:webHidden/>
              </w:rPr>
            </w:r>
            <w:r w:rsidR="00947609">
              <w:rPr>
                <w:noProof/>
                <w:webHidden/>
              </w:rPr>
              <w:fldChar w:fldCharType="separate"/>
            </w:r>
            <w:r w:rsidR="00947609">
              <w:rPr>
                <w:noProof/>
                <w:webHidden/>
              </w:rPr>
              <w:t>42</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23" w:history="1">
            <w:r w:rsidR="00947609" w:rsidRPr="000A1642">
              <w:rPr>
                <w:rStyle w:val="Hipercze"/>
                <w:rFonts w:ascii="Arial" w:hAnsi="Arial" w:cs="Arial"/>
                <w:i/>
                <w:noProof/>
              </w:rPr>
              <w:t>4.3.2</w:t>
            </w:r>
            <w:r w:rsidR="00947609">
              <w:rPr>
                <w:noProof/>
              </w:rPr>
              <w:tab/>
            </w:r>
            <w:r w:rsidR="00947609" w:rsidRPr="000A1642">
              <w:rPr>
                <w:rStyle w:val="Hipercze"/>
                <w:rFonts w:ascii="Arial" w:hAnsi="Arial" w:cs="Arial"/>
                <w:i/>
                <w:noProof/>
              </w:rPr>
              <w:t>Kwalifikowalność wydatków w ramach pomocy na infrastrukturę szerokopasmową</w:t>
            </w:r>
            <w:r w:rsidR="00947609">
              <w:rPr>
                <w:noProof/>
                <w:webHidden/>
              </w:rPr>
              <w:tab/>
            </w:r>
            <w:r w:rsidR="00947609">
              <w:rPr>
                <w:noProof/>
                <w:webHidden/>
              </w:rPr>
              <w:fldChar w:fldCharType="begin"/>
            </w:r>
            <w:r w:rsidR="00947609">
              <w:rPr>
                <w:noProof/>
                <w:webHidden/>
              </w:rPr>
              <w:instrText xml:space="preserve"> PAGEREF _Toc508630123 \h </w:instrText>
            </w:r>
            <w:r w:rsidR="00947609">
              <w:rPr>
                <w:noProof/>
                <w:webHidden/>
              </w:rPr>
            </w:r>
            <w:r w:rsidR="00947609">
              <w:rPr>
                <w:noProof/>
                <w:webHidden/>
              </w:rPr>
              <w:fldChar w:fldCharType="separate"/>
            </w:r>
            <w:r w:rsidR="00947609">
              <w:rPr>
                <w:noProof/>
                <w:webHidden/>
              </w:rPr>
              <w:t>44</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24" w:history="1">
            <w:r w:rsidR="00947609" w:rsidRPr="000A1642">
              <w:rPr>
                <w:rStyle w:val="Hipercze"/>
                <w:rFonts w:ascii="Arial" w:hAnsi="Arial" w:cs="Arial"/>
                <w:i/>
                <w:noProof/>
              </w:rPr>
              <w:t>4.3.3</w:t>
            </w:r>
            <w:r w:rsidR="00947609">
              <w:rPr>
                <w:noProof/>
              </w:rPr>
              <w:tab/>
            </w:r>
            <w:r w:rsidR="00947609" w:rsidRPr="000A1642">
              <w:rPr>
                <w:rStyle w:val="Hipercze"/>
                <w:rFonts w:ascii="Arial" w:hAnsi="Arial" w:cs="Arial"/>
                <w:i/>
                <w:noProof/>
              </w:rPr>
              <w:t>Kwalifikowalność wydatków w ramach pomocy de minimis</w:t>
            </w:r>
            <w:r w:rsidR="00947609">
              <w:rPr>
                <w:noProof/>
                <w:webHidden/>
              </w:rPr>
              <w:tab/>
            </w:r>
            <w:r w:rsidR="00947609">
              <w:rPr>
                <w:noProof/>
                <w:webHidden/>
              </w:rPr>
              <w:fldChar w:fldCharType="begin"/>
            </w:r>
            <w:r w:rsidR="00947609">
              <w:rPr>
                <w:noProof/>
                <w:webHidden/>
              </w:rPr>
              <w:instrText xml:space="preserve"> PAGEREF _Toc508630124 \h </w:instrText>
            </w:r>
            <w:r w:rsidR="00947609">
              <w:rPr>
                <w:noProof/>
                <w:webHidden/>
              </w:rPr>
            </w:r>
            <w:r w:rsidR="00947609">
              <w:rPr>
                <w:noProof/>
                <w:webHidden/>
              </w:rPr>
              <w:fldChar w:fldCharType="separate"/>
            </w:r>
            <w:r w:rsidR="00947609">
              <w:rPr>
                <w:noProof/>
                <w:webHidden/>
              </w:rPr>
              <w:t>49</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25" w:history="1">
            <w:r w:rsidR="00947609" w:rsidRPr="000A1642">
              <w:rPr>
                <w:rStyle w:val="Hipercze"/>
                <w:rFonts w:ascii="Arial" w:hAnsi="Arial" w:cs="Arial"/>
                <w:i/>
                <w:noProof/>
              </w:rPr>
              <w:t>4.3.4</w:t>
            </w:r>
            <w:r w:rsidR="00947609">
              <w:rPr>
                <w:noProof/>
              </w:rPr>
              <w:tab/>
            </w:r>
            <w:r w:rsidR="00947609" w:rsidRPr="000A1642">
              <w:rPr>
                <w:rStyle w:val="Hipercze"/>
                <w:rFonts w:ascii="Arial" w:hAnsi="Arial" w:cs="Arial"/>
                <w:i/>
                <w:noProof/>
              </w:rPr>
              <w:t>Wydatki niekwalifikowalne</w:t>
            </w:r>
            <w:r w:rsidR="00947609">
              <w:rPr>
                <w:noProof/>
                <w:webHidden/>
              </w:rPr>
              <w:tab/>
            </w:r>
            <w:r w:rsidR="00947609">
              <w:rPr>
                <w:noProof/>
                <w:webHidden/>
              </w:rPr>
              <w:fldChar w:fldCharType="begin"/>
            </w:r>
            <w:r w:rsidR="00947609">
              <w:rPr>
                <w:noProof/>
                <w:webHidden/>
              </w:rPr>
              <w:instrText xml:space="preserve"> PAGEREF _Toc508630125 \h </w:instrText>
            </w:r>
            <w:r w:rsidR="00947609">
              <w:rPr>
                <w:noProof/>
                <w:webHidden/>
              </w:rPr>
            </w:r>
            <w:r w:rsidR="00947609">
              <w:rPr>
                <w:noProof/>
                <w:webHidden/>
              </w:rPr>
              <w:fldChar w:fldCharType="separate"/>
            </w:r>
            <w:r w:rsidR="00947609">
              <w:rPr>
                <w:noProof/>
                <w:webHidden/>
              </w:rPr>
              <w:t>49</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26" w:history="1">
            <w:r w:rsidR="00947609" w:rsidRPr="000A1642">
              <w:rPr>
                <w:rStyle w:val="Hipercze"/>
                <w:rFonts w:ascii="Arial" w:hAnsi="Arial" w:cs="Arial"/>
                <w:i/>
                <w:noProof/>
              </w:rPr>
              <w:t>4.3.5</w:t>
            </w:r>
            <w:r w:rsidR="00947609">
              <w:rPr>
                <w:noProof/>
              </w:rPr>
              <w:tab/>
            </w:r>
            <w:r w:rsidR="00947609" w:rsidRPr="000A1642">
              <w:rPr>
                <w:rStyle w:val="Hipercze"/>
                <w:rFonts w:ascii="Arial" w:hAnsi="Arial" w:cs="Arial"/>
                <w:i/>
                <w:noProof/>
              </w:rPr>
              <w:t>Warunki oraz okres kwalifikowania wydatków w projektach podlegających zasadom pomocy publicznej</w:t>
            </w:r>
            <w:r w:rsidR="00947609">
              <w:rPr>
                <w:noProof/>
                <w:webHidden/>
              </w:rPr>
              <w:tab/>
            </w:r>
            <w:r w:rsidR="00947609">
              <w:rPr>
                <w:noProof/>
                <w:webHidden/>
              </w:rPr>
              <w:fldChar w:fldCharType="begin"/>
            </w:r>
            <w:r w:rsidR="00947609">
              <w:rPr>
                <w:noProof/>
                <w:webHidden/>
              </w:rPr>
              <w:instrText xml:space="preserve"> PAGEREF _Toc508630126 \h </w:instrText>
            </w:r>
            <w:r w:rsidR="00947609">
              <w:rPr>
                <w:noProof/>
                <w:webHidden/>
              </w:rPr>
            </w:r>
            <w:r w:rsidR="00947609">
              <w:rPr>
                <w:noProof/>
                <w:webHidden/>
              </w:rPr>
              <w:fldChar w:fldCharType="separate"/>
            </w:r>
            <w:r w:rsidR="00947609">
              <w:rPr>
                <w:noProof/>
                <w:webHidden/>
              </w:rPr>
              <w:t>52</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27" w:history="1">
            <w:r w:rsidR="00947609" w:rsidRPr="000A1642">
              <w:rPr>
                <w:rStyle w:val="Hipercze"/>
                <w:rFonts w:ascii="Arial" w:hAnsi="Arial" w:cs="Arial"/>
                <w:i/>
                <w:noProof/>
              </w:rPr>
              <w:t>4.4</w:t>
            </w:r>
            <w:r w:rsidR="00947609">
              <w:rPr>
                <w:noProof/>
              </w:rPr>
              <w:tab/>
            </w:r>
            <w:r w:rsidR="00947609" w:rsidRPr="000A1642">
              <w:rPr>
                <w:rStyle w:val="Hipercze"/>
                <w:rFonts w:ascii="Arial" w:hAnsi="Arial" w:cs="Arial"/>
                <w:i/>
                <w:noProof/>
              </w:rPr>
              <w:t>Katalog wydatków kwalifikowalnych w ramach Działania 1.1 „Wyeliminowanie terytorialnych różnic w możliwości dostępu do szerokopasmowego internetu o wysokich przepustowościach” dla naborów nr POPC.01.01.00-IP.01-00-004/17</w:t>
            </w:r>
            <w:r w:rsidR="00947609">
              <w:rPr>
                <w:noProof/>
                <w:webHidden/>
              </w:rPr>
              <w:tab/>
            </w:r>
            <w:r w:rsidR="00947609">
              <w:rPr>
                <w:noProof/>
                <w:webHidden/>
              </w:rPr>
              <w:fldChar w:fldCharType="begin"/>
            </w:r>
            <w:r w:rsidR="00947609">
              <w:rPr>
                <w:noProof/>
                <w:webHidden/>
              </w:rPr>
              <w:instrText xml:space="preserve"> PAGEREF _Toc508630127 \h </w:instrText>
            </w:r>
            <w:r w:rsidR="00947609">
              <w:rPr>
                <w:noProof/>
                <w:webHidden/>
              </w:rPr>
            </w:r>
            <w:r w:rsidR="00947609">
              <w:rPr>
                <w:noProof/>
                <w:webHidden/>
              </w:rPr>
              <w:fldChar w:fldCharType="separate"/>
            </w:r>
            <w:r w:rsidR="00947609">
              <w:rPr>
                <w:noProof/>
                <w:webHidden/>
              </w:rPr>
              <w:t>53</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28" w:history="1">
            <w:r w:rsidR="00947609" w:rsidRPr="000A1642">
              <w:rPr>
                <w:rStyle w:val="Hipercze"/>
                <w:rFonts w:ascii="Arial" w:hAnsi="Arial" w:cs="Arial"/>
                <w:i/>
                <w:noProof/>
              </w:rPr>
              <w:t>4.4.1</w:t>
            </w:r>
            <w:r w:rsidR="00947609">
              <w:rPr>
                <w:noProof/>
              </w:rPr>
              <w:tab/>
            </w:r>
            <w:r w:rsidR="00947609" w:rsidRPr="000A1642">
              <w:rPr>
                <w:rStyle w:val="Hipercze"/>
                <w:rFonts w:ascii="Arial" w:hAnsi="Arial" w:cs="Arial"/>
                <w:i/>
                <w:noProof/>
              </w:rPr>
              <w:t>Wydatki kwalifikowalne</w:t>
            </w:r>
            <w:r w:rsidR="00947609">
              <w:rPr>
                <w:noProof/>
                <w:webHidden/>
              </w:rPr>
              <w:tab/>
            </w:r>
            <w:r w:rsidR="00947609">
              <w:rPr>
                <w:noProof/>
                <w:webHidden/>
              </w:rPr>
              <w:fldChar w:fldCharType="begin"/>
            </w:r>
            <w:r w:rsidR="00947609">
              <w:rPr>
                <w:noProof/>
                <w:webHidden/>
              </w:rPr>
              <w:instrText xml:space="preserve"> PAGEREF _Toc508630128 \h </w:instrText>
            </w:r>
            <w:r w:rsidR="00947609">
              <w:rPr>
                <w:noProof/>
                <w:webHidden/>
              </w:rPr>
            </w:r>
            <w:r w:rsidR="00947609">
              <w:rPr>
                <w:noProof/>
                <w:webHidden/>
              </w:rPr>
              <w:fldChar w:fldCharType="separate"/>
            </w:r>
            <w:r w:rsidR="00947609">
              <w:rPr>
                <w:noProof/>
                <w:webHidden/>
              </w:rPr>
              <w:t>53</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29" w:history="1">
            <w:r w:rsidR="00947609" w:rsidRPr="000A1642">
              <w:rPr>
                <w:rStyle w:val="Hipercze"/>
                <w:rFonts w:ascii="Arial" w:hAnsi="Arial" w:cs="Arial"/>
                <w:i/>
                <w:noProof/>
              </w:rPr>
              <w:t>4.4.2</w:t>
            </w:r>
            <w:r w:rsidR="00947609">
              <w:rPr>
                <w:noProof/>
              </w:rPr>
              <w:tab/>
            </w:r>
            <w:r w:rsidR="00947609" w:rsidRPr="000A1642">
              <w:rPr>
                <w:rStyle w:val="Hipercze"/>
                <w:rFonts w:ascii="Arial" w:hAnsi="Arial" w:cs="Arial"/>
                <w:i/>
                <w:noProof/>
              </w:rPr>
              <w:t>Kwalifikowalność wydatków w ramach pomocy na infrastrukturę szerokopasmową</w:t>
            </w:r>
            <w:r w:rsidR="00947609">
              <w:rPr>
                <w:noProof/>
                <w:webHidden/>
              </w:rPr>
              <w:tab/>
            </w:r>
            <w:r w:rsidR="00947609">
              <w:rPr>
                <w:noProof/>
                <w:webHidden/>
              </w:rPr>
              <w:fldChar w:fldCharType="begin"/>
            </w:r>
            <w:r w:rsidR="00947609">
              <w:rPr>
                <w:noProof/>
                <w:webHidden/>
              </w:rPr>
              <w:instrText xml:space="preserve"> PAGEREF _Toc508630129 \h </w:instrText>
            </w:r>
            <w:r w:rsidR="00947609">
              <w:rPr>
                <w:noProof/>
                <w:webHidden/>
              </w:rPr>
            </w:r>
            <w:r w:rsidR="00947609">
              <w:rPr>
                <w:noProof/>
                <w:webHidden/>
              </w:rPr>
              <w:fldChar w:fldCharType="separate"/>
            </w:r>
            <w:r w:rsidR="00947609">
              <w:rPr>
                <w:noProof/>
                <w:webHidden/>
              </w:rPr>
              <w:t>55</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30" w:history="1">
            <w:r w:rsidR="00947609" w:rsidRPr="000A1642">
              <w:rPr>
                <w:rStyle w:val="Hipercze"/>
                <w:rFonts w:ascii="Arial" w:hAnsi="Arial" w:cs="Arial"/>
                <w:i/>
                <w:noProof/>
              </w:rPr>
              <w:t>4.4.3</w:t>
            </w:r>
            <w:r w:rsidR="00947609">
              <w:rPr>
                <w:noProof/>
              </w:rPr>
              <w:tab/>
            </w:r>
            <w:r w:rsidR="00947609" w:rsidRPr="000A1642">
              <w:rPr>
                <w:rStyle w:val="Hipercze"/>
                <w:rFonts w:ascii="Arial" w:hAnsi="Arial" w:cs="Arial"/>
                <w:i/>
                <w:noProof/>
              </w:rPr>
              <w:t>Kwalifikowalność wydatków w ramach pomocy de minimis</w:t>
            </w:r>
            <w:r w:rsidR="00947609">
              <w:rPr>
                <w:noProof/>
                <w:webHidden/>
              </w:rPr>
              <w:tab/>
            </w:r>
            <w:r w:rsidR="00947609">
              <w:rPr>
                <w:noProof/>
                <w:webHidden/>
              </w:rPr>
              <w:fldChar w:fldCharType="begin"/>
            </w:r>
            <w:r w:rsidR="00947609">
              <w:rPr>
                <w:noProof/>
                <w:webHidden/>
              </w:rPr>
              <w:instrText xml:space="preserve"> PAGEREF _Toc508630130 \h </w:instrText>
            </w:r>
            <w:r w:rsidR="00947609">
              <w:rPr>
                <w:noProof/>
                <w:webHidden/>
              </w:rPr>
            </w:r>
            <w:r w:rsidR="00947609">
              <w:rPr>
                <w:noProof/>
                <w:webHidden/>
              </w:rPr>
              <w:fldChar w:fldCharType="separate"/>
            </w:r>
            <w:r w:rsidR="00947609">
              <w:rPr>
                <w:noProof/>
                <w:webHidden/>
              </w:rPr>
              <w:t>60</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31" w:history="1">
            <w:r w:rsidR="00947609" w:rsidRPr="000A1642">
              <w:rPr>
                <w:rStyle w:val="Hipercze"/>
                <w:rFonts w:ascii="Arial" w:hAnsi="Arial" w:cs="Arial"/>
                <w:i/>
                <w:noProof/>
              </w:rPr>
              <w:t>4.4.4</w:t>
            </w:r>
            <w:r w:rsidR="00947609">
              <w:rPr>
                <w:noProof/>
              </w:rPr>
              <w:tab/>
            </w:r>
            <w:r w:rsidR="00947609" w:rsidRPr="000A1642">
              <w:rPr>
                <w:rStyle w:val="Hipercze"/>
                <w:rFonts w:ascii="Arial" w:hAnsi="Arial" w:cs="Arial"/>
                <w:i/>
                <w:noProof/>
              </w:rPr>
              <w:t>Wydatki niekwalifikowalne</w:t>
            </w:r>
            <w:r w:rsidR="00947609">
              <w:rPr>
                <w:noProof/>
                <w:webHidden/>
              </w:rPr>
              <w:tab/>
            </w:r>
            <w:r w:rsidR="00947609">
              <w:rPr>
                <w:noProof/>
                <w:webHidden/>
              </w:rPr>
              <w:fldChar w:fldCharType="begin"/>
            </w:r>
            <w:r w:rsidR="00947609">
              <w:rPr>
                <w:noProof/>
                <w:webHidden/>
              </w:rPr>
              <w:instrText xml:space="preserve"> PAGEREF _Toc508630131 \h </w:instrText>
            </w:r>
            <w:r w:rsidR="00947609">
              <w:rPr>
                <w:noProof/>
                <w:webHidden/>
              </w:rPr>
            </w:r>
            <w:r w:rsidR="00947609">
              <w:rPr>
                <w:noProof/>
                <w:webHidden/>
              </w:rPr>
              <w:fldChar w:fldCharType="separate"/>
            </w:r>
            <w:r w:rsidR="00947609">
              <w:rPr>
                <w:noProof/>
                <w:webHidden/>
              </w:rPr>
              <w:t>61</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32" w:history="1">
            <w:r w:rsidR="00947609" w:rsidRPr="000A1642">
              <w:rPr>
                <w:rStyle w:val="Hipercze"/>
                <w:rFonts w:ascii="Arial" w:hAnsi="Arial" w:cs="Arial"/>
                <w:i/>
                <w:noProof/>
              </w:rPr>
              <w:t>4.4.5</w:t>
            </w:r>
            <w:r w:rsidR="00947609">
              <w:rPr>
                <w:noProof/>
              </w:rPr>
              <w:tab/>
            </w:r>
            <w:r w:rsidR="00947609" w:rsidRPr="000A1642">
              <w:rPr>
                <w:rStyle w:val="Hipercze"/>
                <w:rFonts w:ascii="Arial" w:hAnsi="Arial" w:cs="Arial"/>
                <w:i/>
                <w:noProof/>
              </w:rPr>
              <w:t>Warunki oraz okres kwalifikowania wydatków w projektach podlegających zasadom pomocy publicznej</w:t>
            </w:r>
            <w:r w:rsidR="00947609">
              <w:rPr>
                <w:noProof/>
                <w:webHidden/>
              </w:rPr>
              <w:tab/>
            </w:r>
            <w:r w:rsidR="00947609">
              <w:rPr>
                <w:noProof/>
                <w:webHidden/>
              </w:rPr>
              <w:fldChar w:fldCharType="begin"/>
            </w:r>
            <w:r w:rsidR="00947609">
              <w:rPr>
                <w:noProof/>
                <w:webHidden/>
              </w:rPr>
              <w:instrText xml:space="preserve"> PAGEREF _Toc508630132 \h </w:instrText>
            </w:r>
            <w:r w:rsidR="00947609">
              <w:rPr>
                <w:noProof/>
                <w:webHidden/>
              </w:rPr>
            </w:r>
            <w:r w:rsidR="00947609">
              <w:rPr>
                <w:noProof/>
                <w:webHidden/>
              </w:rPr>
              <w:fldChar w:fldCharType="separate"/>
            </w:r>
            <w:r w:rsidR="00947609">
              <w:rPr>
                <w:noProof/>
                <w:webHidden/>
              </w:rPr>
              <w:t>63</w:t>
            </w:r>
            <w:r w:rsidR="00947609">
              <w:rPr>
                <w:noProof/>
                <w:webHidden/>
              </w:rPr>
              <w:fldChar w:fldCharType="end"/>
            </w:r>
          </w:hyperlink>
        </w:p>
        <w:p w:rsidR="00947609" w:rsidRDefault="00374A08">
          <w:pPr>
            <w:pStyle w:val="Spistreci2"/>
            <w:tabs>
              <w:tab w:val="left" w:pos="880"/>
              <w:tab w:val="right" w:leader="dot" w:pos="9060"/>
            </w:tabs>
            <w:rPr>
              <w:noProof/>
            </w:rPr>
          </w:pPr>
          <w:hyperlink w:anchor="_Toc508630133" w:history="1">
            <w:r w:rsidR="00947609" w:rsidRPr="000A1642">
              <w:rPr>
                <w:rStyle w:val="Hipercze"/>
                <w:rFonts w:ascii="Arial" w:eastAsiaTheme="majorEastAsia" w:hAnsi="Arial" w:cs="Arial"/>
                <w:bCs/>
                <w:i/>
                <w:noProof/>
              </w:rPr>
              <w:t>4.5</w:t>
            </w:r>
            <w:r w:rsidR="00947609">
              <w:rPr>
                <w:noProof/>
              </w:rPr>
              <w:tab/>
            </w:r>
            <w:r w:rsidR="00947609" w:rsidRPr="000A1642">
              <w:rPr>
                <w:rStyle w:val="Hipercze"/>
                <w:rFonts w:ascii="Arial" w:hAnsi="Arial" w:cs="Arial"/>
                <w:i/>
                <w:noProof/>
              </w:rPr>
              <w:t>Katalog wydatków kwalifikowalnych dla projektów Ogólnopolskiej Sieci Edukacyjnej (OSE)</w:t>
            </w:r>
            <w:r w:rsidR="00947609">
              <w:rPr>
                <w:noProof/>
                <w:webHidden/>
              </w:rPr>
              <w:tab/>
            </w:r>
            <w:r w:rsidR="00947609">
              <w:rPr>
                <w:noProof/>
                <w:webHidden/>
              </w:rPr>
              <w:fldChar w:fldCharType="begin"/>
            </w:r>
            <w:r w:rsidR="00947609">
              <w:rPr>
                <w:noProof/>
                <w:webHidden/>
              </w:rPr>
              <w:instrText xml:space="preserve"> PAGEREF _Toc508630133 \h </w:instrText>
            </w:r>
            <w:r w:rsidR="00947609">
              <w:rPr>
                <w:noProof/>
                <w:webHidden/>
              </w:rPr>
            </w:r>
            <w:r w:rsidR="00947609">
              <w:rPr>
                <w:noProof/>
                <w:webHidden/>
              </w:rPr>
              <w:fldChar w:fldCharType="separate"/>
            </w:r>
            <w:r w:rsidR="00947609">
              <w:rPr>
                <w:noProof/>
                <w:webHidden/>
              </w:rPr>
              <w:t>64</w:t>
            </w:r>
            <w:r w:rsidR="00947609">
              <w:rPr>
                <w:noProof/>
                <w:webHidden/>
              </w:rPr>
              <w:fldChar w:fldCharType="end"/>
            </w:r>
          </w:hyperlink>
        </w:p>
        <w:p w:rsidR="00947609" w:rsidRDefault="00374A08">
          <w:pPr>
            <w:pStyle w:val="Spistreci2"/>
            <w:tabs>
              <w:tab w:val="right" w:leader="dot" w:pos="9060"/>
            </w:tabs>
            <w:rPr>
              <w:noProof/>
            </w:rPr>
          </w:pPr>
          <w:hyperlink w:anchor="_Toc508630134" w:history="1">
            <w:r w:rsidR="00947609" w:rsidRPr="000A1642">
              <w:rPr>
                <w:rStyle w:val="Hipercze"/>
                <w:rFonts w:ascii="Arial" w:hAnsi="Arial" w:cs="Arial"/>
                <w:i/>
                <w:noProof/>
              </w:rPr>
              <w:t>4.5.1</w:t>
            </w:r>
            <w:r w:rsidR="00947609">
              <w:rPr>
                <w:noProof/>
                <w:webHidden/>
              </w:rPr>
              <w:tab/>
            </w:r>
            <w:r w:rsidR="00947609">
              <w:rPr>
                <w:noProof/>
                <w:webHidden/>
              </w:rPr>
              <w:fldChar w:fldCharType="begin"/>
            </w:r>
            <w:r w:rsidR="00947609">
              <w:rPr>
                <w:noProof/>
                <w:webHidden/>
              </w:rPr>
              <w:instrText xml:space="preserve"> PAGEREF _Toc508630134 \h </w:instrText>
            </w:r>
            <w:r w:rsidR="00947609">
              <w:rPr>
                <w:noProof/>
                <w:webHidden/>
              </w:rPr>
            </w:r>
            <w:r w:rsidR="00947609">
              <w:rPr>
                <w:noProof/>
                <w:webHidden/>
              </w:rPr>
              <w:fldChar w:fldCharType="separate"/>
            </w:r>
            <w:r w:rsidR="00947609">
              <w:rPr>
                <w:noProof/>
                <w:webHidden/>
              </w:rPr>
              <w:t>64</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35" w:history="1">
            <w:r w:rsidR="00947609" w:rsidRPr="000A1642">
              <w:rPr>
                <w:rStyle w:val="Hipercze"/>
                <w:rFonts w:ascii="Arial" w:hAnsi="Arial" w:cs="Arial"/>
                <w:i/>
                <w:noProof/>
              </w:rPr>
              <w:t>4.4.1</w:t>
            </w:r>
            <w:r w:rsidR="00947609">
              <w:rPr>
                <w:noProof/>
              </w:rPr>
              <w:tab/>
            </w:r>
            <w:r w:rsidR="00947609" w:rsidRPr="000A1642">
              <w:rPr>
                <w:rStyle w:val="Hipercze"/>
                <w:rFonts w:ascii="Arial" w:hAnsi="Arial" w:cs="Arial"/>
                <w:i/>
                <w:noProof/>
              </w:rPr>
              <w:t>Wydatki kwalifikowalne</w:t>
            </w:r>
            <w:r w:rsidR="00947609">
              <w:rPr>
                <w:noProof/>
                <w:webHidden/>
              </w:rPr>
              <w:tab/>
            </w:r>
            <w:r w:rsidR="00947609">
              <w:rPr>
                <w:noProof/>
                <w:webHidden/>
              </w:rPr>
              <w:fldChar w:fldCharType="begin"/>
            </w:r>
            <w:r w:rsidR="00947609">
              <w:rPr>
                <w:noProof/>
                <w:webHidden/>
              </w:rPr>
              <w:instrText xml:space="preserve"> PAGEREF _Toc508630135 \h </w:instrText>
            </w:r>
            <w:r w:rsidR="00947609">
              <w:rPr>
                <w:noProof/>
                <w:webHidden/>
              </w:rPr>
            </w:r>
            <w:r w:rsidR="00947609">
              <w:rPr>
                <w:noProof/>
                <w:webHidden/>
              </w:rPr>
              <w:fldChar w:fldCharType="separate"/>
            </w:r>
            <w:r w:rsidR="00947609">
              <w:rPr>
                <w:noProof/>
                <w:webHidden/>
              </w:rPr>
              <w:t>64</w:t>
            </w:r>
            <w:r w:rsidR="00947609">
              <w:rPr>
                <w:noProof/>
                <w:webHidden/>
              </w:rPr>
              <w:fldChar w:fldCharType="end"/>
            </w:r>
          </w:hyperlink>
        </w:p>
        <w:p w:rsidR="00947609" w:rsidRDefault="00374A08">
          <w:pPr>
            <w:pStyle w:val="Spistreci2"/>
            <w:tabs>
              <w:tab w:val="left" w:pos="1100"/>
              <w:tab w:val="right" w:leader="dot" w:pos="9060"/>
            </w:tabs>
            <w:rPr>
              <w:noProof/>
            </w:rPr>
          </w:pPr>
          <w:hyperlink w:anchor="_Toc508630136" w:history="1">
            <w:r w:rsidR="00947609" w:rsidRPr="000A1642">
              <w:rPr>
                <w:rStyle w:val="Hipercze"/>
                <w:rFonts w:ascii="Arial" w:hAnsi="Arial" w:cs="Arial"/>
                <w:i/>
                <w:noProof/>
              </w:rPr>
              <w:t>4.4.2</w:t>
            </w:r>
            <w:r w:rsidR="00947609">
              <w:rPr>
                <w:noProof/>
              </w:rPr>
              <w:tab/>
            </w:r>
            <w:r w:rsidR="00947609" w:rsidRPr="000A1642">
              <w:rPr>
                <w:rStyle w:val="Hipercze"/>
                <w:rFonts w:ascii="Arial" w:hAnsi="Arial" w:cs="Arial"/>
                <w:i/>
                <w:noProof/>
              </w:rPr>
              <w:t>Wydatki niekwalifikowalne</w:t>
            </w:r>
            <w:r w:rsidR="00947609">
              <w:rPr>
                <w:noProof/>
                <w:webHidden/>
              </w:rPr>
              <w:tab/>
            </w:r>
            <w:r w:rsidR="00947609">
              <w:rPr>
                <w:noProof/>
                <w:webHidden/>
              </w:rPr>
              <w:fldChar w:fldCharType="begin"/>
            </w:r>
            <w:r w:rsidR="00947609">
              <w:rPr>
                <w:noProof/>
                <w:webHidden/>
              </w:rPr>
              <w:instrText xml:space="preserve"> PAGEREF _Toc508630136 \h </w:instrText>
            </w:r>
            <w:r w:rsidR="00947609">
              <w:rPr>
                <w:noProof/>
                <w:webHidden/>
              </w:rPr>
            </w:r>
            <w:r w:rsidR="00947609">
              <w:rPr>
                <w:noProof/>
                <w:webHidden/>
              </w:rPr>
              <w:fldChar w:fldCharType="separate"/>
            </w:r>
            <w:r w:rsidR="00947609">
              <w:rPr>
                <w:noProof/>
                <w:webHidden/>
              </w:rPr>
              <w:t>69</w:t>
            </w:r>
            <w:r w:rsidR="00947609">
              <w:rPr>
                <w:noProof/>
                <w:webHidden/>
              </w:rPr>
              <w:fldChar w:fldCharType="end"/>
            </w:r>
          </w:hyperlink>
        </w:p>
        <w:p w:rsidR="00947609" w:rsidRDefault="00374A08">
          <w:pPr>
            <w:pStyle w:val="Spistreci1"/>
            <w:rPr>
              <w:rFonts w:asciiTheme="minorHAnsi" w:hAnsiTheme="minorHAnsi" w:cstheme="minorBidi"/>
              <w:b w:val="0"/>
            </w:rPr>
          </w:pPr>
          <w:hyperlink w:anchor="_Toc508630137" w:history="1">
            <w:r w:rsidR="00947609" w:rsidRPr="000A1642">
              <w:rPr>
                <w:rStyle w:val="Hipercze"/>
                <w:rFonts w:eastAsia="Times New Roman" w:cs="Times New Roman"/>
                <w:bCs/>
              </w:rPr>
              <w:t>Załącznik nr 1 – Przykładowy wykaz możliwych nieprawidłowości w obszarze zamówień publicznych</w:t>
            </w:r>
            <w:r w:rsidR="00947609">
              <w:rPr>
                <w:webHidden/>
              </w:rPr>
              <w:tab/>
            </w:r>
            <w:r w:rsidR="00947609">
              <w:rPr>
                <w:webHidden/>
              </w:rPr>
              <w:fldChar w:fldCharType="begin"/>
            </w:r>
            <w:r w:rsidR="00947609">
              <w:rPr>
                <w:webHidden/>
              </w:rPr>
              <w:instrText xml:space="preserve"> PAGEREF _Toc508630137 \h </w:instrText>
            </w:r>
            <w:r w:rsidR="00947609">
              <w:rPr>
                <w:webHidden/>
              </w:rPr>
            </w:r>
            <w:r w:rsidR="00947609">
              <w:rPr>
                <w:webHidden/>
              </w:rPr>
              <w:fldChar w:fldCharType="separate"/>
            </w:r>
            <w:r w:rsidR="00947609">
              <w:rPr>
                <w:webHidden/>
              </w:rPr>
              <w:t>70</w:t>
            </w:r>
            <w:r w:rsidR="00947609">
              <w:rPr>
                <w:webHidden/>
              </w:rPr>
              <w:fldChar w:fldCharType="end"/>
            </w:r>
          </w:hyperlink>
        </w:p>
        <w:p w:rsidR="00947609" w:rsidRDefault="00374A08">
          <w:pPr>
            <w:pStyle w:val="Spistreci1"/>
            <w:rPr>
              <w:rFonts w:asciiTheme="minorHAnsi" w:hAnsiTheme="minorHAnsi" w:cstheme="minorBidi"/>
              <w:b w:val="0"/>
            </w:rPr>
          </w:pPr>
          <w:hyperlink w:anchor="_Toc508630138" w:history="1">
            <w:r w:rsidR="00947609" w:rsidRPr="000A1642">
              <w:rPr>
                <w:rStyle w:val="Hipercze"/>
                <w:rFonts w:eastAsia="Times New Roman" w:cs="Times New Roman"/>
                <w:bCs/>
              </w:rPr>
              <w:t>Załącznik nr 2 – Zestawienie regulacji w zakresie zasady uczciwej konkurencji, w odniesieniu do konieczności stosowania przez zamawiającego określonej ścieżki postępowania</w:t>
            </w:r>
            <w:r w:rsidR="00947609">
              <w:rPr>
                <w:webHidden/>
              </w:rPr>
              <w:tab/>
            </w:r>
            <w:r w:rsidR="00947609">
              <w:rPr>
                <w:webHidden/>
              </w:rPr>
              <w:fldChar w:fldCharType="begin"/>
            </w:r>
            <w:r w:rsidR="00947609">
              <w:rPr>
                <w:webHidden/>
              </w:rPr>
              <w:instrText xml:space="preserve"> PAGEREF _Toc508630138 \h </w:instrText>
            </w:r>
            <w:r w:rsidR="00947609">
              <w:rPr>
                <w:webHidden/>
              </w:rPr>
            </w:r>
            <w:r w:rsidR="00947609">
              <w:rPr>
                <w:webHidden/>
              </w:rPr>
              <w:fldChar w:fldCharType="separate"/>
            </w:r>
            <w:r w:rsidR="00947609">
              <w:rPr>
                <w:webHidden/>
              </w:rPr>
              <w:t>72</w:t>
            </w:r>
            <w:r w:rsidR="00947609">
              <w:rPr>
                <w:webHidden/>
              </w:rPr>
              <w:fldChar w:fldCharType="end"/>
            </w:r>
          </w:hyperlink>
        </w:p>
        <w:p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rsidR="00003731" w:rsidRPr="007E469E" w:rsidRDefault="00003731" w:rsidP="00003731">
      <w:r w:rsidRPr="007E469E">
        <w:br w:type="page"/>
      </w:r>
    </w:p>
    <w:p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508630097"/>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rsidR="0042436A" w:rsidRPr="007E469E" w:rsidRDefault="0042436A" w:rsidP="00A74492">
      <w:pPr>
        <w:spacing w:before="240" w:after="240" w:line="360" w:lineRule="auto"/>
        <w:jc w:val="both"/>
        <w:rPr>
          <w:rFonts w:ascii="Arial" w:hAnsi="Arial" w:cs="Arial"/>
        </w:rPr>
      </w:pPr>
      <w:r w:rsidRPr="007E469E">
        <w:rPr>
          <w:rFonts w:ascii="Arial" w:hAnsi="Arial" w:cs="Arial"/>
        </w:rPr>
        <w:t xml:space="preserve">Użyte w niniejszych </w:t>
      </w:r>
      <w:r w:rsidR="00841273">
        <w:rPr>
          <w:rFonts w:ascii="Arial" w:hAnsi="Arial" w:cs="Arial"/>
          <w:i/>
        </w:rPr>
        <w:t>W</w:t>
      </w:r>
      <w:r w:rsidRPr="007E469E">
        <w:rPr>
          <w:rFonts w:ascii="Arial" w:hAnsi="Arial" w:cs="Arial"/>
          <w:i/>
        </w:rPr>
        <w:t>ytycznych</w:t>
      </w:r>
      <w:r w:rsidR="00AD29DB" w:rsidRPr="007E469E">
        <w:rPr>
          <w:rFonts w:ascii="Arial" w:hAnsi="Arial" w:cs="Arial"/>
          <w:i/>
        </w:rPr>
        <w:t xml:space="preserve"> programowych</w:t>
      </w:r>
      <w:r w:rsidRPr="007E469E">
        <w:rPr>
          <w:rFonts w:ascii="Arial" w:hAnsi="Arial" w:cs="Arial"/>
        </w:rPr>
        <w:t xml:space="preserve"> skróty oznaczają:</w:t>
      </w:r>
      <w:r w:rsidR="004B591F">
        <w:rPr>
          <w:rFonts w:ascii="Arial" w:hAnsi="Arial" w:cs="Arial"/>
        </w:rPr>
        <w:t xml:space="preserve"> </w:t>
      </w:r>
    </w:p>
    <w:p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proofErr w:type="spellStart"/>
      <w:r w:rsidR="00355269" w:rsidRPr="002F22B0">
        <w:rPr>
          <w:rFonts w:ascii="Arial" w:eastAsia="Times New Roman" w:hAnsi="Arial" w:cs="Arial"/>
          <w:lang w:eastAsia="pl-PL"/>
        </w:rPr>
        <w:t>general</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block</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exemption</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regulation</w:t>
      </w:r>
      <w:proofErr w:type="spellEnd"/>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396BAB"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IRU </w:t>
      </w:r>
      <w:r w:rsidR="0080707A">
        <w:rPr>
          <w:rFonts w:ascii="Arial" w:eastAsia="Times New Roman" w:hAnsi="Arial" w:cs="Arial"/>
          <w:lang w:eastAsia="pl-PL"/>
        </w:rPr>
        <w:t>–</w:t>
      </w:r>
      <w:r>
        <w:rPr>
          <w:rFonts w:ascii="Arial" w:eastAsia="Times New Roman" w:hAnsi="Arial" w:cs="Arial"/>
          <w:lang w:eastAsia="pl-PL"/>
        </w:rPr>
        <w:t xml:space="preserve"> </w:t>
      </w:r>
      <w:r w:rsidR="0080707A">
        <w:rPr>
          <w:rFonts w:ascii="Arial" w:eastAsia="Times New Roman" w:hAnsi="Arial" w:cs="Arial"/>
          <w:lang w:eastAsia="pl-PL"/>
        </w:rPr>
        <w:t xml:space="preserve">ang. </w:t>
      </w:r>
      <w:proofErr w:type="spellStart"/>
      <w:r w:rsidR="0080707A">
        <w:rPr>
          <w:rFonts w:ascii="Arial" w:eastAsia="Times New Roman" w:hAnsi="Arial" w:cs="Arial"/>
          <w:lang w:eastAsia="pl-PL"/>
        </w:rPr>
        <w:t>Indefeasible</w:t>
      </w:r>
      <w:proofErr w:type="spellEnd"/>
      <w:r w:rsidR="0080707A">
        <w:rPr>
          <w:rFonts w:ascii="Arial" w:eastAsia="Times New Roman" w:hAnsi="Arial" w:cs="Arial"/>
          <w:lang w:eastAsia="pl-PL"/>
        </w:rPr>
        <w:t xml:space="preserve"> Right of </w:t>
      </w:r>
      <w:proofErr w:type="spellStart"/>
      <w:r w:rsidR="0080707A">
        <w:rPr>
          <w:rFonts w:ascii="Arial" w:eastAsia="Times New Roman" w:hAnsi="Arial" w:cs="Arial"/>
          <w:lang w:eastAsia="pl-PL"/>
        </w:rPr>
        <w:t>Use</w:t>
      </w:r>
      <w:proofErr w:type="spellEnd"/>
      <w:r w:rsidR="0080707A">
        <w:rPr>
          <w:rFonts w:ascii="Arial" w:eastAsia="Times New Roman" w:hAnsi="Arial" w:cs="Arial"/>
          <w:lang w:eastAsia="pl-PL"/>
        </w:rPr>
        <w:t xml:space="preserve">, nieodwoływalne prawo używania </w:t>
      </w:r>
      <w:r w:rsidR="00E94D7A">
        <w:rPr>
          <w:rFonts w:ascii="Arial" w:eastAsia="Times New Roman" w:hAnsi="Arial" w:cs="Arial"/>
          <w:lang w:eastAsia="pl-PL"/>
        </w:rPr>
        <w:t xml:space="preserve"> </w:t>
      </w:r>
    </w:p>
    <w:p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 ustawę z dnia 29 stycznia 2004 r. – Prawo zamówień publicznych (Dz. U. z 201</w:t>
      </w:r>
      <w:r w:rsidR="00596030">
        <w:rPr>
          <w:rFonts w:ascii="Arial" w:eastAsia="Times New Roman" w:hAnsi="Arial" w:cs="Arial"/>
          <w:lang w:eastAsia="pl-PL"/>
        </w:rPr>
        <w:t>7</w:t>
      </w:r>
      <w:r>
        <w:rPr>
          <w:rFonts w:ascii="Arial" w:eastAsia="Times New Roman" w:hAnsi="Arial" w:cs="Arial"/>
          <w:lang w:eastAsia="pl-PL"/>
        </w:rPr>
        <w:t xml:space="preserve"> r. poz. </w:t>
      </w:r>
      <w:r w:rsidR="00596030">
        <w:rPr>
          <w:rFonts w:ascii="Arial" w:eastAsia="Times New Roman" w:hAnsi="Arial" w:cs="Arial"/>
          <w:lang w:eastAsia="pl-PL"/>
        </w:rPr>
        <w:t>1579</w:t>
      </w:r>
      <w:r>
        <w:rPr>
          <w:rFonts w:ascii="Arial" w:eastAsia="Times New Roman" w:hAnsi="Arial" w:cs="Arial"/>
          <w:lang w:eastAsia="pl-PL"/>
        </w:rPr>
        <w:t>),</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DE048C">
        <w:rPr>
          <w:rFonts w:ascii="Arial" w:eastAsia="Times New Roman" w:hAnsi="Arial" w:cs="Arial"/>
          <w:lang w:eastAsia="pl-PL"/>
        </w:rPr>
        <w:t>S</w:t>
      </w:r>
      <w:r w:rsidR="00B77FD2" w:rsidRPr="007E469E">
        <w:rPr>
          <w:rFonts w:ascii="Arial" w:eastAsia="Times New Roman" w:hAnsi="Arial" w:cs="Arial"/>
          <w:lang w:eastAsia="pl-PL"/>
        </w:rPr>
        <w:t xml:space="preserve">zczegółowy opis osi priorytetowych </w:t>
      </w:r>
      <w:r w:rsidR="00DE048C">
        <w:rPr>
          <w:rFonts w:ascii="Arial" w:eastAsia="Times New Roman" w:hAnsi="Arial" w:cs="Arial"/>
          <w:lang w:eastAsia="pl-PL"/>
        </w:rPr>
        <w:t>POPC</w:t>
      </w:r>
      <w:r w:rsidR="004E5FD5">
        <w:rPr>
          <w:rFonts w:ascii="Arial" w:eastAsia="Times New Roman" w:hAnsi="Arial" w:cs="Arial"/>
          <w:lang w:eastAsia="pl-PL"/>
        </w:rPr>
        <w:t xml:space="preserve">, </w:t>
      </w:r>
    </w:p>
    <w:p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96191524"/>
      <w:bookmarkStart w:id="13" w:name="_Toc496191574"/>
      <w:bookmarkStart w:id="14" w:name="_Toc496191525"/>
      <w:bookmarkStart w:id="15" w:name="_Toc496191575"/>
      <w:bookmarkStart w:id="16" w:name="_Toc496191526"/>
      <w:bookmarkStart w:id="17" w:name="_Toc496191576"/>
      <w:bookmarkStart w:id="18" w:name="_Toc508630098"/>
      <w:bookmarkEnd w:id="12"/>
      <w:bookmarkEnd w:id="13"/>
      <w:bookmarkEnd w:id="14"/>
      <w:bookmarkEnd w:id="15"/>
      <w:bookmarkEnd w:id="16"/>
      <w:bookmarkEnd w:id="17"/>
      <w:r w:rsidRPr="007E469E">
        <w:rPr>
          <w:rFonts w:ascii="Arial" w:hAnsi="Arial" w:cs="Arial"/>
          <w:color w:val="auto"/>
          <w:sz w:val="24"/>
          <w:szCs w:val="24"/>
        </w:rPr>
        <w:lastRenderedPageBreak/>
        <w:t>Rozdział - Słowniczek pojęć</w:t>
      </w:r>
      <w:bookmarkEnd w:id="18"/>
    </w:p>
    <w:p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423B97">
        <w:rPr>
          <w:rFonts w:ascii="Arial" w:eastAsia="Calibri" w:hAnsi="Arial" w:cs="Arial"/>
          <w:i/>
        </w:rPr>
        <w:t>Katalogu</w:t>
      </w:r>
      <w:r w:rsidRPr="007E469E">
        <w:rPr>
          <w:rFonts w:ascii="Arial" w:eastAsia="Calibri" w:hAnsi="Arial" w:cs="Arial"/>
        </w:rPr>
        <w:t xml:space="preserve"> określenia oznaczają: </w:t>
      </w:r>
    </w:p>
    <w:p w:rsidR="00D05645" w:rsidRPr="007E469E" w:rsidRDefault="00740FCE" w:rsidP="00137BC9">
      <w:pPr>
        <w:numPr>
          <w:ilvl w:val="0"/>
          <w:numId w:val="10"/>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423B97">
        <w:rPr>
          <w:rFonts w:ascii="Arial" w:eastAsia="Calibri" w:hAnsi="Arial" w:cs="Arial"/>
        </w:rPr>
        <w:t xml:space="preserve">ego </w:t>
      </w:r>
      <w:r w:rsidR="00423B97" w:rsidRPr="00423B97">
        <w:rPr>
          <w:rFonts w:ascii="Arial" w:eastAsia="Calibri" w:hAnsi="Arial" w:cs="Arial"/>
          <w:i/>
        </w:rPr>
        <w:t>Katalogu</w:t>
      </w:r>
      <w:r w:rsidR="00AF2250">
        <w:rPr>
          <w:rFonts w:ascii="Arial" w:eastAsia="Calibri" w:hAnsi="Arial" w:cs="Arial"/>
        </w:rPr>
        <w:t xml:space="preserve">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0833F8">
        <w:rPr>
          <w:rFonts w:ascii="Arial" w:eastAsia="Calibri" w:hAnsi="Arial" w:cs="Arial"/>
        </w:rPr>
        <w:t xml:space="preserve">przez to </w:t>
      </w:r>
      <w:r w:rsidR="00AF2250">
        <w:rPr>
          <w:rFonts w:ascii="Arial" w:eastAsia="Calibri" w:hAnsi="Arial" w:cs="Arial"/>
        </w:rPr>
        <w:t xml:space="preserve">również rozumieć </w:t>
      </w:r>
      <w:r w:rsidR="000833F8">
        <w:rPr>
          <w:rFonts w:ascii="Arial" w:eastAsia="Calibri" w:hAnsi="Arial" w:cs="Arial"/>
        </w:rPr>
        <w:t xml:space="preserve">wskazanych w umowie o dofinansowanie projektu </w:t>
      </w:r>
      <w:r w:rsidRPr="007E469E">
        <w:rPr>
          <w:rFonts w:ascii="Arial" w:eastAsia="Calibri" w:hAnsi="Arial" w:cs="Arial"/>
        </w:rPr>
        <w:t>partnera</w:t>
      </w:r>
      <w:r w:rsidR="000833F8">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0833F8">
        <w:rPr>
          <w:rFonts w:ascii="Arial" w:eastAsia="Calibri" w:hAnsi="Arial" w:cs="Arial"/>
        </w:rPr>
        <w:t>ponoszenia</w:t>
      </w:r>
      <w:r w:rsidR="000833F8"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Wytycznych</w:t>
      </w:r>
      <w:r w:rsidR="005B528A" w:rsidRPr="007E469E">
        <w:rPr>
          <w:rFonts w:ascii="Arial" w:eastAsia="Calibri" w:hAnsi="Arial" w:cs="Arial"/>
        </w:rPr>
        <w:t xml:space="preserve"> lub </w:t>
      </w:r>
      <w:r w:rsidR="00423B97">
        <w:rPr>
          <w:rFonts w:ascii="Arial" w:eastAsia="Calibri" w:hAnsi="Arial" w:cs="Arial"/>
          <w:i/>
        </w:rPr>
        <w:t>Katalogu</w:t>
      </w:r>
      <w:r w:rsidR="00423B97" w:rsidRPr="007E469E">
        <w:rPr>
          <w:rFonts w:ascii="Arial" w:eastAsia="Calibri" w:hAnsi="Arial" w:cs="Arial"/>
        </w:rPr>
        <w:t xml:space="preserve">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rsidR="00416C45" w:rsidRPr="00F04887" w:rsidRDefault="00416C45" w:rsidP="00137BC9">
      <w:pPr>
        <w:numPr>
          <w:ilvl w:val="0"/>
          <w:numId w:val="10"/>
        </w:numPr>
        <w:spacing w:before="240" w:after="240" w:line="360" w:lineRule="auto"/>
        <w:contextualSpacing/>
        <w:jc w:val="both"/>
        <w:rPr>
          <w:rFonts w:ascii="Arial" w:eastAsia="Calibri" w:hAnsi="Arial" w:cs="Arial"/>
        </w:rPr>
      </w:pPr>
      <w:r w:rsidRPr="005476DC">
        <w:rPr>
          <w:rFonts w:ascii="Arial" w:eastAsia="Calibri" w:hAnsi="Arial" w:cs="Arial"/>
        </w:rPr>
        <w:t xml:space="preserve">dochód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dochód</w:t>
      </w:r>
      <w:r w:rsidRPr="00395C47">
        <w:rPr>
          <w:rStyle w:val="Odwoanieprzypisudolnego"/>
          <w:rFonts w:eastAsiaTheme="majorEastAsia"/>
          <w:sz w:val="18"/>
          <w:szCs w:val="18"/>
          <w:lang w:val="x-none"/>
        </w:rPr>
        <w:footnoteReference w:id="1"/>
      </w:r>
      <w:r w:rsidRPr="005476DC">
        <w:rPr>
          <w:rFonts w:ascii="Arial" w:eastAsia="Calibri" w:hAnsi="Arial" w:cs="Arial"/>
        </w:rPr>
        <w:t xml:space="preserve">,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rsidR="00731FAC" w:rsidRPr="00FC112E" w:rsidRDefault="00731FAC" w:rsidP="00137BC9">
      <w:pPr>
        <w:numPr>
          <w:ilvl w:val="0"/>
          <w:numId w:val="10"/>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2"/>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Powyższa definicja odnosi się do dochodu wygenerowanego w okresie odniesienia obejmującym zarówno realizację tej operacji, jak i okres po jej ukończeniu;</w:t>
      </w:r>
    </w:p>
    <w:p w:rsidR="00740FCE" w:rsidRPr="007E469E" w:rsidRDefault="00740FCE" w:rsidP="00137BC9">
      <w:pPr>
        <w:numPr>
          <w:ilvl w:val="0"/>
          <w:numId w:val="10"/>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3"/>
      </w:r>
      <w:r w:rsidR="00E72277" w:rsidRPr="007E469E">
        <w:rPr>
          <w:rFonts w:ascii="Arial" w:eastAsia="Calibri" w:hAnsi="Arial" w:cs="Arial"/>
        </w:rPr>
        <w:t>;</w:t>
      </w:r>
    </w:p>
    <w:p w:rsidR="00B00420" w:rsidRPr="00B00420" w:rsidRDefault="00740FCE" w:rsidP="00137BC9">
      <w:pPr>
        <w:numPr>
          <w:ilvl w:val="0"/>
          <w:numId w:val="10"/>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 xml:space="preserve">50 000 000 EUR, a w przypadku operacji przyczyniających się do osiągnięcia celu tematycznego na mocy art. 9 pkt 7 akapit pierwszy (tj. promowanie zrównoważonego </w:t>
      </w:r>
      <w:r w:rsidR="00B00420" w:rsidRPr="00836AAF">
        <w:rPr>
          <w:rFonts w:ascii="Arial" w:eastAsia="Calibri" w:hAnsi="Arial" w:cs="Arial"/>
        </w:rPr>
        <w:lastRenderedPageBreak/>
        <w:t>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rsidR="00F86FBF" w:rsidRPr="007E469E" w:rsidRDefault="00993C18" w:rsidP="00137BC9">
      <w:pPr>
        <w:numPr>
          <w:ilvl w:val="0"/>
          <w:numId w:val="10"/>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rsidR="00740FCE" w:rsidRPr="007E469E" w:rsidRDefault="00740FCE" w:rsidP="00137BC9">
      <w:pPr>
        <w:numPr>
          <w:ilvl w:val="0"/>
          <w:numId w:val="10"/>
        </w:numPr>
        <w:spacing w:after="0" w:line="360" w:lineRule="auto"/>
        <w:ind w:left="499" w:hanging="357"/>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rsidR="003F5665" w:rsidRPr="005476DC" w:rsidRDefault="003F5665" w:rsidP="00137BC9">
      <w:pPr>
        <w:pStyle w:val="Akapit"/>
        <w:keepNext w:val="0"/>
        <w:numPr>
          <w:ilvl w:val="0"/>
          <w:numId w:val="10"/>
        </w:numPr>
        <w:ind w:left="499" w:hanging="357"/>
        <w:contextualSpacing/>
        <w:outlineLvl w:val="5"/>
        <w:rPr>
          <w:rFonts w:eastAsia="Calibri" w:cs="Arial"/>
        </w:rPr>
      </w:pPr>
      <w:r>
        <w:rPr>
          <w:rFonts w:eastAsia="Calibri" w:cs="Arial"/>
        </w:rPr>
        <w:t>instrument finansowy – instrument, o którym mowa w art. 2 pkt 7 ustawy wdrożeniowej oraz w części drugiej w tytule IV rozporządzenia ogólnego,</w:t>
      </w:r>
    </w:p>
    <w:p w:rsidR="00AA5D96" w:rsidRDefault="00740FCE" w:rsidP="00137BC9">
      <w:pPr>
        <w:pStyle w:val="Akapit"/>
        <w:keepNext w:val="0"/>
        <w:numPr>
          <w:ilvl w:val="0"/>
          <w:numId w:val="10"/>
        </w:numPr>
        <w:spacing w:before="240" w:after="240"/>
        <w:contextualSpacing/>
        <w:outlineLvl w:val="5"/>
        <w:rPr>
          <w:rFonts w:eastAsia="Calibri" w:cs="Arial"/>
        </w:rPr>
      </w:pPr>
      <w:r w:rsidRPr="00AA5D96">
        <w:rPr>
          <w:rFonts w:eastAsia="Calibri" w:cs="Arial"/>
        </w:rPr>
        <w:t xml:space="preserve">instytucja pośrednicząca – </w:t>
      </w:r>
      <w:r w:rsidR="00DA7EEE" w:rsidRPr="00AA5D96">
        <w:rPr>
          <w:rFonts w:eastAsia="Calibri" w:cs="Arial"/>
        </w:rPr>
        <w:t>instytucj</w:t>
      </w:r>
      <w:r w:rsidR="00632896" w:rsidRPr="00AA5D96">
        <w:rPr>
          <w:rFonts w:eastAsia="Calibri" w:cs="Arial"/>
        </w:rPr>
        <w:t>ę</w:t>
      </w:r>
      <w:r w:rsidR="00DE47B1" w:rsidRPr="00AA5D96">
        <w:rPr>
          <w:rFonts w:eastAsia="Calibri" w:cs="Arial"/>
        </w:rPr>
        <w:t xml:space="preserve">, </w:t>
      </w:r>
      <w:r w:rsidR="00DA7EEE" w:rsidRPr="00AA5D96">
        <w:rPr>
          <w:rFonts w:eastAsia="Calibri" w:cs="Arial"/>
        </w:rPr>
        <w:t>o której mowa w art. 2 pkt 9 ustawy wdrożeniowej</w:t>
      </w:r>
      <w:r w:rsidR="003E0718">
        <w:rPr>
          <w:rFonts w:eastAsia="Calibri" w:cs="Arial"/>
        </w:rPr>
        <w:t>, tj. podmiot, któremu została powierzona, w drodze porozumienia zawart</w:t>
      </w:r>
      <w:r w:rsidR="0063582E">
        <w:rPr>
          <w:rFonts w:eastAsia="Calibri" w:cs="Arial"/>
        </w:rPr>
        <w:t>e</w:t>
      </w:r>
      <w:r w:rsidR="00C52157">
        <w:rPr>
          <w:rFonts w:eastAsia="Calibri" w:cs="Arial"/>
        </w:rPr>
        <w:t>go</w:t>
      </w:r>
      <w:r w:rsidR="003E0718">
        <w:rPr>
          <w:rFonts w:eastAsia="Calibri" w:cs="Arial"/>
        </w:rPr>
        <w:t xml:space="preserve"> z instytucją zarządzającą, realizacja zadań w </w:t>
      </w:r>
      <w:r w:rsidR="0063582E">
        <w:rPr>
          <w:rFonts w:eastAsia="Calibri" w:cs="Arial"/>
        </w:rPr>
        <w:t>POPC</w:t>
      </w:r>
      <w:r w:rsidR="00C52157">
        <w:rPr>
          <w:rFonts w:eastAsia="Calibri" w:cs="Arial"/>
        </w:rPr>
        <w:t xml:space="preserve">. Rolę </w:t>
      </w:r>
      <w:r w:rsidR="0078484B">
        <w:rPr>
          <w:rFonts w:eastAsia="Calibri" w:cs="Arial"/>
        </w:rPr>
        <w:t xml:space="preserve">instytucji pośredniczącej </w:t>
      </w:r>
      <w:r w:rsidR="00C52157">
        <w:rPr>
          <w:rFonts w:eastAsia="Calibri" w:cs="Arial"/>
        </w:rPr>
        <w:t>POPC pełni Centrum Projektów Polska Cyfrowa;</w:t>
      </w:r>
      <w:r w:rsidR="00DA7EEE" w:rsidRPr="00AA5D96">
        <w:rPr>
          <w:rFonts w:eastAsia="Calibri" w:cs="Arial"/>
        </w:rPr>
        <w:t xml:space="preserve"> </w:t>
      </w:r>
    </w:p>
    <w:p w:rsidR="00AA5D96" w:rsidRDefault="00632896" w:rsidP="00137BC9">
      <w:pPr>
        <w:pStyle w:val="Akapit"/>
        <w:keepNext w:val="0"/>
        <w:numPr>
          <w:ilvl w:val="0"/>
          <w:numId w:val="10"/>
        </w:numPr>
        <w:spacing w:before="240" w:after="240"/>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rsidR="00AA5D96" w:rsidRPr="00F93F49" w:rsidRDefault="00224492" w:rsidP="00137BC9">
      <w:pPr>
        <w:pStyle w:val="Akapit"/>
        <w:keepNext w:val="0"/>
        <w:numPr>
          <w:ilvl w:val="0"/>
          <w:numId w:val="10"/>
        </w:numPr>
        <w:spacing w:before="240" w:after="240"/>
        <w:contextualSpacing/>
        <w:outlineLvl w:val="5"/>
        <w:rPr>
          <w:rFonts w:cs="Arial"/>
        </w:rPr>
      </w:pPr>
      <w:r w:rsidRPr="005476DC">
        <w:rPr>
          <w:rFonts w:cs="Arial"/>
          <w:bCs w:val="0"/>
        </w:rPr>
        <w:t xml:space="preserve">IRU </w:t>
      </w:r>
      <w:r w:rsidR="00132BE3">
        <w:rPr>
          <w:rFonts w:cs="Arial"/>
          <w:bCs w:val="0"/>
        </w:rPr>
        <w:t xml:space="preserve">(ang. </w:t>
      </w:r>
      <w:proofErr w:type="spellStart"/>
      <w:r w:rsidR="00132BE3">
        <w:rPr>
          <w:rStyle w:val="st"/>
        </w:rPr>
        <w:t>Indefeasible</w:t>
      </w:r>
      <w:proofErr w:type="spellEnd"/>
      <w:r w:rsidR="00132BE3">
        <w:rPr>
          <w:rStyle w:val="st"/>
        </w:rPr>
        <w:t xml:space="preserve"> Right of </w:t>
      </w:r>
      <w:proofErr w:type="spellStart"/>
      <w:r w:rsidR="00132BE3">
        <w:rPr>
          <w:rStyle w:val="st"/>
        </w:rPr>
        <w:t>Use</w:t>
      </w:r>
      <w:proofErr w:type="spellEnd"/>
      <w:r w:rsidR="00132BE3">
        <w:rPr>
          <w:rStyle w:val="st"/>
        </w:rPr>
        <w:t xml:space="preserve">) </w:t>
      </w:r>
      <w:r w:rsidRPr="005476DC">
        <w:rPr>
          <w:rFonts w:cs="Arial"/>
          <w:bCs w:val="0"/>
        </w:rPr>
        <w:t>– rzeczywiste, długookresowe (najczęściej na około 20 lat, aczkolwiek</w:t>
      </w:r>
      <w:r w:rsidR="00132BE3">
        <w:rPr>
          <w:rFonts w:cs="Arial"/>
          <w:bCs w:val="0"/>
        </w:rPr>
        <w:t xml:space="preserve"> </w:t>
      </w:r>
      <w:r w:rsidRPr="005476DC">
        <w:rPr>
          <w:rFonts w:cs="Arial"/>
          <w:bCs w:val="0"/>
        </w:rPr>
        <w:t>w praktyce stosowane są również umowy na krótszy okres) nabycie uprawnień do wyłącznego używania infrastruktury telekomunikacyjnej (najczęściej kanalizacji kablowej, kabla lub włókna światłowodowego), pozwalające na działanie przez nabywającego w sferze finansowo-księgowej, jak gdyby był właścicielem infrastruktury</w:t>
      </w:r>
      <w:r w:rsidR="007548E0" w:rsidRPr="005476DC">
        <w:rPr>
          <w:rFonts w:cs="Arial"/>
          <w:bCs w:val="0"/>
        </w:rPr>
        <w:t>;</w:t>
      </w:r>
    </w:p>
    <w:p w:rsidR="00F93F49" w:rsidRPr="005476DC" w:rsidRDefault="00F93F49" w:rsidP="00137BC9">
      <w:pPr>
        <w:pStyle w:val="Akapit"/>
        <w:keepNext w:val="0"/>
        <w:numPr>
          <w:ilvl w:val="0"/>
          <w:numId w:val="10"/>
        </w:numPr>
        <w:spacing w:before="240" w:after="240"/>
        <w:contextualSpacing/>
        <w:outlineLvl w:val="5"/>
        <w:rPr>
          <w:rFonts w:cs="Arial"/>
        </w:rPr>
      </w:pPr>
      <w:r>
        <w:rPr>
          <w:rFonts w:cs="Arial"/>
          <w:bCs w:val="0"/>
        </w:rPr>
        <w:t>Katalog</w:t>
      </w:r>
      <w:r w:rsidR="00F34971">
        <w:rPr>
          <w:rFonts w:cs="Arial"/>
          <w:bCs w:val="0"/>
        </w:rPr>
        <w:t xml:space="preserve"> – Katalog wydatków kwalifikowalnych w projektach realizowanych w ramach I osi priorytetowej POPC;</w:t>
      </w:r>
    </w:p>
    <w:p w:rsidR="002814CF" w:rsidRPr="0055586F" w:rsidRDefault="002814CF" w:rsidP="00137BC9">
      <w:pPr>
        <w:pStyle w:val="Akapit"/>
        <w:keepNext w:val="0"/>
        <w:numPr>
          <w:ilvl w:val="0"/>
          <w:numId w:val="10"/>
        </w:numPr>
        <w:spacing w:before="240" w:after="240"/>
        <w:contextualSpacing/>
        <w:outlineLvl w:val="5"/>
        <w:rPr>
          <w:rFonts w:cs="Arial"/>
        </w:rPr>
      </w:pPr>
      <w:proofErr w:type="spellStart"/>
      <w:r w:rsidRPr="0055586F">
        <w:rPr>
          <w:rFonts w:cs="Arial"/>
          <w:bCs w:val="0"/>
        </w:rPr>
        <w:t>megaustawa</w:t>
      </w:r>
      <w:proofErr w:type="spellEnd"/>
      <w:r w:rsidRPr="0055586F">
        <w:rPr>
          <w:rFonts w:cs="Arial"/>
          <w:bCs w:val="0"/>
        </w:rPr>
        <w:t xml:space="preserve"> - ustawa z dnia 7 maja 2010 r. o wspieraniu rozwoju usług i sieci telekomunikacyjnych (Dz. U. z 201</w:t>
      </w:r>
      <w:r w:rsidR="009F6909" w:rsidRPr="0055586F">
        <w:rPr>
          <w:rFonts w:cs="Arial"/>
          <w:bCs w:val="0"/>
        </w:rPr>
        <w:t>6</w:t>
      </w:r>
      <w:r w:rsidRPr="0055586F">
        <w:rPr>
          <w:rFonts w:cs="Arial"/>
          <w:bCs w:val="0"/>
        </w:rPr>
        <w:t xml:space="preserve"> r. </w:t>
      </w:r>
      <w:r w:rsidR="0041107B" w:rsidRPr="0055586F">
        <w:rPr>
          <w:rFonts w:cs="Arial"/>
          <w:bCs w:val="0"/>
        </w:rPr>
        <w:t xml:space="preserve">poz. 1537 </w:t>
      </w:r>
      <w:proofErr w:type="spellStart"/>
      <w:r w:rsidR="0041107B" w:rsidRPr="0055586F">
        <w:rPr>
          <w:rFonts w:cs="Arial"/>
          <w:bCs w:val="0"/>
        </w:rPr>
        <w:t>t.j</w:t>
      </w:r>
      <w:proofErr w:type="spellEnd"/>
      <w:r w:rsidRPr="0055586F">
        <w:rPr>
          <w:rFonts w:cs="Arial"/>
          <w:bCs w:val="0"/>
        </w:rPr>
        <w:t xml:space="preserve"> z </w:t>
      </w:r>
      <w:proofErr w:type="spellStart"/>
      <w:r w:rsidRPr="0055586F">
        <w:rPr>
          <w:rFonts w:cs="Arial"/>
          <w:bCs w:val="0"/>
        </w:rPr>
        <w:t>późn</w:t>
      </w:r>
      <w:proofErr w:type="spellEnd"/>
      <w:r w:rsidRPr="0055586F">
        <w:rPr>
          <w:rFonts w:cs="Arial"/>
          <w:bCs w:val="0"/>
        </w:rPr>
        <w:t>. zm.)</w:t>
      </w:r>
      <w:r w:rsidR="00F34971" w:rsidRPr="0055586F">
        <w:rPr>
          <w:rFonts w:cs="Arial"/>
          <w:bCs w:val="0"/>
        </w:rPr>
        <w:t>;</w:t>
      </w:r>
    </w:p>
    <w:p w:rsidR="00811906" w:rsidRPr="0055586F" w:rsidRDefault="00811906" w:rsidP="00137BC9">
      <w:pPr>
        <w:pStyle w:val="Akapit"/>
        <w:keepNext w:val="0"/>
        <w:numPr>
          <w:ilvl w:val="0"/>
          <w:numId w:val="10"/>
        </w:numPr>
        <w:spacing w:before="240" w:after="240"/>
        <w:contextualSpacing/>
        <w:outlineLvl w:val="5"/>
        <w:rPr>
          <w:rFonts w:cs="Arial"/>
        </w:rPr>
      </w:pPr>
      <w:r w:rsidRPr="0055586F">
        <w:rPr>
          <w:rFonts w:cs="Arial"/>
          <w:bCs w:val="0"/>
        </w:rPr>
        <w:t xml:space="preserve">mikro, małe i średnie przedsiębiorstwa – </w:t>
      </w:r>
      <w:r w:rsidR="00AD5069" w:rsidRPr="0055586F">
        <w:rPr>
          <w:rFonts w:cs="Arial"/>
          <w:bCs w:val="0"/>
        </w:rPr>
        <w:t>mikro, małe i średnie przedsiębiorstwa</w:t>
      </w:r>
      <w:r w:rsidR="00BC1FED" w:rsidRPr="0055586F">
        <w:rPr>
          <w:rFonts w:cs="Arial"/>
          <w:bCs w:val="0"/>
        </w:rPr>
        <w:t>,</w:t>
      </w:r>
      <w:r w:rsidR="00AD5069" w:rsidRPr="0055586F">
        <w:rPr>
          <w:rFonts w:cs="Arial"/>
          <w:bCs w:val="0"/>
        </w:rPr>
        <w:t xml:space="preserve"> </w:t>
      </w:r>
      <w:r w:rsidR="00BC1FED" w:rsidRPr="0055586F">
        <w:rPr>
          <w:rFonts w:cs="Arial"/>
          <w:bCs w:val="0"/>
        </w:rPr>
        <w:br/>
        <w:t xml:space="preserve">o jakich mowa w </w:t>
      </w:r>
      <w:r w:rsidR="00AD5069" w:rsidRPr="0055586F">
        <w:rPr>
          <w:rFonts w:cs="Arial"/>
          <w:bCs w:val="0"/>
        </w:rPr>
        <w:t xml:space="preserve"> załącznik</w:t>
      </w:r>
      <w:r w:rsidR="00BC1FED" w:rsidRPr="0055586F">
        <w:rPr>
          <w:rFonts w:cs="Arial"/>
          <w:bCs w:val="0"/>
        </w:rPr>
        <w:t>u</w:t>
      </w:r>
      <w:r w:rsidR="00AD5069" w:rsidRPr="0055586F">
        <w:rPr>
          <w:rFonts w:cs="Arial"/>
          <w:bCs w:val="0"/>
        </w:rPr>
        <w:t xml:space="preserve"> I do rozporządzenia </w:t>
      </w:r>
      <w:r w:rsidR="005F0287" w:rsidRPr="0055586F">
        <w:rPr>
          <w:rFonts w:cs="Arial"/>
          <w:bCs w:val="0"/>
        </w:rPr>
        <w:t>KE</w:t>
      </w:r>
      <w:r w:rsidR="00AD5069" w:rsidRPr="0055586F">
        <w:rPr>
          <w:rFonts w:cs="Arial"/>
          <w:bCs w:val="0"/>
        </w:rPr>
        <w:t xml:space="preserve"> </w:t>
      </w:r>
      <w:r w:rsidR="005F0287" w:rsidRPr="0055586F">
        <w:rPr>
          <w:rFonts w:cs="Arial"/>
          <w:bCs w:val="0"/>
        </w:rPr>
        <w:t xml:space="preserve">nr </w:t>
      </w:r>
      <w:r w:rsidR="00AD5069" w:rsidRPr="0055586F">
        <w:rPr>
          <w:rFonts w:cs="Arial"/>
          <w:bCs w:val="0"/>
        </w:rPr>
        <w:t>651/2014</w:t>
      </w:r>
      <w:r w:rsidR="003D08E1" w:rsidRPr="0055586F">
        <w:rPr>
          <w:rFonts w:cs="Arial"/>
          <w:bCs w:val="0"/>
        </w:rPr>
        <w:t>;</w:t>
      </w:r>
    </w:p>
    <w:p w:rsidR="00740FCE" w:rsidRPr="00F04887" w:rsidRDefault="00470A70" w:rsidP="00137BC9">
      <w:pPr>
        <w:pStyle w:val="Akapit"/>
        <w:keepNext w:val="0"/>
        <w:numPr>
          <w:ilvl w:val="0"/>
          <w:numId w:val="10"/>
        </w:numPr>
        <w:spacing w:before="240" w:after="240"/>
        <w:contextualSpacing/>
        <w:outlineLvl w:val="5"/>
      </w:pPr>
      <w:r w:rsidRPr="0055586F">
        <w:rPr>
          <w:rFonts w:cs="Arial"/>
          <w:bCs w:val="0"/>
        </w:rPr>
        <w:t xml:space="preserve">nieruchomości – </w:t>
      </w:r>
      <w:r w:rsidR="00E64834" w:rsidRPr="0055586F">
        <w:rPr>
          <w:rFonts w:cs="Arial"/>
          <w:bCs w:val="0"/>
        </w:rPr>
        <w:t>nieruchomości w rozumieniu</w:t>
      </w:r>
      <w:r w:rsidRPr="0055586F">
        <w:rPr>
          <w:rFonts w:cs="Arial"/>
          <w:bCs w:val="0"/>
        </w:rPr>
        <w:t xml:space="preserve"> art. 46 § 1 ustawy z dnia </w:t>
      </w:r>
      <w:r w:rsidR="00836AAF" w:rsidRPr="0055586F">
        <w:rPr>
          <w:rFonts w:cs="Arial"/>
          <w:bCs w:val="0"/>
        </w:rPr>
        <w:t>23 kwietnia 1964 r.</w:t>
      </w:r>
      <w:r w:rsidRPr="0055586F">
        <w:rPr>
          <w:rFonts w:cs="Arial"/>
          <w:bCs w:val="0"/>
        </w:rPr>
        <w:t>- Kodeks cywilny (Dz. U. z 201</w:t>
      </w:r>
      <w:r w:rsidR="0041107B" w:rsidRPr="0055586F">
        <w:rPr>
          <w:rFonts w:cs="Arial"/>
          <w:bCs w:val="0"/>
        </w:rPr>
        <w:t>7</w:t>
      </w:r>
      <w:r w:rsidRPr="0055586F">
        <w:rPr>
          <w:rFonts w:cs="Arial"/>
          <w:bCs w:val="0"/>
        </w:rPr>
        <w:t xml:space="preserve"> r. poz. </w:t>
      </w:r>
      <w:r w:rsidR="0041107B" w:rsidRPr="0055586F">
        <w:rPr>
          <w:rFonts w:cs="Arial"/>
          <w:bCs w:val="0"/>
        </w:rPr>
        <w:t xml:space="preserve">459 z </w:t>
      </w:r>
      <w:proofErr w:type="spellStart"/>
      <w:r w:rsidR="0041107B" w:rsidRPr="0055586F">
        <w:rPr>
          <w:rFonts w:cs="Arial"/>
          <w:bCs w:val="0"/>
        </w:rPr>
        <w:t>późn</w:t>
      </w:r>
      <w:proofErr w:type="spellEnd"/>
      <w:r w:rsidR="0041107B" w:rsidRPr="0055586F">
        <w:rPr>
          <w:rFonts w:cs="Arial"/>
          <w:bCs w:val="0"/>
        </w:rPr>
        <w:t>. zm.</w:t>
      </w:r>
      <w:r w:rsidRPr="0055586F">
        <w:rPr>
          <w:rFonts w:cs="Arial"/>
          <w:bCs w:val="0"/>
        </w:rPr>
        <w:t>.),</w:t>
      </w:r>
      <w:r w:rsidR="00440BAD" w:rsidRPr="0055586F">
        <w:rPr>
          <w:rFonts w:cs="Arial"/>
          <w:bCs w:val="0"/>
        </w:rPr>
        <w:t xml:space="preserve"> </w:t>
      </w:r>
      <w:r w:rsidRPr="0055586F">
        <w:rPr>
          <w:rFonts w:cs="Arial"/>
          <w:bCs w:val="0"/>
        </w:rPr>
        <w:t>części powierzchni</w:t>
      </w:r>
      <w:r w:rsidRPr="005476DC">
        <w:t xml:space="preserve"> ziemskiej stanowiące odrębny przedmiot własności (grunty), jak również budynki trwale z gruntem związane lub części takich budynków, jeżeli na mocy przepisów szczególnych stanowią odrębny od gruntu przedmiot własności</w:t>
      </w:r>
      <w:r w:rsidR="007548E0" w:rsidRPr="005476DC">
        <w:t>;</w:t>
      </w:r>
    </w:p>
    <w:p w:rsidR="00175527" w:rsidRDefault="00740FCE" w:rsidP="00137BC9">
      <w:pPr>
        <w:numPr>
          <w:ilvl w:val="0"/>
          <w:numId w:val="10"/>
        </w:numPr>
        <w:spacing w:before="240" w:after="240" w:line="360" w:lineRule="auto"/>
        <w:contextualSpacing/>
        <w:jc w:val="both"/>
        <w:rPr>
          <w:rFonts w:ascii="Arial" w:hAnsi="Arial"/>
        </w:rPr>
      </w:pPr>
      <w:r w:rsidRPr="00F13F71">
        <w:rPr>
          <w:rFonts w:ascii="Arial" w:hAnsi="Arial"/>
        </w:rPr>
        <w:lastRenderedPageBreak/>
        <w:t xml:space="preserve">odbiorca ostateczny – </w:t>
      </w:r>
      <w:r w:rsidR="002B4022">
        <w:rPr>
          <w:rFonts w:ascii="Arial" w:hAnsi="Arial"/>
        </w:rPr>
        <w:t xml:space="preserve">podmiot należący do grupy docelowej projektów finansowanych z </w:t>
      </w:r>
      <w:r w:rsidR="00C5464E" w:rsidRPr="00F13F71">
        <w:rPr>
          <w:rFonts w:ascii="Arial" w:hAnsi="Arial"/>
        </w:rPr>
        <w:t xml:space="preserve"> </w:t>
      </w:r>
      <w:proofErr w:type="spellStart"/>
      <w:r w:rsidR="00C5464E" w:rsidRPr="00F13F71">
        <w:rPr>
          <w:rFonts w:ascii="Arial" w:hAnsi="Arial"/>
        </w:rPr>
        <w:t>z</w:t>
      </w:r>
      <w:proofErr w:type="spellEnd"/>
      <w:r w:rsidR="00C5464E" w:rsidRPr="00F13F71">
        <w:rPr>
          <w:rFonts w:ascii="Arial" w:hAnsi="Arial"/>
        </w:rPr>
        <w:t xml:space="preserve"> EFRR </w:t>
      </w:r>
      <w:r w:rsidRPr="00F13F71">
        <w:rPr>
          <w:rFonts w:ascii="Arial" w:hAnsi="Arial"/>
        </w:rPr>
        <w:t>(</w:t>
      </w:r>
      <w:r w:rsidR="002B4022">
        <w:rPr>
          <w:rFonts w:ascii="Arial" w:hAnsi="Arial"/>
        </w:rPr>
        <w:t xml:space="preserve">np. </w:t>
      </w:r>
      <w:r w:rsidR="002B4022" w:rsidRPr="00F13F71">
        <w:rPr>
          <w:rFonts w:ascii="Arial" w:hAnsi="Arial"/>
        </w:rPr>
        <w:t>osob</w:t>
      </w:r>
      <w:r w:rsidR="002B4022">
        <w:rPr>
          <w:rFonts w:ascii="Arial" w:hAnsi="Arial"/>
        </w:rPr>
        <w:t>a</w:t>
      </w:r>
      <w:r w:rsidR="002B4022" w:rsidRPr="00F13F71">
        <w:rPr>
          <w:rFonts w:ascii="Arial" w:hAnsi="Arial"/>
        </w:rPr>
        <w:t xml:space="preserve"> fizyczn</w:t>
      </w:r>
      <w:r w:rsidR="002B4022">
        <w:rPr>
          <w:rFonts w:ascii="Arial" w:hAnsi="Arial"/>
        </w:rPr>
        <w:t>a</w:t>
      </w:r>
      <w:r w:rsidR="005D37FE" w:rsidRPr="00F13F71">
        <w:rPr>
          <w:rFonts w:ascii="Arial" w:hAnsi="Arial"/>
        </w:rPr>
        <w:t xml:space="preserve">, </w:t>
      </w:r>
      <w:r w:rsidR="002B4022" w:rsidRPr="00F13F71">
        <w:rPr>
          <w:rFonts w:ascii="Arial" w:hAnsi="Arial"/>
        </w:rPr>
        <w:t>osob</w:t>
      </w:r>
      <w:r w:rsidR="002B4022">
        <w:rPr>
          <w:rFonts w:ascii="Arial" w:hAnsi="Arial"/>
        </w:rPr>
        <w:t>a</w:t>
      </w:r>
      <w:r w:rsidR="002B4022" w:rsidRPr="00F13F71">
        <w:rPr>
          <w:rFonts w:ascii="Arial" w:hAnsi="Arial"/>
        </w:rPr>
        <w:t xml:space="preserve"> prawn</w:t>
      </w:r>
      <w:r w:rsidR="002B4022">
        <w:rPr>
          <w:rFonts w:ascii="Arial" w:hAnsi="Arial"/>
        </w:rPr>
        <w:t>a</w:t>
      </w:r>
      <w:r w:rsidR="005D37FE" w:rsidRPr="00F13F71">
        <w:rPr>
          <w:rFonts w:ascii="Arial" w:hAnsi="Arial"/>
        </w:rPr>
        <w:t xml:space="preserve">, </w:t>
      </w:r>
      <w:r w:rsidR="002B4022" w:rsidRPr="00F13F71">
        <w:rPr>
          <w:rFonts w:ascii="Arial" w:hAnsi="Arial"/>
        </w:rPr>
        <w:t>jednostk</w:t>
      </w:r>
      <w:r w:rsidR="002B4022">
        <w:rPr>
          <w:rFonts w:ascii="Arial" w:hAnsi="Arial"/>
        </w:rPr>
        <w:t>a</w:t>
      </w:r>
      <w:r w:rsidR="002B4022" w:rsidRPr="00F13F71">
        <w:rPr>
          <w:rFonts w:ascii="Arial" w:hAnsi="Arial"/>
        </w:rPr>
        <w:t xml:space="preserve"> organizacyjn</w:t>
      </w:r>
      <w:r w:rsidR="002B4022">
        <w:rPr>
          <w:rFonts w:ascii="Arial" w:hAnsi="Arial"/>
        </w:rPr>
        <w:t>a</w:t>
      </w:r>
      <w:r w:rsidR="002B4022" w:rsidRPr="00F13F71">
        <w:rPr>
          <w:rFonts w:ascii="Arial" w:hAnsi="Arial"/>
        </w:rPr>
        <w:t xml:space="preserve"> </w:t>
      </w:r>
      <w:r w:rsidR="005D37FE" w:rsidRPr="00F13F71">
        <w:rPr>
          <w:rFonts w:ascii="Arial" w:hAnsi="Arial"/>
        </w:rPr>
        <w:t xml:space="preserve">nie </w:t>
      </w:r>
      <w:r w:rsidR="002B4022" w:rsidRPr="00F13F71">
        <w:rPr>
          <w:rFonts w:ascii="Arial" w:hAnsi="Arial"/>
        </w:rPr>
        <w:t>posiadając</w:t>
      </w:r>
      <w:r w:rsidR="002B4022">
        <w:rPr>
          <w:rFonts w:ascii="Arial" w:hAnsi="Arial"/>
        </w:rPr>
        <w:t>a</w:t>
      </w:r>
      <w:r w:rsidR="002B4022" w:rsidRPr="00F13F71">
        <w:rPr>
          <w:rFonts w:ascii="Arial" w:hAnsi="Arial"/>
        </w:rPr>
        <w:t xml:space="preserve"> </w:t>
      </w:r>
      <w:r w:rsidR="005D37FE" w:rsidRPr="00F13F71">
        <w:rPr>
          <w:rFonts w:ascii="Arial" w:hAnsi="Arial"/>
        </w:rPr>
        <w:t>osobowości prawnej</w:t>
      </w:r>
      <w:r w:rsidRPr="00F13F71">
        <w:rPr>
          <w:rFonts w:ascii="Arial" w:hAnsi="Arial"/>
        </w:rPr>
        <w:t>)</w:t>
      </w:r>
      <w:r w:rsidR="005D37FE" w:rsidRPr="00F13F71">
        <w:rPr>
          <w:rFonts w:ascii="Arial" w:hAnsi="Arial"/>
        </w:rPr>
        <w:t>,</w:t>
      </w:r>
      <w:r w:rsidRPr="00F13F71">
        <w:rPr>
          <w:rFonts w:ascii="Arial" w:hAnsi="Arial"/>
        </w:rPr>
        <w:t xml:space="preserve"> </w:t>
      </w:r>
      <w:r w:rsidR="002B4022" w:rsidRPr="00F13F71">
        <w:rPr>
          <w:rFonts w:ascii="Arial" w:hAnsi="Arial"/>
        </w:rPr>
        <w:t>któr</w:t>
      </w:r>
      <w:r w:rsidR="002B4022">
        <w:rPr>
          <w:rFonts w:ascii="Arial" w:hAnsi="Arial"/>
        </w:rPr>
        <w:t>y</w:t>
      </w:r>
      <w:r w:rsidR="002B4022" w:rsidRPr="00F13F71">
        <w:rPr>
          <w:rFonts w:ascii="Arial" w:hAnsi="Arial"/>
        </w:rPr>
        <w:t xml:space="preserve"> </w:t>
      </w:r>
      <w:r w:rsidR="0086362C" w:rsidRPr="00F13F71">
        <w:rPr>
          <w:rFonts w:ascii="Arial" w:hAnsi="Arial"/>
        </w:rPr>
        <w:t xml:space="preserve">będzie korzystał z </w:t>
      </w:r>
      <w:r w:rsidR="00D46B2C" w:rsidRPr="00F13F71">
        <w:rPr>
          <w:rFonts w:ascii="Arial" w:hAnsi="Arial"/>
        </w:rPr>
        <w:t xml:space="preserve">efektów/rezultatów powstałych w wyniku realizacji projektu </w:t>
      </w:r>
      <w:r w:rsidR="0086362C" w:rsidRPr="00F13F71">
        <w:rPr>
          <w:rFonts w:ascii="Arial" w:hAnsi="Arial"/>
        </w:rPr>
        <w:t xml:space="preserve">w ramach </w:t>
      </w:r>
      <w:r w:rsidR="003D08E1" w:rsidRPr="00F13F71">
        <w:rPr>
          <w:rFonts w:ascii="Arial" w:hAnsi="Arial"/>
        </w:rPr>
        <w:t>POPC;</w:t>
      </w:r>
      <w:r w:rsidR="002B4022">
        <w:rPr>
          <w:rFonts w:ascii="Arial" w:hAnsi="Arial"/>
        </w:rPr>
        <w:t xml:space="preserve"> w przypadku instrumentów finansowych oznacza osobę prawną lub fizyczną, która otrzymuje wsparcie finansowe z instrumentu finansowego,</w:t>
      </w:r>
    </w:p>
    <w:p w:rsidR="00F93F49" w:rsidRPr="00F13F71" w:rsidRDefault="00F93F49" w:rsidP="00137BC9">
      <w:pPr>
        <w:numPr>
          <w:ilvl w:val="0"/>
          <w:numId w:val="10"/>
        </w:numPr>
        <w:spacing w:before="240" w:after="240" w:line="360" w:lineRule="auto"/>
        <w:contextualSpacing/>
        <w:jc w:val="both"/>
        <w:rPr>
          <w:rFonts w:ascii="Arial" w:hAnsi="Arial"/>
        </w:rPr>
      </w:pPr>
      <w:r>
        <w:rPr>
          <w:rFonts w:ascii="Arial" w:hAnsi="Arial"/>
        </w:rPr>
        <w:t>osoba samozatrudniona – osobę fizyczną prowadzącą działalność gospodarczą, która jest beneficjentem projektu i jednocześnie stanowi personel tego projektu,</w:t>
      </w:r>
    </w:p>
    <w:p w:rsidR="00740FCE" w:rsidRPr="008B5852" w:rsidRDefault="00740FCE" w:rsidP="00137BC9">
      <w:pPr>
        <w:numPr>
          <w:ilvl w:val="0"/>
          <w:numId w:val="10"/>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Wytycznymi</w:t>
      </w:r>
      <w:r w:rsidR="008B5852" w:rsidRPr="008B5852">
        <w:rPr>
          <w:rFonts w:ascii="Arial" w:hAnsi="Arial"/>
        </w:rPr>
        <w:t xml:space="preserve"> 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DC7DDC">
        <w:rPr>
          <w:rFonts w:ascii="Arial" w:hAnsi="Arial"/>
        </w:rPr>
        <w:t>niniejsz</w:t>
      </w:r>
      <w:r w:rsidR="0041107B">
        <w:rPr>
          <w:rFonts w:ascii="Arial" w:hAnsi="Arial"/>
        </w:rPr>
        <w:t>ego</w:t>
      </w:r>
      <w:r w:rsidR="00DC7DDC">
        <w:rPr>
          <w:rFonts w:ascii="Arial" w:hAnsi="Arial"/>
        </w:rPr>
        <w:t xml:space="preserve"> </w:t>
      </w:r>
      <w:r w:rsidR="008B5852" w:rsidRPr="008B5852">
        <w:rPr>
          <w:rFonts w:ascii="Arial" w:hAnsi="Arial"/>
        </w:rPr>
        <w:t xml:space="preserve"> </w:t>
      </w:r>
      <w:r w:rsidR="0041107B">
        <w:rPr>
          <w:rFonts w:ascii="Arial" w:hAnsi="Arial"/>
          <w:i/>
        </w:rPr>
        <w:t>Katalogu</w:t>
      </w:r>
      <w:r w:rsidR="0041107B" w:rsidRPr="008B5852">
        <w:rPr>
          <w:rFonts w:ascii="Arial" w:hAnsi="Arial"/>
        </w:rPr>
        <w:t xml:space="preserve"> </w:t>
      </w:r>
      <w:r w:rsidR="008B5852" w:rsidRPr="008B5852">
        <w:rPr>
          <w:rFonts w:ascii="Arial" w:hAnsi="Arial"/>
        </w:rPr>
        <w:t>wynika, że chodzi o beneficjenta jako stronę umowy o dofinansowanie</w:t>
      </w:r>
      <w:r w:rsidR="008A467D" w:rsidRPr="008B5852">
        <w:rPr>
          <w:rFonts w:ascii="Arial" w:hAnsi="Arial"/>
        </w:rPr>
        <w:t>;</w:t>
      </w:r>
    </w:p>
    <w:p w:rsidR="005A349B" w:rsidRPr="007E469E" w:rsidRDefault="005A349B" w:rsidP="00137BC9">
      <w:pPr>
        <w:numPr>
          <w:ilvl w:val="0"/>
          <w:numId w:val="10"/>
        </w:numPr>
        <w:spacing w:before="240" w:after="240" w:line="360" w:lineRule="auto"/>
        <w:contextualSpacing/>
        <w:jc w:val="both"/>
        <w:rPr>
          <w:rFonts w:ascii="Arial" w:hAnsi="Arial"/>
        </w:rPr>
      </w:pPr>
      <w:r w:rsidRPr="00EF5BA8">
        <w:rPr>
          <w:rFonts w:ascii="Arial" w:hAnsi="Arial"/>
        </w:rPr>
        <w:t xml:space="preserve">personel projektu – osoby zaangażowane do realizacji zadań lub czynności w ramach projektu na podstawie stosunku pracy, osoby samozatrudnione w rozumieniu </w:t>
      </w:r>
      <w:r w:rsidR="0041107B">
        <w:rPr>
          <w:rFonts w:ascii="Arial" w:hAnsi="Arial"/>
        </w:rPr>
        <w:t>pkt</w:t>
      </w:r>
      <w:r w:rsidR="00F93F49">
        <w:rPr>
          <w:rFonts w:ascii="Arial" w:hAnsi="Arial"/>
        </w:rPr>
        <w:t xml:space="preserve"> 16,</w:t>
      </w:r>
      <w:r w:rsidRPr="00EF5BA8">
        <w:rPr>
          <w:rFonts w:ascii="Arial" w:hAnsi="Arial"/>
        </w:rPr>
        <w:t xml:space="preserve"> osoby współpracujące </w:t>
      </w:r>
      <w:r w:rsidR="008B5852">
        <w:rPr>
          <w:rFonts w:ascii="Arial" w:hAnsi="Arial"/>
        </w:rPr>
        <w:t>w rozumieniu art. 13 pkt 5 ustawy z dnia 13 października 1998 r. o systemie ubezpieczeń społecznych (</w:t>
      </w:r>
      <w:r w:rsidR="00440BAD">
        <w:rPr>
          <w:rFonts w:ascii="Arial" w:hAnsi="Arial"/>
        </w:rPr>
        <w:t xml:space="preserve"> </w:t>
      </w:r>
      <w:r w:rsidR="008B5852">
        <w:rPr>
          <w:rFonts w:ascii="Arial" w:hAnsi="Arial"/>
        </w:rPr>
        <w:t>Dz. U</w:t>
      </w:r>
      <w:r w:rsidR="00440BAD">
        <w:rPr>
          <w:rFonts w:ascii="Arial" w:hAnsi="Arial"/>
        </w:rPr>
        <w:t>.</w:t>
      </w:r>
      <w:r w:rsidR="008B5852">
        <w:rPr>
          <w:rFonts w:ascii="Arial" w:hAnsi="Arial"/>
        </w:rPr>
        <w:t xml:space="preserve"> z 201</w:t>
      </w:r>
      <w:r w:rsidR="00EE0AC6">
        <w:rPr>
          <w:rFonts w:ascii="Arial" w:hAnsi="Arial"/>
        </w:rPr>
        <w:t>7</w:t>
      </w:r>
      <w:r w:rsidR="008B5852">
        <w:rPr>
          <w:rFonts w:ascii="Arial" w:hAnsi="Arial"/>
        </w:rPr>
        <w:t xml:space="preserve"> r. poz. </w:t>
      </w:r>
      <w:r w:rsidR="00EE0AC6">
        <w:rPr>
          <w:rFonts w:ascii="Arial" w:hAnsi="Arial"/>
        </w:rPr>
        <w:t>1778</w:t>
      </w:r>
      <w:r w:rsidR="00854B6B">
        <w:rPr>
          <w:rFonts w:ascii="Arial" w:hAnsi="Arial"/>
        </w:rPr>
        <w:t xml:space="preserve">, z </w:t>
      </w:r>
      <w:proofErr w:type="spellStart"/>
      <w:r w:rsidR="00854B6B">
        <w:rPr>
          <w:rFonts w:ascii="Arial" w:hAnsi="Arial"/>
        </w:rPr>
        <w:t>późn</w:t>
      </w:r>
      <w:proofErr w:type="spellEnd"/>
      <w:r w:rsidR="00854B6B">
        <w:rPr>
          <w:rFonts w:ascii="Arial" w:hAnsi="Arial"/>
        </w:rPr>
        <w:t>. zm.</w:t>
      </w:r>
      <w:r w:rsidR="008B5852">
        <w:rPr>
          <w:rFonts w:ascii="Arial" w:hAnsi="Arial"/>
        </w:rPr>
        <w:t>)</w:t>
      </w:r>
      <w:r w:rsidR="004A1A3D">
        <w:rPr>
          <w:rFonts w:ascii="Arial" w:hAnsi="Arial"/>
        </w:rPr>
        <w:t xml:space="preserve"> </w:t>
      </w:r>
      <w:r w:rsidRPr="00EF5BA8">
        <w:rPr>
          <w:rFonts w:ascii="Arial" w:hAnsi="Arial"/>
        </w:rPr>
        <w:t>oraz wolontariusz</w:t>
      </w:r>
      <w:r w:rsidR="0041107B">
        <w:rPr>
          <w:rFonts w:ascii="Arial" w:hAnsi="Arial"/>
        </w:rPr>
        <w:t>e</w:t>
      </w:r>
      <w:r w:rsidRPr="00EF5BA8">
        <w:rPr>
          <w:rFonts w:ascii="Arial" w:hAnsi="Arial"/>
        </w:rPr>
        <w:t xml:space="preserve"> wykonujący świadczenia na zasadach określonych w ustawie z dnia 24 kwietnia 2003 r. o działalności pożytku publicznego i o wolontariacie</w:t>
      </w:r>
      <w:r w:rsidR="0041107B">
        <w:rPr>
          <w:rFonts w:ascii="Arial" w:hAnsi="Arial"/>
        </w:rPr>
        <w:t xml:space="preserve"> (Dz. U. z 2016 r. poz. 1817, z </w:t>
      </w:r>
      <w:proofErr w:type="spellStart"/>
      <w:r w:rsidR="0041107B">
        <w:rPr>
          <w:rFonts w:ascii="Arial" w:hAnsi="Arial"/>
        </w:rPr>
        <w:t>późn</w:t>
      </w:r>
      <w:proofErr w:type="spellEnd"/>
      <w:r w:rsidR="0041107B">
        <w:rPr>
          <w:rFonts w:ascii="Arial" w:hAnsi="Arial"/>
        </w:rPr>
        <w:t>. zm.)</w:t>
      </w:r>
      <w:r w:rsidRPr="00EF5BA8">
        <w:rPr>
          <w:rFonts w:ascii="Arial" w:hAnsi="Arial"/>
        </w:rPr>
        <w:t>,</w:t>
      </w:r>
    </w:p>
    <w:p w:rsidR="00FC219D" w:rsidRDefault="004B15BF" w:rsidP="00137BC9">
      <w:pPr>
        <w:numPr>
          <w:ilvl w:val="0"/>
          <w:numId w:val="10"/>
        </w:numPr>
        <w:spacing w:before="240" w:after="240" w:line="360" w:lineRule="auto"/>
        <w:contextualSpacing/>
        <w:jc w:val="both"/>
        <w:rPr>
          <w:rFonts w:ascii="Arial" w:hAnsi="Arial"/>
        </w:rPr>
      </w:pPr>
      <w:r w:rsidRPr="004A1A3D">
        <w:rPr>
          <w:rFonts w:ascii="Arial" w:hAnsi="Arial"/>
        </w:rPr>
        <w:t xml:space="preserve">pomoc </w:t>
      </w:r>
      <w:r w:rsidRPr="00E64834">
        <w:rPr>
          <w:rFonts w:ascii="Arial" w:hAnsi="Arial"/>
          <w:i/>
        </w:rPr>
        <w:t xml:space="preserve">de </w:t>
      </w:r>
      <w:proofErr w:type="spellStart"/>
      <w:r w:rsidRPr="00E64834">
        <w:rPr>
          <w:rFonts w:ascii="Arial" w:hAnsi="Arial"/>
          <w:i/>
        </w:rPr>
        <w:t>minimis</w:t>
      </w:r>
      <w:proofErr w:type="spellEnd"/>
      <w:r w:rsidRPr="004A1A3D">
        <w:rPr>
          <w:rFonts w:ascii="Arial" w:hAnsi="Arial"/>
        </w:rPr>
        <w:t xml:space="preserve"> – </w:t>
      </w:r>
      <w:r w:rsidR="00FC219D" w:rsidRPr="004A1A3D">
        <w:rPr>
          <w:rFonts w:ascii="Arial" w:hAnsi="Arial"/>
        </w:rPr>
        <w:t xml:space="preserve">pomoc zgodną z przepisami rozporządzenia Komisji (UE) nr 1407/2013 z dnia 18 </w:t>
      </w:r>
      <w:r w:rsidR="00FC219D" w:rsidRPr="004A1A3D">
        <w:rPr>
          <w:rFonts w:ascii="Arial" w:hAnsi="Arial" w:cs="Arial"/>
        </w:rPr>
        <w:t xml:space="preserve">grudnia 2013 r. w sprawie stosowania art. 107 i 108 Traktatu o funkcjonowaniu Unii Europejskiej do pomocy </w:t>
      </w:r>
      <w:r w:rsidR="00FC219D" w:rsidRPr="004A1A3D">
        <w:rPr>
          <w:rFonts w:ascii="Arial" w:hAnsi="Arial" w:cs="Arial"/>
          <w:i/>
        </w:rPr>
        <w:t xml:space="preserve">de </w:t>
      </w:r>
      <w:proofErr w:type="spellStart"/>
      <w:r w:rsidR="00FC219D" w:rsidRPr="004A1A3D">
        <w:rPr>
          <w:rFonts w:ascii="Arial" w:hAnsi="Arial" w:cs="Arial"/>
          <w:i/>
        </w:rPr>
        <w:t>minimis</w:t>
      </w:r>
      <w:proofErr w:type="spellEnd"/>
      <w:r w:rsidR="00FC219D" w:rsidRPr="004A1A3D">
        <w:rPr>
          <w:rFonts w:ascii="Arial" w:hAnsi="Arial"/>
          <w:i/>
        </w:rPr>
        <w:t xml:space="preserve"> </w:t>
      </w:r>
      <w:r w:rsidR="00FC219D" w:rsidRPr="004A1A3D">
        <w:rPr>
          <w:rFonts w:ascii="Arial" w:hAnsi="Arial"/>
        </w:rPr>
        <w:t xml:space="preserve">(Dz. Urz. </w:t>
      </w:r>
      <w:r w:rsidR="00FC219D" w:rsidRPr="004A1A3D">
        <w:rPr>
          <w:rFonts w:ascii="Arial" w:hAnsi="Arial" w:cs="Arial"/>
        </w:rPr>
        <w:t>UE L 352 z 24.12.2013, str. 1)</w:t>
      </w:r>
      <w:r w:rsidR="004A1A3D" w:rsidRPr="004A1A3D">
        <w:rPr>
          <w:rFonts w:ascii="Arial" w:hAnsi="Arial" w:cs="Arial"/>
        </w:rPr>
        <w:t xml:space="preserve"> oraz z rozporządzeniem Komisji (UE) nr 360/2012 z dnia 25 kwietnia 2012 r. w sprawie stosowania art. 107 i 108 Traktatu o funkcjonowaniu Unii Europejskiej do pomocy de </w:t>
      </w:r>
      <w:proofErr w:type="spellStart"/>
      <w:r w:rsidR="004A1A3D" w:rsidRPr="004A1A3D">
        <w:rPr>
          <w:rFonts w:ascii="Arial" w:hAnsi="Arial" w:cs="Arial"/>
        </w:rPr>
        <w:t>minimis</w:t>
      </w:r>
      <w:proofErr w:type="spellEnd"/>
      <w:r w:rsidR="004A1A3D" w:rsidRPr="004A1A3D">
        <w:rPr>
          <w:rFonts w:ascii="Arial" w:hAnsi="Arial" w:cs="Arial"/>
        </w:rPr>
        <w:t xml:space="preserve"> przyznawanej przedsiębiorstwom wykonującym usługi świadczone w ogólnym interesie gospodarczym (Dz. </w:t>
      </w:r>
      <w:r w:rsidR="004A1A3D">
        <w:rPr>
          <w:rFonts w:ascii="Arial" w:hAnsi="Arial" w:cs="Arial"/>
        </w:rPr>
        <w:t>Urz. UE L 114 z 26.04.2012</w:t>
      </w:r>
      <w:r w:rsidR="004A1A3D" w:rsidRPr="004A1A3D">
        <w:rPr>
          <w:rFonts w:ascii="Arial" w:hAnsi="Arial" w:cs="Arial"/>
        </w:rPr>
        <w:t>, str. 8)</w:t>
      </w:r>
      <w:r w:rsidR="007548E0" w:rsidRPr="004A1A3D">
        <w:rPr>
          <w:rFonts w:ascii="Arial" w:hAnsi="Arial"/>
        </w:rPr>
        <w:t>;</w:t>
      </w:r>
    </w:p>
    <w:p w:rsidR="00AA145E" w:rsidRPr="006A27E1" w:rsidRDefault="00AA145E" w:rsidP="00137BC9">
      <w:pPr>
        <w:numPr>
          <w:ilvl w:val="0"/>
          <w:numId w:val="10"/>
        </w:numPr>
        <w:spacing w:before="240" w:after="240" w:line="360" w:lineRule="auto"/>
        <w:contextualSpacing/>
        <w:jc w:val="both"/>
        <w:rPr>
          <w:rFonts w:ascii="Arial" w:hAnsi="Arial"/>
        </w:rPr>
      </w:pPr>
      <w:r>
        <w:rPr>
          <w:rFonts w:ascii="Arial" w:hAnsi="Arial"/>
        </w:rPr>
        <w:t>pomoc publiczna – pomoc objętą przepisami art. 107 ust.</w:t>
      </w:r>
      <w:r w:rsidR="00CB01A4">
        <w:rPr>
          <w:rFonts w:ascii="Arial" w:hAnsi="Arial"/>
        </w:rPr>
        <w:t xml:space="preserve"> </w:t>
      </w:r>
      <w:r>
        <w:rPr>
          <w:rFonts w:ascii="Arial" w:hAnsi="Arial"/>
        </w:rPr>
        <w:t>1 TFUE. Uznaje się, że do celów niniejsz</w:t>
      </w:r>
      <w:r w:rsidR="0041107B">
        <w:rPr>
          <w:rFonts w:ascii="Arial" w:hAnsi="Arial"/>
        </w:rPr>
        <w:t xml:space="preserve">ego </w:t>
      </w:r>
      <w:r w:rsidR="0041107B">
        <w:rPr>
          <w:rFonts w:ascii="Arial" w:hAnsi="Arial"/>
          <w:i/>
        </w:rPr>
        <w:t>Katalogu</w:t>
      </w:r>
      <w:r>
        <w:rPr>
          <w:rFonts w:ascii="Arial" w:hAnsi="Arial"/>
        </w:rPr>
        <w:t xml:space="preserve"> przedmiotowe pojęcie obejmuje również pomoc </w:t>
      </w:r>
      <w:r w:rsidRPr="005A373A">
        <w:rPr>
          <w:rFonts w:ascii="Arial" w:hAnsi="Arial"/>
          <w:i/>
        </w:rPr>
        <w:t xml:space="preserve">de </w:t>
      </w:r>
      <w:proofErr w:type="spellStart"/>
      <w:r w:rsidRPr="005A373A">
        <w:rPr>
          <w:rFonts w:ascii="Arial" w:hAnsi="Arial"/>
          <w:i/>
        </w:rPr>
        <w:t>minimis</w:t>
      </w:r>
      <w:proofErr w:type="spellEnd"/>
      <w:r>
        <w:rPr>
          <w:rFonts w:ascii="Arial" w:hAnsi="Arial"/>
          <w:i/>
        </w:rPr>
        <w:t>;</w:t>
      </w:r>
    </w:p>
    <w:p w:rsidR="00893E1A" w:rsidRPr="004A1A3D" w:rsidRDefault="00893E1A" w:rsidP="00137BC9">
      <w:pPr>
        <w:numPr>
          <w:ilvl w:val="0"/>
          <w:numId w:val="10"/>
        </w:numPr>
        <w:spacing w:before="240" w:after="240" w:line="360" w:lineRule="auto"/>
        <w:contextualSpacing/>
        <w:jc w:val="both"/>
        <w:rPr>
          <w:rFonts w:ascii="Arial" w:hAnsi="Arial"/>
        </w:rPr>
      </w:pPr>
      <w:r w:rsidRPr="006A27E1">
        <w:rPr>
          <w:rFonts w:ascii="Arial" w:hAnsi="Arial"/>
        </w:rPr>
        <w:t xml:space="preserve">Prawo </w:t>
      </w:r>
      <w:r w:rsidR="00734B08">
        <w:rPr>
          <w:rFonts w:ascii="Arial" w:hAnsi="Arial"/>
        </w:rPr>
        <w:t>t</w:t>
      </w:r>
      <w:r w:rsidRPr="006A27E1">
        <w:rPr>
          <w:rFonts w:ascii="Arial" w:hAnsi="Arial"/>
        </w:rPr>
        <w:t>elekomunikacyjne</w:t>
      </w:r>
      <w:r>
        <w:rPr>
          <w:rFonts w:ascii="Arial" w:hAnsi="Arial"/>
          <w:i/>
        </w:rPr>
        <w:t xml:space="preserve"> – </w:t>
      </w:r>
      <w:r>
        <w:rPr>
          <w:rFonts w:ascii="Arial" w:hAnsi="Arial"/>
        </w:rPr>
        <w:t>ustawa z dnia 16 lipca 2004 r. Prawo telekomunikacyjne (</w:t>
      </w:r>
      <w:proofErr w:type="spellStart"/>
      <w:r w:rsidR="00734B08">
        <w:rPr>
          <w:rFonts w:ascii="Arial" w:hAnsi="Arial"/>
        </w:rPr>
        <w:t>t.j</w:t>
      </w:r>
      <w:proofErr w:type="spellEnd"/>
      <w:r w:rsidR="00734B08">
        <w:rPr>
          <w:rFonts w:ascii="Arial" w:hAnsi="Arial"/>
        </w:rPr>
        <w:t xml:space="preserve">. </w:t>
      </w:r>
      <w:r>
        <w:rPr>
          <w:rFonts w:ascii="Arial" w:hAnsi="Arial"/>
        </w:rPr>
        <w:t>Dz. U. 201</w:t>
      </w:r>
      <w:r w:rsidR="00EE0AC6">
        <w:rPr>
          <w:rFonts w:ascii="Arial" w:hAnsi="Arial"/>
        </w:rPr>
        <w:t>7</w:t>
      </w:r>
      <w:r>
        <w:rPr>
          <w:rFonts w:ascii="Arial" w:hAnsi="Arial"/>
        </w:rPr>
        <w:t xml:space="preserve"> r., poz. 1</w:t>
      </w:r>
      <w:r w:rsidR="00EE0AC6">
        <w:rPr>
          <w:rFonts w:ascii="Arial" w:hAnsi="Arial"/>
        </w:rPr>
        <w:t>907</w:t>
      </w:r>
      <w:r>
        <w:rPr>
          <w:rFonts w:ascii="Arial" w:hAnsi="Arial"/>
        </w:rPr>
        <w:t>);</w:t>
      </w:r>
    </w:p>
    <w:p w:rsidR="001E0F55" w:rsidRPr="00576223" w:rsidRDefault="00175527" w:rsidP="00137BC9">
      <w:pPr>
        <w:numPr>
          <w:ilvl w:val="0"/>
          <w:numId w:val="10"/>
        </w:numPr>
        <w:spacing w:before="240" w:after="240" w:line="360" w:lineRule="auto"/>
        <w:contextualSpacing/>
        <w:jc w:val="both"/>
        <w:rPr>
          <w:rFonts w:ascii="Arial" w:hAnsi="Arial"/>
        </w:rPr>
      </w:pPr>
      <w:r w:rsidRPr="00FC112E">
        <w:rPr>
          <w:rFonts w:ascii="Arial" w:hAnsi="Arial"/>
        </w:rPr>
        <w:t>program pomocowy</w:t>
      </w:r>
      <w:r w:rsidR="00E64834">
        <w:rPr>
          <w:rFonts w:ascii="Arial" w:hAnsi="Arial"/>
        </w:rPr>
        <w:t xml:space="preserve"> </w:t>
      </w:r>
      <w:r w:rsidRPr="00FC112E">
        <w:rPr>
          <w:rFonts w:ascii="Arial" w:hAnsi="Arial"/>
        </w:rPr>
        <w:t>–</w:t>
      </w:r>
      <w:r w:rsidR="000F289A" w:rsidRPr="00961AFC">
        <w:rPr>
          <w:rFonts w:ascii="Arial" w:hAnsi="Arial"/>
        </w:rPr>
        <w:t xml:space="preserve"> </w:t>
      </w:r>
      <w:r w:rsidR="00013639" w:rsidRPr="00961AFC">
        <w:rPr>
          <w:rFonts w:ascii="Arial" w:hAnsi="Arial"/>
        </w:rPr>
        <w:t>na gruncie niniejsz</w:t>
      </w:r>
      <w:r w:rsidR="00443B3F">
        <w:rPr>
          <w:rFonts w:ascii="Arial" w:hAnsi="Arial"/>
        </w:rPr>
        <w:t>ego</w:t>
      </w:r>
      <w:r w:rsidR="00013639" w:rsidRPr="00961AFC">
        <w:rPr>
          <w:rFonts w:ascii="Arial" w:hAnsi="Arial"/>
        </w:rPr>
        <w:t xml:space="preserve"> </w:t>
      </w:r>
      <w:r w:rsidR="00443B3F">
        <w:rPr>
          <w:rFonts w:ascii="Arial" w:hAnsi="Arial"/>
          <w:i/>
        </w:rPr>
        <w:t>Katalogu</w:t>
      </w:r>
      <w:r w:rsidR="00F155A0" w:rsidRPr="00576223">
        <w:rPr>
          <w:rFonts w:ascii="Arial" w:hAnsi="Arial"/>
        </w:rPr>
        <w:t xml:space="preserve">: rozporządzenie wydane przez właściwego ministra na podstawie delegacji ustawowej </w:t>
      </w:r>
      <w:r w:rsidR="00CB01A4">
        <w:rPr>
          <w:rFonts w:ascii="Arial" w:hAnsi="Arial"/>
        </w:rPr>
        <w:t xml:space="preserve"> wpisanej</w:t>
      </w:r>
      <w:r w:rsidR="00F155A0" w:rsidRPr="00576223">
        <w:rPr>
          <w:rFonts w:ascii="Arial" w:hAnsi="Arial"/>
        </w:rPr>
        <w:t xml:space="preserve"> w art. 27 ust. 4 ustawy </w:t>
      </w:r>
      <w:r w:rsidR="00F155A0" w:rsidRPr="00576223">
        <w:rPr>
          <w:rFonts w:ascii="Arial" w:hAnsi="Arial"/>
        </w:rPr>
        <w:lastRenderedPageBreak/>
        <w:t xml:space="preserve">wdrożeniowej określające, zgodnie z przedmiotową delegacją – szczegółowe warunki i przeznaczenie pomocy publicznej lub pomocy </w:t>
      </w:r>
      <w:r w:rsidR="00F155A0" w:rsidRPr="006A27E1">
        <w:rPr>
          <w:rFonts w:ascii="Arial" w:hAnsi="Arial"/>
          <w:i/>
        </w:rPr>
        <w:t xml:space="preserve">de </w:t>
      </w:r>
      <w:proofErr w:type="spellStart"/>
      <w:r w:rsidR="00F155A0" w:rsidRPr="006A27E1">
        <w:rPr>
          <w:rFonts w:ascii="Arial" w:hAnsi="Arial"/>
          <w:i/>
        </w:rPr>
        <w:t>minimis</w:t>
      </w:r>
      <w:proofErr w:type="spellEnd"/>
      <w:r w:rsidR="00F155A0" w:rsidRPr="00576223">
        <w:rPr>
          <w:rFonts w:ascii="Arial" w:hAnsi="Arial"/>
        </w:rPr>
        <w:t>, będącej przedmiotem jego regulacji;</w:t>
      </w:r>
    </w:p>
    <w:p w:rsidR="00091A7E" w:rsidRDefault="0003090B" w:rsidP="00137BC9">
      <w:pPr>
        <w:numPr>
          <w:ilvl w:val="0"/>
          <w:numId w:val="10"/>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rsidR="0003137D" w:rsidRPr="007548E0" w:rsidRDefault="0003137D" w:rsidP="00137BC9">
      <w:pPr>
        <w:numPr>
          <w:ilvl w:val="0"/>
          <w:numId w:val="10"/>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rsidR="00DC1597" w:rsidRPr="007E469E" w:rsidRDefault="00DC1597" w:rsidP="00137BC9">
      <w:pPr>
        <w:numPr>
          <w:ilvl w:val="0"/>
          <w:numId w:val="10"/>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rsidR="00740FCE" w:rsidRPr="007E469E" w:rsidRDefault="00740FCE" w:rsidP="00137BC9">
      <w:pPr>
        <w:numPr>
          <w:ilvl w:val="0"/>
          <w:numId w:val="10"/>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rsidR="00740FCE" w:rsidRPr="007E469E" w:rsidRDefault="00740FCE" w:rsidP="00137BC9">
      <w:pPr>
        <w:numPr>
          <w:ilvl w:val="0"/>
          <w:numId w:val="10"/>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rsidR="00740FCE" w:rsidRPr="007E469E" w:rsidRDefault="00740FCE" w:rsidP="00137BC9">
      <w:pPr>
        <w:numPr>
          <w:ilvl w:val="0"/>
          <w:numId w:val="10"/>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7E469E">
        <w:rPr>
          <w:rFonts w:ascii="Arial" w:hAnsi="Arial"/>
        </w:rPr>
        <w:t>E L 347 z 20.12.2013, str. 320);</w:t>
      </w:r>
    </w:p>
    <w:p w:rsidR="00CC6E84" w:rsidRPr="007E469E" w:rsidRDefault="00CC6E84" w:rsidP="00137BC9">
      <w:pPr>
        <w:numPr>
          <w:ilvl w:val="0"/>
          <w:numId w:val="10"/>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t>
      </w:r>
      <w:proofErr w:type="spellStart"/>
      <w:r w:rsidR="002F22B0" w:rsidRPr="007E0360">
        <w:rPr>
          <w:rFonts w:ascii="Arial" w:eastAsia="Calibri" w:hAnsi="Arial" w:cs="Arial"/>
        </w:rPr>
        <w:t>w</w:t>
      </w:r>
      <w:r w:rsidR="002F22B0">
        <w:rPr>
          <w:rFonts w:ascii="Arial" w:eastAsia="Calibri" w:hAnsi="Arial" w:cs="Arial"/>
        </w:rPr>
        <w:t>y</w:t>
      </w:r>
      <w:r w:rsidR="002F22B0" w:rsidRPr="007E0360">
        <w:rPr>
          <w:rFonts w:ascii="Arial" w:eastAsia="Calibri" w:hAnsi="Arial" w:cs="Arial"/>
        </w:rPr>
        <w:t>łączeniach</w:t>
      </w:r>
      <w:proofErr w:type="spellEnd"/>
      <w:r w:rsidR="002F22B0" w:rsidRPr="007E0360">
        <w:rPr>
          <w:rFonts w:ascii="Arial" w:eastAsia="Calibri" w:hAnsi="Arial" w:cs="Arial"/>
        </w:rPr>
        <w:t xml:space="preserve"> blokowych/grupowych</w:t>
      </w:r>
      <w:r w:rsidR="000F289A" w:rsidRPr="007E469E">
        <w:rPr>
          <w:rFonts w:ascii="Arial" w:hAnsi="Arial" w:cs="Arial"/>
        </w:rPr>
        <w:t>;</w:t>
      </w:r>
    </w:p>
    <w:p w:rsidR="00CC6E84" w:rsidRPr="007E469E" w:rsidRDefault="00EF73BA" w:rsidP="00137BC9">
      <w:pPr>
        <w:numPr>
          <w:ilvl w:val="0"/>
          <w:numId w:val="10"/>
        </w:numPr>
        <w:spacing w:after="0" w:line="360" w:lineRule="auto"/>
        <w:ind w:left="499" w:hanging="357"/>
        <w:jc w:val="both"/>
        <w:rPr>
          <w:rFonts w:ascii="Arial" w:hAnsi="Arial" w:cs="Arial"/>
        </w:rPr>
      </w:pPr>
      <w:r w:rsidRPr="007E469E">
        <w:rPr>
          <w:rFonts w:ascii="Arial" w:hAnsi="Arial" w:cs="Arial"/>
        </w:rPr>
        <w:lastRenderedPageBreak/>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 xml:space="preserve">ozporządzenie Komisji (UE) nr 1407/ 2013 z dnia 18 grudnia 2013 r. w sprawie stosowania art. 107 i 108 Traktatu o funkcjonowaniu Unii Europejskiej do pomocy de </w:t>
      </w:r>
      <w:proofErr w:type="spellStart"/>
      <w:r w:rsidR="00CC6E84" w:rsidRPr="007E469E">
        <w:rPr>
          <w:rFonts w:ascii="Arial" w:hAnsi="Arial" w:cs="Arial"/>
        </w:rPr>
        <w:t>minimis</w:t>
      </w:r>
      <w:proofErr w:type="spellEnd"/>
      <w:r w:rsidR="00CC6E84" w:rsidRPr="007E469E">
        <w:rPr>
          <w:rFonts w:ascii="Arial" w:hAnsi="Arial" w:cs="Arial"/>
        </w:rPr>
        <w:t xml:space="preserve">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rsidR="004425CF" w:rsidRPr="007E469E" w:rsidRDefault="004425CF" w:rsidP="00137BC9">
      <w:pPr>
        <w:numPr>
          <w:ilvl w:val="0"/>
          <w:numId w:val="10"/>
        </w:numPr>
        <w:spacing w:after="0" w:line="360" w:lineRule="auto"/>
        <w:ind w:left="499" w:hanging="357"/>
        <w:jc w:val="both"/>
        <w:rPr>
          <w:rFonts w:ascii="Arial" w:hAnsi="Arial" w:cs="Arial"/>
        </w:rPr>
      </w:pPr>
      <w:r w:rsidRPr="007E469E">
        <w:rPr>
          <w:rFonts w:ascii="Arial" w:eastAsia="Times New Roman" w:hAnsi="Arial" w:cs="Arial"/>
          <w:lang w:eastAsia="pl-PL"/>
        </w:rPr>
        <w:t xml:space="preserve">rozporządzenie nr 966/2012 – rozporządzenie Parlamentu Europejskiego i Rady (UE,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xml:space="preserve">) nr 966/2012 z dnia 25 października 2012 r. w sprawie zasad finansowych mających zastosowanie do budżetu ogólnego Unii oraz uchylające rozporządzenie Rady (WE,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nr 1605/2002;</w:t>
      </w:r>
    </w:p>
    <w:p w:rsidR="00740FCE" w:rsidRPr="007E469E" w:rsidRDefault="00740FCE" w:rsidP="00137BC9">
      <w:pPr>
        <w:numPr>
          <w:ilvl w:val="0"/>
          <w:numId w:val="10"/>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rsidR="00740FCE" w:rsidRPr="007E469E" w:rsidRDefault="00740FCE" w:rsidP="00137BC9">
      <w:pPr>
        <w:numPr>
          <w:ilvl w:val="0"/>
          <w:numId w:val="10"/>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B1308B">
        <w:rPr>
          <w:rFonts w:ascii="Arial" w:hAnsi="Arial"/>
        </w:rPr>
        <w:t>201</w:t>
      </w:r>
      <w:r w:rsidR="00751D63">
        <w:rPr>
          <w:rFonts w:ascii="Arial" w:hAnsi="Arial"/>
        </w:rPr>
        <w:t>6</w:t>
      </w:r>
      <w:r w:rsidR="00B1308B">
        <w:rPr>
          <w:rFonts w:ascii="Arial" w:hAnsi="Arial"/>
        </w:rPr>
        <w:t xml:space="preserve"> r.</w:t>
      </w:r>
      <w:r w:rsidR="008E35A2">
        <w:rPr>
          <w:rFonts w:ascii="Arial" w:hAnsi="Arial"/>
        </w:rPr>
        <w:t>,</w:t>
      </w:r>
      <w:r w:rsidR="008E35A2" w:rsidRPr="00EF5BA8">
        <w:rPr>
          <w:rFonts w:ascii="Arial" w:hAnsi="Arial"/>
        </w:rPr>
        <w:t xml:space="preserve"> poz. </w:t>
      </w:r>
      <w:r w:rsidR="00751D63">
        <w:rPr>
          <w:rFonts w:ascii="Arial" w:hAnsi="Arial"/>
        </w:rPr>
        <w:t>1047</w:t>
      </w:r>
      <w:r w:rsidR="008E35A2">
        <w:rPr>
          <w:rFonts w:ascii="Arial" w:hAnsi="Arial"/>
        </w:rPr>
        <w:t xml:space="preserve">, z </w:t>
      </w:r>
      <w:proofErr w:type="spellStart"/>
      <w:r w:rsidR="008E35A2">
        <w:rPr>
          <w:rFonts w:ascii="Arial" w:hAnsi="Arial"/>
        </w:rPr>
        <w:t>późn</w:t>
      </w:r>
      <w:proofErr w:type="spellEnd"/>
      <w:r w:rsidR="008E35A2">
        <w:rPr>
          <w:rFonts w:ascii="Arial" w:hAnsi="Arial"/>
        </w:rPr>
        <w:t>.</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rsidR="00500BC0" w:rsidRPr="00261940" w:rsidRDefault="00740FCE" w:rsidP="00137BC9">
      <w:pPr>
        <w:numPr>
          <w:ilvl w:val="0"/>
          <w:numId w:val="10"/>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rsidR="00500BC0" w:rsidRPr="003C75A8" w:rsidRDefault="00500BC0" w:rsidP="00137BC9">
      <w:pPr>
        <w:pStyle w:val="Akapitzlist"/>
        <w:numPr>
          <w:ilvl w:val="1"/>
          <w:numId w:val="10"/>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201</w:t>
      </w:r>
      <w:r w:rsidR="00751D63">
        <w:rPr>
          <w:rFonts w:ascii="Arial" w:hAnsi="Arial" w:cs="Arial"/>
        </w:rPr>
        <w:t>6</w:t>
      </w:r>
      <w:r w:rsidRPr="003C75A8">
        <w:rPr>
          <w:rFonts w:ascii="Arial" w:hAnsi="Arial" w:cs="Arial"/>
        </w:rPr>
        <w:t xml:space="preserve"> r. poz. </w:t>
      </w:r>
      <w:r w:rsidR="00751D63">
        <w:rPr>
          <w:rFonts w:ascii="Arial" w:hAnsi="Arial" w:cs="Arial"/>
        </w:rPr>
        <w:t>1</w:t>
      </w:r>
      <w:r w:rsidRPr="003C75A8">
        <w:rPr>
          <w:rFonts w:ascii="Arial" w:hAnsi="Arial" w:cs="Arial"/>
        </w:rPr>
        <w:t>8</w:t>
      </w:r>
      <w:r w:rsidR="00751D63">
        <w:rPr>
          <w:rFonts w:ascii="Arial" w:hAnsi="Arial" w:cs="Arial"/>
        </w:rPr>
        <w:t>70</w:t>
      </w:r>
      <w:r w:rsidRPr="003C75A8">
        <w:rPr>
          <w:rFonts w:ascii="Arial" w:hAnsi="Arial" w:cs="Arial"/>
        </w:rPr>
        <w:t xml:space="preserve">, z </w:t>
      </w:r>
      <w:proofErr w:type="spellStart"/>
      <w:r w:rsidRPr="003C75A8">
        <w:rPr>
          <w:rFonts w:ascii="Arial" w:hAnsi="Arial" w:cs="Arial"/>
        </w:rPr>
        <w:t>późn</w:t>
      </w:r>
      <w:proofErr w:type="spellEnd"/>
      <w:r w:rsidRPr="003C75A8">
        <w:rPr>
          <w:rFonts w:ascii="Arial" w:hAnsi="Arial" w:cs="Arial"/>
        </w:rPr>
        <w:t>. zm.),</w:t>
      </w:r>
    </w:p>
    <w:p w:rsidR="00740FCE" w:rsidRPr="003C75A8" w:rsidRDefault="00500BC0" w:rsidP="00137BC9">
      <w:pPr>
        <w:pStyle w:val="Akapitzlist"/>
        <w:numPr>
          <w:ilvl w:val="1"/>
          <w:numId w:val="10"/>
        </w:numPr>
        <w:spacing w:after="0" w:line="360" w:lineRule="auto"/>
        <w:jc w:val="both"/>
        <w:rPr>
          <w:rFonts w:ascii="Arial" w:hAnsi="Arial" w:cs="Arial"/>
        </w:rPr>
      </w:pPr>
      <w:r w:rsidRPr="003C75A8">
        <w:rPr>
          <w:rFonts w:ascii="Arial" w:hAnsi="Arial" w:cs="Arial"/>
        </w:rPr>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rsidR="00FC14EC" w:rsidRDefault="00F33CCF" w:rsidP="00137BC9">
      <w:pPr>
        <w:numPr>
          <w:ilvl w:val="0"/>
          <w:numId w:val="10"/>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w:t>
      </w:r>
      <w:r w:rsidR="00500BC0" w:rsidRPr="002C5156">
        <w:rPr>
          <w:rFonts w:ascii="Arial" w:hAnsi="Arial" w:cs="Arial"/>
        </w:rPr>
        <w:lastRenderedPageBreak/>
        <w:t xml:space="preserve">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rsidR="00C62948" w:rsidRPr="007E469E" w:rsidRDefault="00C62948" w:rsidP="00137BC9">
      <w:pPr>
        <w:numPr>
          <w:ilvl w:val="0"/>
          <w:numId w:val="10"/>
        </w:numPr>
        <w:spacing w:after="0" w:line="360" w:lineRule="auto"/>
        <w:ind w:left="499" w:hanging="357"/>
        <w:jc w:val="both"/>
        <w:rPr>
          <w:rFonts w:ascii="Arial" w:hAnsi="Arial" w:cs="Arial"/>
        </w:rPr>
      </w:pPr>
      <w:r>
        <w:rPr>
          <w:rFonts w:ascii="Arial" w:hAnsi="Arial"/>
        </w:rPr>
        <w:t xml:space="preserve">ustawa o VAT - </w:t>
      </w:r>
      <w:r w:rsidRPr="00EF5BA8">
        <w:rPr>
          <w:rFonts w:ascii="Arial" w:hAnsi="Arial"/>
        </w:rPr>
        <w:t>ustaw</w:t>
      </w:r>
      <w:r>
        <w:rPr>
          <w:rFonts w:ascii="Arial" w:hAnsi="Arial"/>
        </w:rPr>
        <w:t>ę</w:t>
      </w:r>
      <w:r w:rsidRPr="00EF5BA8">
        <w:rPr>
          <w:rFonts w:ascii="Arial" w:hAnsi="Arial"/>
        </w:rPr>
        <w:t xml:space="preserve"> z dnia 11 marca 2004 r. o podatku od towarów i usług (</w:t>
      </w:r>
      <w:proofErr w:type="spellStart"/>
      <w:r w:rsidR="00634F23">
        <w:rPr>
          <w:rFonts w:ascii="Arial" w:hAnsi="Arial"/>
        </w:rPr>
        <w:t>t.j</w:t>
      </w:r>
      <w:proofErr w:type="spellEnd"/>
      <w:r w:rsidR="00634F23">
        <w:rPr>
          <w:rFonts w:ascii="Arial" w:hAnsi="Arial"/>
        </w:rPr>
        <w:t xml:space="preserve">. </w:t>
      </w:r>
      <w:r w:rsidRPr="00EF5BA8">
        <w:rPr>
          <w:rFonts w:ascii="Arial" w:hAnsi="Arial"/>
        </w:rPr>
        <w:t xml:space="preserve">Dz. U. </w:t>
      </w:r>
      <w:r w:rsidR="0005508B">
        <w:rPr>
          <w:rFonts w:ascii="Arial" w:hAnsi="Arial"/>
        </w:rPr>
        <w:t>z 201</w:t>
      </w:r>
      <w:r w:rsidR="00A4723B">
        <w:rPr>
          <w:rFonts w:ascii="Arial" w:hAnsi="Arial"/>
        </w:rPr>
        <w:t>7</w:t>
      </w:r>
      <w:r w:rsidR="0005508B">
        <w:rPr>
          <w:rFonts w:ascii="Arial" w:hAnsi="Arial"/>
        </w:rPr>
        <w:t xml:space="preserve"> r.</w:t>
      </w:r>
      <w:r w:rsidR="00634F23">
        <w:rPr>
          <w:rFonts w:ascii="Arial" w:hAnsi="Arial"/>
        </w:rPr>
        <w:t xml:space="preserve"> </w:t>
      </w:r>
      <w:r w:rsidRPr="00EF5BA8">
        <w:rPr>
          <w:rFonts w:ascii="Arial" w:hAnsi="Arial"/>
        </w:rPr>
        <w:t xml:space="preserve">poz. </w:t>
      </w:r>
      <w:r w:rsidR="00A4723B">
        <w:rPr>
          <w:rFonts w:ascii="Arial" w:hAnsi="Arial"/>
        </w:rPr>
        <w:t>1221</w:t>
      </w:r>
      <w:r w:rsidRPr="00EF5BA8">
        <w:rPr>
          <w:rFonts w:ascii="Arial" w:hAnsi="Arial"/>
        </w:rPr>
        <w:t>)</w:t>
      </w:r>
      <w:r>
        <w:rPr>
          <w:rFonts w:ascii="Arial" w:hAnsi="Arial"/>
        </w:rPr>
        <w:t>;</w:t>
      </w:r>
    </w:p>
    <w:p w:rsidR="00DA6F73" w:rsidRPr="000D79AE" w:rsidRDefault="00DA6F73" w:rsidP="00137BC9">
      <w:pPr>
        <w:pStyle w:val="Akapitzlist"/>
        <w:numPr>
          <w:ilvl w:val="0"/>
          <w:numId w:val="10"/>
        </w:numPr>
        <w:spacing w:after="0" w:line="360" w:lineRule="auto"/>
        <w:ind w:left="499" w:hanging="357"/>
        <w:jc w:val="both"/>
        <w:rPr>
          <w:rFonts w:ascii="Arial" w:hAnsi="Arial" w:cs="Arial"/>
        </w:rPr>
      </w:pPr>
      <w:r w:rsidRPr="000D79AE">
        <w:rPr>
          <w:rFonts w:ascii="Arial" w:hAnsi="Arial" w:cs="Arial"/>
        </w:rPr>
        <w:t>ustawa Prawo budowlane - ustawa z dnia 7 lipca 1994 - Prawo budowlane (</w:t>
      </w:r>
      <w:proofErr w:type="spellStart"/>
      <w:r w:rsidRPr="000D79AE">
        <w:rPr>
          <w:rFonts w:ascii="Arial" w:hAnsi="Arial" w:cs="Arial"/>
        </w:rPr>
        <w:t>t</w:t>
      </w:r>
      <w:r w:rsidR="00634F23">
        <w:rPr>
          <w:rFonts w:ascii="Arial" w:hAnsi="Arial" w:cs="Arial"/>
        </w:rPr>
        <w:t>.</w:t>
      </w:r>
      <w:r w:rsidRPr="000D79AE">
        <w:rPr>
          <w:rFonts w:ascii="Arial" w:hAnsi="Arial" w:cs="Arial"/>
        </w:rPr>
        <w:t>j</w:t>
      </w:r>
      <w:proofErr w:type="spellEnd"/>
      <w:r w:rsidR="00634F23">
        <w:rPr>
          <w:rFonts w:ascii="Arial" w:hAnsi="Arial" w:cs="Arial"/>
        </w:rPr>
        <w:t xml:space="preserve">. </w:t>
      </w:r>
      <w:r w:rsidRPr="000D79AE">
        <w:rPr>
          <w:rFonts w:ascii="Arial" w:hAnsi="Arial" w:cs="Arial"/>
        </w:rPr>
        <w:t>Dz. U. z 201</w:t>
      </w:r>
      <w:r w:rsidR="00751D63">
        <w:rPr>
          <w:rFonts w:ascii="Arial" w:hAnsi="Arial" w:cs="Arial"/>
        </w:rPr>
        <w:t>7</w:t>
      </w:r>
      <w:r w:rsidRPr="000D79AE">
        <w:rPr>
          <w:rFonts w:ascii="Arial" w:hAnsi="Arial" w:cs="Arial"/>
        </w:rPr>
        <w:t xml:space="preserve"> r. poz. </w:t>
      </w:r>
      <w:r w:rsidR="00751D63">
        <w:rPr>
          <w:rFonts w:ascii="Arial" w:hAnsi="Arial" w:cs="Arial"/>
        </w:rPr>
        <w:t xml:space="preserve">1332 </w:t>
      </w:r>
      <w:r w:rsidRPr="000D79AE">
        <w:rPr>
          <w:rFonts w:ascii="Arial" w:hAnsi="Arial" w:cs="Arial"/>
        </w:rPr>
        <w:t>);</w:t>
      </w:r>
    </w:p>
    <w:p w:rsidR="004B4ED8" w:rsidRPr="00F04887" w:rsidRDefault="004B4ED8" w:rsidP="00137BC9">
      <w:pPr>
        <w:numPr>
          <w:ilvl w:val="0"/>
          <w:numId w:val="10"/>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4"/>
      </w:r>
      <w:r w:rsidRPr="00EF5BA8">
        <w:rPr>
          <w:rFonts w:ascii="Arial" w:hAnsi="Arial" w:cs="Arial"/>
        </w:rPr>
        <w:t>;</w:t>
      </w:r>
    </w:p>
    <w:p w:rsidR="006A017C" w:rsidRDefault="00FC14EC" w:rsidP="00137BC9">
      <w:pPr>
        <w:numPr>
          <w:ilvl w:val="0"/>
          <w:numId w:val="10"/>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5"/>
      </w:r>
      <w:r w:rsidR="004425CF" w:rsidRPr="007E469E">
        <w:rPr>
          <w:rFonts w:ascii="Arial" w:hAnsi="Arial" w:cs="Arial"/>
        </w:rPr>
        <w:t>;</w:t>
      </w:r>
    </w:p>
    <w:p w:rsidR="00521C36" w:rsidRPr="00521C36" w:rsidRDefault="00521C36" w:rsidP="00137BC9">
      <w:pPr>
        <w:numPr>
          <w:ilvl w:val="0"/>
          <w:numId w:val="10"/>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rsidR="00284CBD" w:rsidRPr="00284CBD" w:rsidRDefault="00284CBD" w:rsidP="00137BC9">
      <w:pPr>
        <w:numPr>
          <w:ilvl w:val="0"/>
          <w:numId w:val="10"/>
        </w:numPr>
        <w:spacing w:after="0" w:line="360" w:lineRule="auto"/>
        <w:ind w:left="499" w:hanging="357"/>
        <w:jc w:val="both"/>
        <w:rPr>
          <w:rFonts w:ascii="Arial" w:hAnsi="Arial" w:cs="Arial"/>
        </w:rPr>
      </w:pPr>
      <w:r w:rsidRPr="00284CBD">
        <w:rPr>
          <w:rFonts w:ascii="Arial" w:hAnsi="Arial" w:cs="Arial"/>
        </w:rPr>
        <w:t>współfinansowanie UE – zgodnie z art. 2 pkt 31 ustawy wdrożeniowej, środki pochodzące z budżetu środków europejskich, o którym mowa w art. 117 ust. 1 ustawy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krajowego lub regionalnego programu operacyjnego oraz środki Europejskiego Fu</w:t>
      </w:r>
      <w:r w:rsidRPr="00640E59">
        <w:rPr>
          <w:rFonts w:ascii="Arial" w:hAnsi="Arial" w:cs="Arial"/>
        </w:rPr>
        <w:t>nduszu Rozwoju Regionalnego pochodzące z budżetu programu EWT, wypłacane na rzecz beneficjenta w ramach projektu – w przypadku programu EWT,</w:t>
      </w:r>
    </w:p>
    <w:p w:rsidR="00CB0346" w:rsidRPr="007E469E" w:rsidRDefault="00CB0346" w:rsidP="00137BC9">
      <w:pPr>
        <w:numPr>
          <w:ilvl w:val="0"/>
          <w:numId w:val="10"/>
        </w:numPr>
        <w:spacing w:after="0" w:line="360" w:lineRule="auto"/>
        <w:ind w:left="499" w:hanging="357"/>
        <w:jc w:val="both"/>
        <w:rPr>
          <w:rFonts w:ascii="Arial" w:hAnsi="Arial" w:cs="Arial"/>
        </w:rPr>
      </w:pPr>
      <w:r w:rsidRPr="007E469E">
        <w:rPr>
          <w:rFonts w:ascii="Arial" w:hAnsi="Arial" w:cs="Arial"/>
        </w:rPr>
        <w:lastRenderedPageBreak/>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któr</w:t>
      </w:r>
      <w:r w:rsidR="00F93F49">
        <w:rPr>
          <w:rFonts w:ascii="Arial" w:hAnsi="Arial" w:cs="Arial"/>
        </w:rPr>
        <w:t>e</w:t>
      </w:r>
      <w:r w:rsidR="002B6EAF" w:rsidRPr="009D4E19">
        <w:rPr>
          <w:rFonts w:ascii="Arial" w:hAnsi="Arial" w:cs="Arial"/>
        </w:rPr>
        <w:t xml:space="preserve"> </w:t>
      </w:r>
      <w:r w:rsidR="00F93F49">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rsidR="00CB0346" w:rsidRPr="007E469E" w:rsidRDefault="00CB0346" w:rsidP="00137BC9">
      <w:pPr>
        <w:numPr>
          <w:ilvl w:val="0"/>
          <w:numId w:val="10"/>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rsidR="00740FCE" w:rsidRPr="00F21869" w:rsidRDefault="00445172" w:rsidP="00137BC9">
      <w:pPr>
        <w:numPr>
          <w:ilvl w:val="0"/>
          <w:numId w:val="10"/>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w:t>
      </w:r>
      <w:r w:rsidR="00F93F49">
        <w:rPr>
          <w:rStyle w:val="Odwoanieprzypisudolnego"/>
          <w:rFonts w:ascii="Arial" w:hAnsi="Arial" w:cs="Arial"/>
        </w:rPr>
        <w:footnoteReference w:id="6"/>
      </w:r>
      <w:r w:rsidR="008E50AF" w:rsidRPr="00F21869">
        <w:rPr>
          <w:rFonts w:ascii="Arial" w:hAnsi="Arial" w:cs="Arial"/>
        </w:rPr>
        <w:t xml:space="preserve">, osobę prawną albo jednostkę organizacyjną nieposiadającą osobowości prawnej, która oferuje </w:t>
      </w:r>
      <w:r w:rsidR="00F93F49">
        <w:rPr>
          <w:rFonts w:ascii="Arial" w:hAnsi="Arial" w:cs="Arial"/>
        </w:rPr>
        <w:t xml:space="preserve">realizację robót budowlanych, </w:t>
      </w:r>
      <w:r w:rsidR="008E50AF" w:rsidRPr="00F21869">
        <w:rPr>
          <w:rFonts w:ascii="Arial" w:hAnsi="Arial" w:cs="Arial"/>
        </w:rPr>
        <w:t xml:space="preserve">określone produkty lub usługi na rynku lub zawarła umowę w sprawie realizacji zamówienia </w:t>
      </w:r>
      <w:r w:rsidR="00C8666E">
        <w:rPr>
          <w:rFonts w:ascii="Arial" w:hAnsi="Arial" w:cs="Arial"/>
        </w:rPr>
        <w:t xml:space="preserve">publicznego </w:t>
      </w:r>
      <w:r w:rsidR="008E50AF" w:rsidRPr="00F21869">
        <w:rPr>
          <w:rFonts w:ascii="Arial" w:hAnsi="Arial" w:cs="Arial"/>
        </w:rPr>
        <w:t>będącego efektem działań podjętych przez zamawiającego w projekcie realizowanym w ramach POPC;</w:t>
      </w:r>
    </w:p>
    <w:p w:rsidR="0063423F" w:rsidRPr="00833A56" w:rsidRDefault="005D3ED4" w:rsidP="00137BC9">
      <w:pPr>
        <w:numPr>
          <w:ilvl w:val="0"/>
          <w:numId w:val="10"/>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ytyczne</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rsidR="005611CD" w:rsidRPr="00F21869" w:rsidRDefault="004B2034" w:rsidP="00137BC9">
      <w:pPr>
        <w:numPr>
          <w:ilvl w:val="0"/>
          <w:numId w:val="10"/>
        </w:numPr>
        <w:spacing w:after="0" w:line="360" w:lineRule="auto"/>
        <w:ind w:left="499" w:hanging="357"/>
        <w:jc w:val="both"/>
        <w:rPr>
          <w:rFonts w:ascii="Arial" w:hAnsi="Arial" w:cs="Arial"/>
        </w:rPr>
      </w:pPr>
      <w:r w:rsidRPr="00F21869">
        <w:rPr>
          <w:rFonts w:ascii="Arial" w:hAnsi="Arial" w:cs="Arial"/>
        </w:rPr>
        <w:t xml:space="preserve">Wytyczne </w:t>
      </w:r>
      <w:proofErr w:type="spellStart"/>
      <w:r w:rsidRPr="00F21869">
        <w:rPr>
          <w:rFonts w:ascii="Arial" w:hAnsi="Arial" w:cs="Arial"/>
        </w:rPr>
        <w:t>ws</w:t>
      </w:r>
      <w:proofErr w:type="spellEnd"/>
      <w:r w:rsidRPr="00F21869">
        <w:rPr>
          <w:rFonts w:ascii="Arial" w:hAnsi="Arial" w:cs="Arial"/>
        </w:rPr>
        <w:t xml:space="preserve">.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10"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rsidR="00315AD2" w:rsidRPr="00C401DF" w:rsidRDefault="005A2B28" w:rsidP="00137BC9">
      <w:pPr>
        <w:numPr>
          <w:ilvl w:val="0"/>
          <w:numId w:val="10"/>
        </w:numPr>
        <w:spacing w:after="0" w:line="360" w:lineRule="auto"/>
        <w:jc w:val="both"/>
        <w:rPr>
          <w:rFonts w:ascii="Arial" w:hAnsi="Arial" w:cs="Arial"/>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1C0046" w:rsidRPr="00C401DF">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w:t>
      </w:r>
      <w:proofErr w:type="spellStart"/>
      <w:r w:rsidR="00446B30">
        <w:rPr>
          <w:rFonts w:ascii="Arial" w:hAnsi="Arial" w:cs="Arial"/>
        </w:rPr>
        <w:t>Pzp</w:t>
      </w:r>
      <w:proofErr w:type="spellEnd"/>
      <w:r w:rsidR="00446B30">
        <w:rPr>
          <w:rFonts w:ascii="Arial" w:hAnsi="Arial" w:cs="Arial"/>
        </w:rPr>
        <w:t xml:space="preserve">,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rsidR="00284CBD" w:rsidRDefault="00284CBD" w:rsidP="00137BC9">
      <w:pPr>
        <w:numPr>
          <w:ilvl w:val="0"/>
          <w:numId w:val="10"/>
        </w:numPr>
        <w:spacing w:after="0" w:line="360" w:lineRule="auto"/>
        <w:ind w:left="499" w:hanging="357"/>
        <w:jc w:val="both"/>
        <w:rPr>
          <w:rFonts w:ascii="Arial" w:hAnsi="Arial" w:cs="Arial"/>
        </w:rPr>
      </w:pPr>
      <w:r w:rsidRPr="00284CBD">
        <w:rPr>
          <w:rFonts w:ascii="Arial" w:hAnsi="Arial" w:cs="Arial"/>
        </w:rPr>
        <w:t xml:space="preserve">zatwierdzony wniosek o dofinansowanie – wniosek spełniający kryteria wyboru projektów, przyjęty do realizacji, umieszczony na liście ocenionych projektów zatwierdzonej przez </w:t>
      </w:r>
      <w:r w:rsidRPr="00640E59">
        <w:rPr>
          <w:rFonts w:ascii="Arial" w:hAnsi="Arial" w:cs="Arial"/>
        </w:rPr>
        <w:t>IP POPC</w:t>
      </w:r>
      <w:r w:rsidRPr="00593439">
        <w:rPr>
          <w:rFonts w:ascii="Arial" w:hAnsi="Arial" w:cs="Arial"/>
        </w:rPr>
        <w:t xml:space="preserve">, a w przypadku przeprowadzenia procesu negocjacji </w:t>
      </w:r>
      <w:r w:rsidR="00CD1492">
        <w:rPr>
          <w:rFonts w:ascii="Arial" w:hAnsi="Arial" w:cs="Arial"/>
        </w:rPr>
        <w:br/>
      </w:r>
      <w:r w:rsidRPr="00593439">
        <w:rPr>
          <w:rFonts w:ascii="Arial" w:hAnsi="Arial" w:cs="Arial"/>
        </w:rPr>
        <w:t xml:space="preserve">w odniesieniu do danego projektu – zatwierdzona wersja wniosku po negocjacjach. </w:t>
      </w:r>
      <w:r w:rsidR="00CD1492">
        <w:rPr>
          <w:rFonts w:ascii="Arial" w:hAnsi="Arial" w:cs="Arial"/>
        </w:rPr>
        <w:br/>
      </w:r>
      <w:r w:rsidRPr="00593439">
        <w:rPr>
          <w:rFonts w:ascii="Arial" w:hAnsi="Arial" w:cs="Arial"/>
        </w:rPr>
        <w:t>W przypadku zmian w projekcie dokon</w:t>
      </w:r>
      <w:r w:rsidR="00BD724E">
        <w:rPr>
          <w:rFonts w:ascii="Arial" w:hAnsi="Arial" w:cs="Arial"/>
        </w:rPr>
        <w:t>anych w trakcie jego realizacji</w:t>
      </w:r>
      <w:r w:rsidRPr="00593439">
        <w:rPr>
          <w:rFonts w:ascii="Arial" w:hAnsi="Arial" w:cs="Arial"/>
        </w:rPr>
        <w:t>, zatwierdzonym wnioskiem o dofinansowanie jest wersja wniosku zmieniona i zatwierdzona na warunkach określonych w umowie</w:t>
      </w:r>
      <w:r w:rsidRPr="00284CBD">
        <w:rPr>
          <w:rFonts w:ascii="Arial" w:hAnsi="Arial" w:cs="Arial"/>
        </w:rPr>
        <w:t xml:space="preserve"> o dofinansowanie.</w:t>
      </w:r>
    </w:p>
    <w:p w:rsidR="00F34971" w:rsidRDefault="00F34971" w:rsidP="00316996">
      <w:pPr>
        <w:spacing w:after="0" w:line="360" w:lineRule="auto"/>
        <w:ind w:left="499"/>
        <w:jc w:val="both"/>
        <w:rPr>
          <w:rFonts w:ascii="Arial" w:hAnsi="Arial" w:cs="Arial"/>
        </w:rPr>
      </w:pPr>
    </w:p>
    <w:p w:rsidR="00A4723B" w:rsidRDefault="00A4723B" w:rsidP="00316996">
      <w:pPr>
        <w:spacing w:after="0" w:line="360" w:lineRule="auto"/>
        <w:ind w:left="499"/>
        <w:jc w:val="both"/>
        <w:rPr>
          <w:rFonts w:ascii="Arial" w:hAnsi="Arial" w:cs="Arial"/>
        </w:rPr>
      </w:pPr>
    </w:p>
    <w:p w:rsidR="00A4723B" w:rsidRDefault="00A4723B" w:rsidP="00316996">
      <w:pPr>
        <w:spacing w:after="0" w:line="360" w:lineRule="auto"/>
        <w:ind w:left="499"/>
        <w:jc w:val="both"/>
        <w:rPr>
          <w:rFonts w:ascii="Arial" w:hAnsi="Arial" w:cs="Arial"/>
        </w:rPr>
      </w:pPr>
    </w:p>
    <w:p w:rsidR="00DD0F75" w:rsidRDefault="00DD0F75" w:rsidP="00316996">
      <w:pPr>
        <w:spacing w:after="0" w:line="360" w:lineRule="auto"/>
        <w:ind w:left="499"/>
        <w:jc w:val="both"/>
        <w:rPr>
          <w:rFonts w:ascii="Arial" w:hAnsi="Arial" w:cs="Arial"/>
        </w:rPr>
      </w:pPr>
    </w:p>
    <w:p w:rsidR="00DD0F75" w:rsidRDefault="00DD0F75" w:rsidP="00316996">
      <w:pPr>
        <w:spacing w:after="0" w:line="360" w:lineRule="auto"/>
        <w:ind w:left="499"/>
        <w:jc w:val="both"/>
        <w:rPr>
          <w:rFonts w:ascii="Arial" w:hAnsi="Arial" w:cs="Arial"/>
        </w:rPr>
      </w:pPr>
    </w:p>
    <w:p w:rsidR="00F34971" w:rsidRPr="00F21869" w:rsidRDefault="00F34971" w:rsidP="00316996">
      <w:pPr>
        <w:spacing w:after="0" w:line="360" w:lineRule="auto"/>
        <w:ind w:left="499"/>
        <w:jc w:val="both"/>
        <w:rPr>
          <w:rFonts w:ascii="Arial" w:hAnsi="Arial" w:cs="Arial"/>
        </w:rPr>
      </w:pPr>
    </w:p>
    <w:p w:rsidR="00441E3D" w:rsidRDefault="00441E3D">
      <w:pPr>
        <w:rPr>
          <w:rFonts w:ascii="Arial" w:eastAsiaTheme="majorEastAsia" w:hAnsi="Arial" w:cs="Arial"/>
          <w:b/>
          <w:bCs/>
          <w:sz w:val="24"/>
          <w:szCs w:val="24"/>
        </w:rPr>
      </w:pPr>
      <w:bookmarkStart w:id="19" w:name="_Toc384969091"/>
      <w:r>
        <w:rPr>
          <w:rFonts w:ascii="Arial" w:hAnsi="Arial" w:cs="Arial"/>
          <w:sz w:val="24"/>
          <w:szCs w:val="24"/>
        </w:rPr>
        <w:br w:type="page"/>
      </w:r>
    </w:p>
    <w:p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0" w:name="_Toc508630099"/>
      <w:r w:rsidRPr="007E469E">
        <w:rPr>
          <w:rFonts w:ascii="Arial" w:hAnsi="Arial" w:cs="Arial"/>
          <w:color w:val="auto"/>
          <w:sz w:val="24"/>
          <w:szCs w:val="24"/>
        </w:rPr>
        <w:lastRenderedPageBreak/>
        <w:t xml:space="preserve">Rozdział - Cel, zakres oraz obowiązywanie </w:t>
      </w:r>
      <w:bookmarkEnd w:id="19"/>
      <w:r w:rsidR="00F34971">
        <w:rPr>
          <w:rFonts w:ascii="Arial" w:hAnsi="Arial" w:cs="Arial"/>
          <w:i/>
          <w:color w:val="auto"/>
          <w:sz w:val="24"/>
          <w:szCs w:val="24"/>
        </w:rPr>
        <w:t>Katalogu</w:t>
      </w:r>
      <w:bookmarkEnd w:id="20"/>
    </w:p>
    <w:p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F34971">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F34971">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dotycz</w:t>
      </w:r>
      <w:r w:rsidR="00F34971">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F34971">
        <w:rPr>
          <w:rFonts w:ascii="Arial" w:eastAsia="Times New Roman" w:hAnsi="Arial" w:cs="Times New Roman"/>
          <w:szCs w:val="24"/>
          <w:lang w:eastAsia="pl-PL"/>
        </w:rPr>
        <w:t xml:space="preserve">I osi priorytetowej </w:t>
      </w:r>
      <w:r w:rsidR="00D86371" w:rsidRPr="00B81671">
        <w:rPr>
          <w:rFonts w:ascii="Arial" w:eastAsia="Times New Roman" w:hAnsi="Arial" w:cs="Times New Roman"/>
          <w:szCs w:val="24"/>
          <w:lang w:eastAsia="pl-PL"/>
        </w:rPr>
        <w:t>Programu</w:t>
      </w:r>
      <w:r w:rsidRPr="00B81671">
        <w:rPr>
          <w:rFonts w:ascii="Arial" w:eastAsia="Times New Roman" w:hAnsi="Arial" w:cs="Times New Roman"/>
          <w:szCs w:val="24"/>
          <w:lang w:eastAsia="pl-PL"/>
        </w:rPr>
        <w:t xml:space="preserve"> Operacyjnego Polska Cyfrowa 2014-2020</w:t>
      </w:r>
      <w:r w:rsidR="00F34971">
        <w:rPr>
          <w:rFonts w:ascii="Arial" w:eastAsia="Times New Roman" w:hAnsi="Arial" w:cs="Times New Roman"/>
          <w:szCs w:val="24"/>
          <w:lang w:eastAsia="pl-PL"/>
        </w:rPr>
        <w:t xml:space="preserve">. Rozdział 4 niniejszego dokumentu </w:t>
      </w:r>
      <w:r w:rsidR="00104059">
        <w:rPr>
          <w:rFonts w:ascii="Arial" w:eastAsia="Times New Roman" w:hAnsi="Arial" w:cs="Times New Roman"/>
          <w:szCs w:val="24"/>
          <w:lang w:eastAsia="pl-PL"/>
        </w:rPr>
        <w:t xml:space="preserve">zawiera listę wydatków kwalifikowalnych </w:t>
      </w:r>
      <w:r w:rsidR="007F6138">
        <w:rPr>
          <w:rFonts w:ascii="Arial" w:eastAsia="Times New Roman" w:hAnsi="Arial" w:cs="Times New Roman"/>
          <w:szCs w:val="24"/>
          <w:lang w:eastAsia="pl-PL"/>
        </w:rPr>
        <w:t>oraz</w:t>
      </w:r>
      <w:r w:rsidR="00104059">
        <w:rPr>
          <w:rFonts w:ascii="Arial" w:eastAsia="Times New Roman" w:hAnsi="Arial" w:cs="Times New Roman"/>
          <w:szCs w:val="24"/>
          <w:lang w:eastAsia="pl-PL"/>
        </w:rPr>
        <w:t xml:space="preserve"> niekwalifikowalnych dla poszczególnych naborów organizowanych w ramach działania 1.1 POPC. </w:t>
      </w:r>
      <w:r w:rsidRPr="00B81671">
        <w:rPr>
          <w:rFonts w:ascii="Arial" w:eastAsia="Times New Roman" w:hAnsi="Arial" w:cs="Times New Roman"/>
          <w:szCs w:val="24"/>
          <w:lang w:eastAsia="pl-PL"/>
        </w:rPr>
        <w:t xml:space="preserve"> </w:t>
      </w:r>
    </w:p>
    <w:p w:rsidR="00E678C0" w:rsidRPr="00B81671" w:rsidRDefault="00104059"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00F510FD"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jest</w:t>
      </w:r>
      <w:r w:rsidR="00F510FD" w:rsidRPr="00B81671">
        <w:rPr>
          <w:rFonts w:ascii="Arial" w:eastAsia="Times New Roman" w:hAnsi="Arial" w:cs="Times New Roman"/>
          <w:szCs w:val="24"/>
          <w:lang w:eastAsia="pl-PL"/>
        </w:rPr>
        <w:t xml:space="preserve"> 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F510FD" w:rsidRPr="00B81671">
        <w:rPr>
          <w:rFonts w:ascii="Arial" w:eastAsia="Times New Roman" w:hAnsi="Arial" w:cs="Times New Roman"/>
          <w:i/>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Programu Operacyjnego Polska Cyfrowa 2014-2020.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Pr>
          <w:rFonts w:ascii="Arial" w:eastAsia="Times New Roman" w:hAnsi="Arial" w:cs="Times New Roman"/>
          <w:b/>
          <w:i/>
          <w:szCs w:val="24"/>
          <w:lang w:eastAsia="pl-PL"/>
        </w:rPr>
        <w:t>Katalog</w:t>
      </w:r>
      <w:r w:rsidR="00F9200B" w:rsidRPr="00B81671">
        <w:rPr>
          <w:rFonts w:ascii="Arial" w:eastAsia="Times New Roman" w:hAnsi="Arial" w:cs="Times New Roman"/>
          <w:b/>
          <w:szCs w:val="24"/>
          <w:lang w:eastAsia="pl-PL"/>
        </w:rPr>
        <w:t xml:space="preserve"> są komplementarne i należy je stosować łącznie.</w:t>
      </w:r>
    </w:p>
    <w:p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Zakres </w:t>
      </w:r>
      <w:r w:rsidR="00104059" w:rsidRPr="00B81671">
        <w:rPr>
          <w:rFonts w:ascii="Arial" w:eastAsia="Times New Roman" w:hAnsi="Arial" w:cs="Times New Roman"/>
          <w:szCs w:val="24"/>
          <w:lang w:eastAsia="pl-PL"/>
        </w:rPr>
        <w:t>niniejsz</w:t>
      </w:r>
      <w:r w:rsidR="00104059">
        <w:rPr>
          <w:rFonts w:ascii="Arial" w:eastAsia="Times New Roman" w:hAnsi="Arial" w:cs="Times New Roman"/>
          <w:szCs w:val="24"/>
          <w:lang w:eastAsia="pl-PL"/>
        </w:rPr>
        <w:t>ego</w:t>
      </w:r>
      <w:r w:rsidR="00104059" w:rsidRPr="00B81671">
        <w:rPr>
          <w:rFonts w:ascii="Arial" w:eastAsia="Times New Roman" w:hAnsi="Arial" w:cs="Times New Roman"/>
          <w:szCs w:val="24"/>
          <w:lang w:eastAsia="pl-PL"/>
        </w:rPr>
        <w:t xml:space="preserve"> </w:t>
      </w:r>
      <w:r w:rsidR="00104059">
        <w:rPr>
          <w:rFonts w:ascii="Arial" w:eastAsia="Times New Roman" w:hAnsi="Arial" w:cs="Times New Roman"/>
          <w:i/>
          <w:szCs w:val="24"/>
          <w:lang w:eastAsia="pl-PL"/>
        </w:rPr>
        <w:t>Katalogu</w:t>
      </w:r>
      <w:r w:rsidRPr="00B81671">
        <w:rPr>
          <w:rFonts w:ascii="Arial" w:eastAsia="Times New Roman" w:hAnsi="Arial" w:cs="Times New Roman"/>
          <w:szCs w:val="24"/>
          <w:lang w:eastAsia="pl-PL"/>
        </w:rPr>
        <w:t xml:space="preserve"> 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rsidR="00A265AD" w:rsidRPr="00B81671" w:rsidRDefault="00A265AD" w:rsidP="0030426E">
      <w:pPr>
        <w:keepNext/>
        <w:numPr>
          <w:ilvl w:val="0"/>
          <w:numId w:val="4"/>
        </w:numPr>
        <w:spacing w:before="120" w:after="120" w:line="360" w:lineRule="auto"/>
        <w:ind w:left="403" w:hanging="403"/>
        <w:jc w:val="both"/>
        <w:outlineLvl w:val="5"/>
        <w:rPr>
          <w:rFonts w:ascii="Arial" w:eastAsia="Times New Roman" w:hAnsi="Arial" w:cs="Arial"/>
          <w:lang w:eastAsia="pl-PL"/>
        </w:rPr>
      </w:pPr>
      <w:r w:rsidRPr="00B81671">
        <w:rPr>
          <w:rFonts w:ascii="Arial" w:hAnsi="Arial" w:cs="Arial"/>
          <w:color w:val="000000"/>
        </w:rPr>
        <w:t xml:space="preserve">W przypadku projektów objętych zasadami pomocy publicznej w rozumieniu </w:t>
      </w:r>
      <w:r w:rsidR="009679E0" w:rsidRPr="00B81671">
        <w:rPr>
          <w:rFonts w:ascii="Arial" w:hAnsi="Arial" w:cs="Arial"/>
          <w:color w:val="000000"/>
        </w:rPr>
        <w:t xml:space="preserve">art. 107 </w:t>
      </w:r>
      <w:r w:rsidRPr="00B81671">
        <w:rPr>
          <w:rFonts w:ascii="Arial" w:hAnsi="Arial" w:cs="Arial"/>
          <w:color w:val="000000"/>
        </w:rPr>
        <w:t xml:space="preserve">Traktatu o funkcjonowaniu Unii Europejskiej, za kwalifikowalne mogą być uznane tylko te wydatki, które spełniają łącznie warunki określone w </w:t>
      </w:r>
      <w:r w:rsidRPr="00B81671">
        <w:rPr>
          <w:rFonts w:ascii="Arial" w:hAnsi="Arial" w:cs="Arial"/>
          <w:i/>
          <w:color w:val="000000"/>
        </w:rPr>
        <w:t>Wytycznych</w:t>
      </w:r>
      <w:r w:rsidR="008B1037" w:rsidRPr="00B81671">
        <w:rPr>
          <w:rFonts w:ascii="Arial" w:hAnsi="Arial" w:cs="Arial"/>
          <w:i/>
          <w:color w:val="000000"/>
        </w:rPr>
        <w:t xml:space="preserve"> </w:t>
      </w:r>
      <w:r w:rsidR="008B1037" w:rsidRPr="00B81671">
        <w:rPr>
          <w:rFonts w:ascii="Arial" w:hAnsi="Arial" w:cs="Arial"/>
          <w:color w:val="000000"/>
        </w:rPr>
        <w:t xml:space="preserve">i </w:t>
      </w:r>
      <w:r w:rsidR="00104059" w:rsidRPr="00B81671">
        <w:rPr>
          <w:rFonts w:ascii="Arial" w:hAnsi="Arial" w:cs="Arial"/>
          <w:i/>
          <w:color w:val="000000"/>
        </w:rPr>
        <w:t>niniejsz</w:t>
      </w:r>
      <w:r w:rsidR="00D97006">
        <w:rPr>
          <w:rFonts w:ascii="Arial" w:hAnsi="Arial" w:cs="Arial"/>
          <w:i/>
          <w:color w:val="000000"/>
        </w:rPr>
        <w:t>ym</w:t>
      </w:r>
      <w:r w:rsidR="00104059" w:rsidRPr="00B81671">
        <w:rPr>
          <w:rFonts w:ascii="Arial" w:hAnsi="Arial" w:cs="Arial"/>
          <w:i/>
          <w:color w:val="000000"/>
        </w:rPr>
        <w:t xml:space="preserve"> </w:t>
      </w:r>
      <w:r w:rsidR="00104059">
        <w:rPr>
          <w:rFonts w:ascii="Arial" w:hAnsi="Arial" w:cs="Arial"/>
          <w:i/>
          <w:color w:val="000000"/>
        </w:rPr>
        <w:t>Katalogu</w:t>
      </w:r>
      <w:r w:rsidRPr="00B81671">
        <w:rPr>
          <w:rFonts w:ascii="Arial" w:hAnsi="Arial" w:cs="Arial"/>
          <w:color w:val="000000"/>
        </w:rPr>
        <w:t xml:space="preserve"> i warunki wynikające z odpowiednich regulacji w zakresie pomocy publicznej, przyjętych na poziomie unijnym lub krajowym. Dla celów </w:t>
      </w:r>
      <w:r w:rsidR="00104059">
        <w:rPr>
          <w:rFonts w:ascii="Arial" w:hAnsi="Arial" w:cs="Arial"/>
          <w:i/>
          <w:color w:val="000000"/>
        </w:rPr>
        <w:t>Katalogu</w:t>
      </w:r>
      <w:r w:rsidR="00104059" w:rsidRPr="00B81671">
        <w:rPr>
          <w:rFonts w:ascii="Arial" w:hAnsi="Arial" w:cs="Arial"/>
          <w:color w:val="000000"/>
        </w:rPr>
        <w:t xml:space="preserve"> </w:t>
      </w:r>
      <w:r w:rsidRPr="00B81671">
        <w:rPr>
          <w:rFonts w:ascii="Arial" w:hAnsi="Arial" w:cs="Arial"/>
          <w:color w:val="000000"/>
        </w:rPr>
        <w:t xml:space="preserve">uznaje się, że pomoc publiczna obejmuje także pomoc </w:t>
      </w:r>
      <w:r w:rsidRPr="00B81671">
        <w:rPr>
          <w:rFonts w:ascii="Arial" w:hAnsi="Arial" w:cs="Arial"/>
          <w:i/>
          <w:color w:val="000000"/>
        </w:rPr>
        <w:t xml:space="preserve">de </w:t>
      </w:r>
      <w:proofErr w:type="spellStart"/>
      <w:r w:rsidRPr="00B81671">
        <w:rPr>
          <w:rFonts w:ascii="Arial" w:hAnsi="Arial" w:cs="Arial"/>
          <w:i/>
          <w:color w:val="000000"/>
        </w:rPr>
        <w:t>minimis</w:t>
      </w:r>
      <w:proofErr w:type="spellEnd"/>
      <w:r w:rsidRPr="00B81671">
        <w:rPr>
          <w:rFonts w:ascii="Arial" w:hAnsi="Arial" w:cs="Arial"/>
          <w:color w:val="000000"/>
        </w:rPr>
        <w:t xml:space="preserve">, o której mowa w rozporządzeniu Komisji (UE) nr 1407/2013 z dnia 18 grudnia 2013 r. w sprawie stosowania art. 107 i 108 Traktatu o funkcjonowaniu Unii Europejskiej do pomocy de </w:t>
      </w:r>
      <w:proofErr w:type="spellStart"/>
      <w:r w:rsidRPr="00B81671">
        <w:rPr>
          <w:rFonts w:ascii="Arial" w:hAnsi="Arial" w:cs="Arial"/>
          <w:color w:val="000000"/>
        </w:rPr>
        <w:t>minimis</w:t>
      </w:r>
      <w:proofErr w:type="spellEnd"/>
      <w:r w:rsidRPr="00B81671">
        <w:rPr>
          <w:rFonts w:ascii="Arial" w:hAnsi="Arial" w:cs="Arial"/>
          <w:color w:val="000000"/>
        </w:rPr>
        <w:t xml:space="preserve"> (Dz. Urz. UE L nr 352 z 24.12.2013 r., str. 1-8) oraz w rozporządzeniu Komisji (UE) nr 360/2012 z dnia 25 kwietnia 2012 r. w sprawie stosowania art. 107 i 108 Traktatu o funkcjonowaniu Unii Europejskiej do pomocy de </w:t>
      </w:r>
      <w:proofErr w:type="spellStart"/>
      <w:r w:rsidRPr="00B81671">
        <w:rPr>
          <w:rFonts w:ascii="Arial" w:hAnsi="Arial" w:cs="Arial"/>
          <w:color w:val="000000"/>
        </w:rPr>
        <w:t>minimis</w:t>
      </w:r>
      <w:proofErr w:type="spellEnd"/>
      <w:r w:rsidRPr="00B81671">
        <w:rPr>
          <w:rFonts w:ascii="Arial" w:hAnsi="Arial" w:cs="Arial"/>
          <w:color w:val="000000"/>
        </w:rPr>
        <w:t xml:space="preserve"> przyznawanej przedsiębiorstwom wykonującym usługi świadczone w ogólnym interesie gospodarczym (Dz. Urz. UE L nr 114 z 26.04.2012 r., str. 8-13).</w:t>
      </w:r>
    </w:p>
    <w:p w:rsidR="00F510FD" w:rsidRPr="00B81671" w:rsidRDefault="00F510FD" w:rsidP="0030426E">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Kategorie beneficjentów, którzy mogą ubiegać się o dofinansowanie w ramach </w:t>
      </w:r>
      <w:r w:rsidR="00104059">
        <w:rPr>
          <w:rFonts w:ascii="Arial" w:eastAsia="Times New Roman" w:hAnsi="Arial" w:cs="Times New Roman"/>
          <w:szCs w:val="24"/>
          <w:lang w:eastAsia="pl-PL"/>
        </w:rPr>
        <w:t xml:space="preserve">I osi priorytetowej </w:t>
      </w:r>
      <w:r w:rsidRPr="00B81671">
        <w:rPr>
          <w:rFonts w:ascii="Arial" w:eastAsia="Times New Roman" w:hAnsi="Arial" w:cs="Times New Roman"/>
          <w:szCs w:val="24"/>
          <w:lang w:eastAsia="pl-PL"/>
        </w:rPr>
        <w:t>POPC określa SZ</w:t>
      </w:r>
      <w:r w:rsidR="0069677D" w:rsidRPr="00B81671">
        <w:rPr>
          <w:rFonts w:ascii="Arial" w:eastAsia="Times New Roman" w:hAnsi="Arial" w:cs="Times New Roman"/>
          <w:szCs w:val="24"/>
          <w:lang w:eastAsia="pl-PL"/>
        </w:rPr>
        <w:t>O</w:t>
      </w:r>
      <w:r w:rsidRPr="00B81671">
        <w:rPr>
          <w:rFonts w:ascii="Arial" w:eastAsia="Times New Roman" w:hAnsi="Arial" w:cs="Times New Roman"/>
          <w:szCs w:val="24"/>
          <w:lang w:eastAsia="pl-PL"/>
        </w:rPr>
        <w:t>OP</w:t>
      </w:r>
      <w:r w:rsidRPr="00B81671">
        <w:rPr>
          <w:rFonts w:ascii="Arial" w:eastAsia="Times New Roman" w:hAnsi="Arial" w:cs="Times New Roman"/>
          <w:i/>
          <w:snapToGrid w:val="0"/>
          <w:szCs w:val="24"/>
          <w:lang w:eastAsia="pl-PL"/>
        </w:rPr>
        <w:t>.</w:t>
      </w:r>
    </w:p>
    <w:p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104059">
        <w:rPr>
          <w:rFonts w:ascii="Arial" w:eastAsia="MS Mincho" w:hAnsi="Arial" w:cs="Arial"/>
          <w:i/>
          <w:lang w:eastAsia="ja-JP"/>
        </w:rPr>
        <w:t>Katalogu</w:t>
      </w:r>
      <w:r w:rsidRPr="00B81671">
        <w:rPr>
          <w:rFonts w:ascii="Arial" w:eastAsia="MS Mincho" w:hAnsi="Arial" w:cs="Arial"/>
          <w:lang w:eastAsia="ja-JP"/>
        </w:rPr>
        <w:t xml:space="preserve"> 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lastRenderedPageBreak/>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 interpretację, informuje o tym fakcie IP POPC, a następnie przekazuje jej – do wiadomości, udzieloną odpowiedź</w:t>
      </w:r>
      <w:r w:rsidR="006D3D7A" w:rsidRPr="00B81671">
        <w:rPr>
          <w:rFonts w:ascii="Arial" w:eastAsia="MS Mincho" w:hAnsi="Arial" w:cs="Arial"/>
          <w:lang w:eastAsia="ja-JP"/>
        </w:rPr>
        <w:t>.</w:t>
      </w:r>
      <w:bookmarkStart w:id="21" w:name="39"/>
      <w:bookmarkStart w:id="22" w:name="_Toc396130032"/>
      <w:bookmarkStart w:id="23" w:name="_Toc396130107"/>
      <w:bookmarkEnd w:id="21"/>
      <w:bookmarkEnd w:id="22"/>
      <w:bookmarkEnd w:id="23"/>
    </w:p>
    <w:p w:rsidR="00944E2A" w:rsidRDefault="00944E2A">
      <w:pPr>
        <w:rPr>
          <w:rFonts w:ascii="Arial" w:eastAsiaTheme="majorEastAsia" w:hAnsi="Arial" w:cs="Arial"/>
          <w:b/>
          <w:bCs/>
          <w:sz w:val="24"/>
          <w:szCs w:val="24"/>
        </w:rPr>
      </w:pPr>
      <w:r>
        <w:rPr>
          <w:rFonts w:ascii="Arial" w:hAnsi="Arial" w:cs="Arial"/>
          <w:sz w:val="24"/>
          <w:szCs w:val="24"/>
        </w:rPr>
        <w:br w:type="page"/>
      </w:r>
    </w:p>
    <w:p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24" w:name="_Toc508630100"/>
      <w:r w:rsidRPr="007E469E">
        <w:rPr>
          <w:rFonts w:ascii="Arial" w:hAnsi="Arial" w:cs="Arial"/>
          <w:color w:val="auto"/>
          <w:sz w:val="24"/>
          <w:szCs w:val="24"/>
        </w:rPr>
        <w:lastRenderedPageBreak/>
        <w:t>Rozdział - Wspólne warunki i procedury w zakresie kwalifikowalności wydatków</w:t>
      </w:r>
      <w:bookmarkEnd w:id="24"/>
    </w:p>
    <w:p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rsidR="0047796B" w:rsidRPr="007E469E" w:rsidRDefault="0047796B" w:rsidP="00903FFD">
      <w:pPr>
        <w:spacing w:before="120" w:after="120" w:line="360" w:lineRule="auto"/>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25" w:name="_Toc508630101"/>
      <w:r w:rsidRPr="007E469E">
        <w:rPr>
          <w:rFonts w:ascii="Arial" w:hAnsi="Arial" w:cs="Arial"/>
          <w:i/>
          <w:color w:val="auto"/>
          <w:sz w:val="24"/>
          <w:szCs w:val="24"/>
        </w:rPr>
        <w:t>Ocena kwalifikowalności wydatku.</w:t>
      </w:r>
      <w:bookmarkEnd w:id="25"/>
    </w:p>
    <w:p w:rsidR="00903FFD" w:rsidRPr="007E469E" w:rsidRDefault="00903FFD" w:rsidP="00137BC9">
      <w:pPr>
        <w:pStyle w:val="Akapitzlist"/>
        <w:numPr>
          <w:ilvl w:val="0"/>
          <w:numId w:val="11"/>
        </w:numPr>
        <w:spacing w:before="120" w:after="120" w:line="360" w:lineRule="auto"/>
        <w:jc w:val="both"/>
        <w:rPr>
          <w:rFonts w:ascii="Arial" w:hAnsi="Arial" w:cs="Arial"/>
        </w:rPr>
      </w:pPr>
      <w:r w:rsidRPr="007E469E">
        <w:rPr>
          <w:rFonts w:ascii="Arial" w:hAnsi="Arial" w:cs="Arial"/>
        </w:rPr>
        <w:t xml:space="preserve">Do oceny kwalifikowalności wydatków zastosowanie mają zasady określone w </w:t>
      </w:r>
      <w:r w:rsidRPr="007E469E">
        <w:rPr>
          <w:rFonts w:ascii="Arial" w:hAnsi="Arial" w:cs="Arial"/>
          <w:i/>
        </w:rPr>
        <w:t xml:space="preserve">Wytycznych </w:t>
      </w:r>
      <w:r w:rsidRPr="007E469E">
        <w:rPr>
          <w:rFonts w:ascii="Arial" w:hAnsi="Arial" w:cs="Arial"/>
        </w:rPr>
        <w:t>w podrozdziale 6.2 oraz w niniejszy</w:t>
      </w:r>
      <w:r w:rsidR="00E150F1">
        <w:rPr>
          <w:rFonts w:ascii="Arial" w:hAnsi="Arial" w:cs="Arial"/>
        </w:rPr>
        <w:t>m</w:t>
      </w:r>
      <w:r w:rsidRPr="007E469E">
        <w:rPr>
          <w:rFonts w:ascii="Arial" w:hAnsi="Arial" w:cs="Arial"/>
        </w:rPr>
        <w:t xml:space="preserve"> </w:t>
      </w:r>
      <w:r w:rsidR="00E150F1">
        <w:rPr>
          <w:rFonts w:ascii="Arial" w:hAnsi="Arial" w:cs="Arial"/>
          <w:i/>
        </w:rPr>
        <w:t>Katalogu</w:t>
      </w:r>
      <w:r w:rsidRPr="007E469E">
        <w:rPr>
          <w:rFonts w:ascii="Arial" w:hAnsi="Arial" w:cs="Arial"/>
        </w:rPr>
        <w:t>.</w:t>
      </w:r>
    </w:p>
    <w:p w:rsidR="002D3F7E" w:rsidRPr="00B81671" w:rsidRDefault="00AC0BF2" w:rsidP="00137BC9">
      <w:pPr>
        <w:keepNext/>
        <w:numPr>
          <w:ilvl w:val="0"/>
          <w:numId w:val="11"/>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Ponoszone wydatki mogą stanowić wydatek kwalifikowalny w ramach </w:t>
      </w:r>
      <w:r w:rsidR="00E150F1">
        <w:rPr>
          <w:rFonts w:ascii="Arial" w:eastAsia="Times New Roman" w:hAnsi="Arial" w:cs="Times New Roman"/>
          <w:szCs w:val="24"/>
          <w:lang w:eastAsia="pl-PL"/>
        </w:rPr>
        <w:t xml:space="preserve">I osi priorytetowej </w:t>
      </w:r>
      <w:r w:rsidRPr="00B81671">
        <w:rPr>
          <w:rFonts w:ascii="Arial" w:eastAsia="Times New Roman" w:hAnsi="Arial" w:cs="Times New Roman"/>
          <w:szCs w:val="24"/>
          <w:lang w:eastAsia="pl-PL"/>
        </w:rPr>
        <w:t xml:space="preserve">POPC, o ile mieszczą się w wykazach wydatków kwalifikowalnych zamieszczonych w </w:t>
      </w:r>
      <w:r w:rsidR="00E150F1">
        <w:rPr>
          <w:rFonts w:ascii="Arial" w:eastAsia="Times New Roman" w:hAnsi="Arial" w:cs="Times New Roman"/>
          <w:szCs w:val="24"/>
          <w:lang w:eastAsia="pl-PL"/>
        </w:rPr>
        <w:t xml:space="preserve">rozdziale 4 niniejszego </w:t>
      </w:r>
      <w:r w:rsidR="00E150F1">
        <w:rPr>
          <w:rFonts w:ascii="Arial" w:eastAsia="Times New Roman" w:hAnsi="Arial" w:cs="Times New Roman"/>
          <w:i/>
          <w:szCs w:val="24"/>
          <w:lang w:eastAsia="pl-PL"/>
        </w:rPr>
        <w:t>Katalogu</w:t>
      </w:r>
      <w:r w:rsidRPr="00B81671">
        <w:rPr>
          <w:rFonts w:ascii="Arial" w:eastAsia="Times New Roman" w:hAnsi="Arial" w:cs="Times New Roman"/>
          <w:szCs w:val="24"/>
          <w:lang w:eastAsia="pl-PL"/>
        </w:rPr>
        <w:t>.</w:t>
      </w:r>
      <w:r w:rsidR="002520B8" w:rsidRPr="00B81671">
        <w:rPr>
          <w:rFonts w:ascii="Arial" w:eastAsia="Times New Roman" w:hAnsi="Arial" w:cs="Times New Roman"/>
          <w:szCs w:val="24"/>
          <w:lang w:eastAsia="pl-PL"/>
        </w:rPr>
        <w:t xml:space="preserve"> </w:t>
      </w:r>
    </w:p>
    <w:p w:rsidR="00AC0BF2" w:rsidRPr="00B81671" w:rsidRDefault="002520B8" w:rsidP="00137BC9">
      <w:pPr>
        <w:keepNext/>
        <w:numPr>
          <w:ilvl w:val="0"/>
          <w:numId w:val="11"/>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udzielaną na podstawie programu pomocowego, warunkiem kwalifikowalności wydatku jest również jego zgodność z programem pomocowym. </w:t>
      </w:r>
    </w:p>
    <w:p w:rsidR="00903FFD" w:rsidRPr="007E469E" w:rsidRDefault="00903FFD" w:rsidP="00903FFD">
      <w:pPr>
        <w:spacing w:after="0" w:line="240" w:lineRule="auto"/>
        <w:rPr>
          <w:rFonts w:ascii="Arial" w:eastAsia="Times New Roman" w:hAnsi="Arial" w:cs="Times New Roman"/>
          <w:bCs/>
          <w:sz w:val="18"/>
          <w:szCs w:val="18"/>
          <w:lang w:eastAsia="pl-P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26" w:name="_Toc508630102"/>
      <w:r w:rsidRPr="007E469E">
        <w:rPr>
          <w:rFonts w:ascii="Arial" w:hAnsi="Arial" w:cs="Arial"/>
          <w:i/>
          <w:color w:val="auto"/>
          <w:sz w:val="24"/>
          <w:szCs w:val="24"/>
        </w:rPr>
        <w:t>Wydatki niekwalifikowalne</w:t>
      </w:r>
      <w:bookmarkEnd w:id="26"/>
    </w:p>
    <w:p w:rsidR="00903FFD" w:rsidRPr="007E469E" w:rsidRDefault="00903FFD" w:rsidP="00137BC9">
      <w:pPr>
        <w:pStyle w:val="Akapitzlist"/>
        <w:numPr>
          <w:ilvl w:val="0"/>
          <w:numId w:val="13"/>
        </w:numPr>
        <w:spacing w:before="120" w:after="120" w:line="360" w:lineRule="auto"/>
        <w:jc w:val="both"/>
        <w:rPr>
          <w:rFonts w:ascii="Arial" w:hAnsi="Arial" w:cs="Arial"/>
        </w:rPr>
      </w:pPr>
      <w:r w:rsidRPr="007E469E">
        <w:rPr>
          <w:rFonts w:ascii="Arial" w:hAnsi="Arial" w:cs="Arial"/>
        </w:rPr>
        <w:t xml:space="preserve">Do współfinansowania nie kwalifikują się wszelkie wydatki niezgodne z </w:t>
      </w:r>
      <w:r w:rsidRPr="007E469E">
        <w:rPr>
          <w:rFonts w:ascii="Arial" w:hAnsi="Arial" w:cs="Arial"/>
          <w:i/>
        </w:rPr>
        <w:t>Wytycznymi</w:t>
      </w:r>
      <w:r w:rsidRPr="007E469E">
        <w:rPr>
          <w:rFonts w:ascii="Arial" w:hAnsi="Arial" w:cs="Arial"/>
        </w:rPr>
        <w:t xml:space="preserve"> oraz wydatki wyłączone z kwalifikowalności poprzez odpowiednie zapisy </w:t>
      </w:r>
      <w:r w:rsidRPr="007E469E">
        <w:rPr>
          <w:rFonts w:ascii="Arial" w:hAnsi="Arial" w:cs="Arial"/>
          <w:i/>
        </w:rPr>
        <w:t>Wytycznych</w:t>
      </w:r>
      <w:r w:rsidRPr="007E469E">
        <w:rPr>
          <w:rFonts w:ascii="Arial" w:hAnsi="Arial" w:cs="Arial"/>
        </w:rPr>
        <w:t xml:space="preserve">. </w:t>
      </w:r>
    </w:p>
    <w:p w:rsidR="00903FFD" w:rsidRPr="00B81671" w:rsidRDefault="00903FFD" w:rsidP="00137BC9">
      <w:pPr>
        <w:pStyle w:val="Akapitzlist"/>
        <w:numPr>
          <w:ilvl w:val="0"/>
          <w:numId w:val="13"/>
        </w:numPr>
        <w:spacing w:before="120" w:after="120" w:line="360" w:lineRule="auto"/>
        <w:jc w:val="both"/>
        <w:rPr>
          <w:rFonts w:ascii="Arial" w:hAnsi="Arial" w:cs="Arial"/>
        </w:rPr>
      </w:pPr>
      <w:r w:rsidRPr="00B81671">
        <w:rPr>
          <w:rFonts w:ascii="Arial" w:hAnsi="Arial" w:cs="Arial"/>
        </w:rPr>
        <w:t xml:space="preserve">Do współfinansowania nie kwalifikują się również wszelkie wydatki niezgodne z </w:t>
      </w:r>
      <w:r w:rsidR="00F23948" w:rsidRPr="00B81671">
        <w:rPr>
          <w:rFonts w:ascii="Arial" w:hAnsi="Arial" w:cs="Arial"/>
        </w:rPr>
        <w:t xml:space="preserve">niniejszym </w:t>
      </w:r>
      <w:r w:rsidR="00E150F1">
        <w:rPr>
          <w:rFonts w:ascii="Arial" w:hAnsi="Arial" w:cs="Arial"/>
          <w:i/>
        </w:rPr>
        <w:t>Katalogiem</w:t>
      </w:r>
      <w:r w:rsidRPr="00B81671">
        <w:rPr>
          <w:rFonts w:ascii="Arial" w:hAnsi="Arial" w:cs="Arial"/>
        </w:rPr>
        <w:t xml:space="preserve"> oraz wydatki wyłączone z kwalifikowalności poprzez odpowiednie zapisy</w:t>
      </w:r>
      <w:r w:rsidR="00CE07AA" w:rsidRPr="00B81671">
        <w:rPr>
          <w:rFonts w:ascii="Arial" w:hAnsi="Arial" w:cs="Arial"/>
        </w:rPr>
        <w:t xml:space="preserve"> </w:t>
      </w:r>
      <w:r w:rsidR="00E150F1" w:rsidRPr="00B81671">
        <w:rPr>
          <w:rFonts w:ascii="Arial" w:hAnsi="Arial" w:cs="Arial"/>
        </w:rPr>
        <w:t>niniejsz</w:t>
      </w:r>
      <w:r w:rsidR="00E150F1">
        <w:rPr>
          <w:rFonts w:ascii="Arial" w:hAnsi="Arial" w:cs="Arial"/>
        </w:rPr>
        <w:t>ego</w:t>
      </w:r>
      <w:r w:rsidR="00E150F1" w:rsidRPr="00B81671">
        <w:rPr>
          <w:rFonts w:ascii="Arial" w:hAnsi="Arial" w:cs="Arial"/>
        </w:rPr>
        <w:t xml:space="preserve"> </w:t>
      </w:r>
      <w:r w:rsidR="00E150F1">
        <w:rPr>
          <w:rFonts w:ascii="Arial" w:hAnsi="Arial" w:cs="Arial"/>
          <w:i/>
        </w:rPr>
        <w:t>Katalogu</w:t>
      </w:r>
      <w:r w:rsidR="00386929" w:rsidRPr="00B81671">
        <w:rPr>
          <w:rFonts w:ascii="Arial" w:hAnsi="Arial" w:cs="Arial"/>
          <w:i/>
        </w:rPr>
        <w:t xml:space="preserve">, </w:t>
      </w:r>
      <w:r w:rsidR="00386929" w:rsidRPr="00B81671">
        <w:rPr>
          <w:rFonts w:ascii="Arial" w:hAnsi="Arial" w:cs="Arial"/>
        </w:rPr>
        <w:t>Regulaminu konkursu</w:t>
      </w:r>
      <w:r w:rsidRPr="00B81671">
        <w:rPr>
          <w:rFonts w:ascii="Arial" w:hAnsi="Arial" w:cs="Arial"/>
        </w:rPr>
        <w:t xml:space="preserve"> lub umowy o dofinansowanie</w:t>
      </w:r>
      <w:r w:rsidR="00701B4A" w:rsidRPr="00B81671">
        <w:rPr>
          <w:rFonts w:ascii="Arial" w:hAnsi="Arial" w:cs="Arial"/>
        </w:rPr>
        <w:t xml:space="preserve"> projektu</w:t>
      </w:r>
      <w:r w:rsidRPr="00B81671">
        <w:rPr>
          <w:rFonts w:ascii="Arial" w:hAnsi="Arial" w:cs="Arial"/>
        </w:rPr>
        <w:t xml:space="preserve">. Listy wydatków wyłączonych przez IZ POPC z kwalifikowalności w ramach poszczególnych </w:t>
      </w:r>
      <w:r w:rsidR="00E150F1">
        <w:rPr>
          <w:rFonts w:ascii="Arial" w:hAnsi="Arial" w:cs="Arial"/>
        </w:rPr>
        <w:t>naborów w ramach działania 1.1</w:t>
      </w:r>
      <w:r w:rsidRPr="00B81671">
        <w:rPr>
          <w:rFonts w:ascii="Arial" w:hAnsi="Arial" w:cs="Arial"/>
        </w:rPr>
        <w:t xml:space="preserve"> POPC znajdują się w </w:t>
      </w:r>
      <w:r w:rsidR="00E150F1">
        <w:rPr>
          <w:rFonts w:ascii="Arial" w:hAnsi="Arial" w:cs="Arial"/>
        </w:rPr>
        <w:t xml:space="preserve">rozdziale 4 </w:t>
      </w:r>
      <w:r w:rsidRPr="00B81671">
        <w:rPr>
          <w:rFonts w:ascii="Arial" w:hAnsi="Arial" w:cs="Arial"/>
        </w:rPr>
        <w:t>niniejsz</w:t>
      </w:r>
      <w:r w:rsidR="00E150F1">
        <w:rPr>
          <w:rFonts w:ascii="Arial" w:hAnsi="Arial" w:cs="Arial"/>
        </w:rPr>
        <w:t>ego</w:t>
      </w:r>
      <w:r w:rsidRPr="00B81671">
        <w:rPr>
          <w:rFonts w:ascii="Arial" w:hAnsi="Arial" w:cs="Arial"/>
        </w:rPr>
        <w:t xml:space="preserve"> </w:t>
      </w:r>
      <w:r w:rsidR="00E150F1">
        <w:rPr>
          <w:rFonts w:ascii="Arial" w:hAnsi="Arial" w:cs="Arial"/>
          <w:i/>
        </w:rPr>
        <w:t>Katalogu</w:t>
      </w:r>
      <w:r w:rsidRPr="00B81671">
        <w:rPr>
          <w:rFonts w:ascii="Arial" w:hAnsi="Arial" w:cs="Arial"/>
        </w:rPr>
        <w:t>.</w:t>
      </w:r>
    </w:p>
    <w:p w:rsidR="00903FFD" w:rsidRPr="007E469E" w:rsidRDefault="00903FFD" w:rsidP="00903FFD">
      <w:pPr>
        <w:pStyle w:val="Akapitzlist"/>
        <w:spacing w:before="120" w:after="12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27" w:name="_Toc508630103"/>
      <w:r w:rsidRPr="00B81671">
        <w:rPr>
          <w:rFonts w:ascii="Arial" w:hAnsi="Arial" w:cs="Arial"/>
          <w:i/>
          <w:color w:val="auto"/>
          <w:sz w:val="24"/>
          <w:szCs w:val="24"/>
        </w:rPr>
        <w:t>Zasada faktycznego poniesienia wydatku</w:t>
      </w:r>
      <w:bookmarkEnd w:id="27"/>
    </w:p>
    <w:p w:rsidR="00903FFD" w:rsidRPr="00B81671" w:rsidRDefault="00903FFD"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 xml:space="preserve">w podrozdziale 6.4 oraz w </w:t>
      </w:r>
      <w:r w:rsidR="00E150F1" w:rsidRPr="00B81671">
        <w:rPr>
          <w:rFonts w:ascii="Arial" w:hAnsi="Arial" w:cs="Arial"/>
        </w:rPr>
        <w:t>niniejszy</w:t>
      </w:r>
      <w:r w:rsidR="00E150F1">
        <w:rPr>
          <w:rFonts w:ascii="Arial" w:hAnsi="Arial" w:cs="Arial"/>
        </w:rPr>
        <w:t>m</w:t>
      </w:r>
      <w:r w:rsidR="00E150F1" w:rsidRPr="00B81671">
        <w:rPr>
          <w:rFonts w:ascii="Arial" w:hAnsi="Arial" w:cs="Arial"/>
        </w:rPr>
        <w:t xml:space="preserve"> </w:t>
      </w:r>
      <w:r w:rsidR="00E150F1">
        <w:rPr>
          <w:rFonts w:ascii="Arial" w:hAnsi="Arial" w:cs="Arial"/>
          <w:i/>
        </w:rPr>
        <w:t>Katalogu</w:t>
      </w:r>
      <w:r w:rsidRPr="00B81671">
        <w:rPr>
          <w:rFonts w:ascii="Arial" w:hAnsi="Arial" w:cs="Arial"/>
        </w:rPr>
        <w:t>.</w:t>
      </w:r>
    </w:p>
    <w:p w:rsidR="00D11C3F" w:rsidRPr="00B81671" w:rsidRDefault="00D11C3F"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 xml:space="preserve">W przypadku, gdy przewiduje to system realizacji danego działania, określony w 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ponoszenia wydatków</w:t>
      </w:r>
      <w:r w:rsidRPr="00B81671">
        <w:rPr>
          <w:rFonts w:ascii="Arial" w:hAnsi="Arial" w:cs="Arial"/>
        </w:rPr>
        <w:t xml:space="preserve">. </w:t>
      </w:r>
    </w:p>
    <w:p w:rsidR="00132869" w:rsidRPr="00B81671" w:rsidRDefault="00132869" w:rsidP="00137BC9">
      <w:pPr>
        <w:pStyle w:val="Akapitzlist"/>
        <w:numPr>
          <w:ilvl w:val="0"/>
          <w:numId w:val="14"/>
        </w:numPr>
        <w:spacing w:before="120" w:after="120" w:line="360" w:lineRule="auto"/>
        <w:ind w:left="363" w:hanging="357"/>
        <w:jc w:val="both"/>
        <w:rPr>
          <w:rFonts w:ascii="Arial" w:hAnsi="Arial" w:cs="Arial"/>
        </w:rPr>
      </w:pPr>
      <w:r w:rsidRPr="00B81671">
        <w:rPr>
          <w:rFonts w:ascii="Arial" w:hAnsi="Arial" w:cs="Arial"/>
        </w:rPr>
        <w:lastRenderedPageBreak/>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rsidR="00132869" w:rsidRPr="00B81671" w:rsidRDefault="00132869" w:rsidP="00137BC9">
      <w:pPr>
        <w:pStyle w:val="Akapitzlist"/>
        <w:numPr>
          <w:ilvl w:val="0"/>
          <w:numId w:val="14"/>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 szczególności</w:t>
      </w:r>
      <w:r w:rsidRPr="00B81671">
        <w:rPr>
          <w:rFonts w:ascii="Arial" w:hAnsi="Arial" w:cs="Arial"/>
        </w:rPr>
        <w:t>:</w:t>
      </w:r>
    </w:p>
    <w:p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z oznaczeniem zapłaty lub dokumentem księgowym o równoważnej wartości dowodowej</w:t>
      </w:r>
      <w:r w:rsidR="00C67786" w:rsidRPr="00B81671">
        <w:rPr>
          <w:rFonts w:ascii="Arial" w:hAnsi="Arial" w:cs="Arial"/>
        </w:rPr>
        <w:t>,</w:t>
      </w:r>
      <w:r w:rsidRPr="00B81671">
        <w:rPr>
          <w:rFonts w:ascii="Arial" w:hAnsi="Arial" w:cs="Arial"/>
        </w:rPr>
        <w:t xml:space="preserve"> </w:t>
      </w:r>
    </w:p>
    <w:p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 xml:space="preserve">potwierdzeniem płatności na rzecz wykonawcy w postaci wyciągu z rachunku bankowego 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Dowodem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7642B8">
        <w:rPr>
          <w:rFonts w:ascii="Arial" w:hAnsi="Arial" w:cs="Arial"/>
        </w:rPr>
        <w:t>7</w:t>
      </w:r>
      <w:r w:rsidR="00B176BD" w:rsidRPr="00B81671">
        <w:rPr>
          <w:rFonts w:ascii="Arial" w:hAnsi="Arial" w:cs="Arial"/>
        </w:rPr>
        <w:t xml:space="preserve"> r. poz. </w:t>
      </w:r>
      <w:r w:rsidRPr="00B81671">
        <w:rPr>
          <w:rFonts w:ascii="Arial" w:hAnsi="Arial" w:cs="Arial"/>
        </w:rPr>
        <w:t>1</w:t>
      </w:r>
      <w:r w:rsidR="00E54E1F">
        <w:rPr>
          <w:rFonts w:ascii="Arial" w:hAnsi="Arial" w:cs="Arial"/>
        </w:rPr>
        <w:t>8</w:t>
      </w:r>
      <w:r w:rsidR="007642B8">
        <w:rPr>
          <w:rFonts w:ascii="Arial" w:hAnsi="Arial" w:cs="Arial"/>
        </w:rPr>
        <w:t>76</w:t>
      </w:r>
      <w:r w:rsidR="0061474F" w:rsidRPr="00B81671">
        <w:rPr>
          <w:rFonts w:ascii="Arial" w:hAnsi="Arial" w:cs="Arial"/>
        </w:rPr>
        <w:t xml:space="preserve"> z </w:t>
      </w:r>
      <w:proofErr w:type="spellStart"/>
      <w:r w:rsidR="0061474F" w:rsidRPr="00B81671">
        <w:rPr>
          <w:rFonts w:ascii="Arial" w:hAnsi="Arial" w:cs="Arial"/>
        </w:rPr>
        <w:t>późn</w:t>
      </w:r>
      <w:proofErr w:type="spellEnd"/>
      <w:r w:rsidR="0061474F" w:rsidRPr="00B81671">
        <w:rPr>
          <w:rFonts w:ascii="Arial" w:hAnsi="Arial" w:cs="Arial"/>
        </w:rPr>
        <w:t>.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rsidR="00132869" w:rsidRPr="00B81671" w:rsidRDefault="00132869" w:rsidP="00137BC9">
      <w:pPr>
        <w:pStyle w:val="Akapitzlist"/>
        <w:numPr>
          <w:ilvl w:val="1"/>
          <w:numId w:val="21"/>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rsidR="00103AA7" w:rsidRPr="00B81671" w:rsidRDefault="00CB0A52" w:rsidP="00137BC9">
      <w:pPr>
        <w:pStyle w:val="Akapitzlist"/>
        <w:numPr>
          <w:ilvl w:val="1"/>
          <w:numId w:val="21"/>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rsidR="00E22797" w:rsidRPr="00B81671" w:rsidRDefault="00E22797" w:rsidP="00137BC9">
      <w:pPr>
        <w:pStyle w:val="Akapitzlist"/>
        <w:numPr>
          <w:ilvl w:val="1"/>
          <w:numId w:val="21"/>
        </w:numPr>
        <w:spacing w:before="120" w:after="120" w:line="360" w:lineRule="auto"/>
        <w:jc w:val="both"/>
        <w:rPr>
          <w:rFonts w:ascii="Arial" w:hAnsi="Arial" w:cs="Arial"/>
        </w:rPr>
      </w:pPr>
      <w:r w:rsidRPr="00B81671">
        <w:rPr>
          <w:rFonts w:ascii="Arial" w:hAnsi="Arial" w:cs="Arial"/>
        </w:rPr>
        <w:t>w przypadku zakupu używanych środków trwałych:</w:t>
      </w:r>
    </w:p>
    <w:p w:rsidR="00E22797" w:rsidRPr="00B81671" w:rsidRDefault="00E22797" w:rsidP="009E7AB2">
      <w:pPr>
        <w:pStyle w:val="Akapitzlist"/>
        <w:spacing w:before="120" w:after="120" w:line="360" w:lineRule="auto"/>
        <w:jc w:val="both"/>
        <w:rPr>
          <w:rFonts w:ascii="Arial" w:hAnsi="Arial" w:cs="Arial"/>
        </w:rPr>
      </w:pPr>
      <w:r w:rsidRPr="00B81671">
        <w:rPr>
          <w:rFonts w:ascii="Arial" w:hAnsi="Arial" w:cs="Arial"/>
        </w:rPr>
        <w:lastRenderedPageBreak/>
        <w:t xml:space="preserve">- oświadczeniem podmiotu zbywającego, </w:t>
      </w:r>
      <w:r w:rsidR="0061474F" w:rsidRPr="00B81671">
        <w:rPr>
          <w:rFonts w:ascii="Arial" w:hAnsi="Arial" w:cs="Arial"/>
        </w:rPr>
        <w:t>ż</w:t>
      </w:r>
      <w:r w:rsidRPr="00B81671">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B81671">
        <w:rPr>
          <w:rFonts w:ascii="Arial" w:hAnsi="Arial" w:cs="Arial"/>
          <w:i/>
        </w:rPr>
        <w:t xml:space="preserve">de </w:t>
      </w:r>
      <w:proofErr w:type="spellStart"/>
      <w:r w:rsidRPr="00B81671">
        <w:rPr>
          <w:rFonts w:ascii="Arial" w:hAnsi="Arial" w:cs="Arial"/>
          <w:i/>
        </w:rPr>
        <w:t>minimis</w:t>
      </w:r>
      <w:proofErr w:type="spellEnd"/>
      <w:r w:rsidRPr="00B81671">
        <w:rPr>
          <w:rFonts w:ascii="Arial" w:hAnsi="Arial" w:cs="Arial"/>
        </w:rPr>
        <w:t xml:space="preserve">, </w:t>
      </w:r>
    </w:p>
    <w:p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rsidR="007A523D" w:rsidRPr="00B81671" w:rsidRDefault="001163F6" w:rsidP="009E7AB2">
      <w:pPr>
        <w:spacing w:before="120" w:after="120" w:line="360" w:lineRule="auto"/>
        <w:ind w:left="357" w:hanging="215"/>
        <w:jc w:val="both"/>
      </w:pPr>
      <w:r w:rsidRPr="00B81671">
        <w:rPr>
          <w:rFonts w:ascii="Arial" w:hAnsi="Arial" w:cs="Arial"/>
        </w:rPr>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rsidR="00132869" w:rsidRPr="00B81671" w:rsidRDefault="00132869" w:rsidP="00137BC9">
      <w:pPr>
        <w:pStyle w:val="Akapitzlist"/>
        <w:numPr>
          <w:ilvl w:val="1"/>
          <w:numId w:val="47"/>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rsidR="007142F7" w:rsidRPr="00B81671" w:rsidRDefault="007142F7" w:rsidP="00137BC9">
      <w:pPr>
        <w:pStyle w:val="Akapitzlist"/>
        <w:numPr>
          <w:ilvl w:val="1"/>
          <w:numId w:val="47"/>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rsidR="00132869" w:rsidRPr="00B81671" w:rsidRDefault="00132869" w:rsidP="00137BC9">
      <w:pPr>
        <w:numPr>
          <w:ilvl w:val="0"/>
          <w:numId w:val="50"/>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rsidR="00132869" w:rsidRPr="00B81671" w:rsidRDefault="00132869" w:rsidP="00137BC9">
      <w:pPr>
        <w:numPr>
          <w:ilvl w:val="0"/>
          <w:numId w:val="50"/>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rsidR="00132869" w:rsidRPr="00B81671" w:rsidRDefault="00B142DE" w:rsidP="00137BC9">
      <w:pPr>
        <w:numPr>
          <w:ilvl w:val="0"/>
          <w:numId w:val="2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w:t>
      </w:r>
      <w:r w:rsidR="00F07EFC" w:rsidRPr="00B81671">
        <w:rPr>
          <w:rFonts w:ascii="Arial" w:eastAsia="Times New Roman" w:hAnsi="Arial" w:cs="Arial"/>
          <w:lang w:eastAsia="pl-PL"/>
        </w:rPr>
        <w:lastRenderedPageBreak/>
        <w:t>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rsidR="00132869" w:rsidRPr="00B81671" w:rsidRDefault="00132869" w:rsidP="00137BC9">
      <w:pPr>
        <w:numPr>
          <w:ilvl w:val="0"/>
          <w:numId w:val="2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rsidR="00132869" w:rsidRPr="00B81671" w:rsidRDefault="00132869" w:rsidP="00137BC9">
      <w:pPr>
        <w:numPr>
          <w:ilvl w:val="0"/>
          <w:numId w:val="2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rsidR="00132869" w:rsidRPr="00B81671" w:rsidRDefault="00F07EFC" w:rsidP="00137BC9">
      <w:pPr>
        <w:numPr>
          <w:ilvl w:val="0"/>
          <w:numId w:val="2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kwoty netto, składki PZU, składki i spłaty pożyczek mieszkaniowych, składki na ubezpieczenia społeczne, składki na ubezpieczenia zdrowotne, składki na Fundusz Pracy, podatek dochodowy od osób fizycznych, </w:t>
      </w:r>
    </w:p>
    <w:p w:rsidR="00C35303" w:rsidRPr="00B81671" w:rsidRDefault="00C35303" w:rsidP="00137BC9">
      <w:pPr>
        <w:numPr>
          <w:ilvl w:val="0"/>
          <w:numId w:val="2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rsidR="00C35303" w:rsidRPr="00B81671" w:rsidRDefault="00C35303" w:rsidP="00137BC9">
      <w:pPr>
        <w:numPr>
          <w:ilvl w:val="0"/>
          <w:numId w:val="2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rsidR="00C35303" w:rsidRPr="00B81671" w:rsidRDefault="00C35303" w:rsidP="00137BC9">
      <w:pPr>
        <w:numPr>
          <w:ilvl w:val="0"/>
          <w:numId w:val="2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proofErr w:type="spellStart"/>
      <w:r w:rsidR="006B7A31" w:rsidRPr="00B81671">
        <w:rPr>
          <w:rFonts w:ascii="Arial" w:eastAsia="Times New Roman" w:hAnsi="Arial" w:cs="Arial"/>
          <w:lang w:eastAsia="pl-PL"/>
        </w:rPr>
        <w:t>tiret</w:t>
      </w:r>
      <w:proofErr w:type="spellEnd"/>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rsidR="00C35303" w:rsidRPr="00B81671" w:rsidRDefault="00347890" w:rsidP="00137BC9">
      <w:pPr>
        <w:numPr>
          <w:ilvl w:val="0"/>
          <w:numId w:val="25"/>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rsidR="00132869" w:rsidRPr="00B81671" w:rsidRDefault="00132869" w:rsidP="00137BC9">
      <w:pPr>
        <w:numPr>
          <w:ilvl w:val="0"/>
          <w:numId w:val="26"/>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F623F7">
        <w:rPr>
          <w:rFonts w:ascii="Arial" w:eastAsia="Times New Roman" w:hAnsi="Arial" w:cs="Arial"/>
          <w:lang w:eastAsia="pl-PL"/>
        </w:rPr>
        <w:t>6</w:t>
      </w:r>
      <w:r w:rsidR="0052190D" w:rsidRPr="00B81671">
        <w:rPr>
          <w:rFonts w:ascii="Arial" w:eastAsia="Times New Roman" w:hAnsi="Arial" w:cs="Arial"/>
          <w:lang w:eastAsia="pl-PL"/>
        </w:rPr>
        <w:t xml:space="preserve"> r. poz. </w:t>
      </w:r>
      <w:r w:rsidR="00F623F7">
        <w:rPr>
          <w:rFonts w:ascii="Arial" w:eastAsia="Times New Roman" w:hAnsi="Arial" w:cs="Arial"/>
          <w:lang w:eastAsia="pl-PL"/>
        </w:rPr>
        <w:t>2147</w:t>
      </w:r>
      <w:r w:rsidR="0052190D" w:rsidRPr="00B81671">
        <w:rPr>
          <w:rFonts w:ascii="Arial" w:eastAsia="Times New Roman" w:hAnsi="Arial" w:cs="Arial"/>
          <w:lang w:eastAsia="pl-PL"/>
        </w:rPr>
        <w:t xml:space="preserve">, z </w:t>
      </w:r>
      <w:proofErr w:type="spellStart"/>
      <w:r w:rsidR="0052190D" w:rsidRPr="00B81671">
        <w:rPr>
          <w:rFonts w:ascii="Arial" w:eastAsia="Times New Roman" w:hAnsi="Arial" w:cs="Arial"/>
          <w:lang w:eastAsia="pl-PL"/>
        </w:rPr>
        <w:t>późn</w:t>
      </w:r>
      <w:proofErr w:type="spellEnd"/>
      <w:r w:rsidR="0052190D" w:rsidRPr="00B81671">
        <w:rPr>
          <w:rFonts w:ascii="Arial" w:eastAsia="Times New Roman" w:hAnsi="Arial" w:cs="Arial"/>
          <w:lang w:eastAsia="pl-PL"/>
        </w:rPr>
        <w:t>.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wnioskiem/poleceniem wyjazdu służbowego wraz z rozliczeniem delegacji,</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lotniczymi wystawionymi w formie papierowej lub elektronicznej, wraz z fakturami VAT i dowodami zapłaty,</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8F7E83">
        <w:rPr>
          <w:rFonts w:ascii="Arial" w:eastAsia="Times New Roman" w:hAnsi="Arial" w:cs="Arial"/>
          <w:lang w:eastAsia="pl-PL"/>
        </w:rPr>
        <w:t xml:space="preserve"> i przejazdach</w:t>
      </w:r>
      <w:r w:rsidRPr="00B81671">
        <w:rPr>
          <w:rFonts w:ascii="Arial" w:eastAsia="Times New Roman" w:hAnsi="Arial" w:cs="Arial"/>
          <w:lang w:eastAsia="pl-PL"/>
        </w:rPr>
        <w:t>,</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rsidR="00C35285" w:rsidRPr="00B81671" w:rsidRDefault="00C35285"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8F7E83">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rsidR="000D309A" w:rsidRPr="00B81671" w:rsidRDefault="000D309A"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rsidR="00132869" w:rsidRPr="00B81671" w:rsidRDefault="000D309A" w:rsidP="00137BC9">
      <w:pPr>
        <w:numPr>
          <w:ilvl w:val="0"/>
          <w:numId w:val="48"/>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rsidR="00132869" w:rsidRPr="00B81671" w:rsidRDefault="00132869" w:rsidP="00137BC9">
      <w:pPr>
        <w:pStyle w:val="Akapitzlist"/>
        <w:numPr>
          <w:ilvl w:val="0"/>
          <w:numId w:val="14"/>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rsidR="00132869" w:rsidRPr="00B81671" w:rsidRDefault="00132869" w:rsidP="00137BC9">
      <w:pPr>
        <w:pStyle w:val="Akapitzlist"/>
        <w:numPr>
          <w:ilvl w:val="0"/>
          <w:numId w:val="14"/>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rsidR="00132869" w:rsidRPr="00B81671" w:rsidRDefault="00132869" w:rsidP="00137BC9">
      <w:pPr>
        <w:pStyle w:val="Akapitzlist"/>
        <w:numPr>
          <w:ilvl w:val="1"/>
          <w:numId w:val="27"/>
        </w:numPr>
        <w:spacing w:before="120" w:after="120" w:line="360" w:lineRule="auto"/>
        <w:jc w:val="both"/>
        <w:rPr>
          <w:rFonts w:ascii="Arial" w:hAnsi="Arial" w:cs="Arial"/>
        </w:rPr>
      </w:pPr>
      <w:r w:rsidRPr="00B81671">
        <w:rPr>
          <w:rFonts w:ascii="Arial" w:hAnsi="Arial" w:cs="Arial"/>
        </w:rPr>
        <w:lastRenderedPageBreak/>
        <w:t>fakturę lub dokument księgowy o równoważnej wartości dowodowej z oznaczeniem, iż zapłacono gotówką lub</w:t>
      </w:r>
    </w:p>
    <w:p w:rsidR="00132869" w:rsidRPr="00B81671" w:rsidRDefault="00132869" w:rsidP="00137BC9">
      <w:pPr>
        <w:pStyle w:val="Akapitzlist"/>
        <w:numPr>
          <w:ilvl w:val="1"/>
          <w:numId w:val="27"/>
        </w:numPr>
        <w:spacing w:before="120" w:after="120" w:line="360" w:lineRule="auto"/>
        <w:jc w:val="both"/>
        <w:rPr>
          <w:rFonts w:ascii="Arial" w:hAnsi="Arial" w:cs="Arial"/>
        </w:rPr>
      </w:pPr>
      <w:r w:rsidRPr="00B81671">
        <w:rPr>
          <w:rFonts w:ascii="Arial" w:hAnsi="Arial" w:cs="Arial"/>
        </w:rPr>
        <w:t>dokument „Kasa przyjmie” (KP) lub „Kasa wypłaci” (KW) – 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rsidR="00132869" w:rsidRPr="00B81671" w:rsidRDefault="00132869"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rsidR="00132869" w:rsidRPr="00B81671" w:rsidRDefault="00132869"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rsidR="0013286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rsidR="0013286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rsidR="0013286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rsidR="00132869" w:rsidRPr="00B81671" w:rsidRDefault="00132869"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rsidR="00A34C99" w:rsidRPr="00B81671" w:rsidRDefault="00132869" w:rsidP="00137BC9">
      <w:pPr>
        <w:pStyle w:val="Akapitzlist"/>
        <w:numPr>
          <w:ilvl w:val="0"/>
          <w:numId w:val="14"/>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w:t>
      </w:r>
      <w:r w:rsidRPr="00B81671">
        <w:rPr>
          <w:rFonts w:ascii="Arial" w:hAnsi="Arial" w:cs="Arial"/>
        </w:rPr>
        <w:lastRenderedPageBreak/>
        <w:t xml:space="preserve">potwierdzone przez pracodawcę (korzystającego z usług wolontariusza). Karta pracy woluntariusza powinna zawierać co najmniej następujące informacje: </w:t>
      </w:r>
    </w:p>
    <w:p w:rsidR="00A34C9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 xml:space="preserve">imię i nazwisko wolontariusza, </w:t>
      </w:r>
    </w:p>
    <w:p w:rsidR="00A34C9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 xml:space="preserve">datę świadczenia pracy, </w:t>
      </w:r>
    </w:p>
    <w:p w:rsidR="00A34C9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 xml:space="preserve">wymiar godzinowy, </w:t>
      </w:r>
    </w:p>
    <w:p w:rsidR="000E126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rsidR="00A34C9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rsidR="00132869" w:rsidRPr="00B81671" w:rsidRDefault="00132869" w:rsidP="00137BC9">
      <w:pPr>
        <w:pStyle w:val="Akapitzlist"/>
        <w:numPr>
          <w:ilvl w:val="1"/>
          <w:numId w:val="14"/>
        </w:numPr>
        <w:spacing w:before="120" w:after="120" w:line="360" w:lineRule="auto"/>
        <w:jc w:val="both"/>
        <w:rPr>
          <w:rFonts w:ascii="Arial" w:hAnsi="Arial" w:cs="Arial"/>
        </w:rPr>
      </w:pPr>
      <w:r w:rsidRPr="00B81671">
        <w:rPr>
          <w:rFonts w:ascii="Arial" w:hAnsi="Arial" w:cs="Arial"/>
        </w:rPr>
        <w:t>podpis wolontariusza i pracodawcy.</w:t>
      </w:r>
    </w:p>
    <w:p w:rsidR="00B14D05" w:rsidRPr="00B81671" w:rsidRDefault="00AA0D56" w:rsidP="00137BC9">
      <w:pPr>
        <w:pStyle w:val="Akapitzlist"/>
        <w:numPr>
          <w:ilvl w:val="0"/>
          <w:numId w:val="14"/>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w:t>
      </w:r>
      <w:r w:rsidR="008F7E83">
        <w:rPr>
          <w:rFonts w:ascii="Arial" w:hAnsi="Arial" w:cs="Arial"/>
        </w:rPr>
        <w:t>go zadania/podzadania</w:t>
      </w:r>
      <w:r w:rsidR="00B14D05" w:rsidRPr="00B81671">
        <w:rPr>
          <w:rFonts w:ascii="Arial" w:hAnsi="Arial" w:cs="Arial"/>
        </w:rPr>
        <w:t xml:space="preserve"> wynikające</w:t>
      </w:r>
      <w:r w:rsidR="008F7E83">
        <w:rPr>
          <w:rFonts w:ascii="Arial" w:hAnsi="Arial" w:cs="Arial"/>
        </w:rPr>
        <w:t>go</w:t>
      </w:r>
      <w:r w:rsidR="00B14D05" w:rsidRPr="00B81671">
        <w:rPr>
          <w:rFonts w:ascii="Arial" w:hAnsi="Arial" w:cs="Arial"/>
        </w:rPr>
        <w:t xml:space="preserve">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oraz zawierać dekretację (lub trwałe dołączenie wydruku dekretu do dokumentu), numer księgowy</w:t>
      </w:r>
      <w:r w:rsidR="002C6429" w:rsidRPr="00B81671">
        <w:rPr>
          <w:rFonts w:ascii="Arial" w:hAnsi="Arial" w:cs="Arial"/>
        </w:rPr>
        <w:t>. Na orygina</w:t>
      </w:r>
      <w:r w:rsidR="008F7E83">
        <w:rPr>
          <w:rFonts w:ascii="Arial" w:hAnsi="Arial" w:cs="Arial"/>
        </w:rPr>
        <w:t>le</w:t>
      </w:r>
      <w:r w:rsidR="002C6429" w:rsidRPr="00B81671">
        <w:rPr>
          <w:rFonts w:ascii="Arial" w:hAnsi="Arial" w:cs="Arial"/>
        </w:rPr>
        <w:t xml:space="preserve"> dokumentu 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8F7E83">
        <w:rPr>
          <w:rFonts w:ascii="Arial" w:hAnsi="Arial" w:cs="Arial"/>
        </w:rPr>
        <w:t xml:space="preserve"> W przypadku opisu w formie załącznika należy na oryginale dokumentu księgowego umieścić informację, że dokument posiada załącznik - opis </w:t>
      </w:r>
      <w:r w:rsidR="0055586F">
        <w:rPr>
          <w:rFonts w:ascii="Arial" w:hAnsi="Arial" w:cs="Arial"/>
        </w:rPr>
        <w:t>merytoryczny</w:t>
      </w:r>
      <w:r w:rsidR="008F7E83">
        <w:rPr>
          <w:rFonts w:ascii="Arial" w:hAnsi="Arial" w:cs="Arial"/>
        </w:rPr>
        <w:t>.</w:t>
      </w:r>
    </w:p>
    <w:p w:rsidR="00132869" w:rsidRPr="00B81671" w:rsidRDefault="00D04FFE"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7"/>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rsidR="00132869" w:rsidRPr="00B81671" w:rsidRDefault="00132869"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rsidR="00126CDA" w:rsidRPr="00B81671" w:rsidRDefault="00126CDA"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lastRenderedPageBreak/>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faktycznie poniesiony i odzwierciedlony w księgach rachunkowych beneficjenta, zgodnie z przepisami krajowymi w zakresie rachunkowości oraz podatku </w:t>
      </w:r>
      <w:r w:rsidR="004D52F8" w:rsidRPr="00B81671">
        <w:rPr>
          <w:rFonts w:ascii="Arial" w:hAnsi="Arial" w:cs="Arial"/>
        </w:rPr>
        <w:t xml:space="preserve">o </w:t>
      </w:r>
      <w:r w:rsidR="0030208A" w:rsidRPr="00B81671">
        <w:rPr>
          <w:rFonts w:ascii="Arial" w:hAnsi="Arial" w:cs="Arial"/>
        </w:rPr>
        <w:t>VAT</w:t>
      </w:r>
      <w:r w:rsidR="006423EA" w:rsidRPr="00B81671">
        <w:rPr>
          <w:rFonts w:ascii="Arial" w:hAnsi="Arial" w:cs="Arial"/>
        </w:rPr>
        <w:t xml:space="preserve"> </w:t>
      </w:r>
    </w:p>
    <w:p w:rsidR="00132869" w:rsidRPr="00B81671" w:rsidRDefault="00132869"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xml:space="preserve">, gdy rozporządzenie dotyczące danego programu pomocowego określa inny sposób przeliczenia wydatków w walucie innej niż PLN od tego wskazanego w pkt 14, stosuje się zapisy tego rozporządzenia </w:t>
      </w:r>
      <w:r w:rsidRPr="00B81671">
        <w:rPr>
          <w:rFonts w:ascii="Arial" w:hAnsi="Arial" w:cs="Arial"/>
        </w:rPr>
        <w:t>.</w:t>
      </w:r>
    </w:p>
    <w:p w:rsidR="00903FFD" w:rsidRPr="00B81671" w:rsidRDefault="00132869" w:rsidP="00137BC9">
      <w:pPr>
        <w:pStyle w:val="Akapitzlist"/>
        <w:numPr>
          <w:ilvl w:val="0"/>
          <w:numId w:val="14"/>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rsidR="00AA40E5" w:rsidRPr="00A555CE" w:rsidRDefault="00AA40E5" w:rsidP="007D733F">
      <w:pPr>
        <w:pStyle w:val="Akapitzlist"/>
        <w:spacing w:after="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28" w:name="_Toc508630104"/>
      <w:bookmarkStart w:id="29" w:name="_Toc399917175"/>
      <w:r w:rsidRPr="00B81671">
        <w:rPr>
          <w:rFonts w:ascii="Arial" w:hAnsi="Arial" w:cs="Arial"/>
          <w:i/>
          <w:color w:val="auto"/>
          <w:sz w:val="24"/>
          <w:szCs w:val="24"/>
        </w:rPr>
        <w:t>Warunki oraz okres kwalifikowania wydatków w projektach podlegających zasadom pomocy publicznej</w:t>
      </w:r>
      <w:bookmarkEnd w:id="28"/>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rsidR="001C278F" w:rsidRPr="00B81671" w:rsidRDefault="001C278F" w:rsidP="00137BC9">
      <w:pPr>
        <w:pStyle w:val="Akapitzlist"/>
        <w:numPr>
          <w:ilvl w:val="1"/>
          <w:numId w:val="19"/>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8"/>
      </w:r>
      <w:r w:rsidRPr="00B81671">
        <w:rPr>
          <w:rFonts w:ascii="Arial" w:hAnsi="Arial" w:cs="Arial"/>
        </w:rPr>
        <w:t xml:space="preserve"> – obowiązują ramy czasowe określone w tym akcie.</w:t>
      </w:r>
    </w:p>
    <w:p w:rsidR="001C278F" w:rsidRPr="00B81671" w:rsidRDefault="001C278F" w:rsidP="00137BC9">
      <w:pPr>
        <w:pStyle w:val="Akapitzlist"/>
        <w:numPr>
          <w:ilvl w:val="1"/>
          <w:numId w:val="19"/>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rsidR="001C278F" w:rsidRPr="00B81671" w:rsidRDefault="001C278F" w:rsidP="00137BC9">
      <w:pPr>
        <w:pStyle w:val="Akapitzlist"/>
        <w:numPr>
          <w:ilvl w:val="1"/>
          <w:numId w:val="20"/>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rsidR="001C278F" w:rsidRPr="00B81671" w:rsidRDefault="001C278F" w:rsidP="00137BC9">
      <w:pPr>
        <w:pStyle w:val="Akapitzlist"/>
        <w:numPr>
          <w:ilvl w:val="1"/>
          <w:numId w:val="20"/>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rsidR="001C278F" w:rsidRPr="00B81671" w:rsidRDefault="001C278F" w:rsidP="00137BC9">
      <w:pPr>
        <w:pStyle w:val="Akapitzlist"/>
        <w:numPr>
          <w:ilvl w:val="1"/>
          <w:numId w:val="20"/>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rsidR="005F0287" w:rsidRPr="00B81671" w:rsidRDefault="005F0287" w:rsidP="00137BC9">
      <w:pPr>
        <w:pStyle w:val="Akapitzlist"/>
        <w:numPr>
          <w:ilvl w:val="1"/>
          <w:numId w:val="20"/>
        </w:numPr>
        <w:spacing w:after="0" w:line="360" w:lineRule="auto"/>
        <w:jc w:val="both"/>
        <w:rPr>
          <w:rFonts w:ascii="Arial" w:hAnsi="Arial" w:cs="Arial"/>
        </w:rPr>
      </w:pPr>
      <w:r w:rsidRPr="00B81671">
        <w:rPr>
          <w:rFonts w:ascii="Arial" w:hAnsi="Arial" w:cs="Arial"/>
        </w:rPr>
        <w:t>Pomoc szkoleniowa (podstawa prawna: art. 31 rozporządzenia KE nr 651/ 2014),</w:t>
      </w:r>
    </w:p>
    <w:p w:rsidR="001C278F" w:rsidRPr="00B81671" w:rsidRDefault="001C278F" w:rsidP="00137BC9">
      <w:pPr>
        <w:pStyle w:val="Akapitzlist"/>
        <w:numPr>
          <w:ilvl w:val="1"/>
          <w:numId w:val="20"/>
        </w:numPr>
        <w:spacing w:after="0" w:line="360" w:lineRule="auto"/>
        <w:jc w:val="both"/>
        <w:rPr>
          <w:rFonts w:ascii="Arial" w:hAnsi="Arial" w:cs="Arial"/>
        </w:rPr>
      </w:pPr>
      <w:r w:rsidRPr="00B81671">
        <w:rPr>
          <w:rFonts w:ascii="Arial" w:hAnsi="Arial" w:cs="Arial"/>
        </w:rPr>
        <w:t xml:space="preserve">Pomoc de </w:t>
      </w:r>
      <w:proofErr w:type="spellStart"/>
      <w:r w:rsidRPr="00B81671">
        <w:rPr>
          <w:rFonts w:ascii="Arial" w:hAnsi="Arial" w:cs="Arial"/>
        </w:rPr>
        <w:t>minimis</w:t>
      </w:r>
      <w:proofErr w:type="spellEnd"/>
      <w:r w:rsidRPr="00B81671">
        <w:rPr>
          <w:rFonts w:ascii="Arial" w:hAnsi="Arial" w:cs="Arial"/>
        </w:rPr>
        <w:t xml:space="preserve">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t>
      </w:r>
      <w:proofErr w:type="spellStart"/>
      <w:r w:rsidRPr="00B81671">
        <w:rPr>
          <w:rFonts w:ascii="Arial" w:hAnsi="Arial" w:cs="Arial"/>
        </w:rPr>
        <w:t>ws</w:t>
      </w:r>
      <w:proofErr w:type="spellEnd"/>
      <w:r w:rsidRPr="00B81671">
        <w:rPr>
          <w:rFonts w:ascii="Arial" w:hAnsi="Arial" w:cs="Arial"/>
        </w:rPr>
        <w:t xml:space="preserve">. pomocy de </w:t>
      </w:r>
      <w:proofErr w:type="spellStart"/>
      <w:r w:rsidRPr="00B81671">
        <w:rPr>
          <w:rFonts w:ascii="Arial" w:hAnsi="Arial" w:cs="Arial"/>
        </w:rPr>
        <w:t>minimis</w:t>
      </w:r>
      <w:proofErr w:type="spellEnd"/>
      <w:r w:rsidRPr="00B81671">
        <w:rPr>
          <w:rFonts w:ascii="Arial" w:hAnsi="Arial" w:cs="Arial"/>
        </w:rPr>
        <w:t>.</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lastRenderedPageBreak/>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0C2C01">
        <w:rPr>
          <w:rFonts w:ascii="Arial" w:hAnsi="Arial" w:cs="Arial"/>
        </w:rPr>
        <w:t>e</w:t>
      </w:r>
      <w:r w:rsidRPr="00B81671">
        <w:rPr>
          <w:rFonts w:ascii="Arial" w:hAnsi="Arial" w:cs="Arial"/>
        </w:rPr>
        <w:t>), istnieją pewne warunki wspólne, tj.:</w:t>
      </w:r>
    </w:p>
    <w:p w:rsidR="001C278F" w:rsidRPr="00B81671" w:rsidRDefault="001C278F" w:rsidP="00137BC9">
      <w:pPr>
        <w:pStyle w:val="Akapitzlist"/>
        <w:numPr>
          <w:ilvl w:val="1"/>
          <w:numId w:val="22"/>
        </w:numPr>
        <w:spacing w:after="0" w:line="360" w:lineRule="auto"/>
        <w:jc w:val="both"/>
        <w:rPr>
          <w:rFonts w:ascii="Arial" w:hAnsi="Arial" w:cs="Arial"/>
        </w:rPr>
      </w:pPr>
      <w:r w:rsidRPr="00B81671">
        <w:rPr>
          <w:rFonts w:ascii="Arial" w:hAnsi="Arial" w:cs="Arial"/>
        </w:rPr>
        <w:t>obowiązek spełnienia przez planowaną pomoc tzw. efektu zachęty,</w:t>
      </w:r>
    </w:p>
    <w:p w:rsidR="001C278F" w:rsidRPr="00B81671" w:rsidRDefault="001C278F" w:rsidP="00137BC9">
      <w:pPr>
        <w:pStyle w:val="Akapitzlist"/>
        <w:numPr>
          <w:ilvl w:val="1"/>
          <w:numId w:val="22"/>
        </w:numPr>
        <w:spacing w:after="0" w:line="360" w:lineRule="auto"/>
        <w:jc w:val="both"/>
        <w:rPr>
          <w:rFonts w:ascii="Arial" w:hAnsi="Arial" w:cs="Arial"/>
        </w:rPr>
      </w:pPr>
      <w:r w:rsidRPr="00B81671">
        <w:rPr>
          <w:rFonts w:ascii="Arial" w:hAnsi="Arial" w:cs="Arial"/>
        </w:rPr>
        <w:t>obowiązek przestrzegania zasad kumulacji pomocy,</w:t>
      </w:r>
    </w:p>
    <w:p w:rsidR="001C278F" w:rsidRPr="00B81671" w:rsidRDefault="001C278F" w:rsidP="00137BC9">
      <w:pPr>
        <w:pStyle w:val="Akapitzlist"/>
        <w:numPr>
          <w:ilvl w:val="1"/>
          <w:numId w:val="22"/>
        </w:numPr>
        <w:spacing w:after="0" w:line="360" w:lineRule="auto"/>
        <w:jc w:val="both"/>
        <w:rPr>
          <w:rFonts w:ascii="Arial" w:hAnsi="Arial" w:cs="Arial"/>
        </w:rPr>
      </w:pPr>
      <w:r w:rsidRPr="00B81671">
        <w:rPr>
          <w:rFonts w:ascii="Arial" w:hAnsi="Arial" w:cs="Arial"/>
        </w:rPr>
        <w:t>obowiązek deklaracji przez podmiot ubiegający się o pomoc odpowiadający obowiązkowi weryfikacji przez podmiot udzielający pomocy: statusu przedsiębiorstwa (wnioskodawcy),</w:t>
      </w:r>
    </w:p>
    <w:p w:rsidR="001C278F" w:rsidRPr="00B81671" w:rsidRDefault="001C278F" w:rsidP="00137BC9">
      <w:pPr>
        <w:pStyle w:val="Akapitzlist"/>
        <w:numPr>
          <w:ilvl w:val="1"/>
          <w:numId w:val="22"/>
        </w:numPr>
        <w:spacing w:after="0" w:line="360" w:lineRule="auto"/>
        <w:jc w:val="both"/>
        <w:rPr>
          <w:rFonts w:ascii="Arial" w:hAnsi="Arial" w:cs="Arial"/>
        </w:rPr>
      </w:pPr>
      <w:r w:rsidRPr="00B81671">
        <w:rPr>
          <w:rFonts w:ascii="Arial" w:hAnsi="Arial" w:cs="Arial"/>
        </w:rPr>
        <w:t>obowiązek dyskontowania.</w:t>
      </w:r>
    </w:p>
    <w:p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9"/>
      </w:r>
      <w:r w:rsidRPr="00B81671">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B81671">
        <w:rPr>
          <w:rFonts w:ascii="Arial" w:hAnsi="Arial" w:cs="Arial"/>
        </w:rPr>
        <w:t>,</w:t>
      </w:r>
      <w:r w:rsidRPr="00B81671">
        <w:rPr>
          <w:rFonts w:ascii="Arial" w:hAnsi="Arial" w:cs="Arial"/>
        </w:rPr>
        <w:t xml:space="preserve"> albo nie zostałaby w ogóle zrealizowana, bez pomocy ze strony państwa (bez udzielenia na dany projekt pomocy publicznej).</w:t>
      </w:r>
      <w:r w:rsidR="004E6298" w:rsidRPr="00B81671">
        <w:rPr>
          <w:rFonts w:ascii="Arial" w:hAnsi="Arial" w:cs="Arial"/>
        </w:rPr>
        <w:t xml:space="preserve"> W przypadku pomocy de </w:t>
      </w:r>
      <w:proofErr w:type="spellStart"/>
      <w:r w:rsidR="004E6298" w:rsidRPr="00B81671">
        <w:rPr>
          <w:rFonts w:ascii="Arial" w:hAnsi="Arial" w:cs="Arial"/>
        </w:rPr>
        <w:t>minimis</w:t>
      </w:r>
      <w:proofErr w:type="spellEnd"/>
      <w:r w:rsidR="004E6298" w:rsidRPr="00B81671">
        <w:rPr>
          <w:rFonts w:ascii="Arial" w:hAnsi="Arial" w:cs="Arial"/>
        </w:rPr>
        <w:t xml:space="preserve"> </w:t>
      </w:r>
      <w:r w:rsidR="00494766" w:rsidRPr="00B81671">
        <w:rPr>
          <w:rFonts w:ascii="Arial" w:hAnsi="Arial" w:cs="Arial"/>
        </w:rPr>
        <w:t xml:space="preserve">oraz pomocy na kulturę i zachowanie dziedzictwa kulturowego </w:t>
      </w:r>
      <w:r w:rsidR="004E6298" w:rsidRPr="00B81671">
        <w:rPr>
          <w:rFonts w:ascii="Arial" w:hAnsi="Arial" w:cs="Arial"/>
        </w:rPr>
        <w:t>nie ma obowiązku spełnienia efektu zachęty.</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W przypadku rodzajów pomocy</w:t>
      </w:r>
      <w:r w:rsidR="00494766" w:rsidRPr="00B81671">
        <w:rPr>
          <w:rFonts w:ascii="Arial" w:hAnsi="Arial" w:cs="Arial"/>
        </w:rPr>
        <w:t xml:space="preserve"> wskazanych w pkt 2)</w:t>
      </w:r>
      <w:r w:rsidRPr="00B81671">
        <w:rPr>
          <w:rFonts w:ascii="Arial" w:hAnsi="Arial" w:cs="Arial"/>
        </w:rPr>
        <w:t xml:space="preserve">, dla których  podstawą prawną </w:t>
      </w:r>
      <w:r w:rsidR="000B655A" w:rsidRPr="00B81671">
        <w:rPr>
          <w:rFonts w:ascii="Arial" w:hAnsi="Arial" w:cs="Arial"/>
        </w:rPr>
        <w:t xml:space="preserve">są </w:t>
      </w:r>
      <w:r w:rsidRPr="00B81671">
        <w:rPr>
          <w:rFonts w:ascii="Arial" w:hAnsi="Arial" w:cs="Arial"/>
        </w:rPr>
        <w:t xml:space="preserve"> </w:t>
      </w:r>
      <w:r w:rsidR="000B655A" w:rsidRPr="00B81671">
        <w:rPr>
          <w:rFonts w:ascii="Arial" w:hAnsi="Arial" w:cs="Arial"/>
        </w:rPr>
        <w:t xml:space="preserve">przepisy </w:t>
      </w:r>
      <w:r w:rsidR="005F0287" w:rsidRPr="00B81671">
        <w:rPr>
          <w:rFonts w:ascii="Arial" w:hAnsi="Arial" w:cs="Arial"/>
        </w:rPr>
        <w:t>rozporządzeni</w:t>
      </w:r>
      <w:r w:rsidR="000B655A" w:rsidRPr="00B81671">
        <w:rPr>
          <w:rFonts w:ascii="Arial" w:hAnsi="Arial" w:cs="Arial"/>
        </w:rPr>
        <w:t>a</w:t>
      </w:r>
      <w:r w:rsidR="005F0287" w:rsidRPr="00B81671">
        <w:rPr>
          <w:rFonts w:ascii="Arial" w:hAnsi="Arial" w:cs="Arial"/>
        </w:rPr>
        <w:t xml:space="preserve"> </w:t>
      </w:r>
      <w:r w:rsidRPr="00B81671">
        <w:rPr>
          <w:rFonts w:ascii="Arial" w:hAnsi="Arial" w:cs="Arial"/>
        </w:rPr>
        <w:t xml:space="preserve">KE nr 651/2014 </w:t>
      </w:r>
      <w:r w:rsidR="00494766" w:rsidRPr="00B81671">
        <w:rPr>
          <w:rFonts w:ascii="Arial" w:hAnsi="Arial" w:cs="Arial"/>
        </w:rPr>
        <w:t>(z wyłączeniem pom</w:t>
      </w:r>
      <w:r w:rsidR="008415EC" w:rsidRPr="00B81671">
        <w:rPr>
          <w:rFonts w:ascii="Arial" w:hAnsi="Arial" w:cs="Arial"/>
        </w:rPr>
        <w:t>o</w:t>
      </w:r>
      <w:r w:rsidR="00494766" w:rsidRPr="00B81671">
        <w:rPr>
          <w:rFonts w:ascii="Arial" w:hAnsi="Arial" w:cs="Arial"/>
        </w:rPr>
        <w:t xml:space="preserve">cy na kulturę i zachowanie dziedzictwa kulturowego) </w:t>
      </w:r>
      <w:r w:rsidRPr="00B81671">
        <w:rPr>
          <w:rFonts w:ascii="Arial" w:hAnsi="Arial" w:cs="Arial"/>
        </w:rPr>
        <w:t xml:space="preserve">spełnienie przez planowaną pomoc efektu zachęty weryfikowane jest poprzez fakt, iż wnioskodawca powstrzymał się z </w:t>
      </w:r>
      <w:r w:rsidR="00A34C99" w:rsidRPr="00B81671">
        <w:rPr>
          <w:rFonts w:ascii="Arial" w:hAnsi="Arial" w:cs="Arial"/>
        </w:rPr>
        <w:t xml:space="preserve">rozpoczęciem </w:t>
      </w:r>
      <w:r w:rsidRPr="00B81671">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0"/>
      </w:r>
      <w:r w:rsidR="004D07F4" w:rsidRPr="00B81671">
        <w:rPr>
          <w:rFonts w:ascii="Arial" w:hAnsi="Arial" w:cs="Arial"/>
        </w:rPr>
        <w:t>.</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w:t>
      </w:r>
      <w:r w:rsidRPr="00B81671">
        <w:rPr>
          <w:rFonts w:ascii="Arial" w:hAnsi="Arial" w:cs="Arial"/>
        </w:rPr>
        <w:lastRenderedPageBreak/>
        <w:t xml:space="preserve">przyniesie co najmniej jeden z efektów wskazanych w art. 6 ust. 3 Rozporządzenia KE nr 651/2014. </w:t>
      </w:r>
    </w:p>
    <w:p w:rsidR="001C278F" w:rsidRPr="00AC1DA9" w:rsidRDefault="001C278F" w:rsidP="00137BC9">
      <w:pPr>
        <w:pStyle w:val="Akapit"/>
        <w:numPr>
          <w:ilvl w:val="0"/>
          <w:numId w:val="12"/>
        </w:numPr>
        <w:tabs>
          <w:tab w:val="num" w:pos="403"/>
        </w:tabs>
        <w:spacing w:before="120" w:after="120"/>
        <w:ind w:left="403" w:hanging="403"/>
        <w:outlineLvl w:val="5"/>
        <w:rPr>
          <w:rFonts w:cs="Arial"/>
        </w:rPr>
      </w:pPr>
      <w:r w:rsidRPr="00B81671">
        <w:rPr>
          <w:rFonts w:cs="Arial"/>
        </w:rPr>
        <w:t xml:space="preserve">Przez rozpoczęcie prac w rozumieniu </w:t>
      </w:r>
      <w:r w:rsidR="000B655A" w:rsidRPr="00B81671">
        <w:rPr>
          <w:rFonts w:cs="Arial"/>
        </w:rPr>
        <w:t>przepisów</w:t>
      </w:r>
      <w:r w:rsidR="00E639F6" w:rsidRPr="00B81671">
        <w:rPr>
          <w:rFonts w:cs="Arial"/>
        </w:rPr>
        <w:t xml:space="preserve"> </w:t>
      </w:r>
      <w:r w:rsidR="005F0287" w:rsidRPr="00B81671">
        <w:rPr>
          <w:rFonts w:cs="Arial"/>
        </w:rPr>
        <w:t xml:space="preserve">rozporządzenia </w:t>
      </w:r>
      <w:r w:rsidRPr="00B81671">
        <w:rPr>
          <w:rFonts w:cs="Arial"/>
        </w:rPr>
        <w:t xml:space="preserve">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przygotowawczych, takich jak uzyskanie stosownych zezwoleń, czy przeprowadzenie </w:t>
      </w:r>
      <w:r w:rsidRPr="00AC1DA9">
        <w:rPr>
          <w:rFonts w:cs="Arial"/>
          <w:bCs w:val="0"/>
          <w:szCs w:val="22"/>
        </w:rPr>
        <w:t>studiów wykonalności, co do zasady, nie uważa się za rozpoczęcie prac.</w:t>
      </w:r>
    </w:p>
    <w:p w:rsidR="001C278F" w:rsidRPr="00B81671" w:rsidRDefault="001C278F" w:rsidP="00137BC9">
      <w:pPr>
        <w:pStyle w:val="Akapit"/>
        <w:numPr>
          <w:ilvl w:val="0"/>
          <w:numId w:val="12"/>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rsidR="001C278F" w:rsidRPr="00B81671" w:rsidRDefault="001C278F" w:rsidP="00137BC9">
      <w:pPr>
        <w:pStyle w:val="Akapit"/>
        <w:numPr>
          <w:ilvl w:val="0"/>
          <w:numId w:val="12"/>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rsidR="001C278F" w:rsidRPr="00B81671" w:rsidRDefault="001C278F" w:rsidP="00137BC9">
      <w:pPr>
        <w:pStyle w:val="Akapitzlist"/>
        <w:numPr>
          <w:ilvl w:val="1"/>
          <w:numId w:val="28"/>
        </w:numPr>
        <w:spacing w:after="0" w:line="360" w:lineRule="auto"/>
        <w:jc w:val="both"/>
        <w:rPr>
          <w:rFonts w:ascii="Arial" w:hAnsi="Arial" w:cs="Arial"/>
        </w:rPr>
      </w:pPr>
      <w:r w:rsidRPr="00B81671">
        <w:rPr>
          <w:rFonts w:ascii="Arial" w:hAnsi="Arial" w:cs="Arial"/>
        </w:rPr>
        <w:t>wytyczenia geodezyjnego obiektów w terenie,</w:t>
      </w:r>
    </w:p>
    <w:p w:rsidR="001C278F" w:rsidRPr="00B81671" w:rsidRDefault="001C278F" w:rsidP="00137BC9">
      <w:pPr>
        <w:pStyle w:val="Akapitzlist"/>
        <w:numPr>
          <w:ilvl w:val="1"/>
          <w:numId w:val="28"/>
        </w:numPr>
        <w:spacing w:after="0" w:line="360" w:lineRule="auto"/>
        <w:jc w:val="both"/>
        <w:rPr>
          <w:rFonts w:ascii="Arial" w:hAnsi="Arial" w:cs="Arial"/>
        </w:rPr>
      </w:pPr>
      <w:r w:rsidRPr="00B81671">
        <w:rPr>
          <w:rFonts w:ascii="Arial" w:hAnsi="Arial" w:cs="Arial"/>
        </w:rPr>
        <w:t xml:space="preserve">wykonania niwelacji terenu, </w:t>
      </w:r>
    </w:p>
    <w:p w:rsidR="001C278F" w:rsidRPr="00B81671" w:rsidRDefault="001C278F" w:rsidP="00137BC9">
      <w:pPr>
        <w:pStyle w:val="Akapitzlist"/>
        <w:numPr>
          <w:ilvl w:val="1"/>
          <w:numId w:val="2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rsidR="001C278F" w:rsidRPr="00B81671" w:rsidRDefault="001C278F" w:rsidP="00137BC9">
      <w:pPr>
        <w:pStyle w:val="Akapitzlist"/>
        <w:numPr>
          <w:ilvl w:val="1"/>
          <w:numId w:val="2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rsidR="001C278F" w:rsidRPr="00B81671" w:rsidRDefault="001C278F" w:rsidP="00137BC9">
      <w:pPr>
        <w:pStyle w:val="Akapitzlist"/>
        <w:numPr>
          <w:ilvl w:val="1"/>
          <w:numId w:val="23"/>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rsidR="001C278F" w:rsidRPr="00B81671" w:rsidRDefault="001C278F" w:rsidP="00137BC9">
      <w:pPr>
        <w:pStyle w:val="Akapitzlist"/>
        <w:numPr>
          <w:ilvl w:val="1"/>
          <w:numId w:val="23"/>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lastRenderedPageBreak/>
        <w:t xml:space="preserve">Obowiązek przestrzegania zasad kumulacji pomocy – różne rodzaje pomocy publicznej (a także różne rodzaje pomocy publicznej z pomocą de </w:t>
      </w:r>
      <w:proofErr w:type="spellStart"/>
      <w:r w:rsidRPr="00B81671">
        <w:rPr>
          <w:rFonts w:ascii="Arial" w:hAnsi="Arial" w:cs="Arial"/>
        </w:rPr>
        <w:t>minimis</w:t>
      </w:r>
      <w:proofErr w:type="spellEnd"/>
      <w:r w:rsidRPr="00B81671">
        <w:rPr>
          <w:rFonts w:ascii="Arial" w:hAnsi="Arial" w:cs="Arial"/>
        </w:rPr>
        <w:t xml:space="preserve">) można kumulować ze sobą w stosunku do tych samych wydatków kwalifikowalnych do poziomu najwyższej dopuszczalnej intensywności przewidzianej dla danego rodzaju pomocy publicznej. </w:t>
      </w:r>
    </w:p>
    <w:p w:rsidR="00FD52C4"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 xml:space="preserve">Obowiązek deklaracji przez podmiot ubiegający się o pomoc odpowiadający obowiązkowi weryfikacji przez podmiot udzielający pomocy: statusu przedsiębiorstwa (wnioskodawcy) – w przypadku rodzajów pomocy publicznej regulowanych rozporządzeniem KE nr 651/ 2014 – zastosowanie mają regulacje Załącznika I do tego Rozporządzenia. W przypadku pomocy de </w:t>
      </w:r>
      <w:proofErr w:type="spellStart"/>
      <w:r w:rsidRPr="00B81671">
        <w:rPr>
          <w:rFonts w:ascii="Arial" w:hAnsi="Arial" w:cs="Arial"/>
        </w:rPr>
        <w:t>minimis</w:t>
      </w:r>
      <w:proofErr w:type="spellEnd"/>
      <w:r w:rsidRPr="00B81671">
        <w:rPr>
          <w:rFonts w:ascii="Arial" w:hAnsi="Arial" w:cs="Arial"/>
        </w:rPr>
        <w:t xml:space="preserve">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rsidR="001C278F"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1"/>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2"/>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rsidR="00EB6109" w:rsidRPr="00B81671" w:rsidRDefault="001C278F" w:rsidP="00137BC9">
      <w:pPr>
        <w:pStyle w:val="Akapitzlist"/>
        <w:numPr>
          <w:ilvl w:val="0"/>
          <w:numId w:val="12"/>
        </w:numPr>
        <w:spacing w:before="120" w:after="120" w:line="360" w:lineRule="auto"/>
        <w:jc w:val="both"/>
        <w:rPr>
          <w:rFonts w:ascii="Arial" w:hAnsi="Arial" w:cs="Arial"/>
        </w:rPr>
      </w:pPr>
      <w:r w:rsidRPr="00B81671">
        <w:rPr>
          <w:rFonts w:ascii="Arial" w:hAnsi="Arial" w:cs="Arial"/>
        </w:rPr>
        <w:t xml:space="preserve">W sytuacji natomiast, gdy harmonogram przekazywania kolejnych transz dotacji przewidziany w umowie o dofinasowanie nie jest sztywny i nie podlega bezwzględnej </w:t>
      </w:r>
      <w:r w:rsidRPr="00B81671">
        <w:rPr>
          <w:rFonts w:ascii="Arial" w:hAnsi="Arial" w:cs="Arial"/>
        </w:rPr>
        <w:lastRenderedPageBreak/>
        <w:t>realizacji</w:t>
      </w:r>
      <w:r w:rsidRPr="00B81671">
        <w:rPr>
          <w:rFonts w:ascii="Arial" w:hAnsi="Arial"/>
          <w:sz w:val="18"/>
          <w:szCs w:val="18"/>
          <w:vertAlign w:val="superscript"/>
        </w:rPr>
        <w:footnoteReference w:id="13"/>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rsidR="00C33055" w:rsidRPr="00C33055" w:rsidRDefault="00C33055" w:rsidP="00C33055">
      <w:bookmarkStart w:id="30" w:name="_Toc407115848"/>
      <w:bookmarkStart w:id="31" w:name="_Toc407116378"/>
      <w:bookmarkStart w:id="32" w:name="_Toc406509583"/>
      <w:bookmarkEnd w:id="30"/>
      <w:bookmarkEnd w:id="31"/>
    </w:p>
    <w:p w:rsidR="008D2E9C" w:rsidRPr="00B81671" w:rsidRDefault="00AC1DA9"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3" w:name="_Toc428535187"/>
      <w:bookmarkStart w:id="34" w:name="_Toc431295988"/>
      <w:bookmarkStart w:id="35" w:name="_Toc508630105"/>
      <w:r>
        <w:rPr>
          <w:rFonts w:ascii="Arial" w:hAnsi="Arial" w:cs="Arial"/>
          <w:i/>
          <w:color w:val="000000" w:themeColor="text1"/>
          <w:sz w:val="24"/>
          <w:szCs w:val="24"/>
        </w:rPr>
        <w:t>Zamówienia udzielane w projektach</w:t>
      </w:r>
      <w:bookmarkEnd w:id="33"/>
      <w:bookmarkEnd w:id="34"/>
      <w:bookmarkEnd w:id="35"/>
    </w:p>
    <w:p w:rsidR="00AC1DA9" w:rsidRPr="00463A68" w:rsidRDefault="00AC1DA9" w:rsidP="00137BC9">
      <w:pPr>
        <w:numPr>
          <w:ilvl w:val="0"/>
          <w:numId w:val="17"/>
        </w:numPr>
        <w:spacing w:before="120" w:after="120" w:line="360" w:lineRule="auto"/>
        <w:ind w:left="403" w:hanging="403"/>
        <w:jc w:val="both"/>
        <w:rPr>
          <w:rFonts w:ascii="Arial" w:eastAsia="MS Mincho" w:hAnsi="Arial" w:cs="Arial"/>
          <w:i/>
          <w:lang w:eastAsia="ja-JP"/>
        </w:rPr>
      </w:pPr>
      <w:r w:rsidRPr="00F861DC">
        <w:rPr>
          <w:rFonts w:ascii="Arial" w:eastAsia="MS Mincho" w:hAnsi="Arial" w:cs="Arial"/>
          <w:lang w:eastAsia="ja-JP"/>
        </w:rPr>
        <w:t xml:space="preserve">Warunki i zasady udzielania zamówień w projektach realizowanych w ramach I osi priorytetowej POPC określają zapisy podrozdziału 6.5 </w:t>
      </w:r>
      <w:r w:rsidRPr="00F861DC">
        <w:rPr>
          <w:rFonts w:ascii="Arial" w:eastAsia="MS Mincho" w:hAnsi="Arial" w:cs="Arial"/>
          <w:i/>
          <w:lang w:eastAsia="ja-JP"/>
        </w:rPr>
        <w:t>Wytycznych.</w:t>
      </w:r>
      <w:r w:rsidRPr="00F861DC">
        <w:rPr>
          <w:rFonts w:ascii="Arial" w:eastAsia="MS Mincho" w:hAnsi="Arial" w:cs="Arial"/>
          <w:lang w:eastAsia="ja-JP"/>
        </w:rPr>
        <w:t xml:space="preserve"> </w:t>
      </w:r>
    </w:p>
    <w:p w:rsidR="00463A68" w:rsidRPr="00463A68" w:rsidRDefault="00463A68" w:rsidP="00137BC9">
      <w:pPr>
        <w:numPr>
          <w:ilvl w:val="0"/>
          <w:numId w:val="17"/>
        </w:numPr>
        <w:spacing w:before="120" w:after="120" w:line="360" w:lineRule="auto"/>
        <w:ind w:left="403" w:hanging="403"/>
        <w:jc w:val="both"/>
        <w:rPr>
          <w:rFonts w:ascii="Arial" w:eastAsia="MS Mincho" w:hAnsi="Arial" w:cs="Arial"/>
          <w:lang w:eastAsia="ja-JP"/>
        </w:rPr>
      </w:pPr>
      <w:r w:rsidRPr="00463A68">
        <w:rPr>
          <w:rFonts w:ascii="Arial" w:eastAsia="MS Mincho" w:hAnsi="Arial" w:cs="Arial"/>
          <w:lang w:eastAsia="ja-JP"/>
        </w:rPr>
        <w:t>Wnioskodawca</w:t>
      </w:r>
      <w:r w:rsidR="008A0D8A">
        <w:rPr>
          <w:rFonts w:ascii="Arial" w:eastAsia="MS Mincho" w:hAnsi="Arial" w:cs="Arial"/>
          <w:lang w:eastAsia="ja-JP"/>
        </w:rPr>
        <w:t>, który</w:t>
      </w:r>
      <w:r w:rsidRPr="00463A68">
        <w:rPr>
          <w:rFonts w:ascii="Arial" w:eastAsia="MS Mincho" w:hAnsi="Arial" w:cs="Arial"/>
          <w:lang w:eastAsia="ja-JP"/>
        </w:rPr>
        <w:t xml:space="preserve"> rozpoczyna realizację </w:t>
      </w:r>
      <w:r w:rsidR="008A0D8A">
        <w:rPr>
          <w:rFonts w:ascii="Arial" w:eastAsia="MS Mincho" w:hAnsi="Arial" w:cs="Arial"/>
          <w:lang w:eastAsia="ja-JP"/>
        </w:rPr>
        <w:t xml:space="preserve">projektu </w:t>
      </w:r>
      <w:r w:rsidRPr="00463A68">
        <w:rPr>
          <w:rFonts w:ascii="Arial" w:eastAsia="MS Mincho" w:hAnsi="Arial" w:cs="Arial"/>
          <w:lang w:eastAsia="ja-JP"/>
        </w:rPr>
        <w:t xml:space="preserve">na własne ryzyko przed podpisaniem umowy o dofinansowanie, </w:t>
      </w:r>
      <w:r w:rsidR="008A0D8A">
        <w:rPr>
          <w:rFonts w:ascii="Arial" w:eastAsia="MS Mincho" w:hAnsi="Arial" w:cs="Arial"/>
          <w:lang w:eastAsia="ja-JP"/>
        </w:rPr>
        <w:t xml:space="preserve">powinien </w:t>
      </w:r>
      <w:r w:rsidRPr="00463A68">
        <w:rPr>
          <w:rFonts w:ascii="Arial" w:eastAsia="MS Mincho" w:hAnsi="Arial" w:cs="Arial"/>
          <w:lang w:eastAsia="ja-JP"/>
        </w:rPr>
        <w:t>upubliczni</w:t>
      </w:r>
      <w:r w:rsidR="008A0D8A">
        <w:rPr>
          <w:rFonts w:ascii="Arial" w:eastAsia="MS Mincho" w:hAnsi="Arial" w:cs="Arial"/>
          <w:lang w:eastAsia="ja-JP"/>
        </w:rPr>
        <w:t>ć</w:t>
      </w:r>
      <w:r w:rsidRPr="00463A68">
        <w:rPr>
          <w:rFonts w:ascii="Arial" w:eastAsia="MS Mincho" w:hAnsi="Arial" w:cs="Arial"/>
          <w:lang w:eastAsia="ja-JP"/>
        </w:rPr>
        <w:t xml:space="preserve"> zapytani</w:t>
      </w:r>
      <w:r w:rsidR="008A0D8A">
        <w:rPr>
          <w:rFonts w:ascii="Arial" w:eastAsia="MS Mincho" w:hAnsi="Arial" w:cs="Arial"/>
          <w:lang w:eastAsia="ja-JP"/>
        </w:rPr>
        <w:t>e ofertowe</w:t>
      </w:r>
      <w:r w:rsidRPr="00463A68">
        <w:rPr>
          <w:rFonts w:ascii="Arial" w:eastAsia="MS Mincho" w:hAnsi="Arial" w:cs="Arial"/>
          <w:lang w:eastAsia="ja-JP"/>
        </w:rPr>
        <w:t xml:space="preserve">, o którym mowa w sekcji 6.5.2 </w:t>
      </w:r>
      <w:r w:rsidRPr="00463A68">
        <w:rPr>
          <w:rFonts w:ascii="Arial" w:eastAsia="MS Mincho" w:hAnsi="Arial" w:cs="Arial"/>
          <w:i/>
          <w:lang w:eastAsia="ja-JP"/>
        </w:rPr>
        <w:t>Wytycznych</w:t>
      </w:r>
      <w:r w:rsidRPr="00463A68">
        <w:rPr>
          <w:rFonts w:ascii="Arial" w:eastAsia="MS Mincho" w:hAnsi="Arial" w:cs="Arial"/>
          <w:lang w:eastAsia="ja-JP"/>
        </w:rPr>
        <w:t>:</w:t>
      </w:r>
    </w:p>
    <w:p w:rsidR="00463A68" w:rsidRPr="00463A68" w:rsidRDefault="00463A68" w:rsidP="00137BC9">
      <w:pPr>
        <w:pStyle w:val="Akapitzlist"/>
        <w:numPr>
          <w:ilvl w:val="0"/>
          <w:numId w:val="87"/>
        </w:numPr>
        <w:spacing w:before="120" w:after="120" w:line="360" w:lineRule="auto"/>
        <w:jc w:val="both"/>
        <w:rPr>
          <w:rFonts w:ascii="Arial" w:eastAsia="MS Mincho" w:hAnsi="Arial" w:cs="Arial"/>
          <w:lang w:eastAsia="ja-JP"/>
        </w:rPr>
      </w:pPr>
      <w:r w:rsidRPr="00463A68">
        <w:rPr>
          <w:rFonts w:ascii="Arial" w:eastAsia="MS Mincho" w:hAnsi="Arial" w:cs="Arial"/>
          <w:lang w:eastAsia="ja-JP"/>
        </w:rPr>
        <w:t xml:space="preserve">przed ogłoszeniem konkursu lub naboru - na stronie internetowej www.cppc.gov.pl, </w:t>
      </w:r>
    </w:p>
    <w:p w:rsidR="00463A68" w:rsidRPr="00463A68" w:rsidRDefault="00463A68" w:rsidP="00137BC9">
      <w:pPr>
        <w:pStyle w:val="Akapitzlist"/>
        <w:numPr>
          <w:ilvl w:val="0"/>
          <w:numId w:val="87"/>
        </w:numPr>
        <w:spacing w:before="120" w:after="120" w:line="360" w:lineRule="auto"/>
        <w:jc w:val="both"/>
        <w:rPr>
          <w:rFonts w:ascii="Arial" w:eastAsia="MS Mincho" w:hAnsi="Arial" w:cs="Arial"/>
          <w:lang w:eastAsia="ja-JP"/>
        </w:rPr>
      </w:pPr>
      <w:r w:rsidRPr="00463A68">
        <w:rPr>
          <w:rFonts w:ascii="Arial" w:eastAsia="MS Mincho" w:hAnsi="Arial" w:cs="Arial"/>
          <w:lang w:eastAsia="ja-JP"/>
        </w:rPr>
        <w:t xml:space="preserve">po ogłoszeniu konkursu lub naboru - w bazie konkurencyjności, o której mowa w punkcie 13 sekcji 6.5.2 </w:t>
      </w:r>
      <w:r w:rsidRPr="00463A68">
        <w:rPr>
          <w:rFonts w:ascii="Arial" w:eastAsia="MS Mincho" w:hAnsi="Arial" w:cs="Arial"/>
          <w:i/>
          <w:lang w:eastAsia="ja-JP"/>
        </w:rPr>
        <w:t>Wytycznych</w:t>
      </w:r>
      <w:r w:rsidRPr="00463A68">
        <w:rPr>
          <w:rFonts w:ascii="Arial" w:eastAsia="MS Mincho" w:hAnsi="Arial" w:cs="Arial"/>
          <w:lang w:eastAsia="ja-JP"/>
        </w:rPr>
        <w:t>.</w:t>
      </w:r>
    </w:p>
    <w:p w:rsidR="008D2E9C" w:rsidRPr="00F116D9" w:rsidRDefault="00AC1DA9" w:rsidP="00137BC9">
      <w:pPr>
        <w:numPr>
          <w:ilvl w:val="0"/>
          <w:numId w:val="17"/>
        </w:numPr>
        <w:spacing w:before="120" w:after="120" w:line="360" w:lineRule="auto"/>
        <w:ind w:left="403" w:hanging="403"/>
        <w:jc w:val="both"/>
        <w:rPr>
          <w:rFonts w:ascii="Arial" w:eastAsia="MS Mincho" w:hAnsi="Arial" w:cs="Arial"/>
          <w:i/>
          <w:lang w:eastAsia="ja-JP"/>
        </w:rPr>
      </w:pPr>
      <w:r w:rsidRPr="00F861DC">
        <w:rPr>
          <w:rFonts w:ascii="Arial" w:eastAsia="MS Mincho" w:hAnsi="Arial" w:cs="Arial"/>
          <w:lang w:eastAsia="ja-JP"/>
        </w:rPr>
        <w:t>W przypadku, gdy beneficjent nie jest zobligowany do stosowania przepisów</w:t>
      </w:r>
      <w:r w:rsidR="008D2E9C" w:rsidRPr="00F116D9">
        <w:rPr>
          <w:rFonts w:ascii="Arial" w:eastAsia="MS Mincho" w:hAnsi="Arial" w:cs="Arial"/>
          <w:lang w:eastAsia="ja-JP"/>
        </w:rPr>
        <w:t xml:space="preserve"> </w:t>
      </w:r>
      <w:proofErr w:type="spellStart"/>
      <w:r w:rsidR="008D2E9C" w:rsidRPr="00F116D9">
        <w:rPr>
          <w:rFonts w:ascii="Arial" w:eastAsia="MS Mincho" w:hAnsi="Arial" w:cs="Arial"/>
          <w:lang w:eastAsia="ja-JP"/>
        </w:rPr>
        <w:t>Pzp</w:t>
      </w:r>
      <w:proofErr w:type="spellEnd"/>
      <w:r w:rsidRPr="00F861DC">
        <w:rPr>
          <w:rFonts w:ascii="Arial" w:eastAsia="MS Mincho" w:hAnsi="Arial" w:cs="Arial"/>
          <w:lang w:eastAsia="ja-JP"/>
        </w:rPr>
        <w:t xml:space="preserve"> ani zasady konkurencyjności, o której mowa w sekcji 6.5.2 </w:t>
      </w:r>
      <w:r w:rsidRPr="00F861DC">
        <w:rPr>
          <w:rFonts w:ascii="Arial" w:eastAsia="MS Mincho" w:hAnsi="Arial" w:cs="Arial"/>
          <w:i/>
          <w:lang w:eastAsia="ja-JP"/>
        </w:rPr>
        <w:t>Wytycznych</w:t>
      </w:r>
      <w:r w:rsidRPr="00F861DC">
        <w:rPr>
          <w:rFonts w:ascii="Arial" w:eastAsia="MS Mincho" w:hAnsi="Arial" w:cs="Arial"/>
          <w:lang w:eastAsia="ja-JP"/>
        </w:rPr>
        <w:t xml:space="preserve">, udzielenie zamówienia o wartości przekraczającej 50 tys. </w:t>
      </w:r>
      <w:r w:rsidR="00F116D9" w:rsidRPr="00F861DC">
        <w:rPr>
          <w:rFonts w:ascii="Arial" w:eastAsia="MS Mincho" w:hAnsi="Arial" w:cs="Arial"/>
          <w:lang w:eastAsia="ja-JP"/>
        </w:rPr>
        <w:t xml:space="preserve">PLN netto może nastąpić po przeprowadzeniu procedury rozeznania rynku określonej w sekcji 6.5.1 </w:t>
      </w:r>
      <w:r w:rsidR="00F116D9" w:rsidRPr="00F861DC">
        <w:rPr>
          <w:rFonts w:ascii="Arial" w:eastAsia="MS Mincho" w:hAnsi="Arial" w:cs="Arial"/>
          <w:i/>
          <w:lang w:eastAsia="ja-JP"/>
        </w:rPr>
        <w:t>Wytycznych</w:t>
      </w:r>
      <w:r w:rsidR="00F116D9" w:rsidRPr="00F861DC">
        <w:rPr>
          <w:rFonts w:ascii="Arial" w:eastAsia="MS Mincho" w:hAnsi="Arial" w:cs="Arial"/>
          <w:lang w:eastAsia="ja-JP"/>
        </w:rPr>
        <w:t xml:space="preserve">. </w:t>
      </w:r>
    </w:p>
    <w:p w:rsidR="008D2E9C" w:rsidRPr="00F116D9" w:rsidRDefault="008D2E9C" w:rsidP="00137BC9">
      <w:pPr>
        <w:numPr>
          <w:ilvl w:val="0"/>
          <w:numId w:val="17"/>
        </w:numPr>
        <w:spacing w:before="120" w:after="120" w:line="360" w:lineRule="auto"/>
        <w:ind w:left="403" w:hanging="403"/>
        <w:jc w:val="both"/>
        <w:rPr>
          <w:rFonts w:ascii="Arial" w:eastAsia="MS Mincho" w:hAnsi="Arial" w:cs="Arial"/>
          <w:i/>
          <w:lang w:eastAsia="ja-JP"/>
        </w:rPr>
      </w:pPr>
      <w:r w:rsidRPr="00F116D9">
        <w:rPr>
          <w:rFonts w:ascii="Arial" w:eastAsia="MS Mincho" w:hAnsi="Arial" w:cs="Arial"/>
          <w:lang w:eastAsia="ja-JP"/>
        </w:rPr>
        <w:t xml:space="preserve">Przykładowy wykaz często spotykanych nieprawidłowości w zakresie zamówień został opisany w załączniku nr </w:t>
      </w:r>
      <w:r w:rsidR="00F116D9" w:rsidRPr="00F861DC">
        <w:rPr>
          <w:rFonts w:ascii="Arial" w:eastAsia="MS Mincho" w:hAnsi="Arial" w:cs="Arial"/>
          <w:lang w:eastAsia="ja-JP"/>
        </w:rPr>
        <w:t>1</w:t>
      </w:r>
      <w:r w:rsidR="00F116D9" w:rsidRPr="00F116D9">
        <w:rPr>
          <w:rFonts w:ascii="Arial" w:eastAsia="MS Mincho" w:hAnsi="Arial" w:cs="Arial"/>
          <w:lang w:eastAsia="ja-JP"/>
        </w:rPr>
        <w:t xml:space="preserve"> </w:t>
      </w:r>
      <w:r w:rsidRPr="00F116D9">
        <w:rPr>
          <w:rFonts w:ascii="Arial" w:eastAsia="MS Mincho" w:hAnsi="Arial" w:cs="Arial"/>
          <w:lang w:eastAsia="ja-JP"/>
        </w:rPr>
        <w:t>do</w:t>
      </w:r>
      <w:r w:rsidR="000475A0" w:rsidRPr="00F116D9">
        <w:rPr>
          <w:rFonts w:ascii="Arial" w:eastAsia="MS Mincho" w:hAnsi="Arial" w:cs="Arial"/>
          <w:lang w:eastAsia="ja-JP"/>
        </w:rPr>
        <w:t xml:space="preserve"> </w:t>
      </w:r>
      <w:r w:rsidR="0095095B" w:rsidRPr="00F116D9">
        <w:rPr>
          <w:rFonts w:ascii="Arial" w:eastAsia="MS Mincho" w:hAnsi="Arial" w:cs="Arial"/>
          <w:lang w:eastAsia="ja-JP"/>
        </w:rPr>
        <w:t>niniejsz</w:t>
      </w:r>
      <w:r w:rsidR="00F116D9" w:rsidRPr="00F861DC">
        <w:rPr>
          <w:rFonts w:ascii="Arial" w:eastAsia="MS Mincho" w:hAnsi="Arial" w:cs="Arial"/>
          <w:lang w:eastAsia="ja-JP"/>
        </w:rPr>
        <w:t xml:space="preserve">ego </w:t>
      </w:r>
      <w:r w:rsidR="00F116D9" w:rsidRPr="00F861DC">
        <w:rPr>
          <w:rFonts w:ascii="Arial" w:eastAsia="MS Mincho" w:hAnsi="Arial" w:cs="Arial"/>
          <w:i/>
          <w:lang w:eastAsia="ja-JP"/>
        </w:rPr>
        <w:t>Katalogu</w:t>
      </w:r>
      <w:r w:rsidRPr="00F116D9">
        <w:rPr>
          <w:rFonts w:ascii="Arial" w:eastAsia="MS Mincho" w:hAnsi="Arial" w:cs="Arial"/>
          <w:i/>
          <w:lang w:eastAsia="ja-JP"/>
        </w:rPr>
        <w:t>.</w:t>
      </w:r>
    </w:p>
    <w:p w:rsidR="008D2E9C" w:rsidRPr="00B81671" w:rsidRDefault="008D2E9C" w:rsidP="00137BC9">
      <w:pPr>
        <w:numPr>
          <w:ilvl w:val="0"/>
          <w:numId w:val="17"/>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F116D9">
        <w:rPr>
          <w:rFonts w:ascii="Arial" w:eastAsia="MS Mincho" w:hAnsi="Arial" w:cs="Arial"/>
          <w:lang w:eastAsia="ja-JP"/>
        </w:rPr>
        <w:t>2</w:t>
      </w:r>
      <w:r w:rsidR="00F116D9"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F116D9">
        <w:rPr>
          <w:rFonts w:ascii="Arial" w:eastAsia="MS Mincho" w:hAnsi="Arial" w:cs="Arial"/>
          <w:lang w:eastAsia="ja-JP"/>
        </w:rPr>
        <w:t>y</w:t>
      </w:r>
      <w:r w:rsidRPr="00B81671">
        <w:rPr>
          <w:rFonts w:ascii="Arial" w:eastAsia="MS Mincho" w:hAnsi="Arial" w:cs="Arial"/>
          <w:lang w:eastAsia="ja-JP"/>
        </w:rPr>
        <w:t>j</w:t>
      </w:r>
      <w:r w:rsidR="00F116D9">
        <w:rPr>
          <w:rFonts w:ascii="Arial" w:eastAsia="MS Mincho" w:hAnsi="Arial" w:cs="Arial"/>
          <w:lang w:eastAsia="ja-JP"/>
        </w:rPr>
        <w:t>nośc</w:t>
      </w:r>
      <w:r w:rsidRPr="00B81671">
        <w:rPr>
          <w:rFonts w:ascii="Arial" w:eastAsia="MS Mincho" w:hAnsi="Arial" w:cs="Arial"/>
          <w:lang w:eastAsia="ja-JP"/>
        </w:rPr>
        <w:t>i w odniesieniu do konieczności stosowania przez zamawiającego określonej ścieżki postępowania.</w:t>
      </w:r>
    </w:p>
    <w:p w:rsidR="0035124D" w:rsidRPr="007E469E" w:rsidRDefault="0035124D" w:rsidP="0035124D">
      <w:pPr>
        <w:keepNext/>
        <w:spacing w:before="120" w:after="120" w:line="360" w:lineRule="auto"/>
        <w:ind w:left="403"/>
        <w:jc w:val="both"/>
        <w:outlineLvl w:val="5"/>
        <w:rPr>
          <w:rFonts w:ascii="Arial" w:eastAsia="Times New Roman" w:hAnsi="Arial" w:cs="Times New Roman"/>
          <w:szCs w:val="24"/>
          <w:lang w:eastAsia="pl-PL"/>
        </w:rPr>
      </w:pPr>
      <w:bookmarkStart w:id="36" w:name="_Toc496191535"/>
      <w:bookmarkStart w:id="37" w:name="_Toc496191585"/>
      <w:bookmarkStart w:id="38" w:name="_Toc496191539"/>
      <w:bookmarkStart w:id="39" w:name="_Toc496191589"/>
      <w:bookmarkStart w:id="40" w:name="_Toc429043882"/>
      <w:bookmarkEnd w:id="29"/>
      <w:bookmarkEnd w:id="32"/>
      <w:bookmarkEnd w:id="36"/>
      <w:bookmarkEnd w:id="37"/>
      <w:bookmarkEnd w:id="38"/>
      <w:bookmarkEnd w:id="39"/>
      <w:bookmarkEnd w:id="40"/>
    </w:p>
    <w:p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1" w:name="_Toc508630106"/>
      <w:r w:rsidRPr="00C60541">
        <w:rPr>
          <w:rFonts w:ascii="Arial" w:hAnsi="Arial" w:cs="Arial"/>
          <w:i/>
          <w:color w:val="auto"/>
          <w:sz w:val="24"/>
          <w:szCs w:val="24"/>
        </w:rPr>
        <w:t>Leasing</w:t>
      </w:r>
      <w:bookmarkEnd w:id="41"/>
    </w:p>
    <w:p w:rsidR="006F58D2" w:rsidRDefault="006F58D2" w:rsidP="00137BC9">
      <w:pPr>
        <w:keepNext/>
        <w:numPr>
          <w:ilvl w:val="0"/>
          <w:numId w:val="2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rozdzia</w:t>
      </w:r>
      <w:r w:rsidR="00620724">
        <w:rPr>
          <w:rFonts w:ascii="Arial" w:eastAsia="Times New Roman" w:hAnsi="Arial" w:cs="Times New Roman"/>
          <w:szCs w:val="24"/>
          <w:lang w:eastAsia="pl-PL"/>
        </w:rPr>
        <w:t xml:space="preserve">le 4 </w:t>
      </w:r>
      <w:r w:rsidR="006803C1" w:rsidRPr="006803C1">
        <w:rPr>
          <w:rFonts w:ascii="Arial" w:eastAsia="Times New Roman" w:hAnsi="Arial" w:cs="Times New Roman"/>
          <w:szCs w:val="24"/>
          <w:lang w:eastAsia="pl-PL"/>
        </w:rPr>
        <w:t>niniejsz</w:t>
      </w:r>
      <w:r w:rsidR="00620724">
        <w:rPr>
          <w:rFonts w:ascii="Arial" w:eastAsia="Times New Roman" w:hAnsi="Arial" w:cs="Times New Roman"/>
          <w:szCs w:val="24"/>
          <w:lang w:eastAsia="pl-PL"/>
        </w:rPr>
        <w:t>ego</w:t>
      </w:r>
      <w:r w:rsidR="006803C1" w:rsidRPr="006803C1">
        <w:rPr>
          <w:rFonts w:ascii="Arial" w:eastAsia="Times New Roman" w:hAnsi="Arial" w:cs="Times New Roman"/>
          <w:szCs w:val="24"/>
          <w:lang w:eastAsia="pl-PL"/>
        </w:rPr>
        <w:t xml:space="preserve"> </w:t>
      </w:r>
      <w:r w:rsidR="00620724">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rsidR="006F58D2" w:rsidRPr="00B81671" w:rsidRDefault="006F58D2" w:rsidP="00137BC9">
      <w:pPr>
        <w:keepNext/>
        <w:numPr>
          <w:ilvl w:val="0"/>
          <w:numId w:val="2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rsidR="006F58D2" w:rsidRPr="00B81671" w:rsidRDefault="006F58D2" w:rsidP="00C0534E">
      <w:pPr>
        <w:ind w:left="426"/>
        <w:jc w:val="both"/>
        <w:rPr>
          <w:rFonts w:ascii="Arial" w:hAnsi="Arial" w:cs="Arial"/>
        </w:rPr>
      </w:pPr>
      <w:r w:rsidRPr="00B81671">
        <w:rPr>
          <w:rFonts w:ascii="Arial" w:hAnsi="Arial" w:cs="Arial"/>
        </w:rPr>
        <w:t>b) marżę finansującego,</w:t>
      </w:r>
    </w:p>
    <w:p w:rsidR="006F58D2" w:rsidRPr="00B81671" w:rsidRDefault="006F58D2" w:rsidP="00C0534E">
      <w:pPr>
        <w:ind w:left="426"/>
        <w:jc w:val="both"/>
        <w:rPr>
          <w:rFonts w:ascii="Arial" w:hAnsi="Arial" w:cs="Arial"/>
        </w:rPr>
      </w:pPr>
      <w:r w:rsidRPr="00B81671">
        <w:rPr>
          <w:rFonts w:ascii="Arial" w:hAnsi="Arial" w:cs="Arial"/>
        </w:rPr>
        <w:lastRenderedPageBreak/>
        <w:t>c) odsetki od refinansowania kosztów,</w:t>
      </w:r>
    </w:p>
    <w:p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rsidR="00906D5B" w:rsidRPr="00C60541" w:rsidRDefault="006F58D2" w:rsidP="00C0534E">
      <w:pPr>
        <w:ind w:left="426"/>
        <w:jc w:val="both"/>
        <w:rPr>
          <w:rFonts w:ascii="Arial" w:hAnsi="Arial" w:cs="Arial"/>
        </w:rPr>
      </w:pPr>
      <w:r w:rsidRPr="00B81671">
        <w:rPr>
          <w:rFonts w:ascii="Arial" w:hAnsi="Arial" w:cs="Arial"/>
        </w:rPr>
        <w:t>e) opłaty ubezpieczeniowe.</w:t>
      </w:r>
    </w:p>
    <w:p w:rsidR="00903FFD" w:rsidRPr="00F861DC" w:rsidRDefault="00903FFD" w:rsidP="00906D5B">
      <w:pPr>
        <w:pStyle w:val="Nagwek2"/>
        <w:numPr>
          <w:ilvl w:val="1"/>
          <w:numId w:val="1"/>
        </w:numPr>
        <w:spacing w:before="240" w:after="60" w:line="360" w:lineRule="auto"/>
        <w:jc w:val="center"/>
        <w:rPr>
          <w:rFonts w:ascii="Arial" w:hAnsi="Arial" w:cs="Arial"/>
          <w:i/>
          <w:color w:val="auto"/>
          <w:sz w:val="24"/>
          <w:szCs w:val="24"/>
        </w:rPr>
      </w:pPr>
      <w:bookmarkStart w:id="42" w:name="_Toc498677422"/>
      <w:bookmarkStart w:id="43" w:name="_Toc498678408"/>
      <w:bookmarkStart w:id="44" w:name="_Toc498949797"/>
      <w:bookmarkStart w:id="45" w:name="_Toc498950449"/>
      <w:bookmarkStart w:id="46" w:name="_Toc499295101"/>
      <w:bookmarkStart w:id="47" w:name="_Toc499649351"/>
      <w:bookmarkStart w:id="48" w:name="_Toc499649391"/>
      <w:bookmarkStart w:id="49" w:name="_Toc508630107"/>
      <w:bookmarkEnd w:id="42"/>
      <w:bookmarkEnd w:id="43"/>
      <w:bookmarkEnd w:id="44"/>
      <w:bookmarkEnd w:id="45"/>
      <w:bookmarkEnd w:id="46"/>
      <w:bookmarkEnd w:id="47"/>
      <w:bookmarkEnd w:id="48"/>
      <w:r w:rsidRPr="00F861DC">
        <w:rPr>
          <w:rFonts w:ascii="Arial" w:hAnsi="Arial" w:cs="Arial"/>
          <w:i/>
          <w:color w:val="auto"/>
          <w:sz w:val="24"/>
          <w:szCs w:val="24"/>
        </w:rPr>
        <w:t>Projekty generujące dochód po zakończeniu realizacji projektów</w:t>
      </w:r>
      <w:bookmarkEnd w:id="49"/>
    </w:p>
    <w:p w:rsidR="002C0FB6" w:rsidRPr="00F861DC" w:rsidRDefault="008C5BFF" w:rsidP="00137BC9">
      <w:pPr>
        <w:keepNext/>
        <w:numPr>
          <w:ilvl w:val="0"/>
          <w:numId w:val="18"/>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sidR="00620724">
        <w:rPr>
          <w:rFonts w:ascii="Arial" w:eastAsia="Times New Roman" w:hAnsi="Arial" w:cs="Times New Roman"/>
          <w:szCs w:val="24"/>
          <w:lang w:eastAsia="pl-PL"/>
        </w:rPr>
        <w:t xml:space="preserve"> rozdziałach 6.9 i 7.</w:t>
      </w:r>
      <w:r w:rsidR="0036761B">
        <w:rPr>
          <w:rFonts w:ascii="Arial" w:eastAsia="Times New Roman" w:hAnsi="Arial" w:cs="Times New Roman"/>
          <w:szCs w:val="24"/>
          <w:lang w:eastAsia="pl-PL"/>
        </w:rPr>
        <w:t>7</w:t>
      </w:r>
      <w:r>
        <w:rPr>
          <w:rFonts w:ascii="Arial" w:eastAsia="Times New Roman" w:hAnsi="Arial" w:cs="Times New Roman"/>
          <w:szCs w:val="24"/>
          <w:lang w:eastAsia="pl-PL"/>
        </w:rPr>
        <w:t xml:space="preserve"> </w:t>
      </w:r>
      <w:r w:rsidRPr="003D6B3B">
        <w:rPr>
          <w:rFonts w:ascii="Arial" w:eastAsia="Times New Roman" w:hAnsi="Arial" w:cs="Times New Roman"/>
          <w:i/>
          <w:szCs w:val="24"/>
          <w:lang w:eastAsia="pl-PL"/>
        </w:rPr>
        <w:t>Wytycznych</w:t>
      </w:r>
    </w:p>
    <w:p w:rsidR="00634991" w:rsidRPr="00B81671" w:rsidRDefault="00903FFD" w:rsidP="00137BC9">
      <w:pPr>
        <w:keepNext/>
        <w:numPr>
          <w:ilvl w:val="0"/>
          <w:numId w:val="18"/>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0" w:name="_Toc407115853"/>
      <w:bookmarkStart w:id="51" w:name="_Toc407116383"/>
      <w:bookmarkStart w:id="52" w:name="_Toc508630108"/>
      <w:bookmarkEnd w:id="50"/>
      <w:bookmarkEnd w:id="51"/>
      <w:r w:rsidRPr="007E469E">
        <w:rPr>
          <w:rFonts w:ascii="Arial" w:hAnsi="Arial" w:cs="Arial"/>
          <w:i/>
          <w:color w:val="auto"/>
          <w:sz w:val="24"/>
          <w:szCs w:val="24"/>
        </w:rPr>
        <w:t>Kwalifikowalność podatku VAT i innych podatków, opłat i obciążeń</w:t>
      </w:r>
      <w:bookmarkEnd w:id="52"/>
    </w:p>
    <w:p w:rsidR="002D0AA9" w:rsidRPr="00B949A5" w:rsidRDefault="00A0475E" w:rsidP="00137BC9">
      <w:pPr>
        <w:keepNext/>
        <w:numPr>
          <w:ilvl w:val="0"/>
          <w:numId w:val="46"/>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w:t>
      </w:r>
      <w:r w:rsidR="00620724">
        <w:rPr>
          <w:rFonts w:ascii="Arial" w:eastAsia="Times New Roman" w:hAnsi="Arial" w:cs="Times New Roman"/>
          <w:szCs w:val="24"/>
          <w:lang w:eastAsia="pl-PL"/>
        </w:rPr>
        <w:t xml:space="preserve"> podrozdziale 6.13</w:t>
      </w:r>
      <w:r w:rsidR="002D0AA9" w:rsidRPr="00777453">
        <w:rPr>
          <w:rFonts w:ascii="Arial" w:eastAsia="Times New Roman" w:hAnsi="Arial" w:cs="Times New Roman"/>
          <w:szCs w:val="24"/>
          <w:lang w:eastAsia="pl-PL"/>
        </w:rPr>
        <w:t xml:space="preserve"> </w:t>
      </w:r>
      <w:r w:rsidR="002D0AA9" w:rsidRPr="00B949A5">
        <w:rPr>
          <w:rFonts w:ascii="Arial" w:eastAsia="Times New Roman" w:hAnsi="Arial" w:cs="Times New Roman"/>
          <w:i/>
          <w:szCs w:val="24"/>
          <w:lang w:eastAsia="pl-PL"/>
        </w:rPr>
        <w:t xml:space="preserve">Wytycznych. </w:t>
      </w:r>
    </w:p>
    <w:p w:rsidR="00903FFD" w:rsidRPr="00B81671" w:rsidRDefault="005E0166" w:rsidP="00137BC9">
      <w:pPr>
        <w:keepNext/>
        <w:numPr>
          <w:ilvl w:val="0"/>
          <w:numId w:val="46"/>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rsidR="00DE349A" w:rsidRPr="007E469E" w:rsidRDefault="00DE349A" w:rsidP="00F4397A">
      <w:pPr>
        <w:keepNext/>
        <w:spacing w:before="120" w:after="120" w:line="360" w:lineRule="auto"/>
        <w:jc w:val="both"/>
        <w:outlineLvl w:val="5"/>
        <w:rPr>
          <w:rFonts w:ascii="Arial" w:eastAsia="Times New Roman" w:hAnsi="Arial" w:cs="Times New Roman"/>
          <w:szCs w:val="24"/>
          <w:lang w:eastAsia="pl-PL"/>
        </w:rPr>
      </w:pPr>
    </w:p>
    <w:p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53" w:name="_Toc496191547"/>
      <w:bookmarkStart w:id="54" w:name="_Toc496191597"/>
      <w:bookmarkStart w:id="55" w:name="_Toc498677428"/>
      <w:bookmarkStart w:id="56" w:name="_Toc498678414"/>
      <w:bookmarkStart w:id="57" w:name="_Toc498949803"/>
      <w:bookmarkStart w:id="58" w:name="_Toc496191548"/>
      <w:bookmarkStart w:id="59" w:name="_Toc496191598"/>
      <w:bookmarkStart w:id="60" w:name="_Toc498677429"/>
      <w:bookmarkStart w:id="61" w:name="_Toc498678415"/>
      <w:bookmarkStart w:id="62" w:name="_Toc498949804"/>
      <w:bookmarkStart w:id="63" w:name="_Toc496191549"/>
      <w:bookmarkStart w:id="64" w:name="_Toc496191599"/>
      <w:bookmarkStart w:id="65" w:name="_Toc498677430"/>
      <w:bookmarkStart w:id="66" w:name="_Toc498678416"/>
      <w:bookmarkStart w:id="67" w:name="_Toc498949805"/>
      <w:bookmarkStart w:id="68" w:name="_Toc496191551"/>
      <w:bookmarkStart w:id="69" w:name="_Toc496191601"/>
      <w:bookmarkStart w:id="70" w:name="_Toc498677432"/>
      <w:bookmarkStart w:id="71" w:name="_Toc498678418"/>
      <w:bookmarkStart w:id="72" w:name="_Toc498949807"/>
      <w:bookmarkStart w:id="73" w:name="_Toc496191552"/>
      <w:bookmarkStart w:id="74" w:name="_Toc496191602"/>
      <w:bookmarkStart w:id="75" w:name="_Toc498677433"/>
      <w:bookmarkStart w:id="76" w:name="_Toc498678419"/>
      <w:bookmarkStart w:id="77" w:name="_Toc498949808"/>
      <w:bookmarkStart w:id="78" w:name="_Toc496191553"/>
      <w:bookmarkStart w:id="79" w:name="_Toc496191603"/>
      <w:bookmarkStart w:id="80" w:name="_Toc498677434"/>
      <w:bookmarkStart w:id="81" w:name="_Toc498678420"/>
      <w:bookmarkStart w:id="82" w:name="_Toc498949809"/>
      <w:bookmarkStart w:id="83" w:name="_Toc417549284"/>
      <w:bookmarkStart w:id="84" w:name="_Toc417549353"/>
      <w:bookmarkStart w:id="85" w:name="_Toc417549422"/>
      <w:bookmarkStart w:id="86" w:name="_Toc418584390"/>
      <w:bookmarkStart w:id="87" w:name="_Toc418588606"/>
      <w:bookmarkStart w:id="88" w:name="_Toc496191554"/>
      <w:bookmarkStart w:id="89" w:name="_Toc496191604"/>
      <w:bookmarkStart w:id="90" w:name="_Toc498677435"/>
      <w:bookmarkStart w:id="91" w:name="_Toc498678421"/>
      <w:bookmarkStart w:id="92" w:name="_Toc498949810"/>
      <w:bookmarkStart w:id="93" w:name="_Toc496191556"/>
      <w:bookmarkStart w:id="94" w:name="_Toc496191606"/>
      <w:bookmarkStart w:id="95" w:name="_Toc498677437"/>
      <w:bookmarkStart w:id="96" w:name="_Toc498678423"/>
      <w:bookmarkStart w:id="97" w:name="_Toc498949812"/>
      <w:bookmarkStart w:id="98" w:name="_Toc496191557"/>
      <w:bookmarkStart w:id="99" w:name="_Toc496191607"/>
      <w:bookmarkStart w:id="100" w:name="_Toc498677438"/>
      <w:bookmarkStart w:id="101" w:name="_Toc498678424"/>
      <w:bookmarkStart w:id="102" w:name="_Toc498949813"/>
      <w:bookmarkStart w:id="103" w:name="_Toc407115859"/>
      <w:bookmarkStart w:id="104" w:name="_Toc40711638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7E469E">
        <w:rPr>
          <w:rFonts w:ascii="Arial" w:hAnsi="Arial" w:cs="Arial"/>
          <w:i/>
          <w:color w:val="auto"/>
          <w:sz w:val="24"/>
          <w:szCs w:val="24"/>
        </w:rPr>
        <w:t xml:space="preserve"> </w:t>
      </w:r>
      <w:bookmarkStart w:id="105" w:name="_Toc508630109"/>
      <w:r w:rsidRPr="007E469E">
        <w:rPr>
          <w:rFonts w:ascii="Arial" w:hAnsi="Arial" w:cs="Arial"/>
          <w:i/>
          <w:color w:val="auto"/>
          <w:sz w:val="24"/>
          <w:szCs w:val="24"/>
        </w:rPr>
        <w:t>Zmiany projektów</w:t>
      </w:r>
      <w:bookmarkEnd w:id="105"/>
    </w:p>
    <w:p w:rsidR="00A06EE2" w:rsidRPr="007E469E" w:rsidRDefault="00A06EE2" w:rsidP="00137BC9">
      <w:pPr>
        <w:numPr>
          <w:ilvl w:val="0"/>
          <w:numId w:val="15"/>
        </w:numPr>
        <w:spacing w:before="120" w:after="120" w:line="360" w:lineRule="auto"/>
        <w:ind w:left="426"/>
        <w:jc w:val="both"/>
        <w:rPr>
          <w:rFonts w:ascii="Arial" w:hAnsi="Arial" w:cs="Arial"/>
        </w:rPr>
      </w:pPr>
      <w:r w:rsidRPr="007E469E">
        <w:rPr>
          <w:rFonts w:ascii="Arial" w:hAnsi="Arial" w:cs="Arial"/>
        </w:rPr>
        <w:t xml:space="preserve">Zmiany dotyczące realizacji projektu wymagają zgłoszenia do IP POPC przed ich wprowadzeniem. </w:t>
      </w:r>
    </w:p>
    <w:p w:rsidR="00903FFD" w:rsidRPr="007E469E" w:rsidRDefault="00903FFD" w:rsidP="00137BC9">
      <w:pPr>
        <w:numPr>
          <w:ilvl w:val="0"/>
          <w:numId w:val="15"/>
        </w:numPr>
        <w:spacing w:before="120" w:after="120" w:line="360" w:lineRule="auto"/>
        <w:ind w:left="426"/>
        <w:jc w:val="both"/>
        <w:rPr>
          <w:rFonts w:ascii="Arial" w:hAnsi="Arial" w:cs="Arial"/>
        </w:rPr>
      </w:pPr>
      <w:r w:rsidRPr="007E469E">
        <w:rPr>
          <w:rFonts w:ascii="Arial" w:hAnsi="Arial" w:cs="Arial"/>
        </w:rPr>
        <w:t xml:space="preserve">Szczegółowe warunki dotyczące zakresu zmian wymagających zmiany </w:t>
      </w:r>
      <w:r w:rsidRPr="007E469E">
        <w:rPr>
          <w:rFonts w:ascii="Arial" w:eastAsia="Times New Roman" w:hAnsi="Arial" w:cs="Arial"/>
          <w:bCs/>
          <w:lang w:eastAsia="pl-PL"/>
        </w:rPr>
        <w:t xml:space="preserve">umowy </w:t>
      </w:r>
      <w:r w:rsidRPr="007E469E">
        <w:rPr>
          <w:rFonts w:ascii="Arial" w:hAnsi="Arial" w:cs="Arial"/>
        </w:rPr>
        <w:t xml:space="preserve">o dofinansowanie </w:t>
      </w:r>
      <w:r w:rsidR="00312A9C">
        <w:rPr>
          <w:rFonts w:ascii="Arial" w:hAnsi="Arial" w:cs="Arial"/>
        </w:rPr>
        <w:t xml:space="preserve">projektu </w:t>
      </w:r>
      <w:r w:rsidRPr="007E469E">
        <w:rPr>
          <w:rFonts w:ascii="Arial" w:hAnsi="Arial" w:cs="Arial"/>
        </w:rPr>
        <w:t xml:space="preserve">są określone </w:t>
      </w:r>
      <w:r w:rsidR="00E537D4" w:rsidRPr="007E469E">
        <w:rPr>
          <w:rFonts w:ascii="Arial" w:hAnsi="Arial" w:cs="Arial"/>
        </w:rPr>
        <w:t>w</w:t>
      </w:r>
      <w:r w:rsidRPr="007E469E">
        <w:rPr>
          <w:rFonts w:ascii="Arial" w:hAnsi="Arial" w:cs="Arial"/>
        </w:rPr>
        <w:t xml:space="preserve"> </w:t>
      </w:r>
      <w:r w:rsidR="00E704ED" w:rsidRPr="007E469E">
        <w:rPr>
          <w:rFonts w:ascii="Arial" w:hAnsi="Arial" w:cs="Arial"/>
        </w:rPr>
        <w:t>umow</w:t>
      </w:r>
      <w:r w:rsidR="00E704ED">
        <w:rPr>
          <w:rFonts w:ascii="Arial" w:hAnsi="Arial" w:cs="Arial"/>
        </w:rPr>
        <w:t>ie</w:t>
      </w:r>
      <w:r w:rsidR="00E704ED" w:rsidRPr="007E469E">
        <w:rPr>
          <w:rFonts w:ascii="Arial" w:hAnsi="Arial" w:cs="Arial"/>
        </w:rPr>
        <w:t xml:space="preserve"> </w:t>
      </w:r>
      <w:r w:rsidRPr="007E469E">
        <w:rPr>
          <w:rFonts w:ascii="Arial" w:hAnsi="Arial" w:cs="Arial"/>
        </w:rPr>
        <w:t>o dofinansowanie</w:t>
      </w:r>
      <w:r w:rsidR="00312A9C">
        <w:rPr>
          <w:rFonts w:ascii="Arial" w:hAnsi="Arial" w:cs="Arial"/>
        </w:rPr>
        <w:t xml:space="preserve"> projektu</w:t>
      </w:r>
      <w:r w:rsidRPr="007E469E">
        <w:rPr>
          <w:rFonts w:ascii="Arial" w:hAnsi="Arial" w:cs="Arial"/>
        </w:rPr>
        <w:t>.</w:t>
      </w:r>
    </w:p>
    <w:p w:rsidR="00903FFD" w:rsidRPr="007E469E" w:rsidRDefault="00903FFD" w:rsidP="00AE4553">
      <w:pPr>
        <w:spacing w:before="120" w:after="120" w:line="360" w:lineRule="auto"/>
        <w:ind w:left="426"/>
        <w:jc w:val="both"/>
        <w:rPr>
          <w:rFonts w:ascii="Arial" w:hAnsi="Arial" w:cs="Arial"/>
        </w:rPr>
      </w:pPr>
    </w:p>
    <w:p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106" w:name="_Toc508630110"/>
      <w:r w:rsidRPr="00B81671">
        <w:rPr>
          <w:rFonts w:ascii="Arial" w:hAnsi="Arial" w:cs="Arial"/>
          <w:i/>
          <w:color w:val="auto"/>
          <w:sz w:val="24"/>
          <w:szCs w:val="24"/>
        </w:rPr>
        <w:t>Duży projekt – zasady identyfikacji</w:t>
      </w:r>
      <w:bookmarkEnd w:id="106"/>
      <w:r w:rsidRPr="00B81671">
        <w:rPr>
          <w:rFonts w:ascii="Arial" w:hAnsi="Arial" w:cs="Arial"/>
          <w:i/>
          <w:color w:val="auto"/>
          <w:sz w:val="24"/>
          <w:szCs w:val="24"/>
        </w:rPr>
        <w:t xml:space="preserve"> </w:t>
      </w:r>
    </w:p>
    <w:p w:rsidR="00F0653C" w:rsidRPr="00B81671" w:rsidRDefault="00F0653C" w:rsidP="00137BC9">
      <w:pPr>
        <w:pStyle w:val="Akapit"/>
        <w:keepNext w:val="0"/>
        <w:numPr>
          <w:ilvl w:val="0"/>
          <w:numId w:val="7"/>
        </w:numPr>
        <w:spacing w:before="120" w:after="120"/>
        <w:ind w:left="426"/>
        <w:outlineLvl w:val="5"/>
        <w:rPr>
          <w:rFonts w:cs="Arial"/>
          <w:szCs w:val="22"/>
        </w:rPr>
      </w:pPr>
      <w:r w:rsidRPr="00B81671">
        <w:rPr>
          <w:rFonts w:cs="Arial"/>
          <w:szCs w:val="22"/>
        </w:rPr>
        <w:t xml:space="preserve">W ramach POPC nie </w:t>
      </w:r>
      <w:r w:rsidR="00892E05" w:rsidRPr="00B81671">
        <w:rPr>
          <w:rFonts w:cs="Arial"/>
          <w:szCs w:val="22"/>
        </w:rPr>
        <w:t>przewiduje</w:t>
      </w:r>
      <w:r w:rsidRPr="00B81671">
        <w:rPr>
          <w:rFonts w:cs="Arial"/>
          <w:szCs w:val="22"/>
        </w:rPr>
        <w:t xml:space="preserve"> się realizacji dużych projektów.</w:t>
      </w:r>
    </w:p>
    <w:p w:rsidR="00903FFD" w:rsidRPr="00B81671" w:rsidRDefault="00892E05" w:rsidP="00137BC9">
      <w:pPr>
        <w:pStyle w:val="Akapit"/>
        <w:keepNext w:val="0"/>
        <w:numPr>
          <w:ilvl w:val="0"/>
          <w:numId w:val="7"/>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w:t>
      </w:r>
      <w:r w:rsidR="00136638" w:rsidRPr="00B81671">
        <w:rPr>
          <w:rFonts w:cs="Arial"/>
          <w:szCs w:val="22"/>
        </w:rPr>
        <w:lastRenderedPageBreak/>
        <w:t>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rsidR="00903FFD" w:rsidRPr="00B81671" w:rsidRDefault="00480F1B" w:rsidP="00137BC9">
      <w:pPr>
        <w:pStyle w:val="Akapit"/>
        <w:keepNext w:val="0"/>
        <w:numPr>
          <w:ilvl w:val="0"/>
          <w:numId w:val="7"/>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 mediach elektronicznych pod adresem: http://www.nbp.pl/home.asp</w:t>
      </w:r>
      <w:r w:rsidR="00136638" w:rsidRPr="00B81671">
        <w:rPr>
          <w:rFonts w:cs="Arial"/>
          <w:szCs w:val="22"/>
        </w:rPr>
        <w:t>x?f=/kursy/</w:t>
      </w:r>
      <w:r w:rsidR="00737A23">
        <w:rPr>
          <w:rFonts w:cs="Arial"/>
          <w:szCs w:val="22"/>
        </w:rPr>
        <w:t>kursy_</w:t>
      </w:r>
      <w:r w:rsidR="00136638" w:rsidRPr="00B81671">
        <w:rPr>
          <w:rFonts w:cs="Arial"/>
          <w:szCs w:val="22"/>
        </w:rPr>
        <w:t>arch</w:t>
      </w:r>
      <w:r w:rsidR="00737A23">
        <w:rPr>
          <w:rFonts w:cs="Arial"/>
          <w:szCs w:val="22"/>
        </w:rPr>
        <w:t>iwum</w:t>
      </w:r>
      <w:r w:rsidR="00136638" w:rsidRPr="00B81671">
        <w:rPr>
          <w:rFonts w:cs="Arial"/>
          <w:szCs w:val="22"/>
        </w:rPr>
        <w:t>.html</w:t>
      </w:r>
      <w:r w:rsidRPr="00B81671">
        <w:rPr>
          <w:rFonts w:cs="Arial"/>
          <w:szCs w:val="22"/>
        </w:rPr>
        <w:t>).</w:t>
      </w:r>
    </w:p>
    <w:p w:rsidR="00903FFD" w:rsidRPr="00B81671" w:rsidRDefault="00903FFD" w:rsidP="00137BC9">
      <w:pPr>
        <w:pStyle w:val="Akapit"/>
        <w:keepNext w:val="0"/>
        <w:numPr>
          <w:ilvl w:val="0"/>
          <w:numId w:val="7"/>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rsidR="00903FFD" w:rsidRPr="00B81671" w:rsidRDefault="00903FFD" w:rsidP="00137BC9">
      <w:pPr>
        <w:pStyle w:val="Akapit"/>
        <w:keepNext w:val="0"/>
        <w:numPr>
          <w:ilvl w:val="1"/>
          <w:numId w:val="8"/>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rsidR="00903FFD" w:rsidRPr="00B81671" w:rsidRDefault="00903FFD" w:rsidP="00137BC9">
      <w:pPr>
        <w:pStyle w:val="Akapit"/>
        <w:keepNext w:val="0"/>
        <w:numPr>
          <w:ilvl w:val="1"/>
          <w:numId w:val="8"/>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rsidR="00903FFD" w:rsidRPr="00B81671" w:rsidRDefault="00903FFD" w:rsidP="00137BC9">
      <w:pPr>
        <w:pStyle w:val="Akapit"/>
        <w:keepNext w:val="0"/>
        <w:numPr>
          <w:ilvl w:val="1"/>
          <w:numId w:val="8"/>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rsidR="00F0653C" w:rsidRPr="00B81671" w:rsidRDefault="00892E05" w:rsidP="00137BC9">
      <w:pPr>
        <w:pStyle w:val="Akapit"/>
        <w:keepNext w:val="0"/>
        <w:numPr>
          <w:ilvl w:val="0"/>
          <w:numId w:val="7"/>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projektu w trakcie jego realizacji, 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rsidR="00903FFD" w:rsidRPr="007E469E" w:rsidRDefault="00903FFD" w:rsidP="0069794E">
      <w:pPr>
        <w:pStyle w:val="Akapit"/>
        <w:keepNext w:val="0"/>
        <w:numPr>
          <w:ilvl w:val="0"/>
          <w:numId w:val="0"/>
        </w:numPr>
        <w:spacing w:before="120" w:after="120"/>
        <w:outlineLvl w:val="5"/>
        <w:rPr>
          <w:rFonts w:cs="Arial"/>
          <w:szCs w:val="22"/>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107" w:name="_Toc508630111"/>
      <w:r w:rsidRPr="00B81671">
        <w:rPr>
          <w:rFonts w:ascii="Arial" w:hAnsi="Arial" w:cs="Arial"/>
          <w:i/>
          <w:color w:val="auto"/>
          <w:sz w:val="24"/>
          <w:szCs w:val="24"/>
        </w:rPr>
        <w:t>Podmiot dokonujący wydatków kwalifikowalnych</w:t>
      </w:r>
      <w:bookmarkEnd w:id="107"/>
    </w:p>
    <w:p w:rsidR="00AC2A05" w:rsidRPr="00B81671" w:rsidRDefault="00903FFD" w:rsidP="00137BC9">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4B179F">
        <w:rPr>
          <w:rFonts w:ascii="Arial" w:eastAsia="Times New Roman" w:hAnsi="Arial" w:cs="Arial"/>
          <w:lang w:eastAsia="pl-PL"/>
        </w:rPr>
        <w:t>1</w:t>
      </w:r>
      <w:r w:rsidR="004B179F"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4B179F">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4B179F">
        <w:rPr>
          <w:rFonts w:ascii="Arial" w:eastAsia="Times New Roman" w:hAnsi="Arial" w:cs="Arial"/>
          <w:lang w:eastAsia="pl-PL"/>
        </w:rPr>
        <w:t>3</w:t>
      </w:r>
      <w:r w:rsidR="00F665EF" w:rsidRPr="00B81671">
        <w:rPr>
          <w:rFonts w:ascii="Arial" w:eastAsia="Times New Roman" w:hAnsi="Arial" w:cs="Arial"/>
          <w:lang w:eastAsia="pl-PL"/>
        </w:rPr>
        <w:t>.3</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rsidR="005B1CB4" w:rsidRPr="00B81671" w:rsidRDefault="005B1CB4" w:rsidP="00137BC9">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w:t>
      </w:r>
      <w:r w:rsidR="0036761B">
        <w:rPr>
          <w:rFonts w:ascii="Arial" w:eastAsia="Times New Roman" w:hAnsi="Arial" w:cs="Arial"/>
          <w:lang w:eastAsia="pl-PL"/>
        </w:rPr>
        <w:t>n</w:t>
      </w:r>
      <w:r w:rsidRPr="00B81671">
        <w:rPr>
          <w:rFonts w:ascii="Arial" w:eastAsia="Times New Roman" w:hAnsi="Arial" w:cs="Arial"/>
          <w:lang w:eastAsia="pl-PL"/>
        </w:rPr>
        <w: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rsidR="00C837C2" w:rsidRPr="00B81671" w:rsidRDefault="00951794" w:rsidP="00137BC9">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U</w:t>
      </w:r>
      <w:r w:rsidR="00A52331" w:rsidRPr="00B81671">
        <w:rPr>
          <w:rFonts w:ascii="Arial" w:eastAsia="Times New Roman" w:hAnsi="Arial" w:cs="Arial"/>
          <w:lang w:eastAsia="pl-PL"/>
        </w:rPr>
        <w:t>znani</w:t>
      </w:r>
      <w:r w:rsidRPr="00B81671">
        <w:rPr>
          <w:rFonts w:ascii="Arial" w:eastAsia="Times New Roman" w:hAnsi="Arial" w:cs="Arial"/>
          <w:lang w:eastAsia="pl-PL"/>
        </w:rPr>
        <w:t>e</w:t>
      </w:r>
      <w:r w:rsidR="00A52331" w:rsidRPr="00B81671">
        <w:rPr>
          <w:rFonts w:ascii="Arial" w:eastAsia="Times New Roman" w:hAnsi="Arial" w:cs="Arial"/>
          <w:lang w:eastAsia="pl-PL"/>
        </w:rPr>
        <w:t xml:space="preserve"> za kwalifikowalne wydatków poniesionych przez podmiot upoważniony do ponoszenia wydatków jest </w:t>
      </w:r>
      <w:r w:rsidRPr="00B81671">
        <w:rPr>
          <w:rFonts w:ascii="Arial" w:eastAsia="Times New Roman" w:hAnsi="Arial" w:cs="Arial"/>
          <w:lang w:eastAsia="pl-PL"/>
        </w:rPr>
        <w:t xml:space="preserve">warunkowane </w:t>
      </w:r>
      <w:r w:rsidR="00A52331" w:rsidRPr="00B81671">
        <w:rPr>
          <w:rFonts w:ascii="Arial" w:eastAsia="Times New Roman" w:hAnsi="Arial" w:cs="Arial"/>
          <w:lang w:eastAsia="pl-PL"/>
        </w:rPr>
        <w:t>podpisanie</w:t>
      </w:r>
      <w:r w:rsidRPr="00B81671">
        <w:rPr>
          <w:rFonts w:ascii="Arial" w:eastAsia="Times New Roman" w:hAnsi="Arial" w:cs="Arial"/>
          <w:lang w:eastAsia="pl-PL"/>
        </w:rPr>
        <w:t>m</w:t>
      </w:r>
      <w:r w:rsidR="00A52331" w:rsidRPr="00B81671">
        <w:rPr>
          <w:rFonts w:ascii="Arial" w:eastAsia="Times New Roman" w:hAnsi="Arial" w:cs="Arial"/>
          <w:lang w:eastAsia="pl-PL"/>
        </w:rPr>
        <w:t xml:space="preserve"> u</w:t>
      </w:r>
      <w:r w:rsidR="00115D70" w:rsidRPr="00B81671">
        <w:rPr>
          <w:rFonts w:ascii="Arial" w:eastAsia="Times New Roman" w:hAnsi="Arial" w:cs="Arial"/>
          <w:lang w:eastAsia="pl-PL"/>
        </w:rPr>
        <w:t>mow</w:t>
      </w:r>
      <w:r w:rsidR="00A52331" w:rsidRPr="00B81671">
        <w:rPr>
          <w:rFonts w:ascii="Arial" w:eastAsia="Times New Roman" w:hAnsi="Arial" w:cs="Arial"/>
          <w:lang w:eastAsia="pl-PL"/>
        </w:rPr>
        <w:t>y</w:t>
      </w:r>
      <w:r w:rsidR="00115D70" w:rsidRPr="00B81671">
        <w:rPr>
          <w:rFonts w:ascii="Arial" w:eastAsia="Times New Roman" w:hAnsi="Arial" w:cs="Arial"/>
          <w:lang w:eastAsia="pl-PL"/>
        </w:rPr>
        <w:t xml:space="preserve"> lub porozumieni</w:t>
      </w:r>
      <w:r w:rsidR="00A52331" w:rsidRPr="00B81671">
        <w:rPr>
          <w:rFonts w:ascii="Arial" w:eastAsia="Times New Roman" w:hAnsi="Arial" w:cs="Arial"/>
          <w:lang w:eastAsia="pl-PL"/>
        </w:rPr>
        <w:t>a</w:t>
      </w:r>
      <w:r w:rsidR="00115D70" w:rsidRPr="00B81671">
        <w:rPr>
          <w:rFonts w:ascii="Arial" w:eastAsia="Times New Roman" w:hAnsi="Arial" w:cs="Arial"/>
          <w:lang w:eastAsia="pl-PL"/>
        </w:rPr>
        <w:t xml:space="preserve"> </w:t>
      </w:r>
      <w:r w:rsidR="00A52331" w:rsidRPr="00B81671">
        <w:rPr>
          <w:rFonts w:ascii="Arial" w:eastAsia="Times New Roman" w:hAnsi="Arial" w:cs="Arial"/>
          <w:lang w:eastAsia="pl-PL"/>
        </w:rPr>
        <w:t>pomiędzy beneficjentem a podmiotem upoważnionym z poszanowaniem obowiązujących przepisów. Dokument ten stanowi załącznik do wniosku o dofinansowanie.</w:t>
      </w:r>
      <w:r w:rsidR="00A9699A" w:rsidRPr="00B81671">
        <w:rPr>
          <w:rFonts w:ascii="Arial" w:eastAsia="Times New Roman" w:hAnsi="Arial" w:cs="Arial"/>
          <w:lang w:eastAsia="pl-PL"/>
        </w:rPr>
        <w:t xml:space="preserve">   </w:t>
      </w:r>
      <w:r w:rsidR="000E529C" w:rsidRPr="00B81671">
        <w:rPr>
          <w:rFonts w:ascii="Arial" w:eastAsia="Times New Roman" w:hAnsi="Arial" w:cs="Arial"/>
          <w:lang w:eastAsia="pl-PL"/>
        </w:rPr>
        <w:t xml:space="preserve"> </w:t>
      </w:r>
    </w:p>
    <w:p w:rsidR="00951794" w:rsidRPr="00B81671" w:rsidRDefault="00951794" w:rsidP="00137BC9">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Porozumienie lub umowa zawarta pomiędzy beneficjentem, jako stroną umowy o dofinansowanie, a podmiotem upoważnionym powinna </w:t>
      </w:r>
      <w:r w:rsidR="00A451CE" w:rsidRPr="00B81671">
        <w:rPr>
          <w:rFonts w:ascii="Arial" w:eastAsia="Times New Roman" w:hAnsi="Arial" w:cs="Arial"/>
          <w:lang w:eastAsia="pl-PL"/>
        </w:rPr>
        <w:t xml:space="preserve">zawierać zapisy dotyczące wzajemnych praw i obowiązków stron gwarantujące wypełnienie przez beneficjenta zobowiązań wynikających z umowy o dofinansowanie. </w:t>
      </w:r>
      <w:r w:rsidRPr="00B81671">
        <w:rPr>
          <w:rFonts w:ascii="Arial" w:eastAsia="Times New Roman" w:hAnsi="Arial" w:cs="Arial"/>
          <w:lang w:eastAsia="pl-PL"/>
        </w:rPr>
        <w:t xml:space="preserve"> </w:t>
      </w:r>
    </w:p>
    <w:p w:rsidR="00903FFD" w:rsidRPr="00B81671" w:rsidRDefault="00903FFD" w:rsidP="00137BC9">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rsidR="00903FFD" w:rsidRPr="00B81671" w:rsidRDefault="00903FFD" w:rsidP="00137BC9">
      <w:pPr>
        <w:numPr>
          <w:ilvl w:val="1"/>
          <w:numId w:val="5"/>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rsidR="00903FFD" w:rsidRPr="00B81671" w:rsidRDefault="00903FFD" w:rsidP="00137BC9">
      <w:pPr>
        <w:numPr>
          <w:ilvl w:val="1"/>
          <w:numId w:val="5"/>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rsidR="00903FFD" w:rsidRPr="00B81671" w:rsidRDefault="00903FFD" w:rsidP="00137BC9">
      <w:pPr>
        <w:numPr>
          <w:ilvl w:val="1"/>
          <w:numId w:val="5"/>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rsidR="00903FFD" w:rsidRPr="00B81671" w:rsidRDefault="00903FFD" w:rsidP="00137BC9">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108" w:name="_Toc508630112"/>
      <w:r w:rsidRPr="00B81671">
        <w:rPr>
          <w:rFonts w:ascii="Arial" w:hAnsi="Arial" w:cs="Arial"/>
          <w:i/>
          <w:color w:val="auto"/>
          <w:sz w:val="24"/>
          <w:szCs w:val="24"/>
        </w:rPr>
        <w:t>Podmiot na rzecz którego ponoszone są wydatki kwalifikowalne</w:t>
      </w:r>
      <w:bookmarkEnd w:id="108"/>
    </w:p>
    <w:p w:rsidR="00A011A3" w:rsidRPr="00B81671" w:rsidRDefault="00A011A3"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rsidR="00A011A3" w:rsidRPr="00B81671" w:rsidRDefault="00A011A3"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rsidR="00A011A3" w:rsidRPr="00B81671" w:rsidRDefault="00A011A3"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 kwalifikowalne mogą zostać uznane wydatki poniesione na rzecz podmiotu innego niż wskazany w punkcie 1. Zgodnie z art. 143c ust. 1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zamawiający dokonuje </w:t>
      </w:r>
      <w:r w:rsidRPr="00B81671">
        <w:rPr>
          <w:rFonts w:ascii="A" w:hAnsi="A" w:cs="A"/>
        </w:rPr>
        <w:t xml:space="preserve">bezpośredniej zapłaty wymagalnego </w:t>
      </w:r>
      <w:r w:rsidRPr="00B81671">
        <w:rPr>
          <w:rFonts w:ascii="A" w:hAnsi="A" w:cs="A"/>
        </w:rPr>
        <w:lastRenderedPageBreak/>
        <w:t xml:space="preserve">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rsidR="00C4069A" w:rsidRPr="00B81671" w:rsidRDefault="00A011A3"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rsidR="00A011A3" w:rsidRPr="00B81671" w:rsidRDefault="00A011A3"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rsidR="00A011A3" w:rsidRPr="00B81671" w:rsidRDefault="00A011A3"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Postanowienia, o których mowa w pkt 3-5 stosuje się odpowiednio do wydatków ponoszonych przez podmioty zobowiązane do stosowania zasady konkurencyjności, o której mowa w sekcji 6.5.</w:t>
      </w:r>
      <w:r w:rsidR="004B179F">
        <w:rPr>
          <w:rFonts w:ascii="Arial" w:eastAsia="Times New Roman" w:hAnsi="Arial" w:cs="Arial"/>
          <w:lang w:eastAsia="pl-PL"/>
        </w:rPr>
        <w:t>2</w:t>
      </w:r>
      <w:r w:rsidR="004B179F"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rsidR="00A011A3" w:rsidRPr="00B81671" w:rsidRDefault="00A011A3"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rsidR="008C0F3D" w:rsidRDefault="008C0F3D" w:rsidP="00137BC9">
      <w:pPr>
        <w:numPr>
          <w:ilvl w:val="0"/>
          <w:numId w:val="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rsidR="00FF5A15" w:rsidRDefault="00FF5A15" w:rsidP="00602DF9">
      <w:pPr>
        <w:spacing w:before="120" w:after="120" w:line="360" w:lineRule="auto"/>
        <w:ind w:left="360"/>
        <w:jc w:val="both"/>
        <w:rPr>
          <w:rFonts w:ascii="Arial" w:eastAsia="Times New Roman" w:hAnsi="Arial" w:cs="Arial"/>
          <w:lang w:eastAsia="pl-PL"/>
        </w:rPr>
      </w:pPr>
    </w:p>
    <w:p w:rsidR="00FF2954" w:rsidRDefault="00B7472D" w:rsidP="006A27E1">
      <w:pPr>
        <w:pStyle w:val="Nagwek2"/>
        <w:numPr>
          <w:ilvl w:val="1"/>
          <w:numId w:val="1"/>
        </w:numPr>
        <w:spacing w:before="240" w:after="60" w:line="360" w:lineRule="auto"/>
        <w:jc w:val="center"/>
        <w:rPr>
          <w:rFonts w:ascii="Arial" w:hAnsi="Arial" w:cs="Arial"/>
          <w:i/>
          <w:sz w:val="24"/>
          <w:szCs w:val="24"/>
        </w:rPr>
      </w:pPr>
      <w:bookmarkStart w:id="109" w:name="_Toc498677443"/>
      <w:bookmarkStart w:id="110" w:name="_Toc498678429"/>
      <w:bookmarkStart w:id="111" w:name="_Toc498949818"/>
      <w:bookmarkStart w:id="112" w:name="_Toc498950456"/>
      <w:bookmarkStart w:id="113" w:name="_Toc499295108"/>
      <w:bookmarkStart w:id="114" w:name="_Toc499649358"/>
      <w:bookmarkStart w:id="115" w:name="_Toc499649398"/>
      <w:bookmarkStart w:id="116" w:name="_Toc508630113"/>
      <w:bookmarkEnd w:id="109"/>
      <w:bookmarkEnd w:id="110"/>
      <w:bookmarkEnd w:id="111"/>
      <w:bookmarkEnd w:id="112"/>
      <w:bookmarkEnd w:id="113"/>
      <w:bookmarkEnd w:id="114"/>
      <w:bookmarkEnd w:id="115"/>
      <w:r w:rsidRPr="00602DF9">
        <w:rPr>
          <w:rFonts w:ascii="Arial" w:hAnsi="Arial" w:cs="Arial"/>
          <w:i/>
          <w:color w:val="auto"/>
          <w:sz w:val="24"/>
          <w:szCs w:val="24"/>
        </w:rPr>
        <w:lastRenderedPageBreak/>
        <w:t>Zasady kwalifikowalności wydatków w ramach instrumentów finansowych</w:t>
      </w:r>
      <w:bookmarkEnd w:id="116"/>
      <w:r w:rsidRPr="00602DF9">
        <w:rPr>
          <w:rFonts w:ascii="Arial" w:hAnsi="Arial" w:cs="Arial"/>
          <w:i/>
          <w:color w:val="auto"/>
          <w:sz w:val="24"/>
          <w:szCs w:val="24"/>
        </w:rPr>
        <w:t xml:space="preserve"> </w:t>
      </w:r>
    </w:p>
    <w:p w:rsidR="00B7472D" w:rsidRDefault="00B7472D" w:rsidP="00137BC9">
      <w:pPr>
        <w:numPr>
          <w:ilvl w:val="0"/>
          <w:numId w:val="72"/>
        </w:numPr>
        <w:spacing w:before="120" w:after="120" w:line="360" w:lineRule="auto"/>
        <w:jc w:val="both"/>
        <w:rPr>
          <w:rFonts w:ascii="Arial" w:eastAsia="Times New Roman" w:hAnsi="Arial" w:cs="Arial"/>
          <w:lang w:eastAsia="pl-PL"/>
        </w:rPr>
      </w:pPr>
      <w:r w:rsidRPr="00602DF9">
        <w:rPr>
          <w:rFonts w:ascii="Arial" w:eastAsia="Times New Roman" w:hAnsi="Arial" w:cs="Arial"/>
          <w:lang w:eastAsia="pl-PL"/>
        </w:rPr>
        <w:t xml:space="preserve">Warunki i zasady kwalifikowania wydatków w ramach instrumentów finansowych określają zapisy podrozdziału </w:t>
      </w:r>
      <w:r w:rsidRPr="00602DF9">
        <w:rPr>
          <w:rFonts w:ascii="Arial" w:eastAsia="Times New Roman" w:hAnsi="Arial" w:cs="Arial"/>
          <w:i/>
          <w:lang w:eastAsia="pl-PL"/>
        </w:rPr>
        <w:t>6.18 Wytycznych</w:t>
      </w:r>
      <w:r w:rsidRPr="00602DF9">
        <w:rPr>
          <w:rFonts w:ascii="Arial" w:eastAsia="Times New Roman" w:hAnsi="Arial" w:cs="Arial"/>
          <w:lang w:eastAsia="pl-PL"/>
        </w:rPr>
        <w:t xml:space="preserve">.  </w:t>
      </w:r>
    </w:p>
    <w:p w:rsidR="00A03923" w:rsidRDefault="00D103D8" w:rsidP="00137BC9">
      <w:pPr>
        <w:numPr>
          <w:ilvl w:val="0"/>
          <w:numId w:val="72"/>
        </w:numPr>
        <w:spacing w:before="120" w:after="120" w:line="360" w:lineRule="auto"/>
        <w:jc w:val="both"/>
        <w:rPr>
          <w:rFonts w:ascii="Arial" w:eastAsia="Times New Roman" w:hAnsi="Arial" w:cs="Arial"/>
          <w:lang w:eastAsia="pl-PL"/>
        </w:rPr>
      </w:pPr>
      <w:r>
        <w:rPr>
          <w:rFonts w:ascii="Arial" w:eastAsia="Times New Roman" w:hAnsi="Arial" w:cs="Arial"/>
          <w:lang w:eastAsia="pl-PL"/>
        </w:rPr>
        <w:t xml:space="preserve">Ramy czasowe ponoszenia wydatków w przypadku instrumentów finansowych zostały określone w sekcji 6.1.2 </w:t>
      </w:r>
      <w:r w:rsidRPr="00602DF9">
        <w:rPr>
          <w:rFonts w:ascii="Arial" w:eastAsia="Times New Roman" w:hAnsi="Arial" w:cs="Arial"/>
          <w:i/>
          <w:lang w:eastAsia="pl-PL"/>
        </w:rPr>
        <w:t>Wytycznych</w:t>
      </w:r>
      <w:r>
        <w:rPr>
          <w:rFonts w:ascii="Arial" w:eastAsia="Times New Roman" w:hAnsi="Arial" w:cs="Arial"/>
          <w:lang w:eastAsia="pl-PL"/>
        </w:rPr>
        <w:t xml:space="preserve">. </w:t>
      </w:r>
      <w:r w:rsidR="00A03923">
        <w:rPr>
          <w:rFonts w:ascii="Arial" w:eastAsia="Times New Roman" w:hAnsi="Arial" w:cs="Arial"/>
          <w:lang w:eastAsia="pl-PL"/>
        </w:rPr>
        <w:br w:type="page"/>
      </w:r>
    </w:p>
    <w:p w:rsidR="001C052F" w:rsidRDefault="001C052F" w:rsidP="005A373A">
      <w:pPr>
        <w:pStyle w:val="Nagwek1"/>
        <w:numPr>
          <w:ilvl w:val="0"/>
          <w:numId w:val="1"/>
        </w:numPr>
        <w:spacing w:before="240" w:after="60" w:line="360" w:lineRule="auto"/>
        <w:jc w:val="center"/>
        <w:rPr>
          <w:rFonts w:ascii="Arial" w:hAnsi="Arial" w:cs="Arial"/>
          <w:color w:val="auto"/>
          <w:sz w:val="24"/>
          <w:szCs w:val="24"/>
        </w:rPr>
      </w:pPr>
      <w:bookmarkStart w:id="117" w:name="_Toc508630114"/>
      <w:r>
        <w:rPr>
          <w:rFonts w:ascii="Arial" w:hAnsi="Arial" w:cs="Arial"/>
          <w:color w:val="auto"/>
          <w:sz w:val="24"/>
          <w:szCs w:val="24"/>
        </w:rPr>
        <w:lastRenderedPageBreak/>
        <w:t xml:space="preserve">Rozdział – Oś priorytetowa I. Powszechny dostęp do szybkiego </w:t>
      </w:r>
      <w:proofErr w:type="spellStart"/>
      <w:r>
        <w:rPr>
          <w:rFonts w:ascii="Arial" w:hAnsi="Arial" w:cs="Arial"/>
          <w:color w:val="auto"/>
          <w:sz w:val="24"/>
          <w:szCs w:val="24"/>
        </w:rPr>
        <w:t>internetu</w:t>
      </w:r>
      <w:proofErr w:type="spellEnd"/>
      <w:r>
        <w:rPr>
          <w:rFonts w:ascii="Arial" w:hAnsi="Arial" w:cs="Arial"/>
          <w:color w:val="auto"/>
          <w:sz w:val="24"/>
          <w:szCs w:val="24"/>
        </w:rPr>
        <w:t xml:space="preserve"> – szczegółowe zasady kwalifikowalności wydatków w ramach EFRR</w:t>
      </w:r>
      <w:bookmarkEnd w:id="117"/>
    </w:p>
    <w:p w:rsidR="00A532C5" w:rsidRPr="00316996" w:rsidRDefault="00A532C5" w:rsidP="00602DF9">
      <w:pPr>
        <w:pStyle w:val="Nagwek2"/>
        <w:numPr>
          <w:ilvl w:val="1"/>
          <w:numId w:val="1"/>
        </w:numPr>
        <w:spacing w:before="240" w:after="60" w:line="360" w:lineRule="auto"/>
        <w:jc w:val="center"/>
        <w:rPr>
          <w:rFonts w:ascii="Arial" w:hAnsi="Arial" w:cs="Arial"/>
          <w:i/>
          <w:sz w:val="24"/>
          <w:szCs w:val="24"/>
        </w:rPr>
      </w:pPr>
      <w:bookmarkStart w:id="118" w:name="_Toc429043896"/>
      <w:bookmarkStart w:id="119" w:name="_Toc508630115"/>
      <w:bookmarkEnd w:id="118"/>
      <w:r>
        <w:rPr>
          <w:rFonts w:ascii="Arial" w:hAnsi="Arial" w:cs="Arial"/>
          <w:i/>
          <w:color w:val="auto"/>
          <w:sz w:val="24"/>
          <w:szCs w:val="24"/>
        </w:rPr>
        <w:t xml:space="preserve">Katalog wydatków kwalifikowalnych w ramach Działania 1.1 </w:t>
      </w:r>
      <w:r w:rsidRPr="00A532C5">
        <w:rPr>
          <w:rFonts w:ascii="Arial" w:hAnsi="Arial" w:cs="Arial"/>
          <w:i/>
          <w:color w:val="auto"/>
          <w:sz w:val="24"/>
          <w:szCs w:val="24"/>
        </w:rPr>
        <w:t xml:space="preserve">„Wyeliminowanie terytorialnych różnic w możliwości dostępu do szerokopasmowego </w:t>
      </w:r>
      <w:proofErr w:type="spellStart"/>
      <w:r w:rsidRPr="00A532C5">
        <w:rPr>
          <w:rFonts w:ascii="Arial" w:hAnsi="Arial" w:cs="Arial"/>
          <w:i/>
          <w:color w:val="auto"/>
          <w:sz w:val="24"/>
          <w:szCs w:val="24"/>
        </w:rPr>
        <w:t>internetu</w:t>
      </w:r>
      <w:proofErr w:type="spellEnd"/>
      <w:r w:rsidRPr="00A532C5">
        <w:rPr>
          <w:rFonts w:ascii="Arial" w:hAnsi="Arial" w:cs="Arial"/>
          <w:i/>
          <w:color w:val="auto"/>
          <w:sz w:val="24"/>
          <w:szCs w:val="24"/>
        </w:rPr>
        <w:t xml:space="preserve"> o wysokich przepustowościach”</w:t>
      </w:r>
      <w:r>
        <w:rPr>
          <w:rFonts w:ascii="Arial" w:hAnsi="Arial" w:cs="Arial"/>
          <w:i/>
          <w:color w:val="auto"/>
          <w:sz w:val="24"/>
          <w:szCs w:val="24"/>
        </w:rPr>
        <w:t xml:space="preserve"> dla naboru </w:t>
      </w:r>
      <w:r w:rsidR="00DC1407">
        <w:rPr>
          <w:rFonts w:ascii="Arial" w:hAnsi="Arial" w:cs="Arial"/>
          <w:i/>
          <w:color w:val="auto"/>
          <w:sz w:val="24"/>
          <w:szCs w:val="24"/>
        </w:rPr>
        <w:t xml:space="preserve">nr </w:t>
      </w:r>
      <w:r>
        <w:rPr>
          <w:rFonts w:ascii="Arial" w:hAnsi="Arial" w:cs="Arial"/>
          <w:i/>
          <w:color w:val="auto"/>
          <w:sz w:val="24"/>
          <w:szCs w:val="24"/>
        </w:rPr>
        <w:t>POPC.01.01.00-IP.01-00-001/15</w:t>
      </w:r>
      <w:bookmarkEnd w:id="119"/>
    </w:p>
    <w:p w:rsidR="00D06CDD" w:rsidRPr="00722ACD" w:rsidRDefault="00D06CDD" w:rsidP="00316996">
      <w:pPr>
        <w:pStyle w:val="Nagwek2"/>
        <w:numPr>
          <w:ilvl w:val="2"/>
          <w:numId w:val="1"/>
        </w:numPr>
        <w:spacing w:before="240" w:after="60" w:line="360" w:lineRule="auto"/>
        <w:jc w:val="center"/>
        <w:rPr>
          <w:rFonts w:ascii="Arial" w:hAnsi="Arial" w:cs="Arial"/>
          <w:i/>
          <w:sz w:val="24"/>
          <w:szCs w:val="24"/>
        </w:rPr>
      </w:pPr>
      <w:bookmarkStart w:id="120" w:name="_Toc508630116"/>
      <w:r w:rsidRPr="00722ACD">
        <w:rPr>
          <w:rFonts w:ascii="Arial" w:hAnsi="Arial" w:cs="Arial"/>
          <w:i/>
          <w:color w:val="auto"/>
          <w:sz w:val="24"/>
          <w:szCs w:val="24"/>
        </w:rPr>
        <w:t>Wydatki kwalifikowalne</w:t>
      </w:r>
      <w:bookmarkEnd w:id="120"/>
    </w:p>
    <w:p w:rsidR="006101E2" w:rsidRPr="006101E2" w:rsidRDefault="006101E2" w:rsidP="006101E2">
      <w:pPr>
        <w:autoSpaceDE w:val="0"/>
        <w:autoSpaceDN w:val="0"/>
        <w:adjustRightInd w:val="0"/>
        <w:spacing w:before="120" w:after="120" w:line="360" w:lineRule="auto"/>
        <w:jc w:val="both"/>
        <w:rPr>
          <w:rFonts w:ascii="Arial" w:hAnsi="Arial" w:cs="Arial"/>
        </w:rPr>
      </w:pPr>
      <w:r w:rsidRPr="006101E2">
        <w:rPr>
          <w:rFonts w:ascii="Arial" w:hAnsi="Arial" w:cs="Arial"/>
        </w:rPr>
        <w:t>Wydatki kwalifikowalne określone zostały w rozporządzeniu Ministra Administracji i Cyfryzacji z dnia</w:t>
      </w:r>
      <w:r w:rsidR="00773FC4">
        <w:rPr>
          <w:rFonts w:ascii="Arial" w:hAnsi="Arial" w:cs="Arial"/>
        </w:rPr>
        <w:t xml:space="preserve"> 16 września 2015 r. </w:t>
      </w:r>
      <w:r w:rsidRPr="006101E2">
        <w:rPr>
          <w:rFonts w:ascii="Arial" w:hAnsi="Arial" w:cs="Arial"/>
          <w:i/>
        </w:rPr>
        <w:t>w sprawie udzielania pomocy na rozwój infrastruktury szerokopasmowej w ramach Programu Operacyjnego Polska Cyfrowa na lata 2014–2020</w:t>
      </w:r>
      <w:r w:rsidRPr="006101E2">
        <w:rPr>
          <w:rFonts w:ascii="Arial" w:hAnsi="Arial" w:cs="Arial"/>
        </w:rPr>
        <w:t xml:space="preserve"> </w:t>
      </w:r>
      <w:r w:rsidR="006C6D5C" w:rsidRPr="006C6D5C">
        <w:rPr>
          <w:rFonts w:ascii="Arial" w:hAnsi="Arial" w:cs="Arial"/>
        </w:rPr>
        <w:t>(Dz. U. z 2015 r. poz. 1466)</w:t>
      </w:r>
      <w:r w:rsidR="006C6D5C">
        <w:rPr>
          <w:rFonts w:ascii="Arial" w:hAnsi="Arial" w:cs="Arial"/>
        </w:rPr>
        <w:t xml:space="preserve">, </w:t>
      </w:r>
      <w:r w:rsidRPr="006101E2">
        <w:rPr>
          <w:rFonts w:ascii="Arial" w:hAnsi="Arial" w:cs="Arial"/>
        </w:rPr>
        <w:t xml:space="preserve">dalej jako „rozporządzenie pomocowe dla I osi”. </w:t>
      </w:r>
      <w:r w:rsidR="009E2E12" w:rsidRPr="006101E2">
        <w:rPr>
          <w:rFonts w:ascii="Arial" w:hAnsi="Arial" w:cs="Arial"/>
        </w:rPr>
        <w:t>Niniejsz</w:t>
      </w:r>
      <w:r w:rsidR="009E2E12">
        <w:rPr>
          <w:rFonts w:ascii="Arial" w:hAnsi="Arial" w:cs="Arial"/>
        </w:rPr>
        <w:t>y</w:t>
      </w:r>
      <w:r w:rsidR="009E2E12" w:rsidRPr="006101E2">
        <w:rPr>
          <w:rFonts w:ascii="Arial" w:hAnsi="Arial" w:cs="Arial"/>
        </w:rPr>
        <w:t xml:space="preserve"> </w:t>
      </w:r>
      <w:r w:rsidR="009E2E12" w:rsidRPr="00316996">
        <w:rPr>
          <w:rFonts w:ascii="Arial" w:hAnsi="Arial" w:cs="Arial"/>
          <w:i/>
        </w:rPr>
        <w:t>Katalog</w:t>
      </w:r>
      <w:r w:rsidR="009E2E12" w:rsidRPr="006101E2">
        <w:rPr>
          <w:rFonts w:ascii="Arial" w:hAnsi="Arial" w:cs="Arial"/>
        </w:rPr>
        <w:t xml:space="preserve"> </w:t>
      </w:r>
      <w:r w:rsidRPr="006101E2">
        <w:rPr>
          <w:rFonts w:ascii="Arial" w:hAnsi="Arial" w:cs="Arial"/>
        </w:rPr>
        <w:t xml:space="preserve">powtarza główne kategorie wydatków </w:t>
      </w:r>
      <w:r w:rsidR="002F416C">
        <w:rPr>
          <w:rFonts w:ascii="Arial" w:hAnsi="Arial" w:cs="Arial"/>
        </w:rPr>
        <w:t>wskazane</w:t>
      </w:r>
      <w:r w:rsidRPr="006101E2">
        <w:rPr>
          <w:rFonts w:ascii="Arial" w:hAnsi="Arial" w:cs="Arial"/>
        </w:rPr>
        <w:t xml:space="preserve"> w</w:t>
      </w:r>
      <w:r w:rsidR="00561A31">
        <w:rPr>
          <w:rFonts w:ascii="Arial" w:hAnsi="Arial" w:cs="Arial"/>
        </w:rPr>
        <w:t xml:space="preserve"> </w:t>
      </w:r>
      <w:r w:rsidRPr="006101E2">
        <w:rPr>
          <w:rFonts w:ascii="Arial" w:hAnsi="Arial" w:cs="Arial"/>
        </w:rPr>
        <w:t xml:space="preserve">rozporządzeniu, określając jednocześnie szczegółowe zasady ich kwalifikowania </w:t>
      </w:r>
      <w:r w:rsidR="002F416C">
        <w:rPr>
          <w:rFonts w:ascii="Arial" w:hAnsi="Arial" w:cs="Arial"/>
        </w:rPr>
        <w:t>z uwzględnieniem</w:t>
      </w:r>
      <w:r w:rsidRPr="006101E2">
        <w:rPr>
          <w:rFonts w:ascii="Arial" w:hAnsi="Arial" w:cs="Arial"/>
        </w:rPr>
        <w:t xml:space="preserve"> odpowiednich limitów i </w:t>
      </w:r>
      <w:proofErr w:type="spellStart"/>
      <w:r w:rsidRPr="006101E2">
        <w:rPr>
          <w:rFonts w:ascii="Arial" w:hAnsi="Arial" w:cs="Arial"/>
        </w:rPr>
        <w:t>wyłączeń</w:t>
      </w:r>
      <w:proofErr w:type="spellEnd"/>
      <w:r w:rsidRPr="006101E2">
        <w:rPr>
          <w:rFonts w:ascii="Arial" w:hAnsi="Arial" w:cs="Arial"/>
        </w:rPr>
        <w:t>.</w:t>
      </w:r>
    </w:p>
    <w:p w:rsidR="006101E2" w:rsidRPr="006101E2" w:rsidRDefault="006101E2" w:rsidP="006101E2">
      <w:pPr>
        <w:autoSpaceDE w:val="0"/>
        <w:autoSpaceDN w:val="0"/>
        <w:adjustRightInd w:val="0"/>
        <w:spacing w:before="120" w:after="120" w:line="360" w:lineRule="auto"/>
        <w:jc w:val="both"/>
        <w:rPr>
          <w:rFonts w:ascii="Arial" w:hAnsi="Arial" w:cs="Arial"/>
        </w:rPr>
      </w:pPr>
      <w:r w:rsidRPr="006101E2">
        <w:rPr>
          <w:rFonts w:ascii="Arial" w:hAnsi="Arial" w:cs="Arial"/>
        </w:rPr>
        <w:t>Tabela 1. Klasyfikacja wydatków w osi I POPC.</w:t>
      </w:r>
    </w:p>
    <w:tbl>
      <w:tblPr>
        <w:tblStyle w:val="Tabela-Siatka"/>
        <w:tblW w:w="0" w:type="auto"/>
        <w:tblLook w:val="04A0" w:firstRow="1" w:lastRow="0" w:firstColumn="1" w:lastColumn="0" w:noHBand="0" w:noVBand="1"/>
      </w:tblPr>
      <w:tblGrid>
        <w:gridCol w:w="4606"/>
        <w:gridCol w:w="4606"/>
      </w:tblGrid>
      <w:tr w:rsidR="006101E2" w:rsidRPr="006101E2" w:rsidTr="001359B7">
        <w:tc>
          <w:tcPr>
            <w:tcW w:w="4606" w:type="dxa"/>
            <w:shd w:val="clear" w:color="auto" w:fill="F2F2F2" w:themeFill="background1" w:themeFillShade="F2"/>
          </w:tcPr>
          <w:p w:rsidR="006101E2" w:rsidRPr="006101E2" w:rsidRDefault="006101E2" w:rsidP="008F6563">
            <w:pPr>
              <w:autoSpaceDE w:val="0"/>
              <w:autoSpaceDN w:val="0"/>
              <w:adjustRightInd w:val="0"/>
              <w:spacing w:before="120" w:after="120" w:line="360" w:lineRule="auto"/>
              <w:jc w:val="both"/>
              <w:rPr>
                <w:rFonts w:ascii="Arial" w:hAnsi="Arial" w:cs="Arial"/>
              </w:rPr>
            </w:pPr>
            <w:r w:rsidRPr="006101E2">
              <w:rPr>
                <w:rFonts w:ascii="Arial" w:hAnsi="Arial" w:cs="Arial"/>
              </w:rPr>
              <w:t xml:space="preserve">Wydatki poniesione na pokrycie kosztów, o których mowa w art. 52 ust. 2 lit. a), b) i d) GBER oraz określone w rozporządzeniu </w:t>
            </w:r>
            <w:r w:rsidR="008F6563">
              <w:rPr>
                <w:rFonts w:ascii="Arial" w:hAnsi="Arial" w:cs="Arial"/>
              </w:rPr>
              <w:t xml:space="preserve">pomocowym dla osi I </w:t>
            </w:r>
            <w:r w:rsidRPr="006101E2">
              <w:rPr>
                <w:rFonts w:ascii="Arial" w:hAnsi="Arial" w:cs="Arial"/>
              </w:rPr>
              <w:t>jako:</w:t>
            </w:r>
          </w:p>
        </w:tc>
        <w:tc>
          <w:tcPr>
            <w:tcW w:w="4606" w:type="dxa"/>
            <w:shd w:val="clear" w:color="auto" w:fill="F2F2F2" w:themeFill="background1" w:themeFillShade="F2"/>
          </w:tcPr>
          <w:p w:rsidR="006101E2" w:rsidRPr="006101E2" w:rsidRDefault="006101E2" w:rsidP="006101E2">
            <w:pPr>
              <w:autoSpaceDE w:val="0"/>
              <w:autoSpaceDN w:val="0"/>
              <w:adjustRightInd w:val="0"/>
              <w:spacing w:before="120" w:after="120" w:line="360" w:lineRule="auto"/>
              <w:jc w:val="center"/>
              <w:rPr>
                <w:rFonts w:ascii="Arial" w:hAnsi="Arial" w:cs="Arial"/>
              </w:rPr>
            </w:pPr>
            <w:r w:rsidRPr="006101E2">
              <w:rPr>
                <w:rFonts w:ascii="Arial" w:hAnsi="Arial" w:cs="Arial"/>
              </w:rPr>
              <w:t xml:space="preserve">Wydatki kwalifikujące się do wsparcia jako pomoc </w:t>
            </w:r>
            <w:r w:rsidRPr="00316996">
              <w:rPr>
                <w:rFonts w:ascii="Arial" w:hAnsi="Arial" w:cs="Arial"/>
                <w:i/>
              </w:rPr>
              <w:t xml:space="preserve">de </w:t>
            </w:r>
            <w:proofErr w:type="spellStart"/>
            <w:r w:rsidRPr="00316996">
              <w:rPr>
                <w:rFonts w:ascii="Arial" w:hAnsi="Arial" w:cs="Arial"/>
                <w:i/>
              </w:rPr>
              <w:t>minimis</w:t>
            </w:r>
            <w:proofErr w:type="spellEnd"/>
            <w:r w:rsidRPr="006101E2">
              <w:rPr>
                <w:rFonts w:ascii="Arial" w:hAnsi="Arial" w:cs="Arial"/>
              </w:rPr>
              <w:t xml:space="preserve"> udzielana na podstawie Rozporządzenia Komisji (UE) nr 1407/2013</w:t>
            </w:r>
            <w:r w:rsidR="008F6563">
              <w:rPr>
                <w:rFonts w:ascii="Arial" w:hAnsi="Arial" w:cs="Arial"/>
              </w:rPr>
              <w:t xml:space="preserve"> oraz określone w rozporządzeniu pomocowym dla I osi jako:</w:t>
            </w:r>
          </w:p>
        </w:tc>
      </w:tr>
      <w:tr w:rsidR="006101E2" w:rsidRPr="006101E2" w:rsidTr="001359B7">
        <w:trPr>
          <w:trHeight w:val="1931"/>
        </w:trPr>
        <w:tc>
          <w:tcPr>
            <w:tcW w:w="4606" w:type="dxa"/>
          </w:tcPr>
          <w:p w:rsidR="006101E2" w:rsidRPr="006101E2" w:rsidRDefault="006101E2" w:rsidP="00137BC9">
            <w:pPr>
              <w:numPr>
                <w:ilvl w:val="0"/>
                <w:numId w:val="37"/>
              </w:numPr>
              <w:spacing w:before="120" w:after="120" w:line="360" w:lineRule="auto"/>
              <w:ind w:left="426"/>
              <w:rPr>
                <w:rFonts w:ascii="Arial" w:hAnsi="Arial" w:cs="Arial"/>
                <w:bCs/>
              </w:rPr>
            </w:pPr>
            <w:r w:rsidRPr="006101E2">
              <w:rPr>
                <w:rFonts w:ascii="Arial" w:hAnsi="Arial" w:cs="Arial"/>
                <w:bCs/>
              </w:rPr>
              <w:t>koszty inwestycyjne budowy pasywnej infrastruktury szerokopasmowej</w:t>
            </w:r>
            <w:r w:rsidRPr="006101E2">
              <w:rPr>
                <w:rFonts w:ascii="Arial" w:hAnsi="Arial" w:cs="Arial"/>
                <w:bCs/>
                <w:vertAlign w:val="superscript"/>
              </w:rPr>
              <w:footnoteReference w:id="14"/>
            </w:r>
            <w:r w:rsidRPr="006101E2">
              <w:rPr>
                <w:rFonts w:ascii="Arial" w:hAnsi="Arial" w:cs="Arial"/>
                <w:bCs/>
              </w:rPr>
              <w:t xml:space="preserve">, w tym robót i materiałów budowlanych oraz dostaw i instalacji elementów  infrastruktury szerokopasmowej; </w:t>
            </w:r>
          </w:p>
        </w:tc>
        <w:tc>
          <w:tcPr>
            <w:tcW w:w="4606" w:type="dxa"/>
          </w:tcPr>
          <w:p w:rsidR="006101E2" w:rsidRPr="006101E2" w:rsidRDefault="006101E2" w:rsidP="00137BC9">
            <w:pPr>
              <w:numPr>
                <w:ilvl w:val="0"/>
                <w:numId w:val="38"/>
              </w:numPr>
              <w:spacing w:before="120" w:after="120" w:line="360" w:lineRule="auto"/>
              <w:ind w:left="356"/>
              <w:rPr>
                <w:rFonts w:ascii="Arial" w:hAnsi="Arial" w:cs="Arial"/>
              </w:rPr>
            </w:pPr>
            <w:r w:rsidRPr="006101E2">
              <w:rPr>
                <w:rFonts w:ascii="Arial" w:hAnsi="Arial" w:cs="Arial"/>
                <w:bCs/>
              </w:rPr>
              <w:t>opłaty publicznoprawne związane z przygotowaniem i realizacją projektu, w szczególności za wydanie decyzji, zgód, zezwoleń;</w:t>
            </w:r>
          </w:p>
        </w:tc>
      </w:tr>
      <w:tr w:rsidR="006101E2" w:rsidRPr="006101E2" w:rsidTr="001359B7">
        <w:tc>
          <w:tcPr>
            <w:tcW w:w="4606" w:type="dxa"/>
          </w:tcPr>
          <w:p w:rsidR="006101E2" w:rsidRPr="006101E2" w:rsidRDefault="006101E2" w:rsidP="00137BC9">
            <w:pPr>
              <w:numPr>
                <w:ilvl w:val="0"/>
                <w:numId w:val="37"/>
              </w:numPr>
              <w:spacing w:before="120" w:after="120" w:line="360" w:lineRule="auto"/>
              <w:ind w:left="426"/>
              <w:rPr>
                <w:rFonts w:ascii="Arial" w:hAnsi="Arial" w:cs="Arial"/>
                <w:bCs/>
              </w:rPr>
            </w:pPr>
            <w:r w:rsidRPr="006101E2">
              <w:rPr>
                <w:rFonts w:ascii="Arial" w:hAnsi="Arial" w:cs="Arial"/>
                <w:bCs/>
              </w:rPr>
              <w:lastRenderedPageBreak/>
              <w:t>koszty przygotowania dokumentacji niezbędnej do wykonania robót budowlanych, z wyłączeniem kosztów przygotowania dokumentacji powykonawczej</w:t>
            </w:r>
            <w:r w:rsidR="00ED1EF5">
              <w:rPr>
                <w:rFonts w:ascii="Arial" w:hAnsi="Arial" w:cs="Arial"/>
                <w:bCs/>
              </w:rPr>
              <w:t xml:space="preserve"> w rozumieniu </w:t>
            </w:r>
            <w:r w:rsidR="00297AC7">
              <w:rPr>
                <w:rFonts w:ascii="Arial" w:hAnsi="Arial" w:cs="Arial"/>
                <w:bCs/>
              </w:rPr>
              <w:t xml:space="preserve">ustawy - </w:t>
            </w:r>
            <w:r w:rsidR="00ED1EF5">
              <w:rPr>
                <w:rFonts w:ascii="Arial" w:hAnsi="Arial" w:cs="Arial"/>
                <w:bCs/>
              </w:rPr>
              <w:t>Prawo budowlane</w:t>
            </w:r>
            <w:r w:rsidRPr="006101E2">
              <w:rPr>
                <w:rFonts w:ascii="Arial" w:hAnsi="Arial" w:cs="Arial"/>
                <w:bCs/>
              </w:rPr>
              <w:t>;</w:t>
            </w:r>
          </w:p>
        </w:tc>
        <w:tc>
          <w:tcPr>
            <w:tcW w:w="4606" w:type="dxa"/>
          </w:tcPr>
          <w:p w:rsidR="006101E2" w:rsidRPr="006101E2" w:rsidRDefault="006101E2" w:rsidP="00137BC9">
            <w:pPr>
              <w:numPr>
                <w:ilvl w:val="0"/>
                <w:numId w:val="38"/>
              </w:numPr>
              <w:spacing w:before="120" w:after="120" w:line="360" w:lineRule="auto"/>
              <w:ind w:left="356"/>
              <w:rPr>
                <w:rFonts w:ascii="Arial" w:hAnsi="Arial" w:cs="Arial"/>
              </w:rPr>
            </w:pPr>
            <w:r w:rsidRPr="006101E2">
              <w:rPr>
                <w:rFonts w:ascii="Arial" w:hAnsi="Arial" w:cs="Arial"/>
                <w:bCs/>
              </w:rPr>
              <w:t>obsługa instrumentów zabezpieczających realizację umowy o</w:t>
            </w:r>
            <w:r w:rsidR="00883110">
              <w:rPr>
                <w:rFonts w:ascii="Arial" w:hAnsi="Arial" w:cs="Arial"/>
                <w:bCs/>
              </w:rPr>
              <w:t xml:space="preserve"> dofinansowanie</w:t>
            </w:r>
            <w:r w:rsidRPr="006101E2">
              <w:rPr>
                <w:rFonts w:ascii="Arial" w:hAnsi="Arial" w:cs="Arial"/>
                <w:bCs/>
              </w:rPr>
              <w:t>, określonych w umowie o dofinansowanie;</w:t>
            </w:r>
          </w:p>
        </w:tc>
      </w:tr>
      <w:tr w:rsidR="006101E2" w:rsidRPr="006101E2" w:rsidTr="001359B7">
        <w:tc>
          <w:tcPr>
            <w:tcW w:w="4606" w:type="dxa"/>
          </w:tcPr>
          <w:p w:rsidR="006101E2" w:rsidRPr="006101E2" w:rsidRDefault="006101E2" w:rsidP="00137BC9">
            <w:pPr>
              <w:numPr>
                <w:ilvl w:val="0"/>
                <w:numId w:val="37"/>
              </w:numPr>
              <w:spacing w:before="120" w:after="120" w:line="360" w:lineRule="auto"/>
              <w:ind w:left="426"/>
              <w:rPr>
                <w:rFonts w:ascii="Arial" w:hAnsi="Arial" w:cs="Arial"/>
                <w:bCs/>
              </w:rPr>
            </w:pPr>
            <w:r w:rsidRPr="006101E2">
              <w:rPr>
                <w:rFonts w:ascii="Arial" w:hAnsi="Arial" w:cs="Arial"/>
                <w:bCs/>
              </w:rPr>
              <w:t>koszty nabycia prawa do dysponowania nieruchomością związaną z realizacją projektu;</w:t>
            </w:r>
          </w:p>
        </w:tc>
        <w:tc>
          <w:tcPr>
            <w:tcW w:w="4606" w:type="dxa"/>
          </w:tcPr>
          <w:p w:rsidR="00347005" w:rsidRPr="0056167D" w:rsidRDefault="006101E2" w:rsidP="00137BC9">
            <w:pPr>
              <w:pStyle w:val="PKTpunkt"/>
              <w:numPr>
                <w:ilvl w:val="0"/>
                <w:numId w:val="51"/>
              </w:numPr>
              <w:rPr>
                <w:sz w:val="22"/>
                <w:szCs w:val="22"/>
              </w:rPr>
            </w:pPr>
            <w:r w:rsidRPr="0056167D">
              <w:rPr>
                <w:rFonts w:ascii="Arial" w:hAnsi="Arial"/>
                <w:bCs w:val="0"/>
                <w:sz w:val="22"/>
                <w:szCs w:val="22"/>
              </w:rPr>
              <w:t>przygotowanie projektu w zakresie niezbędnym do złożenia wniosku o udzielenie wsparcia, nie wcześniej niż 3 miesiące przed dniem złożenia wniosku, do wysokości 20 tysięcy złotych;</w:t>
            </w:r>
            <w:r w:rsidR="00347005" w:rsidRPr="0056167D">
              <w:rPr>
                <w:rFonts w:ascii="Arial" w:hAnsi="Arial"/>
                <w:bCs w:val="0"/>
                <w:sz w:val="22"/>
                <w:szCs w:val="22"/>
              </w:rPr>
              <w:t xml:space="preserve"> </w:t>
            </w:r>
            <w:r w:rsidR="00347005" w:rsidRPr="003E1D0C">
              <w:rPr>
                <w:rFonts w:ascii="Arial" w:hAnsi="Arial"/>
                <w:sz w:val="22"/>
                <w:szCs w:val="22"/>
              </w:rPr>
              <w:t>wsparcie nie obejmuje wydatków zwi</w:t>
            </w:r>
            <w:r w:rsidR="00347005" w:rsidRPr="003E1D0C">
              <w:rPr>
                <w:rFonts w:ascii="Arial" w:hAnsi="Arial" w:hint="eastAsia"/>
                <w:sz w:val="22"/>
                <w:szCs w:val="22"/>
              </w:rPr>
              <w:t>ą</w:t>
            </w:r>
            <w:r w:rsidR="00347005" w:rsidRPr="003E1D0C">
              <w:rPr>
                <w:rFonts w:ascii="Arial" w:hAnsi="Arial"/>
                <w:sz w:val="22"/>
                <w:szCs w:val="22"/>
              </w:rPr>
              <w:t>zanych z wype</w:t>
            </w:r>
            <w:r w:rsidR="00347005" w:rsidRPr="003E1D0C">
              <w:rPr>
                <w:rFonts w:ascii="Arial" w:hAnsi="Arial" w:hint="eastAsia"/>
                <w:sz w:val="22"/>
                <w:szCs w:val="22"/>
              </w:rPr>
              <w:t>ł</w:t>
            </w:r>
            <w:r w:rsidR="00347005" w:rsidRPr="003E1D0C">
              <w:rPr>
                <w:rFonts w:ascii="Arial" w:hAnsi="Arial"/>
                <w:sz w:val="22"/>
                <w:szCs w:val="22"/>
              </w:rPr>
              <w:t>nieniem formularza wniosku;</w:t>
            </w:r>
          </w:p>
          <w:p w:rsidR="006101E2" w:rsidRPr="006101E2" w:rsidRDefault="006101E2" w:rsidP="0056167D">
            <w:pPr>
              <w:spacing w:before="120" w:after="120" w:line="360" w:lineRule="auto"/>
              <w:ind w:left="356"/>
              <w:rPr>
                <w:rFonts w:ascii="Arial" w:hAnsi="Arial" w:cs="Arial"/>
              </w:rPr>
            </w:pPr>
          </w:p>
        </w:tc>
      </w:tr>
      <w:tr w:rsidR="006101E2" w:rsidRPr="006101E2" w:rsidTr="001359B7">
        <w:tc>
          <w:tcPr>
            <w:tcW w:w="4606" w:type="dxa"/>
          </w:tcPr>
          <w:p w:rsidR="006101E2" w:rsidRPr="006101E2" w:rsidRDefault="006101E2" w:rsidP="00137BC9">
            <w:pPr>
              <w:numPr>
                <w:ilvl w:val="0"/>
                <w:numId w:val="51"/>
              </w:numPr>
              <w:spacing w:before="120" w:after="120" w:line="360" w:lineRule="auto"/>
              <w:ind w:left="426"/>
              <w:rPr>
                <w:rFonts w:ascii="Arial" w:hAnsi="Arial" w:cs="Arial"/>
                <w:bCs/>
              </w:rPr>
            </w:pPr>
            <w:r w:rsidRPr="006101E2">
              <w:rPr>
                <w:rFonts w:ascii="Arial" w:hAnsi="Arial" w:cs="Arial"/>
                <w:bCs/>
              </w:rPr>
              <w:t>koszty dost</w:t>
            </w:r>
            <w:r w:rsidR="00773FC4">
              <w:rPr>
                <w:rFonts w:ascii="Arial" w:hAnsi="Arial" w:cs="Arial"/>
                <w:bCs/>
              </w:rPr>
              <w:t>a</w:t>
            </w:r>
            <w:r w:rsidR="003E1D0C">
              <w:rPr>
                <w:rFonts w:ascii="Arial" w:hAnsi="Arial" w:cs="Arial"/>
                <w:bCs/>
              </w:rPr>
              <w:t>wy</w:t>
            </w:r>
            <w:r w:rsidRPr="006101E2">
              <w:rPr>
                <w:rFonts w:ascii="Arial" w:hAnsi="Arial" w:cs="Arial"/>
                <w:bCs/>
              </w:rPr>
              <w:t>, instalacji i uruchomienia urządzeń telekomunikacyjnych stanowiących infrastrukturę aktywną sieci NGA;</w:t>
            </w:r>
          </w:p>
        </w:tc>
        <w:tc>
          <w:tcPr>
            <w:tcW w:w="4606" w:type="dxa"/>
            <w:vMerge w:val="restart"/>
          </w:tcPr>
          <w:p w:rsidR="006101E2" w:rsidRPr="006101E2" w:rsidRDefault="00714036" w:rsidP="006C29ED">
            <w:pPr>
              <w:spacing w:before="120" w:after="120" w:line="360" w:lineRule="auto"/>
              <w:rPr>
                <w:rFonts w:ascii="Arial" w:hAnsi="Arial" w:cs="Arial"/>
              </w:rPr>
            </w:pPr>
            <w:r>
              <w:rPr>
                <w:rFonts w:ascii="Arial" w:hAnsi="Arial" w:cs="Arial"/>
                <w:bCs/>
              </w:rPr>
              <w:t xml:space="preserve">4) </w:t>
            </w:r>
            <w:r w:rsidR="006101E2" w:rsidRPr="006C29ED">
              <w:rPr>
                <w:rFonts w:ascii="Arial" w:hAnsi="Arial" w:cs="Arial"/>
                <w:bCs/>
              </w:rPr>
              <w:t>przygotowanie dokumentacji powykonawczej w rozumieniu ustawy - Prawo budowlane</w:t>
            </w:r>
            <w:r w:rsidR="00440BAD" w:rsidRPr="006C29ED">
              <w:rPr>
                <w:rFonts w:ascii="Arial" w:hAnsi="Arial" w:cs="Arial"/>
                <w:bCs/>
              </w:rPr>
              <w:t>.</w:t>
            </w:r>
            <w:r w:rsidR="006101E2" w:rsidRPr="006C29ED">
              <w:rPr>
                <w:rFonts w:ascii="Arial" w:hAnsi="Arial" w:cs="Arial"/>
                <w:bCs/>
              </w:rPr>
              <w:t xml:space="preserve"> </w:t>
            </w:r>
          </w:p>
        </w:tc>
      </w:tr>
      <w:tr w:rsidR="006101E2" w:rsidRPr="006101E2" w:rsidTr="001359B7">
        <w:tc>
          <w:tcPr>
            <w:tcW w:w="4606" w:type="dxa"/>
          </w:tcPr>
          <w:p w:rsidR="006101E2" w:rsidRPr="006C29ED" w:rsidRDefault="006101E2" w:rsidP="00137BC9">
            <w:pPr>
              <w:pStyle w:val="Akapitzlist"/>
              <w:numPr>
                <w:ilvl w:val="0"/>
                <w:numId w:val="51"/>
              </w:numPr>
              <w:spacing w:before="120" w:after="120" w:line="360" w:lineRule="auto"/>
              <w:rPr>
                <w:rFonts w:ascii="Arial" w:hAnsi="Arial" w:cs="Arial"/>
                <w:bCs/>
              </w:rPr>
            </w:pPr>
            <w:r w:rsidRPr="006C29ED">
              <w:rPr>
                <w:rFonts w:ascii="Arial" w:hAnsi="Arial" w:cs="Arial"/>
                <w:bCs/>
              </w:rPr>
              <w:t>koszty najmu, dzierżawy lub leasingu pasywnej infrastruktury szerokopasmowej, a także elementów infrastruktury elektroenergetycznej, sanitarnej, wodociągowej oraz kanałów technologicznych;</w:t>
            </w:r>
          </w:p>
        </w:tc>
        <w:tc>
          <w:tcPr>
            <w:tcW w:w="4606" w:type="dxa"/>
            <w:vMerge/>
          </w:tcPr>
          <w:p w:rsidR="006101E2" w:rsidRPr="006101E2" w:rsidRDefault="006101E2" w:rsidP="006101E2">
            <w:pPr>
              <w:autoSpaceDE w:val="0"/>
              <w:autoSpaceDN w:val="0"/>
              <w:adjustRightInd w:val="0"/>
              <w:spacing w:before="120" w:after="120" w:line="360" w:lineRule="auto"/>
              <w:rPr>
                <w:rFonts w:ascii="Arial" w:hAnsi="Arial" w:cs="Arial"/>
              </w:rPr>
            </w:pPr>
          </w:p>
        </w:tc>
      </w:tr>
      <w:tr w:rsidR="006101E2" w:rsidRPr="006101E2" w:rsidTr="001359B7">
        <w:tc>
          <w:tcPr>
            <w:tcW w:w="4606" w:type="dxa"/>
          </w:tcPr>
          <w:p w:rsidR="006101E2" w:rsidRPr="006101E2" w:rsidRDefault="006101E2" w:rsidP="00137BC9">
            <w:pPr>
              <w:numPr>
                <w:ilvl w:val="0"/>
                <w:numId w:val="51"/>
              </w:numPr>
              <w:spacing w:before="120" w:after="120" w:line="360" w:lineRule="auto"/>
              <w:ind w:left="426"/>
              <w:rPr>
                <w:rFonts w:ascii="Arial" w:hAnsi="Arial" w:cs="Arial"/>
              </w:rPr>
            </w:pPr>
            <w:r w:rsidRPr="006101E2">
              <w:rPr>
                <w:rFonts w:ascii="Arial" w:hAnsi="Arial" w:cs="Arial"/>
                <w:bCs/>
              </w:rPr>
              <w:t>koszty inwestycyjne budowy sieci NGA, w tym związane z przebudową i</w:t>
            </w:r>
            <w:r w:rsidR="00883110">
              <w:rPr>
                <w:rFonts w:ascii="Arial" w:hAnsi="Arial" w:cs="Arial"/>
                <w:bCs/>
              </w:rPr>
              <w:t xml:space="preserve"> </w:t>
            </w:r>
            <w:r w:rsidRPr="006101E2">
              <w:rPr>
                <w:rFonts w:ascii="Arial" w:hAnsi="Arial" w:cs="Arial"/>
                <w:bCs/>
              </w:rPr>
              <w:t xml:space="preserve">rozbudową podstawowej sieci szerokopasmowej do standardu sieci NGA; </w:t>
            </w:r>
          </w:p>
        </w:tc>
        <w:tc>
          <w:tcPr>
            <w:tcW w:w="4606" w:type="dxa"/>
            <w:vMerge/>
          </w:tcPr>
          <w:p w:rsidR="006101E2" w:rsidRPr="006101E2" w:rsidRDefault="006101E2" w:rsidP="00137BC9">
            <w:pPr>
              <w:numPr>
                <w:ilvl w:val="0"/>
                <w:numId w:val="49"/>
              </w:numPr>
              <w:spacing w:before="120" w:after="120" w:line="360" w:lineRule="auto"/>
              <w:ind w:left="356"/>
              <w:rPr>
                <w:rFonts w:ascii="Arial" w:hAnsi="Arial" w:cs="Arial"/>
              </w:rPr>
            </w:pPr>
          </w:p>
        </w:tc>
      </w:tr>
      <w:tr w:rsidR="006101E2" w:rsidRPr="006101E2" w:rsidTr="001359B7">
        <w:tc>
          <w:tcPr>
            <w:tcW w:w="4606" w:type="dxa"/>
          </w:tcPr>
          <w:p w:rsidR="006101E2" w:rsidRPr="006101E2" w:rsidRDefault="006101E2" w:rsidP="00137BC9">
            <w:pPr>
              <w:numPr>
                <w:ilvl w:val="0"/>
                <w:numId w:val="51"/>
              </w:numPr>
              <w:autoSpaceDE w:val="0"/>
              <w:autoSpaceDN w:val="0"/>
              <w:adjustRightInd w:val="0"/>
              <w:spacing w:before="120" w:after="120" w:line="360" w:lineRule="auto"/>
              <w:ind w:left="426"/>
              <w:rPr>
                <w:rFonts w:ascii="Arial" w:hAnsi="Arial" w:cs="Arial"/>
              </w:rPr>
            </w:pPr>
            <w:r w:rsidRPr="006101E2">
              <w:rPr>
                <w:rFonts w:ascii="Arial" w:hAnsi="Arial" w:cs="Arial"/>
              </w:rPr>
              <w:t>koszty nabycia wartości niematerialnych i prawnych.</w:t>
            </w:r>
          </w:p>
        </w:tc>
        <w:tc>
          <w:tcPr>
            <w:tcW w:w="4606" w:type="dxa"/>
            <w:vMerge/>
          </w:tcPr>
          <w:p w:rsidR="006101E2" w:rsidRPr="006101E2" w:rsidRDefault="006101E2" w:rsidP="006101E2">
            <w:pPr>
              <w:autoSpaceDE w:val="0"/>
              <w:autoSpaceDN w:val="0"/>
              <w:adjustRightInd w:val="0"/>
              <w:spacing w:before="120" w:after="120" w:line="360" w:lineRule="auto"/>
              <w:rPr>
                <w:rFonts w:ascii="Arial" w:hAnsi="Arial" w:cs="Arial"/>
              </w:rPr>
            </w:pPr>
          </w:p>
        </w:tc>
      </w:tr>
    </w:tbl>
    <w:p w:rsidR="001C6FB3" w:rsidRDefault="001C6FB3" w:rsidP="006101E2">
      <w:pPr>
        <w:autoSpaceDE w:val="0"/>
        <w:autoSpaceDN w:val="0"/>
        <w:adjustRightInd w:val="0"/>
        <w:spacing w:before="120" w:after="120" w:line="360" w:lineRule="auto"/>
        <w:jc w:val="both"/>
        <w:rPr>
          <w:rFonts w:ascii="Arial" w:hAnsi="Arial" w:cs="Arial"/>
        </w:rPr>
      </w:pPr>
    </w:p>
    <w:p w:rsidR="006101E2" w:rsidRPr="006101E2" w:rsidRDefault="006101E2" w:rsidP="006101E2">
      <w:pPr>
        <w:autoSpaceDE w:val="0"/>
        <w:autoSpaceDN w:val="0"/>
        <w:adjustRightInd w:val="0"/>
        <w:spacing w:before="120" w:after="120" w:line="360" w:lineRule="auto"/>
        <w:jc w:val="both"/>
        <w:rPr>
          <w:rFonts w:ascii="Arial" w:hAnsi="Arial" w:cs="Arial"/>
        </w:rPr>
      </w:pPr>
      <w:r w:rsidRPr="006101E2">
        <w:rPr>
          <w:rFonts w:ascii="Arial" w:hAnsi="Arial" w:cs="Arial"/>
        </w:rPr>
        <w:t>W ramach powyższych kategorii wydatków stosuje się następujące ogólne zasady:</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wszystkie wskazane w niniejszym rozdziale wydatki muszą być ponoszone zgodnie z </w:t>
      </w:r>
      <w:r w:rsidRPr="006101E2">
        <w:rPr>
          <w:rFonts w:ascii="Arial" w:hAnsi="Arial" w:cs="Arial"/>
          <w:i/>
        </w:rPr>
        <w:t xml:space="preserve">Rozporządzeniem pomocowym dla I osi, </w:t>
      </w:r>
      <w:r w:rsidRPr="006101E2">
        <w:rPr>
          <w:rFonts w:ascii="Arial" w:hAnsi="Arial" w:cs="Arial"/>
        </w:rPr>
        <w:t xml:space="preserve">niniejszym </w:t>
      </w:r>
      <w:r w:rsidR="00BB4F12">
        <w:rPr>
          <w:rFonts w:ascii="Arial" w:hAnsi="Arial" w:cs="Arial"/>
          <w:i/>
        </w:rPr>
        <w:t>Katalogiem</w:t>
      </w:r>
      <w:r w:rsidRPr="006101E2">
        <w:rPr>
          <w:rFonts w:ascii="Arial" w:hAnsi="Arial" w:cs="Arial"/>
        </w:rPr>
        <w:t xml:space="preserve">, </w:t>
      </w:r>
      <w:r w:rsidRPr="006101E2">
        <w:rPr>
          <w:rFonts w:ascii="Arial" w:hAnsi="Arial" w:cs="Arial"/>
          <w:i/>
        </w:rPr>
        <w:t xml:space="preserve">Wytycznymi </w:t>
      </w:r>
      <w:r w:rsidRPr="006101E2">
        <w:rPr>
          <w:rFonts w:ascii="Arial" w:hAnsi="Arial" w:cs="Arial"/>
        </w:rPr>
        <w:t xml:space="preserve">oraz umową o dofinansowanie pod rygorem uznania ich za niekwalifikowane.  Wydatki te muszą być bezpośrednio związane z </w:t>
      </w:r>
      <w:r w:rsidR="00D97006" w:rsidRPr="006101E2">
        <w:rPr>
          <w:rFonts w:ascii="Arial" w:hAnsi="Arial" w:cs="Arial"/>
        </w:rPr>
        <w:t>realizacj</w:t>
      </w:r>
      <w:r w:rsidR="00D97006">
        <w:rPr>
          <w:rFonts w:ascii="Arial" w:hAnsi="Arial" w:cs="Arial"/>
        </w:rPr>
        <w:t>ą</w:t>
      </w:r>
      <w:r w:rsidR="00D97006" w:rsidRPr="006101E2">
        <w:rPr>
          <w:rFonts w:ascii="Arial" w:hAnsi="Arial" w:cs="Arial"/>
        </w:rPr>
        <w:t xml:space="preserve"> </w:t>
      </w:r>
      <w:r w:rsidRPr="006101E2">
        <w:rPr>
          <w:rFonts w:ascii="Arial" w:hAnsi="Arial" w:cs="Arial"/>
        </w:rPr>
        <w:t>projektu;</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wydatkami kwalifikującymi się do objęcia wsparciem są wydatki poniesione w okresie określonym w rozporządzeniu pomocowym dla I osi;</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wszystkie wydatki powinny być przypisane do odpowiednich kategorii określonych w niniejszym rozdziale;</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 xml:space="preserve">cenę nabycia wartości niematerialnych i prawnych oraz środków trwałych, kwalifikujących się do objęcia wsparciem ustala się zgodnie z właściwymi przepisami ustawy </w:t>
      </w:r>
      <w:r w:rsidR="00316996">
        <w:rPr>
          <w:rFonts w:ascii="Arial" w:hAnsi="Arial" w:cs="Arial"/>
        </w:rPr>
        <w:t xml:space="preserve">z dnia 29 września 1994 r. </w:t>
      </w:r>
      <w:r w:rsidRPr="006101E2">
        <w:rPr>
          <w:rFonts w:ascii="Arial" w:hAnsi="Arial" w:cs="Arial"/>
        </w:rPr>
        <w:t>o rachunkowości</w:t>
      </w:r>
      <w:r w:rsidR="00316996">
        <w:rPr>
          <w:rFonts w:ascii="Arial" w:hAnsi="Arial" w:cs="Arial"/>
        </w:rPr>
        <w:t xml:space="preserve"> (Dz. U. 2016</w:t>
      </w:r>
      <w:r w:rsidR="00A77C3B">
        <w:rPr>
          <w:rFonts w:ascii="Arial" w:hAnsi="Arial" w:cs="Arial"/>
        </w:rPr>
        <w:t xml:space="preserve"> r.</w:t>
      </w:r>
      <w:r w:rsidR="00316996">
        <w:rPr>
          <w:rFonts w:ascii="Arial" w:hAnsi="Arial" w:cs="Arial"/>
        </w:rPr>
        <w:t>, poz. 1047)</w:t>
      </w:r>
      <w:r w:rsidR="009D53B9">
        <w:rPr>
          <w:rFonts w:ascii="Arial" w:hAnsi="Arial" w:cs="Arial"/>
        </w:rPr>
        <w:t>;</w:t>
      </w:r>
      <w:r w:rsidRPr="006101E2">
        <w:rPr>
          <w:rFonts w:ascii="Arial" w:hAnsi="Arial" w:cs="Arial"/>
        </w:rPr>
        <w:t xml:space="preserve"> </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wydatki na środki trwałe ponoszone są w ramach kategorii wydatków określonych w niniejszym rozdziale;</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w ramach wydatków dotyczących nowych środków trwałych uznaje się je za kwalifikowalne, o ile środki te są na stałe zainstalowane w ramach projektu, a środki te będą włączone w rejestr środków trwałych beneficjenta oraz wydatek ten będzie traktowany jako wydatek inwestycyjny zgodnie z zasadami rachunkowości;</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dopuszcza się zakup używanych środków trwałych</w:t>
      </w:r>
      <w:r w:rsidR="00AA3A39">
        <w:rPr>
          <w:rFonts w:ascii="Arial" w:hAnsi="Arial" w:cs="Arial"/>
        </w:rPr>
        <w:t xml:space="preserve">, z zastrzeżeniem </w:t>
      </w:r>
      <w:r w:rsidR="00316996">
        <w:rPr>
          <w:rFonts w:ascii="Arial" w:hAnsi="Arial" w:cs="Arial"/>
        </w:rPr>
        <w:t>podrozdziału 3</w:t>
      </w:r>
      <w:r w:rsidR="00AA3A39">
        <w:rPr>
          <w:rFonts w:ascii="Arial" w:hAnsi="Arial" w:cs="Arial"/>
        </w:rPr>
        <w:t>.3 pkt 4 lit. e;</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kwalifikowalne są wydatki w związku z zastosowaniem leasingu i innych technik finansowania nie powodujących natychmiastowego przeniesienia prawa własności;</w:t>
      </w:r>
    </w:p>
    <w:p w:rsidR="006101E2" w:rsidRPr="006101E2" w:rsidRDefault="006101E2" w:rsidP="00137BC9">
      <w:pPr>
        <w:numPr>
          <w:ilvl w:val="0"/>
          <w:numId w:val="52"/>
        </w:numPr>
        <w:autoSpaceDE w:val="0"/>
        <w:autoSpaceDN w:val="0"/>
        <w:adjustRightInd w:val="0"/>
        <w:spacing w:before="120" w:after="120" w:line="360" w:lineRule="auto"/>
        <w:jc w:val="both"/>
        <w:rPr>
          <w:rFonts w:ascii="Arial" w:hAnsi="Arial" w:cs="Arial"/>
        </w:rPr>
      </w:pPr>
      <w:r w:rsidRPr="006101E2">
        <w:rPr>
          <w:rFonts w:ascii="Arial" w:hAnsi="Arial" w:cs="Arial"/>
        </w:rPr>
        <w:t>nie dopuszcza się stosowania uproszczonych metod rozliczania wydatków.</w:t>
      </w:r>
    </w:p>
    <w:p w:rsidR="006101E2" w:rsidRPr="006101E2" w:rsidRDefault="006101E2" w:rsidP="006101E2">
      <w:pPr>
        <w:keepNext/>
        <w:keepLines/>
        <w:numPr>
          <w:ilvl w:val="2"/>
          <w:numId w:val="1"/>
        </w:numPr>
        <w:spacing w:before="240" w:after="60" w:line="360" w:lineRule="auto"/>
        <w:jc w:val="center"/>
        <w:outlineLvl w:val="2"/>
        <w:rPr>
          <w:rFonts w:ascii="Arial" w:eastAsiaTheme="majorEastAsia" w:hAnsi="Arial" w:cs="Arial"/>
          <w:bCs/>
          <w:i/>
          <w:sz w:val="24"/>
          <w:szCs w:val="24"/>
        </w:rPr>
      </w:pPr>
      <w:bookmarkStart w:id="121" w:name="_Toc508630117"/>
      <w:r w:rsidRPr="006101E2">
        <w:rPr>
          <w:rFonts w:ascii="Arial" w:eastAsiaTheme="majorEastAsia" w:hAnsi="Arial" w:cs="Arial"/>
          <w:bCs/>
          <w:i/>
          <w:sz w:val="24"/>
          <w:szCs w:val="24"/>
        </w:rPr>
        <w:t>Kwalifikowalność wydatków w ramach pomocy na infrastrukturę szerokopasmową</w:t>
      </w:r>
      <w:bookmarkEnd w:id="121"/>
    </w:p>
    <w:p w:rsidR="006101E2" w:rsidRPr="006101E2" w:rsidRDefault="006101E2" w:rsidP="006101E2">
      <w:pPr>
        <w:spacing w:before="120" w:after="120" w:line="360" w:lineRule="auto"/>
        <w:jc w:val="both"/>
        <w:rPr>
          <w:rFonts w:ascii="Arial" w:hAnsi="Arial" w:cs="Arial"/>
        </w:rPr>
      </w:pPr>
      <w:r w:rsidRPr="006101E2">
        <w:rPr>
          <w:rFonts w:ascii="Arial" w:hAnsi="Arial" w:cs="Arial"/>
        </w:rPr>
        <w:t>Za kwalifikowalne uznaje się następujące wydatki poniesione na pokrycie:</w:t>
      </w:r>
    </w:p>
    <w:p w:rsidR="006101E2" w:rsidRPr="006101E2" w:rsidRDefault="006101E2" w:rsidP="00137BC9">
      <w:pPr>
        <w:numPr>
          <w:ilvl w:val="0"/>
          <w:numId w:val="32"/>
        </w:numPr>
        <w:spacing w:before="120" w:after="120" w:line="360" w:lineRule="auto"/>
        <w:jc w:val="both"/>
        <w:rPr>
          <w:rFonts w:ascii="Arial" w:hAnsi="Arial" w:cs="Arial"/>
        </w:rPr>
      </w:pPr>
      <w:r w:rsidRPr="006101E2">
        <w:rPr>
          <w:rFonts w:ascii="Arial" w:hAnsi="Arial" w:cs="Arial"/>
        </w:rPr>
        <w:t>kosztów inwestycyjnych budowy pasywnej infrastruktury szerokopasmowej, w tym robót i materiałów budowlanych oraz dostaw</w:t>
      </w:r>
      <w:r w:rsidRPr="006101E2">
        <w:rPr>
          <w:rFonts w:ascii="Arial" w:hAnsi="Arial" w:cs="Arial"/>
          <w:vertAlign w:val="superscript"/>
        </w:rPr>
        <w:footnoteReference w:id="15"/>
      </w:r>
      <w:r w:rsidRPr="006101E2">
        <w:rPr>
          <w:rFonts w:ascii="Arial" w:hAnsi="Arial" w:cs="Arial"/>
        </w:rPr>
        <w:t xml:space="preserve"> i instalacji elementów pasywnej infrastruktury szerokopasmowej, w tym w szczególności:</w:t>
      </w:r>
    </w:p>
    <w:p w:rsidR="006101E2" w:rsidRPr="006101E2" w:rsidRDefault="006101E2" w:rsidP="00137BC9">
      <w:pPr>
        <w:numPr>
          <w:ilvl w:val="0"/>
          <w:numId w:val="33"/>
        </w:numPr>
        <w:spacing w:before="120" w:after="120" w:line="360" w:lineRule="auto"/>
        <w:jc w:val="both"/>
        <w:rPr>
          <w:rFonts w:ascii="Arial" w:hAnsi="Arial" w:cs="Arial"/>
        </w:rPr>
      </w:pPr>
      <w:r w:rsidRPr="006101E2">
        <w:rPr>
          <w:rFonts w:ascii="Arial" w:hAnsi="Arial" w:cs="Arial"/>
        </w:rPr>
        <w:lastRenderedPageBreak/>
        <w:t>usługi związane z nadzorem technicznym realizacji inwestycji w zakresie niezbędnym dla realizacji inwestycji, w tym związanych z nadzorem nad robotami budowlanymi i nadzorem autorskim nad robotami budowlanymi przez projektanta, a także nadzorem inwestorskim pod warunkiem pełnienia tych funkcji przez osoby posiadające odpowiednie uprawnienia w tym zakresie;</w:t>
      </w:r>
    </w:p>
    <w:p w:rsidR="006101E2" w:rsidRPr="006101E2" w:rsidRDefault="006101E2" w:rsidP="00137BC9">
      <w:pPr>
        <w:numPr>
          <w:ilvl w:val="0"/>
          <w:numId w:val="33"/>
        </w:numPr>
        <w:spacing w:before="120" w:after="120" w:line="360" w:lineRule="auto"/>
        <w:jc w:val="both"/>
        <w:rPr>
          <w:rFonts w:ascii="Arial" w:hAnsi="Arial" w:cs="Arial"/>
        </w:rPr>
      </w:pPr>
      <w:r w:rsidRPr="006101E2">
        <w:rPr>
          <w:rFonts w:ascii="Arial" w:hAnsi="Arial" w:cs="Arial"/>
        </w:rPr>
        <w:t>roboty budowlane – w rozumieniu</w:t>
      </w:r>
      <w:r w:rsidR="000D79AE">
        <w:rPr>
          <w:rFonts w:ascii="Arial" w:hAnsi="Arial" w:cs="Arial"/>
        </w:rPr>
        <w:t xml:space="preserve"> </w:t>
      </w:r>
      <w:r w:rsidRPr="006101E2">
        <w:rPr>
          <w:rFonts w:ascii="Arial" w:hAnsi="Arial" w:cs="Arial"/>
        </w:rPr>
        <w:t>ustawy</w:t>
      </w:r>
      <w:r w:rsidR="000D79AE">
        <w:rPr>
          <w:rFonts w:ascii="Arial" w:hAnsi="Arial" w:cs="Arial"/>
        </w:rPr>
        <w:t xml:space="preserve"> </w:t>
      </w:r>
      <w:r w:rsidRPr="006101E2">
        <w:rPr>
          <w:rFonts w:ascii="Arial" w:hAnsi="Arial" w:cs="Arial"/>
          <w:i/>
        </w:rPr>
        <w:t>Prawo budowlane</w:t>
      </w:r>
      <w:r w:rsidRPr="006101E2">
        <w:rPr>
          <w:rFonts w:ascii="Arial" w:hAnsi="Arial" w:cs="Arial"/>
        </w:rPr>
        <w:t>;</w:t>
      </w:r>
    </w:p>
    <w:p w:rsidR="006101E2" w:rsidRPr="006101E2" w:rsidRDefault="006101E2" w:rsidP="00137BC9">
      <w:pPr>
        <w:numPr>
          <w:ilvl w:val="0"/>
          <w:numId w:val="33"/>
        </w:numPr>
        <w:spacing w:before="120" w:after="120" w:line="360" w:lineRule="auto"/>
        <w:jc w:val="both"/>
        <w:rPr>
          <w:rFonts w:ascii="Arial" w:hAnsi="Arial" w:cs="Arial"/>
        </w:rPr>
      </w:pPr>
      <w:r w:rsidRPr="006101E2">
        <w:rPr>
          <w:rFonts w:ascii="Arial" w:hAnsi="Arial" w:cs="Arial"/>
        </w:rPr>
        <w:t>materiały budowlane;</w:t>
      </w:r>
    </w:p>
    <w:p w:rsidR="006101E2" w:rsidRPr="006101E2" w:rsidRDefault="006101E2" w:rsidP="00137BC9">
      <w:pPr>
        <w:numPr>
          <w:ilvl w:val="0"/>
          <w:numId w:val="33"/>
        </w:numPr>
        <w:spacing w:before="120" w:after="120" w:line="360" w:lineRule="auto"/>
        <w:jc w:val="both"/>
        <w:rPr>
          <w:rFonts w:ascii="Arial" w:hAnsi="Arial" w:cs="Arial"/>
        </w:rPr>
      </w:pPr>
      <w:r w:rsidRPr="006101E2">
        <w:rPr>
          <w:rFonts w:ascii="Arial" w:hAnsi="Arial" w:cs="Arial"/>
        </w:rPr>
        <w:t xml:space="preserve">dostawa i instalacja niezbędnych do realizacji projektu elementów pasywnej infrastruktury szerokopasmowej , takich jak m.in.: elementy instalacyjne, złącza, elementy kanalizacji kablowej, studnie, rury, </w:t>
      </w:r>
      <w:proofErr w:type="spellStart"/>
      <w:r w:rsidRPr="006101E2">
        <w:rPr>
          <w:rFonts w:ascii="Arial" w:hAnsi="Arial" w:cs="Arial"/>
        </w:rPr>
        <w:t>mikrorury</w:t>
      </w:r>
      <w:proofErr w:type="spellEnd"/>
      <w:r w:rsidRPr="006101E2">
        <w:rPr>
          <w:rFonts w:ascii="Arial" w:hAnsi="Arial" w:cs="Arial"/>
        </w:rPr>
        <w:t xml:space="preserve">, złączki, mufy, kable telekomunikacyjne (wraz z niezbędnymi do pozostawienia w punktach zakończenia sieci zapasami), </w:t>
      </w:r>
      <w:proofErr w:type="spellStart"/>
      <w:r w:rsidRPr="006101E2">
        <w:rPr>
          <w:rFonts w:ascii="Arial" w:hAnsi="Arial" w:cs="Arial"/>
        </w:rPr>
        <w:t>splittery</w:t>
      </w:r>
      <w:proofErr w:type="spellEnd"/>
      <w:r w:rsidRPr="006101E2">
        <w:rPr>
          <w:rFonts w:ascii="Arial" w:hAnsi="Arial" w:cs="Arial"/>
        </w:rPr>
        <w:t>, taśmy ostrzegawcze, znaczniki elektromagnetyczne, szafy i kontenery telekomunikacyjne, słupy, maszty i wieże radiowe, a także elementy pasywne niezbędne do ochrony przeciwprzepięciowej i odgromowej;</w:t>
      </w:r>
    </w:p>
    <w:p w:rsidR="006101E2" w:rsidRPr="006101E2" w:rsidRDefault="006101E2" w:rsidP="00137BC9">
      <w:pPr>
        <w:numPr>
          <w:ilvl w:val="0"/>
          <w:numId w:val="33"/>
        </w:numPr>
        <w:spacing w:before="120" w:after="120" w:line="360" w:lineRule="auto"/>
        <w:jc w:val="both"/>
        <w:rPr>
          <w:rFonts w:ascii="Arial" w:hAnsi="Arial" w:cs="Arial"/>
        </w:rPr>
      </w:pPr>
      <w:r w:rsidRPr="006101E2">
        <w:rPr>
          <w:rFonts w:ascii="Arial" w:hAnsi="Arial" w:cs="Arial"/>
        </w:rPr>
        <w:t xml:space="preserve">koszty niezbędne do spełnienia minimalnych wymagań określonych w </w:t>
      </w:r>
      <w:r w:rsidR="00E83765">
        <w:rPr>
          <w:rFonts w:ascii="Arial" w:hAnsi="Arial" w:cs="Arial"/>
        </w:rPr>
        <w:t xml:space="preserve">dokumencie </w:t>
      </w:r>
      <w:r w:rsidRPr="006101E2">
        <w:rPr>
          <w:rFonts w:ascii="Arial" w:hAnsi="Arial" w:cs="Arial"/>
        </w:rPr>
        <w:t>„Wy</w:t>
      </w:r>
      <w:r w:rsidR="003E3A16">
        <w:rPr>
          <w:rFonts w:ascii="Arial" w:hAnsi="Arial" w:cs="Arial"/>
        </w:rPr>
        <w:t>magania dla sieci NGA-POPC”</w:t>
      </w:r>
      <w:r w:rsidRPr="006101E2">
        <w:rPr>
          <w:rFonts w:ascii="Arial" w:hAnsi="Arial" w:cs="Arial"/>
        </w:rPr>
        <w:t xml:space="preserve"> stanowiących załącznik do dokumentacji konkursowej, w zakresie w jakim dotyczą one specyfikacji technicznej części pasywnej infrastruktury i sieci, w tym minimalnej nadmiarowości, tj. m.in. wydatki na realizację dodatkowych otworów kanalizacji kablowej, włókien lub kabli itp.;</w:t>
      </w:r>
    </w:p>
    <w:p w:rsidR="006101E2" w:rsidRPr="006101E2" w:rsidRDefault="006101E2" w:rsidP="006101E2">
      <w:pPr>
        <w:tabs>
          <w:tab w:val="left" w:pos="0"/>
          <w:tab w:val="right" w:pos="284"/>
        </w:tabs>
        <w:spacing w:before="120" w:after="120" w:line="360" w:lineRule="auto"/>
        <w:ind w:left="284"/>
        <w:jc w:val="both"/>
        <w:rPr>
          <w:rFonts w:ascii="Arial" w:hAnsi="Arial" w:cs="Arial"/>
        </w:rPr>
      </w:pPr>
      <w:r w:rsidRPr="006101E2">
        <w:rPr>
          <w:rFonts w:ascii="Arial" w:hAnsi="Arial" w:cs="Arial"/>
        </w:rPr>
        <w:t xml:space="preserve">Wydatki poniesione na pokrycie tych kosztów są kwalifikowalne pod warunkiem spełnienia założeń technicznych projektu określonych we wniosku o dofinansowanie. </w:t>
      </w:r>
    </w:p>
    <w:p w:rsidR="006101E2" w:rsidRPr="006101E2" w:rsidRDefault="006101E2" w:rsidP="006101E2">
      <w:pPr>
        <w:tabs>
          <w:tab w:val="left" w:pos="0"/>
          <w:tab w:val="right" w:pos="284"/>
        </w:tabs>
        <w:spacing w:before="120" w:after="120" w:line="360" w:lineRule="auto"/>
        <w:ind w:left="284"/>
        <w:jc w:val="both"/>
        <w:rPr>
          <w:rFonts w:ascii="Arial" w:hAnsi="Arial" w:cs="Arial"/>
        </w:rPr>
      </w:pPr>
      <w:r w:rsidRPr="006101E2">
        <w:rPr>
          <w:rFonts w:ascii="Arial" w:hAnsi="Arial" w:cs="Arial"/>
        </w:rPr>
        <w:t>Niezbędnym warunkiem kwalifikowalności tych elementów w ramach niniejszej kategorii jest, aby nie zawierały żadnych aktywnych elementów sieci telekomunikacyjnej, w szczególności urządzeń telekomunikacyjnych, w tym urządzeń radiowych.</w:t>
      </w:r>
    </w:p>
    <w:p w:rsidR="006101E2" w:rsidRPr="006101E2" w:rsidRDefault="006101E2" w:rsidP="006101E2">
      <w:pPr>
        <w:tabs>
          <w:tab w:val="left" w:pos="0"/>
          <w:tab w:val="left" w:pos="284"/>
        </w:tabs>
        <w:autoSpaceDE w:val="0"/>
        <w:autoSpaceDN w:val="0"/>
        <w:adjustRightInd w:val="0"/>
        <w:spacing w:before="120" w:after="120" w:line="360" w:lineRule="auto"/>
        <w:ind w:left="284"/>
        <w:jc w:val="both"/>
        <w:rPr>
          <w:rFonts w:ascii="Arial" w:hAnsi="Arial" w:cs="Arial"/>
        </w:rPr>
      </w:pPr>
      <w:r w:rsidRPr="006101E2">
        <w:rPr>
          <w:rFonts w:ascii="Arial" w:hAnsi="Arial" w:cs="Arial"/>
        </w:rPr>
        <w:t>W ramach niniejszej kategorii możliwe jest ponoszenie kosztów realizacji pasywnej infrastruktury szerokopasmowej w warstwie sieci szkieletowej i dystrybucyjnej</w:t>
      </w:r>
      <w:r w:rsidRPr="006101E2">
        <w:rPr>
          <w:rFonts w:ascii="Arial" w:hAnsi="Arial" w:cs="Arial"/>
          <w:vertAlign w:val="superscript"/>
        </w:rPr>
        <w:footnoteReference w:id="16"/>
      </w:r>
      <w:r w:rsidRPr="006101E2">
        <w:rPr>
          <w:rFonts w:ascii="Arial" w:hAnsi="Arial" w:cs="Arial"/>
        </w:rPr>
        <w:t xml:space="preserve">.  </w:t>
      </w:r>
    </w:p>
    <w:p w:rsidR="006101E2" w:rsidRPr="006101E2" w:rsidRDefault="006101E2" w:rsidP="006101E2">
      <w:pPr>
        <w:tabs>
          <w:tab w:val="left" w:pos="0"/>
          <w:tab w:val="left" w:pos="284"/>
        </w:tabs>
        <w:autoSpaceDE w:val="0"/>
        <w:autoSpaceDN w:val="0"/>
        <w:adjustRightInd w:val="0"/>
        <w:spacing w:before="120" w:after="120" w:line="360" w:lineRule="auto"/>
        <w:ind w:left="284"/>
        <w:jc w:val="both"/>
        <w:rPr>
          <w:rFonts w:ascii="Arial" w:hAnsi="Arial" w:cs="Arial"/>
        </w:rPr>
      </w:pPr>
      <w:r w:rsidRPr="006101E2">
        <w:rPr>
          <w:rFonts w:ascii="Arial" w:hAnsi="Arial" w:cs="Arial"/>
        </w:rPr>
        <w:t xml:space="preserve">Wydatki poniesione na pokrycie kosztów realizacji pasywnej infrastruktury szerokopasmowej w warstwie sieci dystrybucyjnej i szkieletowej są kwalifikowalne wyłącznie w zakresie w jakim są niezbędne do realizacji sieci NGA, a także pod </w:t>
      </w:r>
      <w:r w:rsidRPr="006101E2">
        <w:rPr>
          <w:rFonts w:ascii="Arial" w:hAnsi="Arial" w:cs="Arial"/>
        </w:rPr>
        <w:lastRenderedPageBreak/>
        <w:t>warunkiem wykazania, że jest to najbardziej efektywna możliwość realizacji sieci dostępowej i nie jest możliwe lub uzasadnione skorzystanie z istniejącej infrastruktury lub usług hurtowych świadczonych przez innych przedsiębiorców telekomunikacyjnych na danym obszarze. Aktywne elementy sieci dystrybucyjnej i szkieletowej są niekwalifikowalne zgodnie z katalogiem wydatków  niekwalifikowalnych.</w:t>
      </w:r>
    </w:p>
    <w:p w:rsidR="006101E2" w:rsidRPr="006101E2" w:rsidRDefault="006101E2" w:rsidP="00137BC9">
      <w:pPr>
        <w:numPr>
          <w:ilvl w:val="0"/>
          <w:numId w:val="32"/>
        </w:numPr>
        <w:spacing w:before="120" w:after="120" w:line="360" w:lineRule="auto"/>
        <w:jc w:val="both"/>
        <w:rPr>
          <w:rFonts w:ascii="Arial" w:hAnsi="Arial" w:cs="Arial"/>
        </w:rPr>
      </w:pPr>
      <w:r w:rsidRPr="006101E2">
        <w:rPr>
          <w:rFonts w:ascii="Arial" w:hAnsi="Arial" w:cs="Arial"/>
        </w:rPr>
        <w:t>kosztów przygotowania dokumentacji niezbędnej do wykonania robót budowlanych.</w:t>
      </w:r>
    </w:p>
    <w:p w:rsidR="006101E2" w:rsidRPr="006101E2" w:rsidRDefault="006101E2" w:rsidP="006101E2">
      <w:pPr>
        <w:spacing w:before="120" w:after="120" w:line="360" w:lineRule="auto"/>
        <w:ind w:left="360"/>
        <w:jc w:val="both"/>
        <w:rPr>
          <w:rFonts w:ascii="Arial" w:hAnsi="Arial" w:cs="Arial"/>
        </w:rPr>
      </w:pPr>
      <w:r w:rsidRPr="006101E2">
        <w:rPr>
          <w:rFonts w:ascii="Arial" w:hAnsi="Arial" w:cs="Arial"/>
        </w:rPr>
        <w:t>W szczególnośc</w:t>
      </w:r>
      <w:r w:rsidR="00735DB3">
        <w:rPr>
          <w:rFonts w:ascii="Arial" w:hAnsi="Arial" w:cs="Arial"/>
        </w:rPr>
        <w:t>i</w:t>
      </w:r>
      <w:r w:rsidRPr="006101E2">
        <w:rPr>
          <w:rFonts w:ascii="Arial" w:hAnsi="Arial" w:cs="Arial"/>
        </w:rPr>
        <w:t xml:space="preserve"> są to wydatki niezbędne do poniesienia na etapie przygotowania do realizacji infrastruktury i sieci w terenie, w szczególności dotyczące takich elementów jak:</w:t>
      </w:r>
    </w:p>
    <w:p w:rsidR="006101E2" w:rsidRPr="006101E2" w:rsidRDefault="006101E2" w:rsidP="00137BC9">
      <w:pPr>
        <w:numPr>
          <w:ilvl w:val="0"/>
          <w:numId w:val="39"/>
        </w:numPr>
        <w:spacing w:before="120" w:after="120" w:line="360" w:lineRule="auto"/>
        <w:jc w:val="both"/>
        <w:rPr>
          <w:rFonts w:ascii="Arial" w:hAnsi="Arial" w:cs="Arial"/>
        </w:rPr>
      </w:pPr>
      <w:r w:rsidRPr="006101E2">
        <w:rPr>
          <w:rFonts w:ascii="Arial" w:hAnsi="Arial" w:cs="Arial"/>
        </w:rPr>
        <w:t>dokumentacja techniczna projektu, w tym projektowanie infrastruktury i sieci;</w:t>
      </w:r>
    </w:p>
    <w:p w:rsidR="006101E2" w:rsidRPr="006101E2" w:rsidRDefault="006101E2" w:rsidP="00137BC9">
      <w:pPr>
        <w:numPr>
          <w:ilvl w:val="0"/>
          <w:numId w:val="39"/>
        </w:numPr>
        <w:spacing w:before="120" w:after="120" w:line="360" w:lineRule="auto"/>
        <w:jc w:val="both"/>
        <w:rPr>
          <w:rFonts w:ascii="Arial" w:hAnsi="Arial" w:cs="Arial"/>
        </w:rPr>
      </w:pPr>
      <w:r w:rsidRPr="006101E2">
        <w:rPr>
          <w:rFonts w:ascii="Arial" w:hAnsi="Arial" w:cs="Arial"/>
        </w:rPr>
        <w:t>pozyskanie i przygotowanie map lub szkiców sytuujących projekt, w tym dotyczące zamówienia usług w zakresie obsługi geodezyjnej;</w:t>
      </w:r>
    </w:p>
    <w:p w:rsidR="006101E2" w:rsidRPr="006101E2" w:rsidRDefault="006101E2" w:rsidP="00137BC9">
      <w:pPr>
        <w:numPr>
          <w:ilvl w:val="0"/>
          <w:numId w:val="39"/>
        </w:numPr>
        <w:spacing w:before="120" w:after="120" w:line="360" w:lineRule="auto"/>
        <w:jc w:val="both"/>
        <w:rPr>
          <w:rFonts w:ascii="Arial" w:hAnsi="Arial" w:cs="Arial"/>
        </w:rPr>
      </w:pPr>
      <w:r w:rsidRPr="006101E2">
        <w:rPr>
          <w:rFonts w:ascii="Arial" w:hAnsi="Arial" w:cs="Arial"/>
        </w:rPr>
        <w:t xml:space="preserve">przygotowanie dokumentacji niezbędnej do złożenia wniosków o wydanie wymaganych przepisami prawa decyzji, zgód i </w:t>
      </w:r>
      <w:r w:rsidR="00361FA5">
        <w:rPr>
          <w:rFonts w:ascii="Arial" w:hAnsi="Arial" w:cs="Arial"/>
        </w:rPr>
        <w:t>zez</w:t>
      </w:r>
      <w:r w:rsidRPr="006101E2">
        <w:rPr>
          <w:rFonts w:ascii="Arial" w:hAnsi="Arial" w:cs="Arial"/>
        </w:rPr>
        <w:t>woleń administracyjnych albo dokonania zgłoszenia budowy lub robót budowlanych;</w:t>
      </w:r>
    </w:p>
    <w:p w:rsidR="006101E2" w:rsidRPr="006101E2" w:rsidRDefault="006101E2" w:rsidP="00137BC9">
      <w:pPr>
        <w:numPr>
          <w:ilvl w:val="0"/>
          <w:numId w:val="39"/>
        </w:numPr>
        <w:spacing w:before="120" w:after="120" w:line="360" w:lineRule="auto"/>
        <w:jc w:val="both"/>
        <w:rPr>
          <w:rFonts w:ascii="Arial" w:hAnsi="Arial" w:cs="Arial"/>
        </w:rPr>
      </w:pPr>
      <w:r w:rsidRPr="006101E2">
        <w:rPr>
          <w:rFonts w:ascii="Arial" w:hAnsi="Arial" w:cs="Arial"/>
        </w:rPr>
        <w:t>dokumentacja budowlana art. 3 pkt 13 ustawy</w:t>
      </w:r>
      <w:r w:rsidR="000A6538">
        <w:rPr>
          <w:rFonts w:ascii="Arial" w:hAnsi="Arial" w:cs="Arial"/>
        </w:rPr>
        <w:t xml:space="preserve"> </w:t>
      </w:r>
      <w:r w:rsidRPr="000A6538">
        <w:rPr>
          <w:rFonts w:ascii="Arial" w:hAnsi="Arial" w:cs="Arial"/>
          <w:i/>
        </w:rPr>
        <w:t>Prawo budowlane</w:t>
      </w:r>
      <w:r w:rsidRPr="006101E2">
        <w:rPr>
          <w:rFonts w:ascii="Arial" w:hAnsi="Arial" w:cs="Arial"/>
        </w:rPr>
        <w:t>, z wyjątkiem związanych z jej prowadzeniem opłat o charakterze publicznoprawnym;</w:t>
      </w:r>
    </w:p>
    <w:p w:rsidR="006101E2" w:rsidRPr="006101E2" w:rsidRDefault="006101E2" w:rsidP="00137BC9">
      <w:pPr>
        <w:numPr>
          <w:ilvl w:val="0"/>
          <w:numId w:val="39"/>
        </w:numPr>
        <w:spacing w:before="120" w:after="120" w:line="360" w:lineRule="auto"/>
        <w:jc w:val="both"/>
        <w:rPr>
          <w:rFonts w:ascii="Arial" w:hAnsi="Arial" w:cs="Arial"/>
        </w:rPr>
      </w:pPr>
      <w:r w:rsidRPr="006101E2">
        <w:rPr>
          <w:rFonts w:ascii="Arial" w:hAnsi="Arial" w:cs="Arial"/>
        </w:rPr>
        <w:t xml:space="preserve">przygotowanie innej dokumentacji w zakresie, w jakim jest to wymagane zgodnie </w:t>
      </w:r>
      <w:r w:rsidRPr="006101E2">
        <w:rPr>
          <w:rFonts w:ascii="Arial" w:hAnsi="Arial" w:cs="Arial"/>
        </w:rPr>
        <w:br/>
        <w:t>z obowiązującymi przepisami prawa.</w:t>
      </w:r>
    </w:p>
    <w:p w:rsidR="006101E2" w:rsidRPr="006101E2" w:rsidRDefault="006101E2" w:rsidP="00137BC9">
      <w:pPr>
        <w:numPr>
          <w:ilvl w:val="0"/>
          <w:numId w:val="32"/>
        </w:numPr>
        <w:spacing w:before="120" w:after="120" w:line="360" w:lineRule="auto"/>
        <w:jc w:val="both"/>
        <w:rPr>
          <w:rFonts w:ascii="Arial" w:hAnsi="Arial" w:cs="Arial"/>
        </w:rPr>
      </w:pPr>
      <w:r w:rsidRPr="006101E2">
        <w:rPr>
          <w:rFonts w:ascii="Arial" w:hAnsi="Arial" w:cs="Arial"/>
        </w:rPr>
        <w:t>kosztów nabycia prawa dysponowania nieruchomością związanych z realizacją projektu, w tym w szczególności:</w:t>
      </w:r>
    </w:p>
    <w:p w:rsidR="006101E2" w:rsidRPr="00E520FB" w:rsidRDefault="006101E2" w:rsidP="00137BC9">
      <w:pPr>
        <w:numPr>
          <w:ilvl w:val="0"/>
          <w:numId w:val="29"/>
        </w:numPr>
        <w:spacing w:before="120" w:after="120" w:line="360" w:lineRule="auto"/>
        <w:jc w:val="both"/>
        <w:rPr>
          <w:rFonts w:ascii="Arial" w:hAnsi="Arial" w:cs="Arial"/>
        </w:rPr>
      </w:pPr>
      <w:r w:rsidRPr="00E520FB">
        <w:rPr>
          <w:rFonts w:ascii="Arial" w:hAnsi="Arial" w:cs="Arial"/>
        </w:rPr>
        <w:t xml:space="preserve">kategorie wydatków w zakresie określonym w </w:t>
      </w:r>
      <w:r w:rsidRPr="00E520FB">
        <w:rPr>
          <w:rFonts w:ascii="Arial" w:hAnsi="Arial" w:cs="Arial"/>
          <w:i/>
        </w:rPr>
        <w:t>Wytycznych</w:t>
      </w:r>
      <w:r w:rsidRPr="00FD0FB3">
        <w:rPr>
          <w:rFonts w:ascii="Arial" w:hAnsi="Arial" w:cs="Arial"/>
        </w:rPr>
        <w:t>;</w:t>
      </w:r>
    </w:p>
    <w:p w:rsidR="006101E2" w:rsidRPr="006101E2" w:rsidRDefault="006101E2" w:rsidP="00137BC9">
      <w:pPr>
        <w:numPr>
          <w:ilvl w:val="0"/>
          <w:numId w:val="29"/>
        </w:numPr>
        <w:spacing w:before="120" w:after="120" w:line="360" w:lineRule="auto"/>
        <w:jc w:val="both"/>
        <w:rPr>
          <w:rFonts w:ascii="Arial" w:hAnsi="Arial" w:cs="Arial"/>
        </w:rPr>
      </w:pPr>
      <w:r w:rsidRPr="006101E2">
        <w:rPr>
          <w:rFonts w:ascii="Arial" w:hAnsi="Arial" w:cs="Arial"/>
        </w:rPr>
        <w:t xml:space="preserve">opłaty dla właściciela, użytkownika wieczystego nieruchomości lub zarządcy nieruchomości w zakresie w jakim wynikają z art. 30 ust. 3b pkt 1) i art. 33 </w:t>
      </w:r>
      <w:proofErr w:type="spellStart"/>
      <w:r w:rsidRPr="006101E2">
        <w:rPr>
          <w:rFonts w:ascii="Arial" w:hAnsi="Arial" w:cs="Arial"/>
        </w:rPr>
        <w:t>megaustawy</w:t>
      </w:r>
      <w:proofErr w:type="spellEnd"/>
      <w:r w:rsidRPr="006101E2">
        <w:rPr>
          <w:rFonts w:ascii="Arial" w:hAnsi="Arial" w:cs="Arial"/>
        </w:rPr>
        <w:t xml:space="preserve"> </w:t>
      </w:r>
    </w:p>
    <w:p w:rsidR="006101E2" w:rsidRPr="006101E2" w:rsidRDefault="006101E2" w:rsidP="006101E2">
      <w:pPr>
        <w:spacing w:before="120" w:after="120" w:line="360" w:lineRule="auto"/>
        <w:ind w:left="360"/>
        <w:jc w:val="both"/>
        <w:rPr>
          <w:rFonts w:ascii="Arial" w:hAnsi="Arial" w:cs="Arial"/>
        </w:rPr>
      </w:pPr>
      <w:r w:rsidRPr="006101E2">
        <w:rPr>
          <w:rFonts w:ascii="Arial" w:hAnsi="Arial" w:cs="Arial"/>
        </w:rPr>
        <w:t xml:space="preserve">W ramach </w:t>
      </w:r>
      <w:r w:rsidR="00361FA5">
        <w:rPr>
          <w:rFonts w:ascii="Arial" w:hAnsi="Arial" w:cs="Arial"/>
        </w:rPr>
        <w:t xml:space="preserve">niniejszej </w:t>
      </w:r>
      <w:r w:rsidRPr="006101E2">
        <w:rPr>
          <w:rFonts w:ascii="Arial" w:hAnsi="Arial" w:cs="Arial"/>
        </w:rPr>
        <w:t xml:space="preserve">kategorii stosowane są limity określone w </w:t>
      </w:r>
      <w:r w:rsidRPr="006101E2">
        <w:rPr>
          <w:rFonts w:ascii="Arial" w:hAnsi="Arial" w:cs="Arial"/>
          <w:i/>
        </w:rPr>
        <w:t>Wytycznych</w:t>
      </w:r>
      <w:r w:rsidRPr="006101E2">
        <w:rPr>
          <w:rFonts w:ascii="Arial" w:hAnsi="Arial" w:cs="Arial"/>
        </w:rPr>
        <w:t>.</w:t>
      </w:r>
    </w:p>
    <w:p w:rsidR="006101E2" w:rsidRPr="006101E2" w:rsidRDefault="006101E2" w:rsidP="006101E2">
      <w:pPr>
        <w:spacing w:before="120" w:after="120" w:line="360" w:lineRule="auto"/>
        <w:ind w:left="360"/>
        <w:jc w:val="both"/>
        <w:rPr>
          <w:rFonts w:ascii="Arial" w:hAnsi="Arial" w:cs="Arial"/>
        </w:rPr>
      </w:pPr>
      <w:r w:rsidRPr="006101E2">
        <w:rPr>
          <w:rFonts w:ascii="Arial" w:hAnsi="Arial" w:cs="Arial"/>
        </w:rPr>
        <w:t>W przypadkach, gdy nabycie nieruchomości stanowi wydatek kwalifikowalny, kwalifikowalne są również wydatki poniesione w związku ze sporządzeniem dokumentacji geodezyjno-kartograficznej, wynagrodzenia rzeczoznawcy oraz opłaty notarialne.</w:t>
      </w:r>
    </w:p>
    <w:p w:rsidR="006101E2" w:rsidRPr="006101E2" w:rsidRDefault="006101E2" w:rsidP="006101E2">
      <w:pPr>
        <w:spacing w:before="120" w:after="120" w:line="360" w:lineRule="auto"/>
        <w:ind w:left="360"/>
        <w:jc w:val="both"/>
        <w:rPr>
          <w:rFonts w:ascii="Arial" w:hAnsi="Arial" w:cs="Arial"/>
        </w:rPr>
      </w:pPr>
      <w:r w:rsidRPr="006101E2">
        <w:rPr>
          <w:rFonts w:ascii="Arial" w:hAnsi="Arial" w:cs="Arial"/>
        </w:rPr>
        <w:t>W przypadku innych, niż własność i dzierżawa wieczysta, tytułów prawnych do nieruchomości, umowa powinna zostać zawarta na okres nie krótszy niż okres trwałości projektu.</w:t>
      </w:r>
    </w:p>
    <w:p w:rsidR="006101E2" w:rsidRPr="006101E2" w:rsidRDefault="006101E2" w:rsidP="006101E2">
      <w:pPr>
        <w:spacing w:before="120" w:after="120" w:line="360" w:lineRule="auto"/>
        <w:ind w:left="360"/>
        <w:jc w:val="both"/>
        <w:rPr>
          <w:rFonts w:ascii="Arial" w:hAnsi="Arial" w:cs="Arial"/>
        </w:rPr>
      </w:pPr>
      <w:r w:rsidRPr="006101E2">
        <w:rPr>
          <w:rFonts w:ascii="Arial" w:hAnsi="Arial" w:cs="Arial"/>
        </w:rPr>
        <w:lastRenderedPageBreak/>
        <w:t xml:space="preserve">Wydatki poniesione w ramach </w:t>
      </w:r>
      <w:r w:rsidR="00361FA5">
        <w:rPr>
          <w:rFonts w:ascii="Arial" w:hAnsi="Arial" w:cs="Arial"/>
        </w:rPr>
        <w:t>powyższej</w:t>
      </w:r>
      <w:r w:rsidRPr="006101E2">
        <w:rPr>
          <w:rFonts w:ascii="Arial" w:hAnsi="Arial" w:cs="Arial"/>
        </w:rPr>
        <w:t xml:space="preserve"> kategorii są kwalifikowane proporcjonalnie do okresu realizacji projektu co oznacza, że nie są kwalifikowalne wydatki odnoszące się do okresu trwałości i późniejszych, np. nie jest kwalifikowalny pełny koszt nabycia prawa, ale jego odpowiednia część obliczona proporcjonalnie do okresu realizacji projektu.</w:t>
      </w:r>
    </w:p>
    <w:p w:rsidR="006101E2" w:rsidRPr="006101E2" w:rsidRDefault="006101E2" w:rsidP="006101E2">
      <w:pPr>
        <w:spacing w:before="120" w:after="120" w:line="360" w:lineRule="auto"/>
        <w:ind w:left="357"/>
        <w:jc w:val="both"/>
        <w:rPr>
          <w:rFonts w:ascii="Arial" w:hAnsi="Arial" w:cs="Arial"/>
        </w:rPr>
      </w:pPr>
      <w:r w:rsidRPr="006101E2">
        <w:rPr>
          <w:rFonts w:ascii="Arial" w:hAnsi="Arial" w:cs="Arial"/>
        </w:rPr>
        <w:t xml:space="preserve">Wydatki dotyczące umów lub decyzji w zakresie art. 30 </w:t>
      </w:r>
      <w:proofErr w:type="spellStart"/>
      <w:r w:rsidR="00361FA5">
        <w:rPr>
          <w:rFonts w:ascii="Arial" w:hAnsi="Arial" w:cs="Arial"/>
        </w:rPr>
        <w:t>mega</w:t>
      </w:r>
      <w:r w:rsidRPr="006101E2">
        <w:rPr>
          <w:rFonts w:ascii="Arial" w:hAnsi="Arial" w:cs="Arial"/>
        </w:rPr>
        <w:t>ustawy</w:t>
      </w:r>
      <w:proofErr w:type="spellEnd"/>
      <w:r w:rsidRPr="006101E2">
        <w:rPr>
          <w:rFonts w:ascii="Arial" w:hAnsi="Arial" w:cs="Arial"/>
        </w:rPr>
        <w:t xml:space="preserve"> są kwalifikowalne odpowiednio do kwalifikowalnego zakresu projektu (np. niekwalifikowalne będą całościowe wydatki dotyczące udostępnienia instalacji wewnątrzbudynkowej lub miejsca w budynku, ale kwalifikowalne będą takie wydatki, jeśli związane są wyłącznie z realizacją punktu styku w budynku</w:t>
      </w:r>
      <w:r w:rsidR="00361FA5">
        <w:rPr>
          <w:rFonts w:ascii="Arial" w:hAnsi="Arial" w:cs="Arial"/>
        </w:rPr>
        <w:t>, o którym mowa w § 192f rozporządzenia Ministra Infrastruktury z dnia 12 kwietnia 2002 w sprawie warunków technicznych jakim powinny odpowiadać budynki i ich usytuowanie</w:t>
      </w:r>
      <w:r w:rsidRPr="006101E2">
        <w:rPr>
          <w:rFonts w:ascii="Arial" w:hAnsi="Arial" w:cs="Arial"/>
        </w:rPr>
        <w:t>).</w:t>
      </w:r>
    </w:p>
    <w:p w:rsidR="006101E2" w:rsidRPr="006101E2" w:rsidRDefault="006101E2" w:rsidP="00137BC9">
      <w:pPr>
        <w:numPr>
          <w:ilvl w:val="0"/>
          <w:numId w:val="32"/>
        </w:numPr>
        <w:spacing w:before="120" w:after="120" w:line="360" w:lineRule="auto"/>
        <w:jc w:val="both"/>
        <w:rPr>
          <w:rFonts w:ascii="Arial" w:hAnsi="Arial" w:cs="Arial"/>
        </w:rPr>
      </w:pPr>
      <w:r w:rsidRPr="006101E2">
        <w:rPr>
          <w:rFonts w:ascii="Arial" w:hAnsi="Arial" w:cs="Arial"/>
        </w:rPr>
        <w:t>kosztów do</w:t>
      </w:r>
      <w:r w:rsidR="00357515">
        <w:rPr>
          <w:rFonts w:ascii="Arial" w:hAnsi="Arial" w:cs="Arial"/>
        </w:rPr>
        <w:t>starczenia</w:t>
      </w:r>
      <w:r w:rsidRPr="006101E2">
        <w:rPr>
          <w:rFonts w:ascii="Arial" w:hAnsi="Arial" w:cs="Arial"/>
        </w:rPr>
        <w:t xml:space="preserve">, instalacji i uruchomienia urządzeń telekomunikacyjnych stanowiących infrastrukturę aktywną sieci NGA, w tym w szczególności: </w:t>
      </w:r>
    </w:p>
    <w:p w:rsidR="006101E2" w:rsidRPr="006101E2" w:rsidRDefault="006101E2" w:rsidP="00137BC9">
      <w:pPr>
        <w:numPr>
          <w:ilvl w:val="0"/>
          <w:numId w:val="35"/>
        </w:numPr>
        <w:spacing w:before="120" w:after="120" w:line="360" w:lineRule="auto"/>
        <w:jc w:val="both"/>
        <w:rPr>
          <w:rFonts w:ascii="Arial" w:hAnsi="Arial" w:cs="Arial"/>
        </w:rPr>
      </w:pPr>
      <w:r w:rsidRPr="006101E2">
        <w:rPr>
          <w:rFonts w:ascii="Arial" w:hAnsi="Arial" w:cs="Arial"/>
        </w:rPr>
        <w:t>urządzenia telekomunikacyjne stanowiące infrastrukturę aktywną sieci NGA</w:t>
      </w:r>
      <w:r w:rsidR="00837B94">
        <w:rPr>
          <w:rFonts w:ascii="Arial" w:hAnsi="Arial" w:cs="Arial"/>
        </w:rPr>
        <w:t>,</w:t>
      </w:r>
      <w:r w:rsidRPr="006101E2">
        <w:rPr>
          <w:rFonts w:ascii="Arial" w:hAnsi="Arial" w:cs="Arial"/>
        </w:rPr>
        <w:t xml:space="preserve"> tj. m.in.: OLT, CMTS, DSLAM, </w:t>
      </w:r>
      <w:r w:rsidR="00180CF6" w:rsidRPr="00B81671">
        <w:rPr>
          <w:rFonts w:ascii="Arial" w:hAnsi="Arial" w:cs="Arial"/>
        </w:rPr>
        <w:t>ONU wyłącznie z portami szerokopasmowymi wyposażone w co najmniej dwa takie porty</w:t>
      </w:r>
      <w:r w:rsidR="00180CF6" w:rsidRPr="00735DB3">
        <w:rPr>
          <w:rFonts w:ascii="Arial" w:hAnsi="Arial" w:cs="Arial"/>
        </w:rPr>
        <w:t>,</w:t>
      </w:r>
      <w:r w:rsidR="00180CF6">
        <w:rPr>
          <w:rFonts w:ascii="Arial" w:hAnsi="Arial" w:cs="Arial"/>
        </w:rPr>
        <w:t xml:space="preserve"> </w:t>
      </w:r>
      <w:r w:rsidRPr="006101E2">
        <w:rPr>
          <w:rFonts w:ascii="Arial" w:hAnsi="Arial" w:cs="Arial"/>
        </w:rPr>
        <w:t>multipleksery, wzmacniacze, przełącznice, karty liniowe, urządzenia radiowe);</w:t>
      </w:r>
    </w:p>
    <w:p w:rsidR="006101E2" w:rsidRPr="006101E2" w:rsidRDefault="006101E2" w:rsidP="00137BC9">
      <w:pPr>
        <w:numPr>
          <w:ilvl w:val="0"/>
          <w:numId w:val="35"/>
        </w:numPr>
        <w:spacing w:before="120" w:after="120" w:line="360" w:lineRule="auto"/>
        <w:jc w:val="both"/>
        <w:rPr>
          <w:rFonts w:ascii="Arial" w:hAnsi="Arial" w:cs="Arial"/>
        </w:rPr>
      </w:pPr>
      <w:r w:rsidRPr="006101E2">
        <w:rPr>
          <w:rFonts w:ascii="Arial" w:hAnsi="Arial" w:cs="Arial"/>
        </w:rPr>
        <w:t>usługi związane z konfiguracją urządzeń w sieci telekomunikacyjnej oraz nadzorem technicznym;</w:t>
      </w:r>
    </w:p>
    <w:p w:rsidR="006101E2" w:rsidRPr="006101E2" w:rsidRDefault="006101E2" w:rsidP="00137BC9">
      <w:pPr>
        <w:numPr>
          <w:ilvl w:val="0"/>
          <w:numId w:val="35"/>
        </w:numPr>
        <w:spacing w:before="120" w:after="120" w:line="360" w:lineRule="auto"/>
        <w:jc w:val="both"/>
        <w:rPr>
          <w:rFonts w:ascii="Arial" w:hAnsi="Arial" w:cs="Arial"/>
        </w:rPr>
      </w:pPr>
      <w:r w:rsidRPr="006101E2">
        <w:rPr>
          <w:rFonts w:ascii="Arial" w:hAnsi="Arial" w:cs="Arial"/>
        </w:rPr>
        <w:t xml:space="preserve">koszty niezbędne do spełnienia minimalnych </w:t>
      </w:r>
      <w:r w:rsidR="00837B94">
        <w:rPr>
          <w:rFonts w:ascii="Arial" w:hAnsi="Arial" w:cs="Arial"/>
        </w:rPr>
        <w:t>warunków</w:t>
      </w:r>
      <w:r w:rsidRPr="006101E2">
        <w:rPr>
          <w:rFonts w:ascii="Arial" w:hAnsi="Arial" w:cs="Arial"/>
        </w:rPr>
        <w:t xml:space="preserve"> określonych w „W</w:t>
      </w:r>
      <w:r w:rsidR="00837B94">
        <w:rPr>
          <w:rFonts w:ascii="Arial" w:hAnsi="Arial" w:cs="Arial"/>
        </w:rPr>
        <w:t>ymaganiach</w:t>
      </w:r>
      <w:r w:rsidR="00A57AB6">
        <w:rPr>
          <w:rFonts w:ascii="Arial" w:hAnsi="Arial" w:cs="Arial"/>
        </w:rPr>
        <w:t xml:space="preserve"> </w:t>
      </w:r>
      <w:r w:rsidR="00837B94">
        <w:rPr>
          <w:rFonts w:ascii="Arial" w:hAnsi="Arial" w:cs="Arial"/>
        </w:rPr>
        <w:t>dla sieci NGA-POPC</w:t>
      </w:r>
      <w:r w:rsidRPr="006101E2">
        <w:rPr>
          <w:rFonts w:ascii="Arial" w:hAnsi="Arial" w:cs="Arial"/>
        </w:rPr>
        <w:t>”, stanowiących załącznik do dokumentacji konkursowej</w:t>
      </w:r>
      <w:r w:rsidR="00796441">
        <w:rPr>
          <w:rFonts w:ascii="Arial" w:hAnsi="Arial" w:cs="Arial"/>
        </w:rPr>
        <w:t xml:space="preserve"> w zakresie sposobu wypełnienia zobowiązania do realizacji sieci POPC spełniającej co najmniej </w:t>
      </w:r>
      <w:r w:rsidR="00F007C2">
        <w:rPr>
          <w:rFonts w:ascii="Arial" w:hAnsi="Arial" w:cs="Arial"/>
        </w:rPr>
        <w:t xml:space="preserve">minimalne </w:t>
      </w:r>
      <w:r w:rsidR="00796441">
        <w:rPr>
          <w:rFonts w:ascii="Arial" w:hAnsi="Arial" w:cs="Arial"/>
        </w:rPr>
        <w:t>warunki techniczne określone w pkt 1 tego dokumentu</w:t>
      </w:r>
      <w:r w:rsidR="00D96718">
        <w:rPr>
          <w:rFonts w:ascii="Arial" w:hAnsi="Arial" w:cs="Arial"/>
        </w:rPr>
        <w:t xml:space="preserve"> (np. wydatki na porty optyczne dla połączenia z innymi urządzeniami aktywnymi)</w:t>
      </w:r>
      <w:r w:rsidR="00A57AB6">
        <w:rPr>
          <w:rFonts w:ascii="Arial" w:hAnsi="Arial" w:cs="Arial"/>
        </w:rPr>
        <w:t>.</w:t>
      </w:r>
      <w:r w:rsidR="00D96718">
        <w:rPr>
          <w:rFonts w:ascii="Arial" w:hAnsi="Arial" w:cs="Arial"/>
        </w:rPr>
        <w:t xml:space="preserve"> </w:t>
      </w:r>
    </w:p>
    <w:p w:rsidR="006101E2" w:rsidRPr="006101E2" w:rsidRDefault="006101E2" w:rsidP="006101E2">
      <w:pPr>
        <w:tabs>
          <w:tab w:val="left" w:pos="0"/>
          <w:tab w:val="right" w:pos="284"/>
        </w:tabs>
        <w:spacing w:before="120" w:after="120" w:line="360" w:lineRule="auto"/>
        <w:ind w:left="360"/>
        <w:jc w:val="both"/>
        <w:rPr>
          <w:rFonts w:ascii="Arial" w:hAnsi="Arial" w:cs="Arial"/>
        </w:rPr>
      </w:pPr>
      <w:r w:rsidRPr="006101E2">
        <w:rPr>
          <w:rFonts w:ascii="Arial" w:hAnsi="Arial" w:cs="Arial"/>
        </w:rPr>
        <w:t>Koszty te są kwalifikowalne pod warunkiem spełnienia założeń technicznych projektu określonych we wniosku o dofinansowanie.</w:t>
      </w:r>
    </w:p>
    <w:p w:rsidR="006101E2" w:rsidRPr="006101E2" w:rsidRDefault="006101E2" w:rsidP="006101E2">
      <w:pPr>
        <w:spacing w:before="120" w:after="120" w:line="360" w:lineRule="auto"/>
        <w:ind w:left="357"/>
        <w:jc w:val="both"/>
        <w:rPr>
          <w:rFonts w:ascii="Arial" w:hAnsi="Arial" w:cs="Arial"/>
        </w:rPr>
      </w:pPr>
      <w:r w:rsidRPr="006101E2">
        <w:rPr>
          <w:rFonts w:ascii="Arial" w:hAnsi="Arial" w:cs="Arial"/>
        </w:rPr>
        <w:t>Wyłączona jest kwalifikowalność urządzeń abonenckich zgodnie z zasadami opisanymi w katalogu kosztów niekwalifikowalnych.</w:t>
      </w:r>
    </w:p>
    <w:p w:rsidR="006101E2" w:rsidRPr="006101E2" w:rsidRDefault="006101E2" w:rsidP="00137BC9">
      <w:pPr>
        <w:numPr>
          <w:ilvl w:val="0"/>
          <w:numId w:val="32"/>
        </w:numPr>
        <w:spacing w:before="120" w:after="120" w:line="360" w:lineRule="auto"/>
        <w:ind w:left="351" w:hanging="357"/>
        <w:jc w:val="both"/>
        <w:rPr>
          <w:rFonts w:ascii="Arial" w:hAnsi="Arial" w:cs="Arial"/>
        </w:rPr>
      </w:pPr>
      <w:r w:rsidRPr="006101E2">
        <w:rPr>
          <w:rFonts w:ascii="Arial" w:hAnsi="Arial" w:cs="Arial"/>
        </w:rPr>
        <w:t>kosztów najmu, dzierżawy lub leasingu pasywnej infrastruktury szerokopasmowej, a także elementów infrastruktury elektroenergetycznej, sanitarnej, wodociągowej oraz kanałów technologicznych, w tym m.in.:</w:t>
      </w:r>
    </w:p>
    <w:p w:rsidR="006101E2" w:rsidRPr="006101E2" w:rsidRDefault="006101E2" w:rsidP="00137BC9">
      <w:pPr>
        <w:numPr>
          <w:ilvl w:val="0"/>
          <w:numId w:val="45"/>
        </w:numPr>
        <w:tabs>
          <w:tab w:val="left" w:pos="0"/>
          <w:tab w:val="right" w:pos="709"/>
        </w:tabs>
        <w:spacing w:before="120" w:after="120" w:line="360" w:lineRule="auto"/>
        <w:ind w:left="709"/>
        <w:jc w:val="both"/>
        <w:rPr>
          <w:rFonts w:ascii="Arial" w:hAnsi="Arial" w:cs="Arial"/>
        </w:rPr>
      </w:pPr>
      <w:r w:rsidRPr="006101E2">
        <w:rPr>
          <w:rFonts w:ascii="Arial" w:hAnsi="Arial" w:cs="Arial"/>
        </w:rPr>
        <w:t>z tytułu współkorzystania lub dostępu do infrastruktury technicznej</w:t>
      </w:r>
      <w:r w:rsidR="00735DB3">
        <w:rPr>
          <w:rFonts w:ascii="Arial" w:hAnsi="Arial" w:cs="Arial"/>
        </w:rPr>
        <w:t>,</w:t>
      </w:r>
      <w:r w:rsidRPr="006101E2">
        <w:rPr>
          <w:rFonts w:ascii="Arial" w:hAnsi="Arial" w:cs="Arial"/>
        </w:rPr>
        <w:t xml:space="preserve"> o którym mowa w</w:t>
      </w:r>
      <w:r w:rsidR="001216B1">
        <w:rPr>
          <w:rFonts w:ascii="Arial" w:hAnsi="Arial" w:cs="Arial"/>
        </w:rPr>
        <w:t xml:space="preserve"> </w:t>
      </w:r>
      <w:r w:rsidRPr="006101E2">
        <w:rPr>
          <w:rFonts w:ascii="Arial" w:hAnsi="Arial" w:cs="Arial"/>
        </w:rPr>
        <w:t xml:space="preserve">art. 17 </w:t>
      </w:r>
      <w:proofErr w:type="spellStart"/>
      <w:r w:rsidRPr="006101E2">
        <w:rPr>
          <w:rFonts w:ascii="Arial" w:hAnsi="Arial" w:cs="Arial"/>
        </w:rPr>
        <w:t>megaustawy</w:t>
      </w:r>
      <w:proofErr w:type="spellEnd"/>
      <w:r w:rsidRPr="006101E2">
        <w:rPr>
          <w:rFonts w:ascii="Arial" w:hAnsi="Arial" w:cs="Arial"/>
        </w:rPr>
        <w:t>;</w:t>
      </w:r>
    </w:p>
    <w:p w:rsidR="006101E2" w:rsidRPr="006101E2" w:rsidRDefault="006101E2" w:rsidP="00137BC9">
      <w:pPr>
        <w:numPr>
          <w:ilvl w:val="0"/>
          <w:numId w:val="45"/>
        </w:numPr>
        <w:tabs>
          <w:tab w:val="left" w:pos="0"/>
          <w:tab w:val="right" w:pos="709"/>
        </w:tabs>
        <w:spacing w:before="120" w:after="120" w:line="360" w:lineRule="auto"/>
        <w:ind w:left="709"/>
        <w:jc w:val="both"/>
        <w:rPr>
          <w:rFonts w:ascii="Arial" w:hAnsi="Arial" w:cs="Arial"/>
        </w:rPr>
      </w:pPr>
      <w:r w:rsidRPr="006101E2">
        <w:rPr>
          <w:rFonts w:ascii="Arial" w:hAnsi="Arial" w:cs="Arial"/>
        </w:rPr>
        <w:lastRenderedPageBreak/>
        <w:t xml:space="preserve">z tytułu korzystania z urządzeń i obiektów infrastruktury technicznej o którym mowa w art. 35 </w:t>
      </w:r>
      <w:proofErr w:type="spellStart"/>
      <w:r w:rsidRPr="006101E2">
        <w:rPr>
          <w:rFonts w:ascii="Arial" w:hAnsi="Arial" w:cs="Arial"/>
        </w:rPr>
        <w:t>megaustawy</w:t>
      </w:r>
      <w:proofErr w:type="spellEnd"/>
      <w:r w:rsidR="001216B1">
        <w:rPr>
          <w:rFonts w:ascii="Arial" w:hAnsi="Arial" w:cs="Arial"/>
        </w:rPr>
        <w:t>;</w:t>
      </w:r>
    </w:p>
    <w:p w:rsidR="006101E2" w:rsidRPr="006101E2" w:rsidRDefault="006101E2" w:rsidP="00137BC9">
      <w:pPr>
        <w:numPr>
          <w:ilvl w:val="0"/>
          <w:numId w:val="45"/>
        </w:numPr>
        <w:tabs>
          <w:tab w:val="left" w:pos="0"/>
          <w:tab w:val="right" w:pos="709"/>
        </w:tabs>
        <w:spacing w:before="120" w:after="120" w:line="360" w:lineRule="auto"/>
        <w:ind w:left="709"/>
        <w:jc w:val="both"/>
        <w:rPr>
          <w:rFonts w:ascii="Arial" w:hAnsi="Arial" w:cs="Arial"/>
        </w:rPr>
      </w:pPr>
      <w:r w:rsidRPr="006101E2">
        <w:rPr>
          <w:rFonts w:ascii="Arial" w:hAnsi="Arial" w:cs="Arial"/>
        </w:rPr>
        <w:t>z tytułu udostępnienia kanałów technologicznych</w:t>
      </w:r>
      <w:r w:rsidR="001216B1">
        <w:rPr>
          <w:rFonts w:ascii="Arial" w:hAnsi="Arial" w:cs="Arial"/>
        </w:rPr>
        <w:t>,</w:t>
      </w:r>
      <w:r w:rsidRPr="006101E2">
        <w:rPr>
          <w:rFonts w:ascii="Arial" w:hAnsi="Arial" w:cs="Arial"/>
        </w:rPr>
        <w:t xml:space="preserve"> o których mowa w art. 39 ust. 7 ustawy z dnia 21 marca 1985 r. o drogach publicznych (</w:t>
      </w:r>
      <w:proofErr w:type="spellStart"/>
      <w:r w:rsidR="001216B1">
        <w:rPr>
          <w:rFonts w:ascii="Arial" w:hAnsi="Arial" w:cs="Arial"/>
        </w:rPr>
        <w:t>t</w:t>
      </w:r>
      <w:r w:rsidR="000A6538">
        <w:rPr>
          <w:rFonts w:ascii="Arial" w:hAnsi="Arial" w:cs="Arial"/>
        </w:rPr>
        <w:t>.</w:t>
      </w:r>
      <w:r w:rsidR="001216B1">
        <w:rPr>
          <w:rFonts w:ascii="Arial" w:hAnsi="Arial" w:cs="Arial"/>
        </w:rPr>
        <w:t>j</w:t>
      </w:r>
      <w:proofErr w:type="spellEnd"/>
      <w:r w:rsidR="000A6538">
        <w:rPr>
          <w:rFonts w:ascii="Arial" w:hAnsi="Arial" w:cs="Arial"/>
        </w:rPr>
        <w:t>.</w:t>
      </w:r>
      <w:r w:rsidR="001216B1">
        <w:rPr>
          <w:rFonts w:ascii="Arial" w:hAnsi="Arial" w:cs="Arial"/>
        </w:rPr>
        <w:t xml:space="preserve"> </w:t>
      </w:r>
      <w:r w:rsidRPr="006101E2">
        <w:rPr>
          <w:rFonts w:ascii="Arial" w:hAnsi="Arial" w:cs="Arial"/>
        </w:rPr>
        <w:t>Dz. U. 201</w:t>
      </w:r>
      <w:r w:rsidR="000A6538">
        <w:rPr>
          <w:rFonts w:ascii="Arial" w:hAnsi="Arial" w:cs="Arial"/>
        </w:rPr>
        <w:t>6</w:t>
      </w:r>
      <w:r w:rsidRPr="006101E2">
        <w:rPr>
          <w:rFonts w:ascii="Arial" w:hAnsi="Arial" w:cs="Arial"/>
        </w:rPr>
        <w:t xml:space="preserve"> r. poz. </w:t>
      </w:r>
      <w:r w:rsidR="000A6538">
        <w:rPr>
          <w:rFonts w:ascii="Arial" w:hAnsi="Arial" w:cs="Arial"/>
        </w:rPr>
        <w:t>14</w:t>
      </w:r>
      <w:r w:rsidRPr="006101E2">
        <w:rPr>
          <w:rFonts w:ascii="Arial" w:hAnsi="Arial" w:cs="Arial"/>
        </w:rPr>
        <w:t>40</w:t>
      </w:r>
      <w:r w:rsidR="001216B1">
        <w:rPr>
          <w:rFonts w:ascii="Arial" w:hAnsi="Arial" w:cs="Arial"/>
        </w:rPr>
        <w:t>)</w:t>
      </w:r>
      <w:r w:rsidR="00735DB3">
        <w:rPr>
          <w:rFonts w:ascii="Arial" w:hAnsi="Arial" w:cs="Arial"/>
        </w:rPr>
        <w:t>;</w:t>
      </w:r>
    </w:p>
    <w:p w:rsidR="006101E2" w:rsidRPr="006101E2" w:rsidRDefault="006101E2" w:rsidP="00137BC9">
      <w:pPr>
        <w:numPr>
          <w:ilvl w:val="0"/>
          <w:numId w:val="45"/>
        </w:numPr>
        <w:tabs>
          <w:tab w:val="left" w:pos="0"/>
          <w:tab w:val="right" w:pos="709"/>
        </w:tabs>
        <w:spacing w:before="120" w:after="120" w:line="360" w:lineRule="auto"/>
        <w:ind w:left="709"/>
        <w:jc w:val="both"/>
        <w:rPr>
          <w:rFonts w:ascii="Arial" w:hAnsi="Arial" w:cs="Arial"/>
        </w:rPr>
      </w:pPr>
      <w:r w:rsidRPr="006101E2">
        <w:rPr>
          <w:rFonts w:ascii="Arial" w:hAnsi="Arial" w:cs="Arial"/>
        </w:rPr>
        <w:t xml:space="preserve">z tytułu uzyskania dostępu o którym mowa w art. 139 </w:t>
      </w:r>
      <w:r w:rsidRPr="00734B08">
        <w:rPr>
          <w:rFonts w:ascii="Arial" w:hAnsi="Arial" w:cs="Arial"/>
          <w:i/>
        </w:rPr>
        <w:t>Praw</w:t>
      </w:r>
      <w:r w:rsidR="00734B08" w:rsidRPr="00734B08">
        <w:rPr>
          <w:rFonts w:ascii="Arial" w:hAnsi="Arial" w:cs="Arial"/>
          <w:i/>
        </w:rPr>
        <w:t>a</w:t>
      </w:r>
      <w:r w:rsidRPr="00734B08">
        <w:rPr>
          <w:rFonts w:ascii="Arial" w:hAnsi="Arial" w:cs="Arial"/>
          <w:i/>
        </w:rPr>
        <w:t xml:space="preserve"> telekomunikacyjne</w:t>
      </w:r>
      <w:r w:rsidR="00734B08" w:rsidRPr="00734B08">
        <w:rPr>
          <w:rFonts w:ascii="Arial" w:hAnsi="Arial" w:cs="Arial"/>
          <w:i/>
        </w:rPr>
        <w:t>go</w:t>
      </w:r>
      <w:r w:rsidRPr="006101E2">
        <w:rPr>
          <w:rFonts w:ascii="Arial" w:hAnsi="Arial" w:cs="Arial"/>
        </w:rPr>
        <w:t>.</w:t>
      </w:r>
    </w:p>
    <w:p w:rsidR="006101E2" w:rsidRPr="006101E2" w:rsidRDefault="006101E2" w:rsidP="006101E2">
      <w:pPr>
        <w:tabs>
          <w:tab w:val="left" w:pos="0"/>
          <w:tab w:val="right" w:pos="284"/>
        </w:tabs>
        <w:spacing w:before="120" w:after="120" w:line="360" w:lineRule="auto"/>
        <w:ind w:left="360"/>
        <w:jc w:val="both"/>
        <w:rPr>
          <w:rFonts w:ascii="Arial" w:hAnsi="Arial" w:cs="Arial"/>
        </w:rPr>
      </w:pPr>
      <w:r w:rsidRPr="006101E2">
        <w:rPr>
          <w:rFonts w:ascii="Arial" w:hAnsi="Arial" w:cs="Arial"/>
        </w:rPr>
        <w:t>Koszty te są kwalifikowalne pod warunkiem spełnienia założeń technicznych projektu określonych we wniosku o dofinansowanie.</w:t>
      </w:r>
    </w:p>
    <w:p w:rsidR="006101E2" w:rsidRPr="006101E2" w:rsidRDefault="006101E2" w:rsidP="006101E2">
      <w:pPr>
        <w:tabs>
          <w:tab w:val="left" w:pos="0"/>
          <w:tab w:val="right" w:pos="284"/>
        </w:tabs>
        <w:spacing w:before="120" w:after="120" w:line="360" w:lineRule="auto"/>
        <w:ind w:left="360"/>
        <w:jc w:val="both"/>
        <w:rPr>
          <w:rFonts w:ascii="Arial" w:hAnsi="Arial" w:cs="Arial"/>
        </w:rPr>
      </w:pPr>
      <w:r w:rsidRPr="006101E2">
        <w:rPr>
          <w:rFonts w:ascii="Arial" w:hAnsi="Arial" w:cs="Arial"/>
        </w:rPr>
        <w:t>W przypadku najmu, dzierżawy, IRU i innych, niż własność i dzierżawa wieczysta, tytułów prawnych do nieruchomości, koszt jest kwalifikowany pod warunkiem, że</w:t>
      </w:r>
      <w:r w:rsidR="00687757">
        <w:rPr>
          <w:rFonts w:ascii="Arial" w:hAnsi="Arial" w:cs="Arial"/>
        </w:rPr>
        <w:t xml:space="preserve"> </w:t>
      </w:r>
      <w:r w:rsidRPr="006101E2">
        <w:rPr>
          <w:rFonts w:ascii="Arial" w:hAnsi="Arial" w:cs="Arial"/>
        </w:rPr>
        <w:t>umowa została zawarta na okres nie krótszy niż okres trwałości projektu i nie krótszy niż minimalny okres świadczenia hurtowego dostępu określony rozporządzeniem pomocowym dla I osi.</w:t>
      </w:r>
    </w:p>
    <w:p w:rsidR="006101E2" w:rsidRPr="006101E2" w:rsidRDefault="006101E2" w:rsidP="006101E2">
      <w:pPr>
        <w:tabs>
          <w:tab w:val="left" w:pos="0"/>
          <w:tab w:val="right" w:pos="284"/>
        </w:tabs>
        <w:spacing w:before="120" w:after="120" w:line="360" w:lineRule="auto"/>
        <w:ind w:left="360"/>
        <w:jc w:val="both"/>
        <w:rPr>
          <w:rFonts w:ascii="Arial" w:hAnsi="Arial" w:cs="Arial"/>
        </w:rPr>
      </w:pPr>
      <w:r w:rsidRPr="006101E2">
        <w:rPr>
          <w:rFonts w:ascii="Arial" w:hAnsi="Arial" w:cs="Arial"/>
        </w:rPr>
        <w:t>Wydatki wynikające z umów lub decyzji w ramach niniejszej kategorii, są kwalifikowalne proporcjonalnie do okresu realizacji projektu, tj. nie są kwalifikowalne wydatki odnoszące się do okresu trwałości i późniejszych.</w:t>
      </w:r>
    </w:p>
    <w:p w:rsidR="006101E2" w:rsidRPr="006101E2" w:rsidRDefault="006101E2" w:rsidP="006101E2">
      <w:pPr>
        <w:spacing w:before="120" w:after="120" w:line="360" w:lineRule="auto"/>
        <w:ind w:left="360"/>
        <w:jc w:val="both"/>
        <w:rPr>
          <w:rFonts w:ascii="Arial" w:hAnsi="Arial" w:cs="Arial"/>
        </w:rPr>
      </w:pPr>
      <w:r w:rsidRPr="006101E2">
        <w:rPr>
          <w:rFonts w:ascii="Arial" w:hAnsi="Arial" w:cs="Arial"/>
        </w:rPr>
        <w:t>IRU jest kwalifikowalne do wysokości 5% wydatków kwalifikowalnych projektu.</w:t>
      </w:r>
    </w:p>
    <w:p w:rsidR="006101E2" w:rsidRPr="006101E2" w:rsidRDefault="006101E2" w:rsidP="006101E2">
      <w:pPr>
        <w:spacing w:before="120" w:after="120" w:line="360" w:lineRule="auto"/>
        <w:ind w:left="360"/>
        <w:jc w:val="both"/>
        <w:rPr>
          <w:rFonts w:ascii="Arial" w:hAnsi="Arial" w:cs="Arial"/>
        </w:rPr>
      </w:pPr>
      <w:r w:rsidRPr="006101E2">
        <w:rPr>
          <w:rFonts w:ascii="Arial" w:hAnsi="Arial" w:cs="Arial"/>
        </w:rPr>
        <w:t>Całkowite wydatki kwalifikowalne w ramach tej kategorii wydatków nie mogą przekroczyć 10% wydatków kwalifikowalnych projektu.</w:t>
      </w:r>
    </w:p>
    <w:p w:rsidR="006101E2" w:rsidRPr="006101E2" w:rsidRDefault="006101E2" w:rsidP="00137BC9">
      <w:pPr>
        <w:numPr>
          <w:ilvl w:val="0"/>
          <w:numId w:val="32"/>
        </w:numPr>
        <w:spacing w:before="120" w:after="120" w:line="360" w:lineRule="auto"/>
        <w:jc w:val="both"/>
        <w:rPr>
          <w:rFonts w:ascii="Arial" w:hAnsi="Arial" w:cs="Arial"/>
        </w:rPr>
      </w:pPr>
      <w:r w:rsidRPr="006101E2">
        <w:rPr>
          <w:rFonts w:ascii="Arial" w:hAnsi="Arial" w:cs="Arial"/>
        </w:rPr>
        <w:t>kosztów inwestycyjnych budowy sieci NGA, w tym związanych z przebudową i</w:t>
      </w:r>
      <w:r w:rsidR="00687757">
        <w:rPr>
          <w:rFonts w:ascii="Arial" w:hAnsi="Arial" w:cs="Arial"/>
        </w:rPr>
        <w:t xml:space="preserve"> </w:t>
      </w:r>
      <w:r w:rsidRPr="006101E2">
        <w:rPr>
          <w:rFonts w:ascii="Arial" w:hAnsi="Arial" w:cs="Arial"/>
        </w:rPr>
        <w:t>rozbudową podstawowej sieci szerokopasmowej do standardu sieci NGA, w tym w szczególności:</w:t>
      </w:r>
    </w:p>
    <w:p w:rsidR="006101E2" w:rsidRPr="006101E2" w:rsidRDefault="006101E2" w:rsidP="00137BC9">
      <w:pPr>
        <w:numPr>
          <w:ilvl w:val="0"/>
          <w:numId w:val="43"/>
        </w:numPr>
        <w:spacing w:before="120" w:after="120" w:line="360" w:lineRule="auto"/>
        <w:ind w:left="709"/>
        <w:jc w:val="both"/>
        <w:rPr>
          <w:rFonts w:ascii="Arial" w:hAnsi="Arial" w:cs="Arial"/>
        </w:rPr>
      </w:pPr>
      <w:r w:rsidRPr="006101E2">
        <w:rPr>
          <w:rFonts w:ascii="Arial" w:hAnsi="Arial" w:cs="Arial"/>
        </w:rPr>
        <w:t>urządzenia niezbędne dla funkcjonowania sieci telekomunikacyjnej</w:t>
      </w:r>
      <w:r w:rsidR="00687757">
        <w:rPr>
          <w:rFonts w:ascii="Arial" w:hAnsi="Arial" w:cs="Arial"/>
        </w:rPr>
        <w:t>,</w:t>
      </w:r>
      <w:r w:rsidRPr="006101E2">
        <w:rPr>
          <w:rFonts w:ascii="Arial" w:hAnsi="Arial" w:cs="Arial"/>
        </w:rPr>
        <w:t xml:space="preserve"> tj. urządzenia służące do zasilania, wentylacji, klimatyzacji, urządzenia alarmowe służące zabezpieczeniu przed kradzieżą, wandalizmem i włamaniami, urządzenia niezbędne do zapewnienia ochrony przeciwprzepięciowej i odgromowej;</w:t>
      </w:r>
    </w:p>
    <w:p w:rsidR="006101E2" w:rsidRPr="006101E2" w:rsidRDefault="006101E2" w:rsidP="00137BC9">
      <w:pPr>
        <w:numPr>
          <w:ilvl w:val="0"/>
          <w:numId w:val="43"/>
        </w:numPr>
        <w:spacing w:before="120" w:after="120" w:line="360" w:lineRule="auto"/>
        <w:ind w:left="709"/>
        <w:jc w:val="both"/>
        <w:rPr>
          <w:rFonts w:ascii="Arial" w:hAnsi="Arial" w:cs="Arial"/>
        </w:rPr>
      </w:pPr>
      <w:r w:rsidRPr="006101E2">
        <w:rPr>
          <w:rFonts w:ascii="Arial" w:hAnsi="Arial" w:cs="Arial"/>
        </w:rPr>
        <w:t>koszty przyłączenia do sieci elektroenergetycznej lub innej formy zapewnienia zasilania w energię elektryczną.</w:t>
      </w:r>
    </w:p>
    <w:p w:rsidR="006101E2" w:rsidRPr="006101E2" w:rsidRDefault="006101E2" w:rsidP="006101E2">
      <w:pPr>
        <w:spacing w:before="120" w:after="120" w:line="360" w:lineRule="auto"/>
        <w:ind w:left="349"/>
        <w:jc w:val="both"/>
        <w:rPr>
          <w:rFonts w:ascii="Arial" w:hAnsi="Arial" w:cs="Arial"/>
        </w:rPr>
      </w:pPr>
      <w:r w:rsidRPr="006101E2">
        <w:rPr>
          <w:rFonts w:ascii="Arial" w:hAnsi="Arial" w:cs="Arial"/>
        </w:rPr>
        <w:t>Wyłączona jest kwalifikowalność urządzeń abonenckich zgodnie z zasadami opisanymi w katalogu kosztów niekwalifikowalnych.</w:t>
      </w:r>
    </w:p>
    <w:p w:rsidR="006101E2" w:rsidRPr="006101E2" w:rsidRDefault="006101E2" w:rsidP="00137BC9">
      <w:pPr>
        <w:numPr>
          <w:ilvl w:val="0"/>
          <w:numId w:val="32"/>
        </w:numPr>
        <w:spacing w:before="120" w:after="120" w:line="360" w:lineRule="auto"/>
        <w:jc w:val="both"/>
        <w:rPr>
          <w:rFonts w:ascii="Arial" w:hAnsi="Arial" w:cs="Arial"/>
        </w:rPr>
      </w:pPr>
      <w:r w:rsidRPr="006101E2">
        <w:rPr>
          <w:rFonts w:ascii="Arial" w:hAnsi="Arial" w:cs="Arial"/>
        </w:rPr>
        <w:t>kosztów nabycia wartości niematerialnych i prawnych:</w:t>
      </w:r>
    </w:p>
    <w:p w:rsidR="006101E2" w:rsidRPr="006101E2" w:rsidRDefault="006101E2" w:rsidP="00137BC9">
      <w:pPr>
        <w:numPr>
          <w:ilvl w:val="0"/>
          <w:numId w:val="36"/>
        </w:numPr>
        <w:spacing w:before="120" w:after="120" w:line="360" w:lineRule="auto"/>
        <w:jc w:val="both"/>
        <w:rPr>
          <w:rFonts w:ascii="Arial" w:hAnsi="Arial" w:cs="Arial"/>
        </w:rPr>
      </w:pPr>
      <w:r w:rsidRPr="006101E2">
        <w:rPr>
          <w:rFonts w:ascii="Arial" w:hAnsi="Arial" w:cs="Arial"/>
        </w:rPr>
        <w:t>wraz z kosztem instalacji (wdrożenia), do łącznej wysokości 5% wartości kosztów kwalifikowanych projektu;</w:t>
      </w:r>
    </w:p>
    <w:p w:rsidR="006101E2" w:rsidRPr="006101E2" w:rsidRDefault="006101E2" w:rsidP="00137BC9">
      <w:pPr>
        <w:numPr>
          <w:ilvl w:val="0"/>
          <w:numId w:val="36"/>
        </w:numPr>
        <w:spacing w:before="120" w:after="120" w:line="360" w:lineRule="auto"/>
        <w:jc w:val="both"/>
        <w:rPr>
          <w:rFonts w:ascii="Arial" w:hAnsi="Arial" w:cs="Arial"/>
        </w:rPr>
      </w:pPr>
      <w:r w:rsidRPr="006101E2">
        <w:rPr>
          <w:rFonts w:ascii="Arial" w:hAnsi="Arial" w:cs="Arial"/>
        </w:rPr>
        <w:lastRenderedPageBreak/>
        <w:t>amortyzacja wartości niematerialnych z zachowaniem zasad ogólnych dotyczących amortyzacji danego rodzaju wartości niematerialnych w zakresie i w czasie, w jakim są one wykorzystywane do realizacji projektu.</w:t>
      </w:r>
    </w:p>
    <w:p w:rsidR="006101E2" w:rsidRPr="006101E2" w:rsidRDefault="006101E2" w:rsidP="006101E2">
      <w:pPr>
        <w:tabs>
          <w:tab w:val="left" w:pos="0"/>
          <w:tab w:val="right" w:pos="284"/>
        </w:tabs>
        <w:spacing w:before="120" w:after="120" w:line="360" w:lineRule="auto"/>
        <w:ind w:left="360"/>
        <w:jc w:val="both"/>
        <w:rPr>
          <w:rFonts w:ascii="Arial" w:hAnsi="Arial" w:cs="Arial"/>
        </w:rPr>
      </w:pPr>
      <w:r w:rsidRPr="006101E2">
        <w:rPr>
          <w:rFonts w:ascii="Arial" w:hAnsi="Arial" w:cs="Arial"/>
        </w:rPr>
        <w:t xml:space="preserve">Wydatki te są kwalifikowalne z uwzględnieniem przyjętych założeń technicznych projektu określonych we wniosku o dofinansowanie. </w:t>
      </w:r>
    </w:p>
    <w:p w:rsidR="006101E2" w:rsidRPr="006101E2" w:rsidRDefault="006101E2" w:rsidP="006101E2">
      <w:pPr>
        <w:keepNext/>
        <w:keepLines/>
        <w:numPr>
          <w:ilvl w:val="2"/>
          <w:numId w:val="1"/>
        </w:numPr>
        <w:spacing w:before="240" w:after="60" w:line="360" w:lineRule="auto"/>
        <w:jc w:val="center"/>
        <w:outlineLvl w:val="2"/>
        <w:rPr>
          <w:rFonts w:ascii="Arial" w:eastAsiaTheme="majorEastAsia" w:hAnsi="Arial" w:cs="Arial"/>
          <w:bCs/>
          <w:i/>
          <w:sz w:val="24"/>
          <w:szCs w:val="24"/>
        </w:rPr>
      </w:pPr>
      <w:bookmarkStart w:id="122" w:name="_Toc508630118"/>
      <w:r w:rsidRPr="006101E2">
        <w:rPr>
          <w:rFonts w:ascii="Arial" w:eastAsiaTheme="majorEastAsia" w:hAnsi="Arial" w:cs="Arial"/>
          <w:bCs/>
          <w:i/>
          <w:sz w:val="24"/>
          <w:szCs w:val="24"/>
        </w:rPr>
        <w:t xml:space="preserve">Kwalifikowalność wydatków w ramach pomocy de </w:t>
      </w:r>
      <w:proofErr w:type="spellStart"/>
      <w:r w:rsidRPr="006101E2">
        <w:rPr>
          <w:rFonts w:ascii="Arial" w:eastAsiaTheme="majorEastAsia" w:hAnsi="Arial" w:cs="Arial"/>
          <w:bCs/>
          <w:i/>
          <w:sz w:val="24"/>
          <w:szCs w:val="24"/>
        </w:rPr>
        <w:t>minimis</w:t>
      </w:r>
      <w:bookmarkEnd w:id="122"/>
      <w:proofErr w:type="spellEnd"/>
    </w:p>
    <w:p w:rsidR="006101E2" w:rsidRPr="006101E2" w:rsidRDefault="006101E2" w:rsidP="006101E2">
      <w:pPr>
        <w:spacing w:before="120" w:after="120" w:line="360" w:lineRule="auto"/>
        <w:jc w:val="both"/>
        <w:rPr>
          <w:rFonts w:ascii="Arial" w:hAnsi="Arial" w:cs="Arial"/>
        </w:rPr>
      </w:pPr>
      <w:r w:rsidRPr="006101E2">
        <w:rPr>
          <w:rFonts w:ascii="Arial" w:hAnsi="Arial" w:cs="Arial"/>
        </w:rPr>
        <w:t xml:space="preserve">Do wydatków kwalifikujących się do objęcia wsparciem w ramach pomocy </w:t>
      </w:r>
      <w:r w:rsidRPr="00460CEC">
        <w:rPr>
          <w:rFonts w:ascii="Arial" w:hAnsi="Arial" w:cs="Arial"/>
          <w:i/>
        </w:rPr>
        <w:t xml:space="preserve">de </w:t>
      </w:r>
      <w:proofErr w:type="spellStart"/>
      <w:r w:rsidRPr="00460CEC">
        <w:rPr>
          <w:rFonts w:ascii="Arial" w:hAnsi="Arial" w:cs="Arial"/>
          <w:i/>
        </w:rPr>
        <w:t>minimis</w:t>
      </w:r>
      <w:proofErr w:type="spellEnd"/>
      <w:r w:rsidRPr="006101E2">
        <w:rPr>
          <w:rFonts w:ascii="Arial" w:hAnsi="Arial" w:cs="Arial"/>
        </w:rPr>
        <w:t xml:space="preserve"> udzielanej na podstawie Rozporządzenia Komisji (UE) nr 1407/2013 zalicza się wydatki na:</w:t>
      </w:r>
    </w:p>
    <w:p w:rsidR="006101E2" w:rsidRPr="006101E2" w:rsidRDefault="006101E2" w:rsidP="00137BC9">
      <w:pPr>
        <w:numPr>
          <w:ilvl w:val="0"/>
          <w:numId w:val="41"/>
        </w:numPr>
        <w:spacing w:before="120" w:after="120" w:line="360" w:lineRule="auto"/>
        <w:jc w:val="both"/>
        <w:rPr>
          <w:rFonts w:ascii="Arial" w:hAnsi="Arial" w:cs="Arial"/>
        </w:rPr>
      </w:pPr>
      <w:r w:rsidRPr="006101E2">
        <w:rPr>
          <w:rFonts w:ascii="Arial" w:hAnsi="Arial" w:cs="Arial"/>
        </w:rPr>
        <w:t>opłaty publicznoprawne związane z przygotowaniem i realizacją projektu, w szczególności za wydanie decyzji, zgód, zezwoleń, w tym m.in.:</w:t>
      </w:r>
    </w:p>
    <w:p w:rsidR="006101E2" w:rsidRPr="006101E2" w:rsidRDefault="006101E2" w:rsidP="00137BC9">
      <w:pPr>
        <w:numPr>
          <w:ilvl w:val="0"/>
          <w:numId w:val="40"/>
        </w:numPr>
        <w:spacing w:before="120" w:after="120" w:line="360" w:lineRule="auto"/>
        <w:jc w:val="both"/>
        <w:rPr>
          <w:rFonts w:ascii="Arial" w:hAnsi="Arial" w:cs="Arial"/>
        </w:rPr>
      </w:pPr>
      <w:r w:rsidRPr="006101E2">
        <w:rPr>
          <w:rFonts w:ascii="Arial" w:hAnsi="Arial" w:cs="Arial"/>
        </w:rPr>
        <w:t>opłaty związane z zajęciem pasa drogowego w celu prowadzenia robót w pasie drogowym,</w:t>
      </w:r>
    </w:p>
    <w:p w:rsidR="006101E2" w:rsidRPr="006101E2" w:rsidRDefault="006101E2" w:rsidP="00137BC9">
      <w:pPr>
        <w:numPr>
          <w:ilvl w:val="0"/>
          <w:numId w:val="40"/>
        </w:numPr>
        <w:spacing w:before="120" w:after="120" w:line="360" w:lineRule="auto"/>
        <w:jc w:val="both"/>
        <w:rPr>
          <w:rFonts w:ascii="Arial" w:hAnsi="Arial" w:cs="Arial"/>
        </w:rPr>
      </w:pPr>
      <w:r w:rsidRPr="006101E2">
        <w:rPr>
          <w:rFonts w:ascii="Arial" w:hAnsi="Arial" w:cs="Arial"/>
        </w:rPr>
        <w:t>opłaty związane z uzyskaniem pozwolenia na budowę</w:t>
      </w:r>
    </w:p>
    <w:p w:rsidR="006101E2" w:rsidRPr="006101E2" w:rsidRDefault="006101E2" w:rsidP="006101E2">
      <w:pPr>
        <w:spacing w:before="120" w:after="120" w:line="360" w:lineRule="auto"/>
        <w:ind w:left="360"/>
        <w:jc w:val="both"/>
        <w:rPr>
          <w:rFonts w:ascii="Arial" w:hAnsi="Arial" w:cs="Arial"/>
          <w:bCs/>
        </w:rPr>
      </w:pPr>
      <w:r w:rsidRPr="006101E2">
        <w:rPr>
          <w:rFonts w:ascii="Arial" w:hAnsi="Arial" w:cs="Arial"/>
          <w:bCs/>
        </w:rPr>
        <w:t>- wydatki te są niekwalifikowalne, jeśli stanowią karę za naruszenie obowiązujących przepisów prawa;</w:t>
      </w:r>
    </w:p>
    <w:p w:rsidR="006101E2" w:rsidRPr="006101E2" w:rsidRDefault="006101E2" w:rsidP="00137BC9">
      <w:pPr>
        <w:numPr>
          <w:ilvl w:val="0"/>
          <w:numId w:val="42"/>
        </w:numPr>
        <w:spacing w:before="120" w:after="120" w:line="360" w:lineRule="auto"/>
        <w:jc w:val="both"/>
        <w:rPr>
          <w:rFonts w:ascii="Arial" w:hAnsi="Arial" w:cs="Arial"/>
          <w:bCs/>
        </w:rPr>
      </w:pPr>
      <w:r w:rsidRPr="006101E2">
        <w:rPr>
          <w:rFonts w:ascii="Arial" w:hAnsi="Arial" w:cs="Arial"/>
          <w:bCs/>
        </w:rPr>
        <w:t xml:space="preserve">dokumentację powykonawczą w rozumieniu  – </w:t>
      </w:r>
      <w:r w:rsidRPr="00460CEC">
        <w:rPr>
          <w:rFonts w:ascii="Arial" w:hAnsi="Arial" w:cs="Arial"/>
          <w:bCs/>
          <w:i/>
        </w:rPr>
        <w:t>Prawo budowlane</w:t>
      </w:r>
      <w:r w:rsidRPr="006101E2">
        <w:rPr>
          <w:rFonts w:ascii="Arial" w:hAnsi="Arial" w:cs="Arial"/>
          <w:bCs/>
        </w:rPr>
        <w:t>;</w:t>
      </w:r>
    </w:p>
    <w:p w:rsidR="006101E2" w:rsidRPr="006101E2" w:rsidRDefault="006101E2" w:rsidP="00137BC9">
      <w:pPr>
        <w:numPr>
          <w:ilvl w:val="0"/>
          <w:numId w:val="42"/>
        </w:numPr>
        <w:spacing w:before="120" w:after="120" w:line="360" w:lineRule="auto"/>
        <w:jc w:val="both"/>
        <w:rPr>
          <w:rFonts w:ascii="Arial" w:hAnsi="Arial" w:cs="Arial"/>
          <w:bCs/>
        </w:rPr>
      </w:pPr>
      <w:r w:rsidRPr="006101E2">
        <w:rPr>
          <w:rFonts w:ascii="Arial" w:hAnsi="Arial" w:cs="Arial"/>
          <w:bCs/>
        </w:rPr>
        <w:t>obsługę instrumentów zabezpieczających realizację umowy o udzielenie wsparcia</w:t>
      </w:r>
      <w:r w:rsidRPr="006101E2">
        <w:rPr>
          <w:rFonts w:ascii="Arial" w:hAnsi="Arial" w:cs="Arial"/>
          <w:bCs/>
          <w:vertAlign w:val="superscript"/>
        </w:rPr>
        <w:footnoteReference w:id="17"/>
      </w:r>
      <w:r w:rsidRPr="006101E2">
        <w:rPr>
          <w:rFonts w:ascii="Arial" w:hAnsi="Arial" w:cs="Arial"/>
          <w:bCs/>
        </w:rPr>
        <w:t>, określonych w umowie o udzielenie wsparcia;</w:t>
      </w:r>
    </w:p>
    <w:p w:rsidR="00B57EE7" w:rsidRDefault="006101E2" w:rsidP="00137BC9">
      <w:pPr>
        <w:numPr>
          <w:ilvl w:val="0"/>
          <w:numId w:val="42"/>
        </w:numPr>
        <w:spacing w:before="120" w:after="120" w:line="360" w:lineRule="auto"/>
        <w:jc w:val="both"/>
        <w:rPr>
          <w:rFonts w:ascii="Arial" w:hAnsi="Arial" w:cs="Arial"/>
          <w:bCs/>
        </w:rPr>
      </w:pPr>
      <w:r w:rsidRPr="006101E2">
        <w:rPr>
          <w:rFonts w:ascii="Arial" w:hAnsi="Arial" w:cs="Arial"/>
          <w:bCs/>
        </w:rPr>
        <w:t>wydatki związane z przygotowaniem projektu w zakresie w jakim są niezbędne do złożenia wniosku o dofinansowanie</w:t>
      </w:r>
      <w:r w:rsidR="00B57EE7">
        <w:rPr>
          <w:rFonts w:ascii="Arial" w:hAnsi="Arial" w:cs="Arial"/>
          <w:bCs/>
        </w:rPr>
        <w:t xml:space="preserve">, </w:t>
      </w:r>
      <w:r w:rsidR="00B57EE7" w:rsidRPr="00B57EE7">
        <w:rPr>
          <w:rFonts w:ascii="Arial" w:hAnsi="Arial" w:cs="Arial"/>
          <w:bCs/>
        </w:rPr>
        <w:t xml:space="preserve">do kwoty nieprzekraczającej </w:t>
      </w:r>
      <w:r w:rsidR="00B57EE7">
        <w:rPr>
          <w:rFonts w:ascii="Arial" w:hAnsi="Arial" w:cs="Arial"/>
          <w:bCs/>
        </w:rPr>
        <w:t>20 tys. zł</w:t>
      </w:r>
      <w:r w:rsidR="00596857" w:rsidRPr="00596857">
        <w:rPr>
          <w:rFonts w:ascii="Arial" w:hAnsi="Arial" w:cs="Arial"/>
          <w:bCs/>
        </w:rPr>
        <w:t xml:space="preserve"> </w:t>
      </w:r>
      <w:r w:rsidR="009B09C3">
        <w:rPr>
          <w:rFonts w:ascii="Arial" w:hAnsi="Arial" w:cs="Arial"/>
          <w:bCs/>
        </w:rPr>
        <w:t xml:space="preserve">oraz </w:t>
      </w:r>
      <w:r w:rsidR="00596857">
        <w:rPr>
          <w:rFonts w:ascii="Arial" w:hAnsi="Arial" w:cs="Arial"/>
          <w:bCs/>
        </w:rPr>
        <w:t xml:space="preserve">poniesione </w:t>
      </w:r>
      <w:r w:rsidR="00596857" w:rsidRPr="006101E2">
        <w:rPr>
          <w:rFonts w:ascii="Arial" w:hAnsi="Arial" w:cs="Arial"/>
          <w:bCs/>
        </w:rPr>
        <w:t xml:space="preserve">nie wcześniej niż 3 miesiące przed dniem złożenia </w:t>
      </w:r>
      <w:r w:rsidR="00596857">
        <w:rPr>
          <w:rFonts w:ascii="Arial" w:hAnsi="Arial" w:cs="Arial"/>
          <w:bCs/>
        </w:rPr>
        <w:t xml:space="preserve">tego </w:t>
      </w:r>
      <w:r w:rsidR="00596857" w:rsidRPr="006101E2">
        <w:rPr>
          <w:rFonts w:ascii="Arial" w:hAnsi="Arial" w:cs="Arial"/>
          <w:bCs/>
        </w:rPr>
        <w:t>wniosku</w:t>
      </w:r>
      <w:r w:rsidR="00B57EE7">
        <w:rPr>
          <w:rFonts w:ascii="Arial" w:hAnsi="Arial" w:cs="Arial"/>
          <w:bCs/>
        </w:rPr>
        <w:t xml:space="preserve">, </w:t>
      </w:r>
      <w:r w:rsidR="00596857">
        <w:rPr>
          <w:rFonts w:ascii="Arial" w:hAnsi="Arial" w:cs="Arial"/>
          <w:bCs/>
        </w:rPr>
        <w:t>dotyczące</w:t>
      </w:r>
      <w:r w:rsidR="00B57EE7">
        <w:rPr>
          <w:rFonts w:ascii="Arial" w:hAnsi="Arial" w:cs="Arial"/>
          <w:bCs/>
        </w:rPr>
        <w:t>:</w:t>
      </w:r>
    </w:p>
    <w:p w:rsidR="00B57EE7" w:rsidRPr="00B57EE7" w:rsidRDefault="00B57EE7" w:rsidP="00137BC9">
      <w:pPr>
        <w:pStyle w:val="Akapitzlist"/>
        <w:numPr>
          <w:ilvl w:val="1"/>
          <w:numId w:val="52"/>
        </w:numPr>
        <w:spacing w:before="120" w:after="120" w:line="360" w:lineRule="auto"/>
        <w:ind w:left="786"/>
        <w:jc w:val="both"/>
        <w:rPr>
          <w:rFonts w:ascii="Arial" w:hAnsi="Arial" w:cs="Arial"/>
          <w:bCs/>
        </w:rPr>
      </w:pPr>
      <w:r w:rsidRPr="00B57EE7">
        <w:rPr>
          <w:rFonts w:ascii="Arial" w:hAnsi="Arial" w:cs="Arial"/>
          <w:bCs/>
        </w:rPr>
        <w:t>dokumentacj</w:t>
      </w:r>
      <w:r w:rsidR="00B262C9">
        <w:rPr>
          <w:rFonts w:ascii="Arial" w:hAnsi="Arial" w:cs="Arial"/>
          <w:bCs/>
        </w:rPr>
        <w:t>i</w:t>
      </w:r>
      <w:r w:rsidRPr="00B57EE7">
        <w:rPr>
          <w:rFonts w:ascii="Arial" w:hAnsi="Arial" w:cs="Arial"/>
          <w:bCs/>
        </w:rPr>
        <w:t xml:space="preserve"> projektow</w:t>
      </w:r>
      <w:r w:rsidR="00B262C9">
        <w:rPr>
          <w:rFonts w:ascii="Arial" w:hAnsi="Arial" w:cs="Arial"/>
          <w:bCs/>
        </w:rPr>
        <w:t>ej</w:t>
      </w:r>
      <w:r w:rsidRPr="00B57EE7">
        <w:rPr>
          <w:rFonts w:ascii="Arial" w:hAnsi="Arial" w:cs="Arial"/>
          <w:bCs/>
        </w:rPr>
        <w:t xml:space="preserve"> </w:t>
      </w:r>
    </w:p>
    <w:p w:rsidR="00B57EE7" w:rsidRPr="00B57EE7" w:rsidRDefault="00B57EE7" w:rsidP="00137BC9">
      <w:pPr>
        <w:pStyle w:val="Akapitzlist"/>
        <w:numPr>
          <w:ilvl w:val="1"/>
          <w:numId w:val="52"/>
        </w:numPr>
        <w:spacing w:before="120" w:after="120" w:line="360" w:lineRule="auto"/>
        <w:ind w:left="786"/>
        <w:jc w:val="both"/>
        <w:rPr>
          <w:rFonts w:ascii="Arial" w:hAnsi="Arial" w:cs="Arial"/>
          <w:bCs/>
        </w:rPr>
      </w:pPr>
      <w:r w:rsidRPr="00B57EE7">
        <w:rPr>
          <w:rFonts w:ascii="Arial" w:hAnsi="Arial" w:cs="Arial"/>
          <w:bCs/>
        </w:rPr>
        <w:t>dokumentacj</w:t>
      </w:r>
      <w:r w:rsidR="00B262C9">
        <w:rPr>
          <w:rFonts w:ascii="Arial" w:hAnsi="Arial" w:cs="Arial"/>
          <w:bCs/>
        </w:rPr>
        <w:t>i</w:t>
      </w:r>
      <w:r w:rsidRPr="00B57EE7">
        <w:rPr>
          <w:rFonts w:ascii="Arial" w:hAnsi="Arial" w:cs="Arial"/>
          <w:bCs/>
        </w:rPr>
        <w:t xml:space="preserve"> techniczn</w:t>
      </w:r>
      <w:r w:rsidR="00B262C9">
        <w:rPr>
          <w:rFonts w:ascii="Arial" w:hAnsi="Arial" w:cs="Arial"/>
          <w:bCs/>
        </w:rPr>
        <w:t>ej</w:t>
      </w:r>
      <w:r w:rsidRPr="00B57EE7">
        <w:rPr>
          <w:rFonts w:ascii="Arial" w:hAnsi="Arial" w:cs="Arial"/>
          <w:bCs/>
        </w:rPr>
        <w:t xml:space="preserve">, </w:t>
      </w:r>
    </w:p>
    <w:p w:rsidR="00B57EE7" w:rsidRPr="00B57EE7" w:rsidRDefault="00B57EE7" w:rsidP="00137BC9">
      <w:pPr>
        <w:pStyle w:val="Akapitzlist"/>
        <w:numPr>
          <w:ilvl w:val="1"/>
          <w:numId w:val="52"/>
        </w:numPr>
        <w:spacing w:before="120" w:after="120" w:line="360" w:lineRule="auto"/>
        <w:ind w:left="786"/>
        <w:jc w:val="both"/>
        <w:rPr>
          <w:rFonts w:ascii="Arial" w:hAnsi="Arial" w:cs="Arial"/>
          <w:bCs/>
        </w:rPr>
      </w:pPr>
      <w:r w:rsidRPr="00B57EE7">
        <w:rPr>
          <w:rFonts w:ascii="Arial" w:hAnsi="Arial" w:cs="Arial"/>
          <w:bCs/>
        </w:rPr>
        <w:t xml:space="preserve">studium wykonalności lub </w:t>
      </w:r>
      <w:r w:rsidR="00687757">
        <w:rPr>
          <w:rFonts w:ascii="Arial" w:hAnsi="Arial" w:cs="Arial"/>
          <w:bCs/>
        </w:rPr>
        <w:t>innego dokumentu</w:t>
      </w:r>
      <w:r w:rsidR="003B0435">
        <w:rPr>
          <w:rFonts w:ascii="Arial" w:hAnsi="Arial" w:cs="Arial"/>
          <w:bCs/>
        </w:rPr>
        <w:t xml:space="preserve"> określonego w dokumentacji konkursowej </w:t>
      </w:r>
      <w:r w:rsidRPr="00B57EE7">
        <w:rPr>
          <w:rFonts w:ascii="Arial" w:hAnsi="Arial" w:cs="Arial"/>
          <w:bCs/>
        </w:rPr>
        <w:t xml:space="preserve"> w zależności od tego jaki dokument jest wymagany,</w:t>
      </w:r>
    </w:p>
    <w:p w:rsidR="00B57EE7" w:rsidRDefault="00B57EE7" w:rsidP="00137BC9">
      <w:pPr>
        <w:pStyle w:val="Akapitzlist"/>
        <w:numPr>
          <w:ilvl w:val="1"/>
          <w:numId w:val="52"/>
        </w:numPr>
        <w:spacing w:before="120" w:after="120" w:line="360" w:lineRule="auto"/>
        <w:ind w:left="786"/>
        <w:jc w:val="both"/>
        <w:rPr>
          <w:rFonts w:ascii="Arial" w:hAnsi="Arial" w:cs="Arial"/>
          <w:bCs/>
        </w:rPr>
      </w:pPr>
      <w:r w:rsidRPr="00B57EE7">
        <w:rPr>
          <w:rFonts w:ascii="Arial" w:hAnsi="Arial" w:cs="Arial"/>
          <w:bCs/>
        </w:rPr>
        <w:t>map lub szkic</w:t>
      </w:r>
      <w:r w:rsidR="00B262C9">
        <w:rPr>
          <w:rFonts w:ascii="Arial" w:hAnsi="Arial" w:cs="Arial"/>
          <w:bCs/>
        </w:rPr>
        <w:t>ów</w:t>
      </w:r>
      <w:r w:rsidRPr="00B57EE7">
        <w:rPr>
          <w:rFonts w:ascii="Arial" w:hAnsi="Arial" w:cs="Arial"/>
          <w:bCs/>
        </w:rPr>
        <w:t xml:space="preserve"> </w:t>
      </w:r>
      <w:r w:rsidR="00B262C9" w:rsidRPr="00B57EE7">
        <w:rPr>
          <w:rFonts w:ascii="Arial" w:hAnsi="Arial" w:cs="Arial"/>
          <w:bCs/>
        </w:rPr>
        <w:t>sytuuj</w:t>
      </w:r>
      <w:r w:rsidR="00B262C9">
        <w:rPr>
          <w:rFonts w:ascii="Arial" w:hAnsi="Arial" w:cs="Arial"/>
          <w:bCs/>
        </w:rPr>
        <w:t>ących</w:t>
      </w:r>
      <w:r w:rsidRPr="00B57EE7">
        <w:rPr>
          <w:rFonts w:ascii="Arial" w:hAnsi="Arial" w:cs="Arial"/>
          <w:bCs/>
        </w:rPr>
        <w:t xml:space="preserve"> projekt</w:t>
      </w:r>
      <w:r w:rsidR="006C4092">
        <w:rPr>
          <w:rFonts w:ascii="Arial" w:hAnsi="Arial" w:cs="Arial"/>
          <w:bCs/>
        </w:rPr>
        <w:t>,</w:t>
      </w:r>
      <w:r w:rsidRPr="00B57EE7">
        <w:rPr>
          <w:rFonts w:ascii="Arial" w:hAnsi="Arial" w:cs="Arial"/>
          <w:bCs/>
        </w:rPr>
        <w:t xml:space="preserve"> </w:t>
      </w:r>
    </w:p>
    <w:p w:rsidR="006101E2" w:rsidRPr="00B57EE7" w:rsidRDefault="00596857" w:rsidP="00846494">
      <w:pPr>
        <w:pStyle w:val="Akapitzlist"/>
        <w:spacing w:before="120" w:after="120" w:line="360" w:lineRule="auto"/>
        <w:ind w:left="426"/>
        <w:jc w:val="both"/>
        <w:rPr>
          <w:rFonts w:ascii="Arial" w:hAnsi="Arial" w:cs="Arial"/>
          <w:bCs/>
        </w:rPr>
      </w:pPr>
      <w:r>
        <w:rPr>
          <w:rFonts w:ascii="Arial" w:hAnsi="Arial" w:cs="Arial"/>
          <w:bCs/>
        </w:rPr>
        <w:t xml:space="preserve">- </w:t>
      </w:r>
      <w:r w:rsidR="00D13888" w:rsidRPr="00B57EE7">
        <w:rPr>
          <w:rFonts w:ascii="Arial" w:hAnsi="Arial" w:cs="Arial"/>
          <w:bCs/>
        </w:rPr>
        <w:t xml:space="preserve">z </w:t>
      </w:r>
      <w:r w:rsidR="006101E2" w:rsidRPr="00B57EE7">
        <w:rPr>
          <w:rFonts w:ascii="Arial" w:hAnsi="Arial" w:cs="Arial"/>
        </w:rPr>
        <w:t xml:space="preserve">wyjątkiem </w:t>
      </w:r>
      <w:r w:rsidR="00D13888" w:rsidRPr="00B57EE7">
        <w:rPr>
          <w:rFonts w:ascii="Arial" w:hAnsi="Arial" w:cs="Arial"/>
        </w:rPr>
        <w:t>wydatków związanych z wypełnieniem</w:t>
      </w:r>
      <w:r w:rsidR="006101E2" w:rsidRPr="00B57EE7">
        <w:rPr>
          <w:rFonts w:ascii="Arial" w:hAnsi="Arial" w:cs="Arial"/>
        </w:rPr>
        <w:t xml:space="preserve"> form</w:t>
      </w:r>
      <w:r w:rsidR="00D13888" w:rsidRPr="00B57EE7">
        <w:rPr>
          <w:rFonts w:ascii="Arial" w:hAnsi="Arial" w:cs="Arial"/>
        </w:rPr>
        <w:t>ularza wniosku o dofinansowanie</w:t>
      </w:r>
      <w:r>
        <w:rPr>
          <w:rFonts w:ascii="Arial" w:hAnsi="Arial" w:cs="Arial"/>
          <w:bCs/>
        </w:rPr>
        <w:t>.</w:t>
      </w:r>
    </w:p>
    <w:p w:rsidR="006101E2" w:rsidRPr="00602DF9" w:rsidRDefault="006101E2" w:rsidP="00602DF9">
      <w:pPr>
        <w:keepNext/>
        <w:keepLines/>
        <w:numPr>
          <w:ilvl w:val="2"/>
          <w:numId w:val="1"/>
        </w:numPr>
        <w:spacing w:before="240" w:after="60" w:line="360" w:lineRule="auto"/>
        <w:jc w:val="center"/>
        <w:outlineLvl w:val="2"/>
        <w:rPr>
          <w:rFonts w:ascii="Arial" w:eastAsiaTheme="majorEastAsia" w:hAnsi="Arial" w:cs="Arial"/>
          <w:bCs/>
          <w:i/>
          <w:sz w:val="24"/>
          <w:szCs w:val="24"/>
        </w:rPr>
      </w:pPr>
      <w:bookmarkStart w:id="123" w:name="_Toc508630119"/>
      <w:r w:rsidRPr="00602DF9">
        <w:rPr>
          <w:rFonts w:ascii="Arial" w:eastAsiaTheme="majorEastAsia" w:hAnsi="Arial" w:cs="Arial"/>
          <w:bCs/>
          <w:i/>
          <w:sz w:val="24"/>
          <w:szCs w:val="24"/>
        </w:rPr>
        <w:t>Wydatki niekwalifikowalne</w:t>
      </w:r>
      <w:bookmarkEnd w:id="123"/>
    </w:p>
    <w:p w:rsidR="006101E2" w:rsidRPr="006101E2" w:rsidRDefault="006101E2" w:rsidP="006101E2">
      <w:pPr>
        <w:spacing w:before="120" w:after="120" w:line="360" w:lineRule="auto"/>
        <w:jc w:val="both"/>
        <w:rPr>
          <w:rFonts w:ascii="Arial" w:hAnsi="Arial" w:cs="Arial"/>
        </w:rPr>
      </w:pPr>
      <w:r w:rsidRPr="006101E2">
        <w:rPr>
          <w:rFonts w:ascii="Arial" w:hAnsi="Arial" w:cs="Arial"/>
        </w:rPr>
        <w:t>Za niekwalifikowalne uznaje się wydatki określone w ramach poniższych kategorii:</w:t>
      </w:r>
    </w:p>
    <w:p w:rsidR="006101E2" w:rsidRP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lastRenderedPageBreak/>
        <w:t>Wszelkie wydatki dotyczące aktywnych elementów sieci umieszczanych lub instalowanych w budynkach</w:t>
      </w:r>
      <w:r w:rsidR="00180CF6">
        <w:rPr>
          <w:rFonts w:ascii="Arial" w:hAnsi="Arial" w:cs="Arial"/>
        </w:rPr>
        <w:t xml:space="preserve">, </w:t>
      </w:r>
      <w:r w:rsidR="00180CF6" w:rsidRPr="00846494">
        <w:rPr>
          <w:rFonts w:ascii="Arial" w:hAnsi="Arial" w:cs="Arial"/>
        </w:rPr>
        <w:t>z wyjątkiem wydatków na urządzenia aktywne umieszczonych w pomieszczeniu budynku wielorodzinnego</w:t>
      </w:r>
      <w:r w:rsidR="006C4092" w:rsidRPr="00846494">
        <w:rPr>
          <w:rFonts w:ascii="Arial" w:hAnsi="Arial" w:cs="Arial"/>
        </w:rPr>
        <w:t>,</w:t>
      </w:r>
      <w:r w:rsidR="00180CF6" w:rsidRPr="00846494">
        <w:rPr>
          <w:rFonts w:ascii="Arial" w:hAnsi="Arial" w:cs="Arial"/>
        </w:rPr>
        <w:t xml:space="preserve"> o którym mowa § 192f ust. 1 pkt 1 rozporządzenia Ministra Infrastruktury z dnia 12 kwietnia 2002 r. w sprawie warunków technicznych jakim powinny odpowiadać budynki i ich usytuowanie</w:t>
      </w:r>
      <w:r w:rsidRPr="00846494">
        <w:rPr>
          <w:rFonts w:ascii="Arial" w:hAnsi="Arial" w:cs="Arial"/>
        </w:rPr>
        <w:t>.</w:t>
      </w:r>
      <w:r w:rsidRPr="006101E2">
        <w:rPr>
          <w:rFonts w:ascii="Arial" w:hAnsi="Arial" w:cs="Arial"/>
        </w:rPr>
        <w:t xml:space="preserve"> </w:t>
      </w:r>
      <w:r w:rsidR="00BC5809">
        <w:rPr>
          <w:rFonts w:ascii="Arial" w:hAnsi="Arial" w:cs="Arial"/>
        </w:rPr>
        <w:br/>
      </w:r>
      <w:r w:rsidRPr="006101E2">
        <w:rPr>
          <w:rFonts w:ascii="Arial" w:hAnsi="Arial" w:cs="Arial"/>
        </w:rPr>
        <w:t xml:space="preserve">W szczególności dotyczy to wydatków ponoszonych na wszelkie formy nabycia, wytworzenia, zakupu, dzierżawy, najmu lub instalacji urządzeń abonenckich. Urządzeniem abonenckim są w tym rozumieniu urządzenia telekomunikacyjne (a także telekomunikacyjne urządzenia końcowe), w tym np. aktywne elementy stanowiące zakończenie sieci, modemy i routery wyposażone np. w porty, złącza, bramki VoIP czy interfejsy bezprzewodowe, stanowiące dla użytkownika końcowego bezpośredni punkt służący do podłączenia wykorzystywanych w jego lokalizacji urządzeń (rozumianych jako komputery osobiste, laptopy, tablety, smartphone i inne tego typu) takie jak np. ONT, modemy </w:t>
      </w:r>
      <w:proofErr w:type="spellStart"/>
      <w:r w:rsidRPr="006101E2">
        <w:rPr>
          <w:rFonts w:ascii="Arial" w:hAnsi="Arial" w:cs="Arial"/>
        </w:rPr>
        <w:t>xDSL</w:t>
      </w:r>
      <w:proofErr w:type="spellEnd"/>
      <w:r w:rsidRPr="006101E2">
        <w:rPr>
          <w:rFonts w:ascii="Arial" w:hAnsi="Arial" w:cs="Arial"/>
        </w:rPr>
        <w:t>, DOCSIS oraz stosowane w sieciach bezprzewodowych, niezależnie czy przedmiotowe urządzenie abonenckie zostanie zlokalizowane w lokalu potencjalnego użytkownika końcowego czy poza nim. Wszelkie wydatki dotyczące różnego rodzaju urządzeń elektronicznych służących bezpośrednio użytkownikom końcowym, tj. laptopy, komputery osobiste, telefony, smartfony, tablety itp.</w:t>
      </w:r>
    </w:p>
    <w:p w:rsidR="006101E2" w:rsidRP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t>Dla projektów realizowanych w obszarze zabudowy:</w:t>
      </w:r>
    </w:p>
    <w:p w:rsidR="006101E2" w:rsidRPr="00846494" w:rsidRDefault="006101E2" w:rsidP="00137BC9">
      <w:pPr>
        <w:numPr>
          <w:ilvl w:val="0"/>
          <w:numId w:val="31"/>
        </w:numPr>
        <w:spacing w:before="120" w:after="120" w:line="360" w:lineRule="auto"/>
        <w:jc w:val="both"/>
        <w:rPr>
          <w:rFonts w:ascii="Arial" w:hAnsi="Arial" w:cs="Arial"/>
        </w:rPr>
      </w:pPr>
      <w:r w:rsidRPr="006101E2">
        <w:rPr>
          <w:rFonts w:ascii="Arial" w:hAnsi="Arial" w:cs="Arial"/>
        </w:rPr>
        <w:t xml:space="preserve">jednorodzinnej - za niekwalifikowalne uznaje się wydatki na </w:t>
      </w:r>
      <w:r w:rsidRPr="00846494">
        <w:rPr>
          <w:rFonts w:ascii="Arial" w:hAnsi="Arial" w:cs="Arial"/>
        </w:rPr>
        <w:t>realizację</w:t>
      </w:r>
      <w:r w:rsidR="00180CF6" w:rsidRPr="00846494">
        <w:rPr>
          <w:rFonts w:ascii="Arial" w:hAnsi="Arial" w:cs="Arial"/>
        </w:rPr>
        <w:t xml:space="preserve"> odcinka linii kablowych i ich duktów od granicy działki ewidencyjnej, na której usytuowany jest budynek, w którym znajduje się zakończenie tego odcinka</w:t>
      </w:r>
      <w:r w:rsidR="00BC5809">
        <w:rPr>
          <w:rFonts w:ascii="Arial" w:hAnsi="Arial" w:cs="Arial"/>
        </w:rPr>
        <w:t>,</w:t>
      </w:r>
      <w:r w:rsidR="00180CF6" w:rsidRPr="00846494">
        <w:rPr>
          <w:rFonts w:ascii="Arial" w:hAnsi="Arial" w:cs="Arial"/>
        </w:rPr>
        <w:t xml:space="preserve"> aż do zakończenia sieci</w:t>
      </w:r>
      <w:r w:rsidRPr="00846494">
        <w:rPr>
          <w:rFonts w:ascii="Arial" w:hAnsi="Arial" w:cs="Arial"/>
        </w:rPr>
        <w:t>,</w:t>
      </w:r>
    </w:p>
    <w:p w:rsidR="006101E2" w:rsidRPr="006101E2" w:rsidRDefault="006101E2" w:rsidP="00137BC9">
      <w:pPr>
        <w:numPr>
          <w:ilvl w:val="0"/>
          <w:numId w:val="31"/>
        </w:numPr>
        <w:spacing w:before="120" w:after="120" w:line="360" w:lineRule="auto"/>
        <w:jc w:val="both"/>
        <w:rPr>
          <w:rFonts w:ascii="Arial" w:hAnsi="Arial" w:cs="Arial"/>
        </w:rPr>
      </w:pPr>
      <w:r w:rsidRPr="006101E2">
        <w:rPr>
          <w:rFonts w:ascii="Arial" w:hAnsi="Arial" w:cs="Arial"/>
        </w:rPr>
        <w:t>wielorodzinnej - za niekwalifikowalne uznaje się wydatki na realizację</w:t>
      </w:r>
      <w:r w:rsidR="00180CF6">
        <w:rPr>
          <w:rFonts w:ascii="Arial" w:hAnsi="Arial" w:cs="Arial"/>
        </w:rPr>
        <w:t xml:space="preserve"> </w:t>
      </w:r>
      <w:r w:rsidR="006C4092">
        <w:rPr>
          <w:rFonts w:ascii="Arial" w:hAnsi="Arial" w:cs="Arial"/>
        </w:rPr>
        <w:t xml:space="preserve">instalacji </w:t>
      </w:r>
      <w:r w:rsidR="00180CF6" w:rsidRPr="00846494">
        <w:rPr>
          <w:rFonts w:ascii="Arial" w:hAnsi="Arial" w:cs="Arial"/>
        </w:rPr>
        <w:t>odcinka linii kablowych i ich duktów</w:t>
      </w:r>
      <w:r w:rsidRPr="006101E2">
        <w:rPr>
          <w:rFonts w:ascii="Arial" w:hAnsi="Arial" w:cs="Arial"/>
        </w:rPr>
        <w:t xml:space="preserve"> wewnątrz budynku wielorodzinnego, </w:t>
      </w:r>
      <w:r w:rsidRPr="00846494">
        <w:rPr>
          <w:rFonts w:ascii="Arial" w:hAnsi="Arial" w:cs="Arial"/>
        </w:rPr>
        <w:t xml:space="preserve">w tym </w:t>
      </w:r>
      <w:r w:rsidR="00180CF6" w:rsidRPr="00846494">
        <w:rPr>
          <w:rFonts w:ascii="Arial" w:hAnsi="Arial" w:cs="Arial"/>
        </w:rPr>
        <w:t>odcinka linii kablowych i ich duktów</w:t>
      </w:r>
      <w:r w:rsidRPr="006101E2">
        <w:rPr>
          <w:rFonts w:ascii="Arial" w:hAnsi="Arial" w:cs="Arial"/>
        </w:rPr>
        <w:t xml:space="preserve"> </w:t>
      </w:r>
      <w:r w:rsidR="006C4092">
        <w:rPr>
          <w:rFonts w:ascii="Arial" w:hAnsi="Arial" w:cs="Arial"/>
        </w:rPr>
        <w:t xml:space="preserve">instalacji </w:t>
      </w:r>
      <w:r w:rsidRPr="006101E2">
        <w:rPr>
          <w:rFonts w:ascii="Arial" w:hAnsi="Arial" w:cs="Arial"/>
        </w:rPr>
        <w:t xml:space="preserve">wewnątrz mieszkań. Dotyczy to </w:t>
      </w:r>
      <w:r w:rsidR="00180CF6" w:rsidRPr="00846494">
        <w:rPr>
          <w:rFonts w:ascii="Arial" w:hAnsi="Arial" w:cs="Arial"/>
        </w:rPr>
        <w:t>odcinka linii kablowych i ich duktów</w:t>
      </w:r>
      <w:r w:rsidR="00180CF6" w:rsidRPr="00846494" w:rsidDel="00180CF6">
        <w:rPr>
          <w:rFonts w:ascii="Arial" w:hAnsi="Arial" w:cs="Arial"/>
        </w:rPr>
        <w:t xml:space="preserve"> </w:t>
      </w:r>
      <w:r w:rsidRPr="006101E2">
        <w:rPr>
          <w:rFonts w:ascii="Arial" w:hAnsi="Arial" w:cs="Arial"/>
        </w:rPr>
        <w:t xml:space="preserve">od punktu połączenia instalacji telekomunikacyjnej z publiczną siecią telekomunikacyjną (punkt styku, o którym mowa w § 192f rozporządzenia Ministra Infrastruktury z dnia 12 kwietnia 2002 r. w sprawie warunków technicznych jakim powinny odpowiadać budynki i ich usytuowanie. Co do zasady rozporządzenie jest stosowane wyłącznie do nowych budynków, jednakże w przypadku projektów współfinansowanych z POPC, wskazana definicja będzie stosowana odpowiednio również do budynków istniejących) do zakończenia sieci, </w:t>
      </w:r>
    </w:p>
    <w:p w:rsidR="006101E2" w:rsidRPr="006101E2" w:rsidRDefault="006101E2" w:rsidP="00137BC9">
      <w:pPr>
        <w:numPr>
          <w:ilvl w:val="0"/>
          <w:numId w:val="31"/>
        </w:numPr>
        <w:spacing w:before="120" w:after="120" w:line="360" w:lineRule="auto"/>
        <w:jc w:val="both"/>
        <w:rPr>
          <w:rFonts w:ascii="Arial" w:hAnsi="Arial" w:cs="Arial"/>
        </w:rPr>
      </w:pPr>
      <w:r w:rsidRPr="006101E2">
        <w:rPr>
          <w:rFonts w:ascii="Arial" w:hAnsi="Arial" w:cs="Arial"/>
        </w:rPr>
        <w:t>wielorodzinnej typu szeregowego, stosuje się odpowiednio zasady dla zabudowy jednorodzinnej, przy czym uznaje się, że każdy wydzielony lokal mieszkalny może być traktowany jak odrębny dom jednorodzinny</w:t>
      </w:r>
      <w:r w:rsidR="00C70B34">
        <w:rPr>
          <w:rFonts w:ascii="Arial" w:hAnsi="Arial" w:cs="Arial"/>
        </w:rPr>
        <w:t>.</w:t>
      </w:r>
    </w:p>
    <w:p w:rsidR="006101E2" w:rsidRPr="006101E2" w:rsidRDefault="006101E2" w:rsidP="006101E2">
      <w:pPr>
        <w:spacing w:before="120" w:after="120" w:line="360" w:lineRule="auto"/>
        <w:ind w:left="357"/>
        <w:jc w:val="both"/>
        <w:rPr>
          <w:rFonts w:ascii="Arial" w:hAnsi="Arial" w:cs="Arial"/>
        </w:rPr>
      </w:pPr>
      <w:r w:rsidRPr="006101E2">
        <w:rPr>
          <w:rFonts w:ascii="Arial" w:hAnsi="Arial" w:cs="Arial"/>
        </w:rPr>
        <w:lastRenderedPageBreak/>
        <w:t>W przypadku mieszanego typu zabudowy danego obszaru, powyższe zasady stosuje się odpowiednio dla danego typu budynku jednorodzinnego, wielorodzinnego lub wielorodzinnego szeregowego.</w:t>
      </w:r>
    </w:p>
    <w:p w:rsidR="006101E2" w:rsidRPr="006101E2" w:rsidRDefault="006101E2" w:rsidP="006101E2">
      <w:pPr>
        <w:spacing w:before="120" w:after="120" w:line="360" w:lineRule="auto"/>
        <w:ind w:left="357"/>
        <w:jc w:val="both"/>
        <w:rPr>
          <w:rFonts w:ascii="Arial" w:hAnsi="Arial" w:cs="Arial"/>
        </w:rPr>
      </w:pPr>
      <w:r w:rsidRPr="006101E2">
        <w:rPr>
          <w:rFonts w:ascii="Arial" w:hAnsi="Arial" w:cs="Arial"/>
        </w:rPr>
        <w:t xml:space="preserve">W przypadku realizacji projektu w technologii bezprzewodowej za </w:t>
      </w:r>
      <w:r w:rsidR="0036761B" w:rsidRPr="006101E2">
        <w:rPr>
          <w:rFonts w:ascii="Arial" w:hAnsi="Arial" w:cs="Arial"/>
        </w:rPr>
        <w:t>niekwalifikowalne</w:t>
      </w:r>
      <w:r w:rsidRPr="006101E2">
        <w:rPr>
          <w:rFonts w:ascii="Arial" w:hAnsi="Arial" w:cs="Arial"/>
        </w:rPr>
        <w:t xml:space="preserve"> uznaje się wydatki dotyczące elementów infrastruktury i sieci telekomunikacyjnej instalowane w budynku stanowiącym lokalizację potencjalnego użytkownika końcowego.</w:t>
      </w:r>
    </w:p>
    <w:p w:rsidR="006101E2" w:rsidRPr="006101E2" w:rsidRDefault="006101E2" w:rsidP="006101E2">
      <w:pPr>
        <w:spacing w:before="120" w:after="120" w:line="360" w:lineRule="auto"/>
        <w:ind w:left="426"/>
        <w:jc w:val="both"/>
        <w:rPr>
          <w:rFonts w:ascii="Arial" w:hAnsi="Arial" w:cs="Arial"/>
        </w:rPr>
      </w:pPr>
      <w:r w:rsidRPr="006101E2">
        <w:rPr>
          <w:rFonts w:ascii="Arial" w:hAnsi="Arial" w:cs="Arial"/>
        </w:rPr>
        <w:t>W zakresie wydatków ponoszonych na realizację sieci do budynków użyteczności publicznej (w zakresie i na zasadach określonych w dokumentacji konkursowej) za niekwalifikowalne uznaje się wydatki na realizację instalacji wewnątrz budynku. Dotyczy to odcinka od punktu połączenia instalacji telekomunikacyjnej z publiczną siecią telekomunikacyjną (punkt styku, o którym mowa w § 192f rozporządzenia Ministra Infrastruktury z dnia 12 kwietnia 2002 r. w sprawie warunków technicznych jakim powinny odpowiadać budynki i ich usytuowanie. Co do zasady rozporządzenie jest stosowane wyłącznie do nowych budynków, jednakże w przypadku projektów współfinansowanych z POPC, wskazana definicja będzie stosowana odpowiednio, również do budynków istniejących) do zakończenia instalacji w poszczególnych lokalach użytkowych.</w:t>
      </w:r>
    </w:p>
    <w:p w:rsid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t>Wszelkie wydatki dotyczące aktywnych elementów sieci, w szczególności urządzeń telekomunikacyjnych, w tym urządzeń radiowych instalowanych w telekomunikacyjnej sieci szkieletowej i dystrybucyjnej.</w:t>
      </w:r>
    </w:p>
    <w:p w:rsidR="004B1759" w:rsidRPr="000D79AE" w:rsidRDefault="004B1759" w:rsidP="00137BC9">
      <w:pPr>
        <w:pStyle w:val="Akapitzlist"/>
        <w:numPr>
          <w:ilvl w:val="0"/>
          <w:numId w:val="30"/>
        </w:numPr>
        <w:spacing w:after="0" w:line="360" w:lineRule="auto"/>
        <w:jc w:val="both"/>
        <w:rPr>
          <w:rFonts w:ascii="Arial" w:hAnsi="Arial" w:cs="Arial"/>
        </w:rPr>
      </w:pPr>
      <w:r>
        <w:rPr>
          <w:rFonts w:ascii="Arial" w:hAnsi="Arial" w:cs="Arial"/>
        </w:rPr>
        <w:t>Wszelkie w</w:t>
      </w:r>
      <w:r w:rsidRPr="007E469E">
        <w:rPr>
          <w:rFonts w:ascii="Arial" w:hAnsi="Arial" w:cs="Arial"/>
        </w:rPr>
        <w:t xml:space="preserve">ydatki związane z </w:t>
      </w:r>
      <w:r>
        <w:rPr>
          <w:rFonts w:ascii="Arial" w:hAnsi="Arial" w:cs="Arial"/>
        </w:rPr>
        <w:t>działaniami informacyjno-promocyjnymi</w:t>
      </w:r>
      <w:r w:rsidR="006A3152">
        <w:rPr>
          <w:rFonts w:ascii="Arial" w:hAnsi="Arial" w:cs="Arial"/>
        </w:rPr>
        <w:t xml:space="preserve"> w ramach projekt</w:t>
      </w:r>
      <w:r w:rsidR="009C2A2B">
        <w:rPr>
          <w:rFonts w:ascii="Arial" w:hAnsi="Arial" w:cs="Arial"/>
        </w:rPr>
        <w:t xml:space="preserve">ów w </w:t>
      </w:r>
      <w:r w:rsidR="009C2A2B" w:rsidRPr="006101E2">
        <w:rPr>
          <w:rFonts w:ascii="Arial" w:eastAsia="MS Mincho" w:hAnsi="Arial" w:cs="Arial"/>
          <w:lang w:eastAsia="ja-JP"/>
        </w:rPr>
        <w:t>I osi priorytetowej POPC</w:t>
      </w:r>
      <w:r w:rsidR="009C2A2B">
        <w:rPr>
          <w:rFonts w:ascii="Arial" w:hAnsi="Arial" w:cs="Arial"/>
        </w:rPr>
        <w:t xml:space="preserve">. </w:t>
      </w:r>
      <w:r w:rsidR="008F073C" w:rsidRPr="008F073C">
        <w:rPr>
          <w:rFonts w:ascii="Arial" w:hAnsi="Arial" w:cs="Arial"/>
        </w:rPr>
        <w:t xml:space="preserve">Beneficjent jest </w:t>
      </w:r>
      <w:r w:rsidR="009C2A2B">
        <w:rPr>
          <w:rFonts w:ascii="Arial" w:hAnsi="Arial" w:cs="Arial"/>
        </w:rPr>
        <w:t xml:space="preserve">jednak </w:t>
      </w:r>
      <w:r w:rsidR="008F073C" w:rsidRPr="008F073C">
        <w:rPr>
          <w:rFonts w:ascii="Arial" w:hAnsi="Arial" w:cs="Arial"/>
        </w:rPr>
        <w:t xml:space="preserve">zobowiązany do stosowania </w:t>
      </w:r>
      <w:r w:rsidR="009C2A2B">
        <w:rPr>
          <w:rFonts w:ascii="Arial" w:hAnsi="Arial" w:cs="Arial"/>
        </w:rPr>
        <w:t xml:space="preserve">obowiązków określonych w </w:t>
      </w:r>
      <w:r w:rsidR="008F073C" w:rsidRPr="008F073C">
        <w:rPr>
          <w:rFonts w:ascii="Arial" w:hAnsi="Arial" w:cs="Arial"/>
        </w:rPr>
        <w:t>punk</w:t>
      </w:r>
      <w:r w:rsidR="009C2A2B">
        <w:rPr>
          <w:rFonts w:ascii="Arial" w:hAnsi="Arial" w:cs="Arial"/>
        </w:rPr>
        <w:t>cie</w:t>
      </w:r>
      <w:r w:rsidR="008F073C" w:rsidRPr="008F073C">
        <w:rPr>
          <w:rFonts w:ascii="Arial" w:hAnsi="Arial" w:cs="Arial"/>
        </w:rPr>
        <w:t xml:space="preserve"> 2.2. załącznika XII do Rozporządzenia Rady nr</w:t>
      </w:r>
      <w:r w:rsidR="009C2A2B">
        <w:rPr>
          <w:rFonts w:ascii="Arial" w:hAnsi="Arial" w:cs="Arial"/>
        </w:rPr>
        <w:t> </w:t>
      </w:r>
      <w:r w:rsidR="008F073C" w:rsidRPr="008F073C">
        <w:rPr>
          <w:rFonts w:ascii="Arial" w:hAnsi="Arial" w:cs="Arial"/>
        </w:rPr>
        <w:t>1303/2013.</w:t>
      </w:r>
    </w:p>
    <w:p w:rsidR="006101E2" w:rsidRP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t>Wszelkie wydatki dotyczące realizacji infrastruktury i sieci w zakresie wykraczającym poza minimalne wymagania określone w „</w:t>
      </w:r>
      <w:r w:rsidR="003B0435">
        <w:rPr>
          <w:rFonts w:ascii="Arial" w:hAnsi="Arial" w:cs="Arial"/>
        </w:rPr>
        <w:t xml:space="preserve">Wymaganiach dla sieci NGA </w:t>
      </w:r>
      <w:r w:rsidR="00893E1A">
        <w:rPr>
          <w:rFonts w:ascii="Arial" w:hAnsi="Arial" w:cs="Arial"/>
        </w:rPr>
        <w:t xml:space="preserve">- </w:t>
      </w:r>
      <w:r w:rsidR="003B0435">
        <w:rPr>
          <w:rFonts w:ascii="Arial" w:hAnsi="Arial" w:cs="Arial"/>
        </w:rPr>
        <w:t>POPC</w:t>
      </w:r>
      <w:r w:rsidR="00893E1A">
        <w:rPr>
          <w:rFonts w:ascii="Arial" w:hAnsi="Arial" w:cs="Arial"/>
        </w:rPr>
        <w:t>”</w:t>
      </w:r>
      <w:r w:rsidRPr="006101E2">
        <w:rPr>
          <w:rFonts w:ascii="Arial" w:hAnsi="Arial" w:cs="Arial"/>
        </w:rPr>
        <w:t xml:space="preserve"> stanowiących załączniki do dokumentacji konkursowej.</w:t>
      </w:r>
    </w:p>
    <w:p w:rsidR="006101E2" w:rsidRP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t>Wszelkie wydatki związane ze świadczeniem usług detalicznych i hurtowych, w tym zapewnieniem obsługi klientów, rozliczeń z nimi, przedstawienia ofert i cenników.</w:t>
      </w:r>
    </w:p>
    <w:p w:rsidR="006101E2" w:rsidRP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t xml:space="preserve">Wszelkie wydatki dotyczące realizacji infrastruktury i sieci w zakresie w jakim ich realizacja wynika z zobowiązań lub obowiązków nałożonych przez podmioty publiczne (innych niż wynikające z realizacji umowy o dofinasowanie) w szczególności obowiązki  lub zobowiązania, o których mowa w art. 43a oraz art. 115 ust. 1 pkt 9 </w:t>
      </w:r>
      <w:r w:rsidRPr="00734B08">
        <w:rPr>
          <w:rFonts w:ascii="Arial" w:hAnsi="Arial" w:cs="Arial"/>
          <w:i/>
        </w:rPr>
        <w:t>Praw</w:t>
      </w:r>
      <w:r w:rsidR="00734B08" w:rsidRPr="00734B08">
        <w:rPr>
          <w:rFonts w:ascii="Arial" w:hAnsi="Arial" w:cs="Arial"/>
          <w:i/>
        </w:rPr>
        <w:t>a</w:t>
      </w:r>
      <w:r w:rsidRPr="00734B08">
        <w:rPr>
          <w:rFonts w:ascii="Arial" w:hAnsi="Arial" w:cs="Arial"/>
          <w:i/>
        </w:rPr>
        <w:t xml:space="preserve"> telekomunikacyjne</w:t>
      </w:r>
      <w:r w:rsidR="00734B08" w:rsidRPr="00734B08">
        <w:rPr>
          <w:rFonts w:ascii="Arial" w:hAnsi="Arial" w:cs="Arial"/>
          <w:i/>
        </w:rPr>
        <w:t>go.</w:t>
      </w:r>
      <w:r w:rsidR="00297AC7">
        <w:rPr>
          <w:rFonts w:ascii="Arial" w:hAnsi="Arial" w:cs="Arial"/>
        </w:rPr>
        <w:t xml:space="preserve"> </w:t>
      </w:r>
    </w:p>
    <w:p w:rsid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lastRenderedPageBreak/>
        <w:t>Koszty pośrednie.</w:t>
      </w:r>
    </w:p>
    <w:p w:rsidR="00A27714" w:rsidRPr="006101E2" w:rsidRDefault="00A27714" w:rsidP="00137BC9">
      <w:pPr>
        <w:numPr>
          <w:ilvl w:val="0"/>
          <w:numId w:val="30"/>
        </w:numPr>
        <w:spacing w:before="120" w:after="120" w:line="360" w:lineRule="auto"/>
        <w:ind w:left="426"/>
        <w:jc w:val="both"/>
        <w:rPr>
          <w:rFonts w:ascii="Arial" w:hAnsi="Arial" w:cs="Arial"/>
        </w:rPr>
      </w:pPr>
      <w:r>
        <w:rPr>
          <w:rFonts w:ascii="Arial" w:hAnsi="Arial" w:cs="Arial"/>
        </w:rPr>
        <w:t>Wkład niepieniężny</w:t>
      </w:r>
    </w:p>
    <w:p w:rsidR="006101E2" w:rsidRPr="006101E2" w:rsidRDefault="006101E2" w:rsidP="00137BC9">
      <w:pPr>
        <w:numPr>
          <w:ilvl w:val="0"/>
          <w:numId w:val="30"/>
        </w:numPr>
        <w:spacing w:before="120" w:after="120" w:line="360" w:lineRule="auto"/>
        <w:ind w:left="426"/>
        <w:jc w:val="both"/>
        <w:rPr>
          <w:rFonts w:ascii="Arial" w:hAnsi="Arial" w:cs="Arial"/>
        </w:rPr>
      </w:pPr>
      <w:r w:rsidRPr="006101E2">
        <w:rPr>
          <w:rFonts w:ascii="Arial" w:hAnsi="Arial" w:cs="Arial"/>
        </w:rPr>
        <w:t>Inne wydatki niewymienione w katalogu wydatków kwalifikowalnych.</w:t>
      </w:r>
    </w:p>
    <w:p w:rsidR="006101E2" w:rsidRPr="000C2C01" w:rsidRDefault="006101E2" w:rsidP="00602DF9">
      <w:pPr>
        <w:keepNext/>
        <w:keepLines/>
        <w:numPr>
          <w:ilvl w:val="2"/>
          <w:numId w:val="1"/>
        </w:numPr>
        <w:spacing w:before="240" w:after="60" w:line="360" w:lineRule="auto"/>
        <w:jc w:val="center"/>
        <w:outlineLvl w:val="2"/>
        <w:rPr>
          <w:rFonts w:ascii="Arial" w:eastAsiaTheme="majorEastAsia" w:hAnsi="Arial" w:cs="Arial"/>
          <w:bCs/>
          <w:i/>
          <w:sz w:val="24"/>
          <w:szCs w:val="24"/>
        </w:rPr>
      </w:pPr>
      <w:bookmarkStart w:id="124" w:name="_Toc508630120"/>
      <w:r w:rsidRPr="000C2C01">
        <w:rPr>
          <w:rFonts w:ascii="Arial" w:eastAsiaTheme="majorEastAsia" w:hAnsi="Arial" w:cs="Arial"/>
          <w:bCs/>
          <w:i/>
          <w:sz w:val="24"/>
          <w:szCs w:val="24"/>
        </w:rPr>
        <w:t>Warunki oraz okres kwalifikowania wydatków w projektach podlegających zasadom pomocy publicznej</w:t>
      </w:r>
      <w:bookmarkEnd w:id="124"/>
    </w:p>
    <w:p w:rsidR="006101E2" w:rsidRPr="000C2C01" w:rsidRDefault="006101E2" w:rsidP="00137BC9">
      <w:pPr>
        <w:pStyle w:val="Akapitzlist"/>
        <w:numPr>
          <w:ilvl w:val="0"/>
          <w:numId w:val="53"/>
        </w:numPr>
        <w:spacing w:before="120" w:after="120" w:line="360" w:lineRule="auto"/>
        <w:jc w:val="both"/>
        <w:rPr>
          <w:rFonts w:ascii="Arial" w:hAnsi="Arial" w:cs="Arial"/>
        </w:rPr>
      </w:pPr>
      <w:r w:rsidRPr="000C2C01">
        <w:rPr>
          <w:rFonts w:ascii="Arial" w:hAnsi="Arial" w:cs="Arial"/>
        </w:rPr>
        <w:t>Wszystkie projekty w ramach I osi priorytetowej POPC podlegają zasadom pomocy publicznej określonych w </w:t>
      </w:r>
      <w:r w:rsidR="000C2C01">
        <w:rPr>
          <w:rFonts w:ascii="Arial" w:hAnsi="Arial" w:cs="Arial"/>
        </w:rPr>
        <w:t xml:space="preserve"> przepisach rozdziału I </w:t>
      </w:r>
      <w:proofErr w:type="spellStart"/>
      <w:r w:rsidR="000C2C01">
        <w:rPr>
          <w:rFonts w:ascii="Arial" w:hAnsi="Arial" w:cs="Arial"/>
        </w:rPr>
        <w:t>i</w:t>
      </w:r>
      <w:proofErr w:type="spellEnd"/>
      <w:r w:rsidR="000C2C01">
        <w:rPr>
          <w:rFonts w:ascii="Arial" w:hAnsi="Arial" w:cs="Arial"/>
        </w:rPr>
        <w:t xml:space="preserve"> </w:t>
      </w:r>
      <w:r w:rsidRPr="000C2C01">
        <w:rPr>
          <w:rFonts w:ascii="Arial" w:hAnsi="Arial" w:cs="Arial"/>
        </w:rPr>
        <w:t xml:space="preserve">art. 52 GBER oraz opracowanego na </w:t>
      </w:r>
      <w:r w:rsidR="000C2C01">
        <w:rPr>
          <w:rFonts w:ascii="Arial" w:hAnsi="Arial" w:cs="Arial"/>
        </w:rPr>
        <w:t xml:space="preserve">ich </w:t>
      </w:r>
      <w:r w:rsidRPr="000C2C01">
        <w:rPr>
          <w:rFonts w:ascii="Arial" w:hAnsi="Arial" w:cs="Arial"/>
        </w:rPr>
        <w:t xml:space="preserve">podstawie rozporządzenia pomocowego dla I osi. </w:t>
      </w:r>
    </w:p>
    <w:p w:rsidR="006101E2" w:rsidRPr="000C2C01" w:rsidRDefault="001C6FB3" w:rsidP="00137BC9">
      <w:pPr>
        <w:pStyle w:val="Akapitzlist"/>
        <w:numPr>
          <w:ilvl w:val="0"/>
          <w:numId w:val="53"/>
        </w:numPr>
        <w:spacing w:before="120" w:after="120" w:line="360" w:lineRule="auto"/>
        <w:jc w:val="both"/>
        <w:rPr>
          <w:rFonts w:ascii="Arial" w:hAnsi="Arial" w:cs="Arial"/>
        </w:rPr>
      </w:pPr>
      <w:r w:rsidRPr="000C2C01">
        <w:rPr>
          <w:rFonts w:ascii="Arial" w:hAnsi="Arial" w:cs="Arial"/>
        </w:rPr>
        <w:t>W</w:t>
      </w:r>
      <w:r w:rsidR="006101E2" w:rsidRPr="000C2C01">
        <w:rPr>
          <w:rFonts w:ascii="Arial" w:hAnsi="Arial" w:cs="Arial"/>
        </w:rPr>
        <w:t xml:space="preserve">ydatki mogą </w:t>
      </w:r>
      <w:r w:rsidRPr="000C2C01">
        <w:rPr>
          <w:rFonts w:ascii="Arial" w:hAnsi="Arial" w:cs="Arial"/>
        </w:rPr>
        <w:t xml:space="preserve">jednocześnie </w:t>
      </w:r>
      <w:r w:rsidR="006101E2" w:rsidRPr="000C2C01">
        <w:rPr>
          <w:rFonts w:ascii="Arial" w:hAnsi="Arial" w:cs="Arial"/>
        </w:rPr>
        <w:t xml:space="preserve">podlegać zasadom pomocy </w:t>
      </w:r>
      <w:r w:rsidR="006101E2" w:rsidRPr="000C2C01">
        <w:rPr>
          <w:rFonts w:ascii="Arial" w:hAnsi="Arial" w:cs="Arial"/>
          <w:i/>
        </w:rPr>
        <w:t xml:space="preserve">de </w:t>
      </w:r>
      <w:proofErr w:type="spellStart"/>
      <w:r w:rsidR="006101E2" w:rsidRPr="000C2C01">
        <w:rPr>
          <w:rFonts w:ascii="Arial" w:hAnsi="Arial" w:cs="Arial"/>
          <w:i/>
        </w:rPr>
        <w:t>minimis</w:t>
      </w:r>
      <w:proofErr w:type="spellEnd"/>
      <w:r w:rsidR="006101E2" w:rsidRPr="000C2C01">
        <w:rPr>
          <w:rFonts w:ascii="Arial" w:hAnsi="Arial" w:cs="Arial"/>
        </w:rPr>
        <w:t xml:space="preserve"> określonej w rozporządzeniu Komisji (UE) nr 1407/2013 w odniesieniu do wskazanych w </w:t>
      </w:r>
      <w:r w:rsidR="001823B0" w:rsidRPr="000C19C0">
        <w:rPr>
          <w:rFonts w:ascii="Arial" w:hAnsi="Arial" w:cs="Arial"/>
          <w:i/>
        </w:rPr>
        <w:t>Katalogu</w:t>
      </w:r>
      <w:r w:rsidR="001823B0" w:rsidRPr="000C2C01">
        <w:rPr>
          <w:rFonts w:ascii="Arial" w:hAnsi="Arial" w:cs="Arial"/>
        </w:rPr>
        <w:t xml:space="preserve"> </w:t>
      </w:r>
      <w:r w:rsidR="006101E2" w:rsidRPr="000C2C01">
        <w:rPr>
          <w:rFonts w:ascii="Arial" w:hAnsi="Arial" w:cs="Arial"/>
        </w:rPr>
        <w:t>wydatków.</w:t>
      </w:r>
    </w:p>
    <w:p w:rsidR="006101E2" w:rsidRPr="000C2C01" w:rsidRDefault="006101E2" w:rsidP="00137BC9">
      <w:pPr>
        <w:pStyle w:val="Akapitzlist"/>
        <w:numPr>
          <w:ilvl w:val="0"/>
          <w:numId w:val="53"/>
        </w:numPr>
        <w:spacing w:before="120" w:after="120" w:line="360" w:lineRule="auto"/>
        <w:jc w:val="both"/>
        <w:rPr>
          <w:rFonts w:ascii="Arial" w:eastAsiaTheme="majorEastAsia" w:hAnsi="Arial" w:cs="Arial"/>
          <w:b/>
          <w:bCs/>
          <w:sz w:val="24"/>
          <w:szCs w:val="24"/>
        </w:rPr>
      </w:pPr>
      <w:r w:rsidRPr="000C2C01">
        <w:rPr>
          <w:rFonts w:ascii="Arial" w:hAnsi="Arial" w:cs="Arial"/>
        </w:rPr>
        <w:t>Wszystkie główne kategorie wydatków określone w niniejszym rozdziale, odzwierciedlają wprost kategorie wydatków przewidziane w rozporządzeniu pomocowym dla I osi oraz je uszczegóławiają, nie przewidując nowych kategorii wydatków.</w:t>
      </w:r>
    </w:p>
    <w:p w:rsidR="00DC1407" w:rsidRDefault="00DC1407" w:rsidP="009C6AED">
      <w:pPr>
        <w:pStyle w:val="Akapitzlist"/>
        <w:spacing w:before="120" w:after="120" w:line="360" w:lineRule="auto"/>
        <w:ind w:left="360"/>
        <w:jc w:val="both"/>
        <w:rPr>
          <w:rFonts w:ascii="Arial" w:hAnsi="Arial" w:cs="Arial"/>
        </w:rPr>
      </w:pPr>
    </w:p>
    <w:p w:rsidR="00A77C3B" w:rsidRDefault="00A77C3B" w:rsidP="009C6AED">
      <w:pPr>
        <w:pStyle w:val="Akapitzlist"/>
        <w:spacing w:before="120" w:after="120" w:line="360" w:lineRule="auto"/>
        <w:ind w:left="360"/>
        <w:jc w:val="both"/>
        <w:rPr>
          <w:rFonts w:ascii="Arial" w:hAnsi="Arial" w:cs="Arial"/>
        </w:rPr>
      </w:pPr>
    </w:p>
    <w:p w:rsidR="00A77C3B" w:rsidRDefault="00A77C3B" w:rsidP="009C6AED">
      <w:pPr>
        <w:pStyle w:val="Akapitzlist"/>
        <w:spacing w:before="120" w:after="120" w:line="360" w:lineRule="auto"/>
        <w:ind w:left="360"/>
        <w:jc w:val="both"/>
        <w:rPr>
          <w:rFonts w:ascii="Arial" w:hAnsi="Arial" w:cs="Arial"/>
        </w:rPr>
      </w:pPr>
    </w:p>
    <w:p w:rsidR="00A77C3B" w:rsidRDefault="00A77C3B" w:rsidP="009C6AED">
      <w:pPr>
        <w:pStyle w:val="Akapitzlist"/>
        <w:spacing w:before="120" w:after="120" w:line="360" w:lineRule="auto"/>
        <w:ind w:left="360"/>
        <w:jc w:val="both"/>
        <w:rPr>
          <w:rFonts w:ascii="Arial" w:hAnsi="Arial" w:cs="Arial"/>
        </w:rPr>
      </w:pPr>
    </w:p>
    <w:p w:rsidR="00A77C3B" w:rsidRDefault="00A77C3B" w:rsidP="009C6AED">
      <w:pPr>
        <w:pStyle w:val="Akapitzlist"/>
        <w:spacing w:before="120" w:after="120" w:line="360" w:lineRule="auto"/>
        <w:ind w:left="360"/>
        <w:jc w:val="both"/>
        <w:rPr>
          <w:rFonts w:ascii="Arial" w:hAnsi="Arial" w:cs="Arial"/>
        </w:rPr>
      </w:pPr>
    </w:p>
    <w:p w:rsidR="00A77C3B" w:rsidRDefault="00A77C3B" w:rsidP="009C6AED">
      <w:pPr>
        <w:pStyle w:val="Akapitzlist"/>
        <w:spacing w:before="120" w:after="120" w:line="360" w:lineRule="auto"/>
        <w:ind w:left="360"/>
        <w:jc w:val="both"/>
        <w:rPr>
          <w:rFonts w:ascii="Arial" w:hAnsi="Arial" w:cs="Arial"/>
        </w:rPr>
      </w:pPr>
    </w:p>
    <w:p w:rsidR="00A77C3B" w:rsidRDefault="00A77C3B" w:rsidP="009C6AED">
      <w:pPr>
        <w:pStyle w:val="Akapitzlist"/>
        <w:spacing w:before="120" w:after="120" w:line="360" w:lineRule="auto"/>
        <w:ind w:left="360"/>
        <w:jc w:val="both"/>
        <w:rPr>
          <w:rFonts w:ascii="Arial" w:hAnsi="Arial" w:cs="Arial"/>
        </w:rPr>
      </w:pPr>
    </w:p>
    <w:p w:rsidR="00A77C3B" w:rsidRDefault="00A77C3B" w:rsidP="009C6AED">
      <w:pPr>
        <w:pStyle w:val="Akapitzlist"/>
        <w:spacing w:before="120" w:after="120" w:line="360" w:lineRule="auto"/>
        <w:ind w:left="360"/>
        <w:jc w:val="both"/>
        <w:rPr>
          <w:rFonts w:ascii="Arial" w:hAnsi="Arial" w:cs="Arial"/>
        </w:rPr>
      </w:pPr>
    </w:p>
    <w:p w:rsidR="00A03923" w:rsidRDefault="00A03923" w:rsidP="00A77C3B">
      <w:pPr>
        <w:pStyle w:val="Nagwek2"/>
        <w:numPr>
          <w:ilvl w:val="1"/>
          <w:numId w:val="1"/>
        </w:numPr>
        <w:spacing w:before="240" w:after="60" w:line="360" w:lineRule="auto"/>
        <w:jc w:val="center"/>
        <w:rPr>
          <w:rFonts w:ascii="Arial" w:hAnsi="Arial" w:cs="Arial"/>
          <w:i/>
          <w:color w:val="auto"/>
          <w:sz w:val="24"/>
          <w:szCs w:val="24"/>
        </w:rPr>
      </w:pPr>
      <w:r>
        <w:rPr>
          <w:rFonts w:ascii="Arial" w:hAnsi="Arial" w:cs="Arial"/>
          <w:i/>
          <w:color w:val="auto"/>
          <w:sz w:val="24"/>
          <w:szCs w:val="24"/>
        </w:rPr>
        <w:br w:type="page"/>
      </w:r>
    </w:p>
    <w:p w:rsidR="00DC1407" w:rsidRPr="00A77C3B" w:rsidRDefault="00DC1407" w:rsidP="00A77C3B">
      <w:pPr>
        <w:pStyle w:val="Nagwek2"/>
        <w:numPr>
          <w:ilvl w:val="1"/>
          <w:numId w:val="1"/>
        </w:numPr>
        <w:spacing w:before="240" w:after="60" w:line="360" w:lineRule="auto"/>
        <w:jc w:val="center"/>
        <w:rPr>
          <w:rFonts w:ascii="Arial" w:hAnsi="Arial" w:cs="Arial"/>
          <w:i/>
          <w:color w:val="auto"/>
          <w:sz w:val="24"/>
          <w:szCs w:val="24"/>
        </w:rPr>
      </w:pPr>
      <w:bookmarkStart w:id="125" w:name="_Toc508630121"/>
      <w:r w:rsidRPr="00C632DB">
        <w:rPr>
          <w:rFonts w:ascii="Arial" w:hAnsi="Arial" w:cs="Arial"/>
          <w:i/>
          <w:color w:val="auto"/>
          <w:sz w:val="24"/>
          <w:szCs w:val="24"/>
        </w:rPr>
        <w:lastRenderedPageBreak/>
        <w:t xml:space="preserve">Katalog wydatków kwalifikowalnych w ramach Działania 1.1 </w:t>
      </w:r>
      <w:r>
        <w:rPr>
          <w:rFonts w:ascii="Arial" w:hAnsi="Arial" w:cs="Arial"/>
          <w:i/>
          <w:color w:val="auto"/>
          <w:sz w:val="24"/>
          <w:szCs w:val="24"/>
        </w:rPr>
        <w:t>„</w:t>
      </w:r>
      <w:r w:rsidRPr="00C632DB">
        <w:rPr>
          <w:rFonts w:ascii="Arial" w:hAnsi="Arial" w:cs="Arial"/>
          <w:i/>
          <w:color w:val="auto"/>
          <w:sz w:val="24"/>
          <w:szCs w:val="24"/>
        </w:rPr>
        <w:t xml:space="preserve">Wyeliminowanie terytorialnych różnic w możliwości dostępu do szerokopasmowego </w:t>
      </w:r>
      <w:proofErr w:type="spellStart"/>
      <w:r w:rsidRPr="00C632DB">
        <w:rPr>
          <w:rFonts w:ascii="Arial" w:hAnsi="Arial" w:cs="Arial"/>
          <w:i/>
          <w:color w:val="auto"/>
          <w:sz w:val="24"/>
          <w:szCs w:val="24"/>
        </w:rPr>
        <w:t>internetu</w:t>
      </w:r>
      <w:proofErr w:type="spellEnd"/>
      <w:r w:rsidRPr="00C632DB">
        <w:rPr>
          <w:rFonts w:ascii="Arial" w:hAnsi="Arial" w:cs="Arial"/>
          <w:i/>
          <w:color w:val="auto"/>
          <w:sz w:val="24"/>
          <w:szCs w:val="24"/>
        </w:rPr>
        <w:t xml:space="preserve"> o wysokich przepustowościach</w:t>
      </w:r>
      <w:r>
        <w:rPr>
          <w:rFonts w:ascii="Arial" w:hAnsi="Arial" w:cs="Arial"/>
          <w:i/>
          <w:color w:val="auto"/>
          <w:sz w:val="24"/>
          <w:szCs w:val="24"/>
        </w:rPr>
        <w:t>”</w:t>
      </w:r>
      <w:r w:rsidRPr="00C632DB">
        <w:rPr>
          <w:rFonts w:ascii="Arial" w:hAnsi="Arial" w:cs="Arial"/>
          <w:i/>
          <w:color w:val="auto"/>
          <w:sz w:val="24"/>
          <w:szCs w:val="24"/>
        </w:rPr>
        <w:t xml:space="preserve"> dla nabor</w:t>
      </w:r>
      <w:r w:rsidR="009C4ADD">
        <w:rPr>
          <w:rFonts w:ascii="Arial" w:hAnsi="Arial" w:cs="Arial"/>
          <w:i/>
          <w:color w:val="auto"/>
          <w:sz w:val="24"/>
          <w:szCs w:val="24"/>
        </w:rPr>
        <w:t>ów</w:t>
      </w:r>
      <w:r>
        <w:rPr>
          <w:rFonts w:ascii="Arial" w:hAnsi="Arial" w:cs="Arial"/>
          <w:i/>
          <w:color w:val="auto"/>
          <w:sz w:val="24"/>
          <w:szCs w:val="24"/>
        </w:rPr>
        <w:t xml:space="preserve"> nr</w:t>
      </w:r>
      <w:r w:rsidRPr="00C632DB">
        <w:rPr>
          <w:rFonts w:ascii="Arial" w:hAnsi="Arial" w:cs="Arial"/>
          <w:i/>
          <w:color w:val="auto"/>
          <w:sz w:val="24"/>
          <w:szCs w:val="24"/>
        </w:rPr>
        <w:t xml:space="preserve"> </w:t>
      </w:r>
      <w:r>
        <w:rPr>
          <w:rFonts w:ascii="Arial" w:hAnsi="Arial" w:cs="Arial"/>
          <w:i/>
          <w:color w:val="auto"/>
          <w:sz w:val="24"/>
          <w:szCs w:val="24"/>
        </w:rPr>
        <w:t>POPC.01.01.00-IP.01-00-002/16</w:t>
      </w:r>
      <w:bookmarkEnd w:id="125"/>
      <w:r w:rsidR="00906D5B">
        <w:rPr>
          <w:rFonts w:ascii="Arial" w:hAnsi="Arial" w:cs="Arial"/>
          <w:i/>
          <w:color w:val="auto"/>
          <w:sz w:val="24"/>
          <w:szCs w:val="24"/>
        </w:rPr>
        <w:t xml:space="preserve"> </w:t>
      </w:r>
    </w:p>
    <w:p w:rsidR="00944E2A" w:rsidRPr="00C632DB" w:rsidRDefault="00C632DB" w:rsidP="00A77C3B">
      <w:pPr>
        <w:pStyle w:val="Nagwek2"/>
        <w:numPr>
          <w:ilvl w:val="2"/>
          <w:numId w:val="1"/>
        </w:numPr>
        <w:spacing w:before="240" w:after="60" w:line="360" w:lineRule="auto"/>
        <w:jc w:val="center"/>
        <w:rPr>
          <w:rFonts w:ascii="Arial" w:hAnsi="Arial" w:cs="Arial"/>
          <w:b w:val="0"/>
          <w:i/>
          <w:color w:val="auto"/>
          <w:sz w:val="24"/>
          <w:szCs w:val="24"/>
        </w:rPr>
      </w:pPr>
      <w:bookmarkStart w:id="126" w:name="_Toc508630122"/>
      <w:r>
        <w:rPr>
          <w:rFonts w:ascii="Arial" w:hAnsi="Arial" w:cs="Arial"/>
          <w:b w:val="0"/>
          <w:i/>
          <w:color w:val="auto"/>
          <w:sz w:val="24"/>
          <w:szCs w:val="24"/>
        </w:rPr>
        <w:t>W</w:t>
      </w:r>
      <w:r w:rsidR="0036568A" w:rsidRPr="00C632DB">
        <w:rPr>
          <w:rFonts w:ascii="Arial" w:hAnsi="Arial" w:cs="Arial"/>
          <w:b w:val="0"/>
          <w:i/>
          <w:color w:val="auto"/>
          <w:sz w:val="24"/>
          <w:szCs w:val="24"/>
        </w:rPr>
        <w:t>ydatki kwalifikowalne</w:t>
      </w:r>
      <w:bookmarkEnd w:id="126"/>
    </w:p>
    <w:p w:rsidR="0036568A" w:rsidRPr="0036568A" w:rsidRDefault="0036568A" w:rsidP="00C632DB">
      <w:pPr>
        <w:autoSpaceDE w:val="0"/>
        <w:autoSpaceDN w:val="0"/>
        <w:adjustRightInd w:val="0"/>
        <w:spacing w:before="120" w:after="120" w:line="360" w:lineRule="auto"/>
        <w:jc w:val="both"/>
        <w:rPr>
          <w:rFonts w:ascii="Arial" w:hAnsi="Arial" w:cs="Arial"/>
        </w:rPr>
      </w:pPr>
      <w:bookmarkStart w:id="127" w:name="_Toc429043907"/>
      <w:bookmarkEnd w:id="127"/>
      <w:r w:rsidRPr="0036568A">
        <w:rPr>
          <w:rFonts w:ascii="Arial" w:hAnsi="Arial" w:cs="Arial"/>
        </w:rPr>
        <w:t xml:space="preserve">Wydatki kwalifikowalne określone zostały w rozporządzeniu Ministra Administracji i Cyfryzacji z dnia 16 września 2015 r. </w:t>
      </w:r>
      <w:r w:rsidRPr="0036568A">
        <w:rPr>
          <w:rFonts w:ascii="Arial" w:hAnsi="Arial" w:cs="Arial"/>
          <w:i/>
        </w:rPr>
        <w:t>w sprawie udzielania pomocy na rozwój infrastruktury szerokopasmowej w ramach Programu Operacyjnego Polska Cyfrowa na lata 2014–2020</w:t>
      </w:r>
      <w:r w:rsidRPr="0036568A">
        <w:rPr>
          <w:rFonts w:ascii="Arial" w:hAnsi="Arial" w:cs="Arial"/>
        </w:rPr>
        <w:t xml:space="preserve"> (Dz. U. z 2015 r. poz. 1466</w:t>
      </w:r>
      <w:r w:rsidR="00037054">
        <w:rPr>
          <w:rFonts w:ascii="Arial" w:hAnsi="Arial" w:cs="Arial"/>
        </w:rPr>
        <w:t>, ze zm.</w:t>
      </w:r>
      <w:r w:rsidRPr="0036568A">
        <w:rPr>
          <w:rFonts w:ascii="Arial" w:hAnsi="Arial" w:cs="Arial"/>
        </w:rPr>
        <w:t>), dalej jako „rozporządzenie pomocowe dla I osi”. Niniejsz</w:t>
      </w:r>
      <w:r w:rsidR="00EE7DEE">
        <w:rPr>
          <w:rFonts w:ascii="Arial" w:hAnsi="Arial" w:cs="Arial"/>
        </w:rPr>
        <w:t>y</w:t>
      </w:r>
      <w:r w:rsidRPr="0036568A">
        <w:rPr>
          <w:rFonts w:ascii="Arial" w:hAnsi="Arial" w:cs="Arial"/>
        </w:rPr>
        <w:t xml:space="preserve"> </w:t>
      </w:r>
      <w:r w:rsidR="00EE7DEE" w:rsidRPr="00EE7DEE">
        <w:rPr>
          <w:rFonts w:ascii="Arial" w:hAnsi="Arial" w:cs="Arial"/>
          <w:i/>
        </w:rPr>
        <w:t>Katalog</w:t>
      </w:r>
      <w:r w:rsidRPr="0036568A">
        <w:rPr>
          <w:rFonts w:ascii="Arial" w:hAnsi="Arial" w:cs="Arial"/>
        </w:rPr>
        <w:t xml:space="preserve"> powtarza główne kategorie wydatków wskazane w rozporządzeniu, określając jednocześnie szczegółowe zasady ich kwalifikowania z uwzględnieniem odpowiednich limitów i </w:t>
      </w:r>
      <w:proofErr w:type="spellStart"/>
      <w:r w:rsidRPr="0036568A">
        <w:rPr>
          <w:rFonts w:ascii="Arial" w:hAnsi="Arial" w:cs="Arial"/>
        </w:rPr>
        <w:t>wyłączeń</w:t>
      </w:r>
      <w:proofErr w:type="spellEnd"/>
      <w:r w:rsidRPr="0036568A">
        <w:rPr>
          <w:rFonts w:ascii="Arial" w:hAnsi="Arial" w:cs="Arial"/>
        </w:rPr>
        <w:t>.</w:t>
      </w:r>
    </w:p>
    <w:p w:rsidR="0036568A" w:rsidRDefault="0036568A" w:rsidP="0036568A">
      <w:pPr>
        <w:rPr>
          <w:rFonts w:ascii="Arial" w:hAnsi="Arial" w:cs="Arial"/>
        </w:rPr>
      </w:pPr>
      <w:r w:rsidRPr="0036568A">
        <w:rPr>
          <w:rFonts w:ascii="Arial" w:hAnsi="Arial" w:cs="Arial"/>
        </w:rPr>
        <w:t>Tabela 1. Klasyfikacja wydatków w osi I POPC.</w:t>
      </w:r>
    </w:p>
    <w:tbl>
      <w:tblPr>
        <w:tblStyle w:val="Tabela-Siatka"/>
        <w:tblW w:w="0" w:type="auto"/>
        <w:tblLook w:val="04A0" w:firstRow="1" w:lastRow="0" w:firstColumn="1" w:lastColumn="0" w:noHBand="0" w:noVBand="1"/>
      </w:tblPr>
      <w:tblGrid>
        <w:gridCol w:w="4606"/>
        <w:gridCol w:w="4606"/>
      </w:tblGrid>
      <w:tr w:rsidR="0036568A" w:rsidRPr="0036568A" w:rsidTr="00B7472D">
        <w:tc>
          <w:tcPr>
            <w:tcW w:w="4606" w:type="dxa"/>
            <w:shd w:val="clear" w:color="auto" w:fill="F2F2F2" w:themeFill="background1" w:themeFillShade="F2"/>
          </w:tcPr>
          <w:p w:rsidR="0036568A" w:rsidRPr="0036568A" w:rsidRDefault="0036568A" w:rsidP="0036568A">
            <w:pPr>
              <w:spacing w:after="200" w:line="276" w:lineRule="auto"/>
              <w:rPr>
                <w:rFonts w:ascii="Arial" w:hAnsi="Arial" w:cs="Arial"/>
              </w:rPr>
            </w:pPr>
            <w:r w:rsidRPr="0036568A">
              <w:rPr>
                <w:rFonts w:ascii="Arial" w:hAnsi="Arial" w:cs="Arial"/>
              </w:rPr>
              <w:t>Wydatki poniesione na pokrycie kosztów, o których mowa w art. 52 ust. 2 lit. a), b) i d) GBER oraz określone w rozporządzeniu pomocowym dla osi I jako:</w:t>
            </w:r>
          </w:p>
        </w:tc>
        <w:tc>
          <w:tcPr>
            <w:tcW w:w="4606" w:type="dxa"/>
            <w:shd w:val="clear" w:color="auto" w:fill="F2F2F2" w:themeFill="background1" w:themeFillShade="F2"/>
          </w:tcPr>
          <w:p w:rsidR="0036568A" w:rsidRPr="0036568A" w:rsidRDefault="0036568A" w:rsidP="0036568A">
            <w:pPr>
              <w:spacing w:after="200" w:line="276" w:lineRule="auto"/>
              <w:rPr>
                <w:rFonts w:ascii="Arial" w:hAnsi="Arial" w:cs="Arial"/>
              </w:rPr>
            </w:pPr>
            <w:r w:rsidRPr="0036568A">
              <w:rPr>
                <w:rFonts w:ascii="Arial" w:hAnsi="Arial" w:cs="Arial"/>
              </w:rPr>
              <w:t xml:space="preserve">Wydatki kwalifikujące się do wsparcia jako pomoc </w:t>
            </w:r>
            <w:r w:rsidRPr="0036568A">
              <w:rPr>
                <w:rFonts w:ascii="Arial" w:hAnsi="Arial" w:cs="Arial"/>
                <w:i/>
              </w:rPr>
              <w:t xml:space="preserve">de </w:t>
            </w:r>
            <w:proofErr w:type="spellStart"/>
            <w:r w:rsidRPr="0036568A">
              <w:rPr>
                <w:rFonts w:ascii="Arial" w:hAnsi="Arial" w:cs="Arial"/>
                <w:i/>
              </w:rPr>
              <w:t>minimis</w:t>
            </w:r>
            <w:proofErr w:type="spellEnd"/>
            <w:r w:rsidRPr="0036568A">
              <w:rPr>
                <w:rFonts w:ascii="Arial" w:hAnsi="Arial" w:cs="Arial"/>
              </w:rPr>
              <w:t xml:space="preserve"> udzielana na podstawie Rozporządzenia Komisji (UE) nr 1407/2013 oraz określone w rozporządzeniu pomocowym dla I osi jako:</w:t>
            </w:r>
          </w:p>
        </w:tc>
      </w:tr>
      <w:tr w:rsidR="0036568A" w:rsidRPr="0036568A" w:rsidTr="00B7472D">
        <w:trPr>
          <w:trHeight w:val="1931"/>
        </w:trPr>
        <w:tc>
          <w:tcPr>
            <w:tcW w:w="4606" w:type="dxa"/>
          </w:tcPr>
          <w:p w:rsidR="0036568A" w:rsidRPr="0036568A" w:rsidRDefault="0036568A" w:rsidP="00137BC9">
            <w:pPr>
              <w:numPr>
                <w:ilvl w:val="0"/>
                <w:numId w:val="54"/>
              </w:numPr>
              <w:spacing w:after="200" w:line="276" w:lineRule="auto"/>
              <w:rPr>
                <w:rFonts w:ascii="Arial" w:hAnsi="Arial" w:cs="Arial"/>
                <w:bCs/>
              </w:rPr>
            </w:pPr>
            <w:r w:rsidRPr="0036568A">
              <w:rPr>
                <w:rFonts w:ascii="Arial" w:hAnsi="Arial" w:cs="Arial"/>
                <w:bCs/>
              </w:rPr>
              <w:t>koszty inwestycyjne budowy pasywnej infrastruktury szerokopasmowej</w:t>
            </w:r>
            <w:r w:rsidRPr="00A77C3B">
              <w:rPr>
                <w:rFonts w:ascii="Arial" w:hAnsi="Arial" w:cs="Arial"/>
                <w:bCs/>
                <w:vertAlign w:val="superscript"/>
              </w:rPr>
              <w:footnoteReference w:id="18"/>
            </w:r>
            <w:r w:rsidRPr="0036568A">
              <w:rPr>
                <w:rFonts w:ascii="Arial" w:hAnsi="Arial" w:cs="Arial"/>
                <w:bCs/>
              </w:rPr>
              <w:t xml:space="preserve">, w tym robót i materiałów budowlanych oraz dostaw i instalacji elementów  infrastruktury szerokopasmowej; </w:t>
            </w:r>
          </w:p>
        </w:tc>
        <w:tc>
          <w:tcPr>
            <w:tcW w:w="4606" w:type="dxa"/>
          </w:tcPr>
          <w:p w:rsidR="0036568A" w:rsidRPr="0036568A" w:rsidRDefault="0036568A" w:rsidP="00137BC9">
            <w:pPr>
              <w:numPr>
                <w:ilvl w:val="0"/>
                <w:numId w:val="54"/>
              </w:numPr>
              <w:spacing w:after="200" w:line="276" w:lineRule="auto"/>
              <w:rPr>
                <w:rFonts w:ascii="Arial" w:hAnsi="Arial" w:cs="Arial"/>
              </w:rPr>
            </w:pPr>
            <w:r w:rsidRPr="0036568A">
              <w:rPr>
                <w:rFonts w:ascii="Arial" w:hAnsi="Arial" w:cs="Arial"/>
                <w:bCs/>
              </w:rPr>
              <w:t>opłaty publicznoprawne związane z przygotowaniem i realizacją projektu, w szczególności za wydanie decyzji, zgód, zezwoleń;</w:t>
            </w:r>
          </w:p>
        </w:tc>
      </w:tr>
      <w:tr w:rsidR="0036568A" w:rsidRPr="0036568A" w:rsidTr="00B7472D">
        <w:tc>
          <w:tcPr>
            <w:tcW w:w="4606" w:type="dxa"/>
          </w:tcPr>
          <w:p w:rsidR="0036568A" w:rsidRPr="0036568A" w:rsidRDefault="0036568A" w:rsidP="00137BC9">
            <w:pPr>
              <w:numPr>
                <w:ilvl w:val="0"/>
                <w:numId w:val="54"/>
              </w:numPr>
              <w:spacing w:after="200" w:line="276" w:lineRule="auto"/>
              <w:rPr>
                <w:rFonts w:ascii="Arial" w:hAnsi="Arial" w:cs="Arial"/>
                <w:bCs/>
              </w:rPr>
            </w:pPr>
            <w:r w:rsidRPr="0036568A">
              <w:rPr>
                <w:rFonts w:ascii="Arial" w:hAnsi="Arial" w:cs="Arial"/>
                <w:bCs/>
              </w:rPr>
              <w:t xml:space="preserve">koszty przygotowania dokumentacji niezbędnej do wykonania robót budowlanych, z wyłączeniem kosztów przygotowania dokumentacji powykonawczej w rozumieniu ustawy </w:t>
            </w:r>
            <w:r w:rsidRPr="0036568A">
              <w:rPr>
                <w:rFonts w:ascii="Arial" w:hAnsi="Arial" w:cs="Arial"/>
                <w:bCs/>
              </w:rPr>
              <w:lastRenderedPageBreak/>
              <w:t>- Prawo budowlane;</w:t>
            </w:r>
          </w:p>
        </w:tc>
        <w:tc>
          <w:tcPr>
            <w:tcW w:w="4606" w:type="dxa"/>
          </w:tcPr>
          <w:p w:rsidR="0036568A" w:rsidRPr="0036568A" w:rsidRDefault="0036568A" w:rsidP="00137BC9">
            <w:pPr>
              <w:numPr>
                <w:ilvl w:val="0"/>
                <w:numId w:val="55"/>
              </w:numPr>
              <w:spacing w:after="200" w:line="276" w:lineRule="auto"/>
              <w:rPr>
                <w:rFonts w:ascii="Arial" w:hAnsi="Arial" w:cs="Arial"/>
              </w:rPr>
            </w:pPr>
            <w:r w:rsidRPr="0036568A">
              <w:rPr>
                <w:rFonts w:ascii="Arial" w:hAnsi="Arial" w:cs="Arial"/>
                <w:bCs/>
              </w:rPr>
              <w:lastRenderedPageBreak/>
              <w:t>obsługa instrumentów zabezpieczających realizację umowy o dofinansowanie, określonych w umowie o dofinansowanie;</w:t>
            </w:r>
          </w:p>
        </w:tc>
      </w:tr>
      <w:tr w:rsidR="0036568A" w:rsidRPr="0036568A" w:rsidTr="00B7472D">
        <w:tc>
          <w:tcPr>
            <w:tcW w:w="4606" w:type="dxa"/>
          </w:tcPr>
          <w:p w:rsidR="0036568A" w:rsidRPr="0036568A" w:rsidRDefault="0036568A" w:rsidP="00137BC9">
            <w:pPr>
              <w:numPr>
                <w:ilvl w:val="0"/>
                <w:numId w:val="55"/>
              </w:numPr>
              <w:spacing w:after="200" w:line="276" w:lineRule="auto"/>
              <w:rPr>
                <w:rFonts w:ascii="Arial" w:hAnsi="Arial" w:cs="Arial"/>
                <w:bCs/>
              </w:rPr>
            </w:pPr>
            <w:r w:rsidRPr="0036568A">
              <w:rPr>
                <w:rFonts w:ascii="Arial" w:hAnsi="Arial" w:cs="Arial"/>
                <w:bCs/>
              </w:rPr>
              <w:lastRenderedPageBreak/>
              <w:t>koszty nabycia prawa do dysponowania nieruchomością związaną z realizacją projektu;</w:t>
            </w:r>
          </w:p>
        </w:tc>
        <w:tc>
          <w:tcPr>
            <w:tcW w:w="4606" w:type="dxa"/>
          </w:tcPr>
          <w:p w:rsidR="0036568A" w:rsidRPr="0036568A" w:rsidRDefault="0036568A" w:rsidP="00137BC9">
            <w:pPr>
              <w:numPr>
                <w:ilvl w:val="0"/>
                <w:numId w:val="56"/>
              </w:numPr>
              <w:spacing w:after="200" w:line="276" w:lineRule="auto"/>
              <w:rPr>
                <w:rFonts w:ascii="Arial" w:hAnsi="Arial" w:cs="Arial"/>
                <w:bCs/>
              </w:rPr>
            </w:pPr>
            <w:r w:rsidRPr="0036568A">
              <w:rPr>
                <w:rFonts w:ascii="Arial" w:hAnsi="Arial" w:cs="Arial"/>
              </w:rPr>
              <w:t xml:space="preserve">przygotowanie projektu w zakresie niezbędnym do złożenia wniosku o udzielenie wsparcia, nie wcześniej niż 3 miesiące przed dniem złożenia wniosku, do wysokości 20 tysięcy złotych; </w:t>
            </w:r>
            <w:r w:rsidRPr="0036568A">
              <w:rPr>
                <w:rFonts w:ascii="Arial" w:hAnsi="Arial" w:cs="Arial"/>
                <w:bCs/>
              </w:rPr>
              <w:t>wsparcie nie obejmuje wydatków zwi</w:t>
            </w:r>
            <w:r w:rsidRPr="0036568A">
              <w:rPr>
                <w:rFonts w:ascii="Arial" w:hAnsi="Arial" w:cs="Arial" w:hint="eastAsia"/>
                <w:bCs/>
              </w:rPr>
              <w:t>ą</w:t>
            </w:r>
            <w:r w:rsidRPr="0036568A">
              <w:rPr>
                <w:rFonts w:ascii="Arial" w:hAnsi="Arial" w:cs="Arial"/>
                <w:bCs/>
              </w:rPr>
              <w:t>zanych z wype</w:t>
            </w:r>
            <w:r w:rsidRPr="0036568A">
              <w:rPr>
                <w:rFonts w:ascii="Arial" w:hAnsi="Arial" w:cs="Arial" w:hint="eastAsia"/>
                <w:bCs/>
              </w:rPr>
              <w:t>ł</w:t>
            </w:r>
            <w:r w:rsidRPr="0036568A">
              <w:rPr>
                <w:rFonts w:ascii="Arial" w:hAnsi="Arial" w:cs="Arial"/>
                <w:bCs/>
              </w:rPr>
              <w:t>nieniem formularza wniosku;</w:t>
            </w:r>
          </w:p>
          <w:p w:rsidR="0036568A" w:rsidRPr="0036568A" w:rsidRDefault="0036568A" w:rsidP="0036568A">
            <w:pPr>
              <w:spacing w:after="200" w:line="276" w:lineRule="auto"/>
              <w:rPr>
                <w:rFonts w:ascii="Arial" w:hAnsi="Arial" w:cs="Arial"/>
              </w:rPr>
            </w:pPr>
          </w:p>
        </w:tc>
      </w:tr>
      <w:tr w:rsidR="0036568A" w:rsidRPr="0036568A" w:rsidTr="00B7472D">
        <w:tc>
          <w:tcPr>
            <w:tcW w:w="4606" w:type="dxa"/>
          </w:tcPr>
          <w:p w:rsidR="0036568A" w:rsidRPr="0036568A" w:rsidRDefault="0036568A" w:rsidP="00137BC9">
            <w:pPr>
              <w:numPr>
                <w:ilvl w:val="0"/>
                <w:numId w:val="56"/>
              </w:numPr>
              <w:spacing w:after="200" w:line="276" w:lineRule="auto"/>
              <w:rPr>
                <w:rFonts w:ascii="Arial" w:hAnsi="Arial" w:cs="Arial"/>
                <w:bCs/>
              </w:rPr>
            </w:pPr>
            <w:r w:rsidRPr="0036568A">
              <w:rPr>
                <w:rFonts w:ascii="Arial" w:hAnsi="Arial" w:cs="Arial"/>
                <w:bCs/>
              </w:rPr>
              <w:t>koszty dostawy, instalacji i uruchomienia urządzeń telekomunikacyjnych stanowiących infrastrukturę aktywną sieci NGA;</w:t>
            </w:r>
          </w:p>
        </w:tc>
        <w:tc>
          <w:tcPr>
            <w:tcW w:w="4606" w:type="dxa"/>
            <w:vMerge w:val="restart"/>
          </w:tcPr>
          <w:p w:rsidR="0036568A" w:rsidRPr="0036568A" w:rsidRDefault="0036568A" w:rsidP="0036568A">
            <w:pPr>
              <w:spacing w:after="200" w:line="276" w:lineRule="auto"/>
              <w:rPr>
                <w:rFonts w:ascii="Arial" w:hAnsi="Arial" w:cs="Arial"/>
              </w:rPr>
            </w:pPr>
            <w:r w:rsidRPr="0036568A">
              <w:rPr>
                <w:rFonts w:ascii="Arial" w:hAnsi="Arial" w:cs="Arial"/>
                <w:bCs/>
              </w:rPr>
              <w:t xml:space="preserve">4) przygotowanie dokumentacji powykonawczej w rozumieniu ustawy - Prawo budowlane. </w:t>
            </w:r>
          </w:p>
        </w:tc>
      </w:tr>
      <w:tr w:rsidR="0036568A" w:rsidRPr="0036568A" w:rsidTr="00B7472D">
        <w:tc>
          <w:tcPr>
            <w:tcW w:w="4606" w:type="dxa"/>
          </w:tcPr>
          <w:p w:rsidR="0036568A" w:rsidRPr="0036568A" w:rsidRDefault="0036568A" w:rsidP="00137BC9">
            <w:pPr>
              <w:numPr>
                <w:ilvl w:val="0"/>
                <w:numId w:val="56"/>
              </w:numPr>
              <w:spacing w:after="200" w:line="276" w:lineRule="auto"/>
              <w:rPr>
                <w:rFonts w:ascii="Arial" w:hAnsi="Arial" w:cs="Arial"/>
                <w:bCs/>
              </w:rPr>
            </w:pPr>
            <w:r w:rsidRPr="0036568A">
              <w:rPr>
                <w:rFonts w:ascii="Arial" w:hAnsi="Arial" w:cs="Arial"/>
                <w:bCs/>
              </w:rPr>
              <w:t>koszty najmu, dzierżawy lub leasingu pasywnej infrastruktury szerokopasmowej, a także elementów infrastruktury elektroenergetycznej, sanitarnej, wodociągowej oraz kanałów technologicznych;</w:t>
            </w:r>
          </w:p>
        </w:tc>
        <w:tc>
          <w:tcPr>
            <w:tcW w:w="4606" w:type="dxa"/>
            <w:vMerge/>
          </w:tcPr>
          <w:p w:rsidR="0036568A" w:rsidRPr="0036568A" w:rsidRDefault="0036568A" w:rsidP="0036568A">
            <w:pPr>
              <w:spacing w:after="200" w:line="276" w:lineRule="auto"/>
              <w:rPr>
                <w:rFonts w:ascii="Arial" w:hAnsi="Arial" w:cs="Arial"/>
              </w:rPr>
            </w:pPr>
          </w:p>
        </w:tc>
      </w:tr>
      <w:tr w:rsidR="0036568A" w:rsidRPr="0036568A" w:rsidTr="00B7472D">
        <w:tc>
          <w:tcPr>
            <w:tcW w:w="4606" w:type="dxa"/>
          </w:tcPr>
          <w:p w:rsidR="0036568A" w:rsidRPr="0036568A" w:rsidRDefault="0036568A" w:rsidP="00137BC9">
            <w:pPr>
              <w:numPr>
                <w:ilvl w:val="0"/>
                <w:numId w:val="56"/>
              </w:numPr>
              <w:spacing w:after="200" w:line="276" w:lineRule="auto"/>
              <w:rPr>
                <w:rFonts w:ascii="Arial" w:hAnsi="Arial" w:cs="Arial"/>
              </w:rPr>
            </w:pPr>
            <w:r w:rsidRPr="0036568A">
              <w:rPr>
                <w:rFonts w:ascii="Arial" w:hAnsi="Arial" w:cs="Arial"/>
                <w:bCs/>
              </w:rPr>
              <w:t xml:space="preserve">koszty inwestycyjne budowy sieci NGA, w tym związane z przebudową i rozbudową podstawowej sieci szerokopasmowej do standardu sieci NGA; </w:t>
            </w:r>
          </w:p>
        </w:tc>
        <w:tc>
          <w:tcPr>
            <w:tcW w:w="4606" w:type="dxa"/>
            <w:vMerge/>
          </w:tcPr>
          <w:p w:rsidR="0036568A" w:rsidRPr="0036568A" w:rsidRDefault="0036568A" w:rsidP="00137BC9">
            <w:pPr>
              <w:numPr>
                <w:ilvl w:val="0"/>
                <w:numId w:val="49"/>
              </w:numPr>
              <w:spacing w:after="200" w:line="276" w:lineRule="auto"/>
              <w:rPr>
                <w:rFonts w:ascii="Arial" w:hAnsi="Arial" w:cs="Arial"/>
              </w:rPr>
            </w:pPr>
          </w:p>
        </w:tc>
      </w:tr>
      <w:tr w:rsidR="0036568A" w:rsidRPr="0036568A" w:rsidTr="00B7472D">
        <w:tc>
          <w:tcPr>
            <w:tcW w:w="4606" w:type="dxa"/>
          </w:tcPr>
          <w:p w:rsidR="0036568A" w:rsidRPr="0036568A" w:rsidRDefault="0036568A" w:rsidP="00137BC9">
            <w:pPr>
              <w:numPr>
                <w:ilvl w:val="0"/>
                <w:numId w:val="56"/>
              </w:numPr>
              <w:spacing w:after="200" w:line="276" w:lineRule="auto"/>
              <w:rPr>
                <w:rFonts w:ascii="Arial" w:hAnsi="Arial" w:cs="Arial"/>
              </w:rPr>
            </w:pPr>
            <w:r w:rsidRPr="0036568A">
              <w:rPr>
                <w:rFonts w:ascii="Arial" w:hAnsi="Arial" w:cs="Arial"/>
              </w:rPr>
              <w:t>koszty nabycia wartości niematerialnych i prawnych.</w:t>
            </w:r>
          </w:p>
        </w:tc>
        <w:tc>
          <w:tcPr>
            <w:tcW w:w="4606" w:type="dxa"/>
            <w:vMerge/>
          </w:tcPr>
          <w:p w:rsidR="0036568A" w:rsidRPr="0036568A" w:rsidRDefault="0036568A" w:rsidP="0036568A">
            <w:pPr>
              <w:spacing w:after="200" w:line="276" w:lineRule="auto"/>
              <w:rPr>
                <w:rFonts w:ascii="Arial" w:hAnsi="Arial" w:cs="Arial"/>
              </w:rPr>
            </w:pPr>
          </w:p>
        </w:tc>
      </w:tr>
    </w:tbl>
    <w:p w:rsidR="0036568A" w:rsidRDefault="0036568A" w:rsidP="0036568A">
      <w:pPr>
        <w:rPr>
          <w:rFonts w:ascii="Arial" w:hAnsi="Arial" w:cs="Arial"/>
        </w:rPr>
      </w:pPr>
      <w:r>
        <w:rPr>
          <w:rFonts w:ascii="Arial" w:hAnsi="Arial" w:cs="Arial"/>
        </w:rPr>
        <w:br w:type="page"/>
      </w:r>
    </w:p>
    <w:p w:rsidR="00A77C3B" w:rsidRPr="00A77C3B" w:rsidRDefault="00A77C3B" w:rsidP="00A77C3B">
      <w:pPr>
        <w:rPr>
          <w:rFonts w:ascii="Arial" w:hAnsi="Arial" w:cs="Arial"/>
        </w:rPr>
      </w:pPr>
      <w:r w:rsidRPr="00A77C3B">
        <w:rPr>
          <w:rFonts w:ascii="Arial" w:hAnsi="Arial" w:cs="Arial"/>
        </w:rPr>
        <w:lastRenderedPageBreak/>
        <w:t>W ramach powyższych kategorii wydatków stosuje się następujące ogólne zasady:</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 xml:space="preserve">wszystkie wskazane w niniejszym rozdziale wydatki muszą być ponoszone zgodnie z Rozporządzeniem pomocowym dla I osi, niniejszym </w:t>
      </w:r>
      <w:r w:rsidR="00C632DB" w:rsidRPr="00846EBE">
        <w:rPr>
          <w:rFonts w:ascii="Arial" w:hAnsi="Arial" w:cs="Arial"/>
          <w:i/>
        </w:rPr>
        <w:t>Katalogiem</w:t>
      </w:r>
      <w:r w:rsidRPr="00846EBE">
        <w:rPr>
          <w:rFonts w:ascii="Arial" w:hAnsi="Arial" w:cs="Arial"/>
          <w:i/>
        </w:rPr>
        <w:t xml:space="preserve">, Wytycznymi </w:t>
      </w:r>
      <w:r w:rsidRPr="00A77C3B">
        <w:rPr>
          <w:rFonts w:ascii="Arial" w:hAnsi="Arial" w:cs="Arial"/>
        </w:rPr>
        <w:t>oraz umową o dofinansowanie pod rygorem uznania ich za niekwalifikowane.  Wydatki te muszą być bezpośrednio związane z realizacja projektu;</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wydatkami kwalifikującymi się do objęcia wsparciem są wydatki poniesione w okresie określonym w rozporządzeniu pomocowym dla I osi;</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wszystkie wydatki powinny być przypisane do odpowiednich kategorii określonych w</w:t>
      </w:r>
      <w:r w:rsidR="00C632DB">
        <w:rPr>
          <w:rFonts w:ascii="Arial" w:hAnsi="Arial" w:cs="Arial"/>
        </w:rPr>
        <w:t> </w:t>
      </w:r>
      <w:r w:rsidRPr="00A77C3B">
        <w:rPr>
          <w:rFonts w:ascii="Arial" w:hAnsi="Arial" w:cs="Arial"/>
        </w:rPr>
        <w:t>niniejszym rozdziale;</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 xml:space="preserve">cenę nabycia wartości niematerialnych i prawnych oraz środków trwałych, kwalifikujących się do objęcia wsparciem ustala się zgodnie z właściwymi przepisami ustawy </w:t>
      </w:r>
      <w:r w:rsidR="00C632DB">
        <w:rPr>
          <w:rFonts w:ascii="Arial" w:hAnsi="Arial" w:cs="Arial"/>
        </w:rPr>
        <w:t xml:space="preserve">z dnia 29 września 1994 r. </w:t>
      </w:r>
      <w:r w:rsidRPr="00A77C3B">
        <w:rPr>
          <w:rFonts w:ascii="Arial" w:hAnsi="Arial" w:cs="Arial"/>
        </w:rPr>
        <w:t>o rachunkowości</w:t>
      </w:r>
      <w:r w:rsidR="00C632DB">
        <w:rPr>
          <w:rFonts w:ascii="Arial" w:hAnsi="Arial" w:cs="Arial"/>
        </w:rPr>
        <w:t xml:space="preserve"> (Dz. U. 2016 r., poz. 1047)</w:t>
      </w:r>
      <w:r w:rsidRPr="00A77C3B">
        <w:rPr>
          <w:rFonts w:ascii="Arial" w:hAnsi="Arial" w:cs="Arial"/>
        </w:rPr>
        <w:t xml:space="preserve">; </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wydatki na środki trwałe ponoszone są w ramach kategorii wydatków określonych w</w:t>
      </w:r>
      <w:r w:rsidR="00C632DB">
        <w:rPr>
          <w:rFonts w:ascii="Arial" w:hAnsi="Arial" w:cs="Arial"/>
        </w:rPr>
        <w:t> </w:t>
      </w:r>
      <w:r w:rsidRPr="00A77C3B">
        <w:rPr>
          <w:rFonts w:ascii="Arial" w:hAnsi="Arial" w:cs="Arial"/>
        </w:rPr>
        <w:t>niniejszym rozdziale;</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w ramach wydatków dotyczących nowych środków trwałych uznaje się je za kwalifikowalne, o ile środki te są na stałe zainstalowane w ramach projektu, a środki te będą włączone w rejestr środków trwałych beneficjenta oraz wydatek ten będzie traktowany jako wydatek inwestycyjny zgodnie z zasadami rachunkowości;</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 xml:space="preserve">dopuszcza się zakup używanych środków trwałych, z zastrzeżeniem </w:t>
      </w:r>
      <w:r>
        <w:rPr>
          <w:rFonts w:ascii="Arial" w:hAnsi="Arial" w:cs="Arial"/>
        </w:rPr>
        <w:t>p</w:t>
      </w:r>
      <w:r w:rsidRPr="00A77C3B">
        <w:rPr>
          <w:rFonts w:ascii="Arial" w:hAnsi="Arial" w:cs="Arial"/>
        </w:rPr>
        <w:t xml:space="preserve">odrozdziału </w:t>
      </w:r>
      <w:r>
        <w:rPr>
          <w:rFonts w:ascii="Arial" w:hAnsi="Arial" w:cs="Arial"/>
        </w:rPr>
        <w:t>3</w:t>
      </w:r>
      <w:r w:rsidRPr="00A77C3B">
        <w:rPr>
          <w:rFonts w:ascii="Arial" w:hAnsi="Arial" w:cs="Arial"/>
        </w:rPr>
        <w:t>.3 pkt 4 lit. e;</w:t>
      </w:r>
    </w:p>
    <w:p w:rsidR="00A77C3B" w:rsidRP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kwalifikowalne są wydatki w związku z zastosowaniem leasingu i innych technik finansowania nie powodujących natychmiastowego przeniesienia prawa własności;</w:t>
      </w:r>
    </w:p>
    <w:p w:rsidR="00A77C3B" w:rsidRDefault="00A77C3B" w:rsidP="00137BC9">
      <w:pPr>
        <w:numPr>
          <w:ilvl w:val="0"/>
          <w:numId w:val="57"/>
        </w:numPr>
        <w:autoSpaceDE w:val="0"/>
        <w:autoSpaceDN w:val="0"/>
        <w:adjustRightInd w:val="0"/>
        <w:spacing w:before="120" w:after="120" w:line="360" w:lineRule="auto"/>
        <w:jc w:val="both"/>
        <w:rPr>
          <w:rFonts w:ascii="Arial" w:hAnsi="Arial" w:cs="Arial"/>
        </w:rPr>
      </w:pPr>
      <w:r w:rsidRPr="00A77C3B">
        <w:rPr>
          <w:rFonts w:ascii="Arial" w:hAnsi="Arial" w:cs="Arial"/>
        </w:rPr>
        <w:t>nie dopuszcza się stosowania uproszczonych metod rozliczania wydatków.</w:t>
      </w:r>
    </w:p>
    <w:p w:rsidR="00C632DB" w:rsidRPr="005C74BF" w:rsidRDefault="00C632DB" w:rsidP="005C74BF">
      <w:pPr>
        <w:pStyle w:val="Nagwek2"/>
        <w:numPr>
          <w:ilvl w:val="2"/>
          <w:numId w:val="1"/>
        </w:numPr>
        <w:spacing w:before="240" w:after="60" w:line="360" w:lineRule="auto"/>
        <w:jc w:val="center"/>
        <w:rPr>
          <w:rFonts w:ascii="Arial" w:hAnsi="Arial" w:cs="Arial"/>
          <w:b w:val="0"/>
          <w:i/>
          <w:color w:val="auto"/>
          <w:sz w:val="24"/>
          <w:szCs w:val="24"/>
        </w:rPr>
      </w:pPr>
      <w:bookmarkStart w:id="128" w:name="_Toc508630123"/>
      <w:r w:rsidRPr="005C74BF">
        <w:rPr>
          <w:rFonts w:ascii="Arial" w:hAnsi="Arial" w:cs="Arial"/>
          <w:b w:val="0"/>
          <w:i/>
          <w:color w:val="auto"/>
          <w:sz w:val="24"/>
          <w:szCs w:val="24"/>
        </w:rPr>
        <w:t>Kwalifikowalność wydatków w ramach pomocy na infrastrukturę szerokopasmową</w:t>
      </w:r>
      <w:bookmarkEnd w:id="128"/>
    </w:p>
    <w:p w:rsidR="00C632DB" w:rsidRDefault="00C632DB">
      <w:pPr>
        <w:rPr>
          <w:rFonts w:ascii="Arial" w:hAnsi="Arial" w:cs="Arial"/>
        </w:rPr>
      </w:pPr>
      <w:r w:rsidRPr="00C632DB">
        <w:rPr>
          <w:rFonts w:ascii="Arial" w:hAnsi="Arial" w:cs="Arial"/>
        </w:rPr>
        <w:t>Za kwalifikowalne uznaje się następujące wydatki poniesione na pokrycie:</w:t>
      </w:r>
    </w:p>
    <w:p w:rsidR="00C632DB" w:rsidRPr="00C632DB" w:rsidRDefault="00C632DB" w:rsidP="00137BC9">
      <w:pPr>
        <w:numPr>
          <w:ilvl w:val="0"/>
          <w:numId w:val="59"/>
        </w:numPr>
        <w:autoSpaceDE w:val="0"/>
        <w:autoSpaceDN w:val="0"/>
        <w:adjustRightInd w:val="0"/>
        <w:spacing w:before="120" w:after="120" w:line="360" w:lineRule="auto"/>
        <w:jc w:val="both"/>
        <w:rPr>
          <w:rFonts w:ascii="Arial" w:hAnsi="Arial" w:cs="Arial"/>
        </w:rPr>
      </w:pPr>
      <w:r w:rsidRPr="00C632DB">
        <w:rPr>
          <w:rFonts w:ascii="Arial" w:hAnsi="Arial" w:cs="Arial"/>
        </w:rPr>
        <w:t>kosztów inwestycyjnych budowy pasywnej infrastruktury szerokopasmowej, w tym robót i materiałów budowlanych oraz dostaw</w:t>
      </w:r>
      <w:r w:rsidRPr="00F92714">
        <w:rPr>
          <w:rFonts w:ascii="Arial" w:hAnsi="Arial" w:cs="Arial"/>
          <w:vertAlign w:val="superscript"/>
        </w:rPr>
        <w:footnoteReference w:id="19"/>
      </w:r>
      <w:r w:rsidRPr="00C632DB">
        <w:rPr>
          <w:rFonts w:ascii="Arial" w:hAnsi="Arial" w:cs="Arial"/>
        </w:rPr>
        <w:t xml:space="preserve"> i instalacji elementów pasywnej infrastruktury szerokopasmowej, w tym w szczególności:</w:t>
      </w:r>
    </w:p>
    <w:p w:rsidR="00C632DB" w:rsidRPr="00C632DB" w:rsidRDefault="00C632DB" w:rsidP="00137BC9">
      <w:pPr>
        <w:numPr>
          <w:ilvl w:val="0"/>
          <w:numId w:val="58"/>
        </w:numPr>
        <w:spacing w:before="120" w:after="120" w:line="360" w:lineRule="auto"/>
        <w:jc w:val="both"/>
        <w:rPr>
          <w:rFonts w:ascii="Arial" w:hAnsi="Arial" w:cs="Arial"/>
        </w:rPr>
      </w:pPr>
      <w:r w:rsidRPr="00C632DB">
        <w:rPr>
          <w:rFonts w:ascii="Arial" w:hAnsi="Arial" w:cs="Arial"/>
        </w:rPr>
        <w:lastRenderedPageBreak/>
        <w:t>usługi związane z nadzorem technicznym realizacji inwestycji w zakresie niezbędnym dla realizacji inwestycji, w tym związanych z nadzorem nad robotami budowlanymi i nadzorem autorskim nad robotami budowlanymi przez projektanta, a także nadzorem inwestorskim pod warunkiem pełnienia tych funkcji przez osoby posiadające odpowiednie uprawnienia w tym zakresie;</w:t>
      </w:r>
    </w:p>
    <w:p w:rsidR="00C632DB" w:rsidRPr="00C632DB" w:rsidRDefault="00C632DB" w:rsidP="00137BC9">
      <w:pPr>
        <w:numPr>
          <w:ilvl w:val="0"/>
          <w:numId w:val="58"/>
        </w:numPr>
        <w:spacing w:before="120" w:after="120" w:line="360" w:lineRule="auto"/>
        <w:jc w:val="both"/>
        <w:rPr>
          <w:rFonts w:ascii="Arial" w:hAnsi="Arial" w:cs="Arial"/>
        </w:rPr>
      </w:pPr>
      <w:r w:rsidRPr="00C632DB">
        <w:rPr>
          <w:rFonts w:ascii="Arial" w:hAnsi="Arial" w:cs="Arial"/>
        </w:rPr>
        <w:t xml:space="preserve">roboty budowlane – w rozumieniu ustawy </w:t>
      </w:r>
      <w:r w:rsidRPr="005C74BF">
        <w:rPr>
          <w:rFonts w:ascii="Arial" w:hAnsi="Arial" w:cs="Arial"/>
          <w:i/>
        </w:rPr>
        <w:t>Prawo budowlane</w:t>
      </w:r>
      <w:r w:rsidRPr="00C632DB">
        <w:rPr>
          <w:rFonts w:ascii="Arial" w:hAnsi="Arial" w:cs="Arial"/>
        </w:rPr>
        <w:t>;</w:t>
      </w:r>
    </w:p>
    <w:p w:rsidR="00C632DB" w:rsidRPr="00C632DB" w:rsidRDefault="00C632DB" w:rsidP="00137BC9">
      <w:pPr>
        <w:numPr>
          <w:ilvl w:val="0"/>
          <w:numId w:val="58"/>
        </w:numPr>
        <w:spacing w:before="120" w:after="120" w:line="360" w:lineRule="auto"/>
        <w:jc w:val="both"/>
        <w:rPr>
          <w:rFonts w:ascii="Arial" w:hAnsi="Arial" w:cs="Arial"/>
        </w:rPr>
      </w:pPr>
      <w:r w:rsidRPr="00C632DB">
        <w:rPr>
          <w:rFonts w:ascii="Arial" w:hAnsi="Arial" w:cs="Arial"/>
        </w:rPr>
        <w:t>materiały budowlane;</w:t>
      </w:r>
    </w:p>
    <w:p w:rsidR="00C632DB" w:rsidRPr="00C632DB" w:rsidRDefault="00C632DB" w:rsidP="00137BC9">
      <w:pPr>
        <w:numPr>
          <w:ilvl w:val="0"/>
          <w:numId w:val="58"/>
        </w:numPr>
        <w:spacing w:before="120" w:after="120" w:line="360" w:lineRule="auto"/>
        <w:jc w:val="both"/>
        <w:rPr>
          <w:rFonts w:ascii="Arial" w:hAnsi="Arial" w:cs="Arial"/>
        </w:rPr>
      </w:pPr>
      <w:r w:rsidRPr="00C632DB">
        <w:rPr>
          <w:rFonts w:ascii="Arial" w:hAnsi="Arial" w:cs="Arial"/>
        </w:rPr>
        <w:t xml:space="preserve"> dostawa i instalacja niezbędnych do realizacji projektu elementów pasywnej infrastruktury szerokopasmowej , takich jak m.in.: elementy instalacyjne, złącza, elementy kanalizacji kablowej, studnie, rury, </w:t>
      </w:r>
      <w:proofErr w:type="spellStart"/>
      <w:r w:rsidRPr="00C632DB">
        <w:rPr>
          <w:rFonts w:ascii="Arial" w:hAnsi="Arial" w:cs="Arial"/>
        </w:rPr>
        <w:t>mikrorury</w:t>
      </w:r>
      <w:proofErr w:type="spellEnd"/>
      <w:r w:rsidRPr="00C632DB">
        <w:rPr>
          <w:rFonts w:ascii="Arial" w:hAnsi="Arial" w:cs="Arial"/>
        </w:rPr>
        <w:t xml:space="preserve">, złączki, mufy, kable telekomunikacyjne (wraz z niezbędnymi do pozostawienia w punktach zakończenia sieci zapasami), </w:t>
      </w:r>
      <w:proofErr w:type="spellStart"/>
      <w:r w:rsidRPr="00C632DB">
        <w:rPr>
          <w:rFonts w:ascii="Arial" w:hAnsi="Arial" w:cs="Arial"/>
        </w:rPr>
        <w:t>splittery</w:t>
      </w:r>
      <w:proofErr w:type="spellEnd"/>
      <w:r w:rsidRPr="00C632DB">
        <w:rPr>
          <w:rFonts w:ascii="Arial" w:hAnsi="Arial" w:cs="Arial"/>
        </w:rPr>
        <w:t>, taśmy ostrzegawcze, znaczniki elektromagnetyczne, szafy i kontenery telekomunikacyjne, słupy, maszty i wieże radiowe, a także elementy pasywne niezbędne do ochrony przeciwprzepięciowej i odgromowej;</w:t>
      </w:r>
    </w:p>
    <w:p w:rsidR="00C632DB" w:rsidRPr="00C632DB" w:rsidRDefault="00C632DB" w:rsidP="00137BC9">
      <w:pPr>
        <w:numPr>
          <w:ilvl w:val="0"/>
          <w:numId w:val="58"/>
        </w:numPr>
        <w:spacing w:before="120" w:after="120" w:line="360" w:lineRule="auto"/>
        <w:jc w:val="both"/>
        <w:rPr>
          <w:rFonts w:ascii="Arial" w:hAnsi="Arial" w:cs="Arial"/>
        </w:rPr>
      </w:pPr>
      <w:r w:rsidRPr="00C632DB">
        <w:rPr>
          <w:rFonts w:ascii="Arial" w:hAnsi="Arial" w:cs="Arial"/>
        </w:rPr>
        <w:t xml:space="preserve">koszty niezbędne do spełnienia wymagań </w:t>
      </w:r>
      <w:r w:rsidR="00913D5A">
        <w:rPr>
          <w:rFonts w:ascii="Arial" w:hAnsi="Arial" w:cs="Arial"/>
        </w:rPr>
        <w:t>technicznych określonych w ramach dokumentacji konkursowej</w:t>
      </w:r>
      <w:r w:rsidRPr="00C632DB">
        <w:rPr>
          <w:rFonts w:ascii="Arial" w:hAnsi="Arial" w:cs="Arial"/>
        </w:rPr>
        <w:t>, w zakresie w jakim dotyczą one specyfikacji technicznej części pasywnej infrastruktury i sieci, w tym minimalnej nadmiarowości, tj. m.in. wydatki na realizację dodatkowych otworów kanalizacji kablowej, włókien lub kabli itp.;</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poniesione na pokrycie tych kosztów są kwalifikowalne pod warunkiem spełnienia założeń technicznych projektu określonych we wniosku o dofinansowanie. </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Niezbędnym warunkiem kwalifikowalności tych elementów w ramach niniejszej kategorii jest, aby nie zawierały żadnych aktywnych elementów sieci telekomunikacyjnej, w szczególności urządzeń telekomunikacyjnych, w tym urządzeń radiowych.</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 ramach niniejszej kategorii możliwe jest ponoszenie kosztów realizacji pasywnej infrastruktury szerokopasmowej w warstwie sieci szkieletowej i dystrybucyjnej</w:t>
      </w:r>
      <w:r w:rsidRPr="00F92714">
        <w:rPr>
          <w:rFonts w:ascii="Arial" w:hAnsi="Arial" w:cs="Arial"/>
          <w:vertAlign w:val="superscript"/>
        </w:rPr>
        <w:footnoteReference w:id="20"/>
      </w:r>
      <w:r w:rsidRPr="00C632DB">
        <w:rPr>
          <w:rFonts w:ascii="Arial" w:hAnsi="Arial" w:cs="Arial"/>
        </w:rPr>
        <w:t xml:space="preserve">.  </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poniesione na pokrycie kosztów realizacji pasywnej infrastruktury szerokopasmowej w warstwie sieci dystrybucyjnej i szkieletowej są kwalifikowalne wyłącznie w zakresie w jakim są niezbędne do realizacji sieci NGA, a także pod warunkiem wykazania, że jest to </w:t>
      </w:r>
      <w:r w:rsidRPr="00C632DB">
        <w:rPr>
          <w:rFonts w:ascii="Arial" w:hAnsi="Arial" w:cs="Arial"/>
        </w:rPr>
        <w:lastRenderedPageBreak/>
        <w:t>najbardziej efektywna możliwość realizacji sieci dostępowej i nie jest możliwe lub uzasadnione skorzystanie z istniejącej infrastruktury lub usług hurtowych świadczonych przez innych przedsiębiorców telekomunikacyjnych na danym obszarze. Aktywne elementy sieci dystrybucyjnej i szkieletowej są niekwalifikowalne zgodnie z katalogiem wydatków  niekwalifikowalnych.</w:t>
      </w:r>
    </w:p>
    <w:p w:rsidR="00C632DB" w:rsidRPr="00C632DB" w:rsidRDefault="00C632DB" w:rsidP="00137BC9">
      <w:pPr>
        <w:numPr>
          <w:ilvl w:val="0"/>
          <w:numId w:val="59"/>
        </w:numPr>
        <w:autoSpaceDE w:val="0"/>
        <w:autoSpaceDN w:val="0"/>
        <w:adjustRightInd w:val="0"/>
        <w:spacing w:before="120" w:after="120" w:line="360" w:lineRule="auto"/>
        <w:jc w:val="both"/>
        <w:rPr>
          <w:rFonts w:ascii="Arial" w:hAnsi="Arial" w:cs="Arial"/>
        </w:rPr>
      </w:pPr>
      <w:r w:rsidRPr="00C632DB">
        <w:rPr>
          <w:rFonts w:ascii="Arial" w:hAnsi="Arial" w:cs="Arial"/>
        </w:rPr>
        <w:t>kosztów przygotowania dokumentacji niezbędnej do wykonania robót budowlanych.</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 szczególności są to wydatki niezbędne do poniesienia na etapie przygotowania do realizacji infrastruktury i sieci w terenie, w szczególności dotyczące takich elementów jak:</w:t>
      </w:r>
    </w:p>
    <w:p w:rsidR="00C632DB" w:rsidRPr="00C632DB" w:rsidRDefault="00C632DB" w:rsidP="00137BC9">
      <w:pPr>
        <w:numPr>
          <w:ilvl w:val="0"/>
          <w:numId w:val="60"/>
        </w:numPr>
        <w:spacing w:before="120" w:after="120" w:line="360" w:lineRule="auto"/>
        <w:jc w:val="both"/>
        <w:rPr>
          <w:rFonts w:ascii="Arial" w:hAnsi="Arial" w:cs="Arial"/>
        </w:rPr>
      </w:pPr>
      <w:r w:rsidRPr="00C632DB">
        <w:rPr>
          <w:rFonts w:ascii="Arial" w:hAnsi="Arial" w:cs="Arial"/>
        </w:rPr>
        <w:t>dokumentacja techniczna projektu, w tym projektowanie infrastruktury i sieci;</w:t>
      </w:r>
    </w:p>
    <w:p w:rsidR="00C632DB" w:rsidRPr="00C632DB" w:rsidRDefault="00C632DB" w:rsidP="00137BC9">
      <w:pPr>
        <w:numPr>
          <w:ilvl w:val="0"/>
          <w:numId w:val="60"/>
        </w:numPr>
        <w:spacing w:before="120" w:after="120" w:line="360" w:lineRule="auto"/>
        <w:jc w:val="both"/>
        <w:rPr>
          <w:rFonts w:ascii="Arial" w:hAnsi="Arial" w:cs="Arial"/>
        </w:rPr>
      </w:pPr>
      <w:r w:rsidRPr="00C632DB">
        <w:rPr>
          <w:rFonts w:ascii="Arial" w:hAnsi="Arial" w:cs="Arial"/>
        </w:rPr>
        <w:t>pozyskanie i przygotowanie map lub szkiców sytuujących projekt, w tym dotyczące zamówienia usług w zakresie obsługi geodezyjnej;</w:t>
      </w:r>
    </w:p>
    <w:p w:rsidR="00C632DB" w:rsidRPr="00C632DB" w:rsidRDefault="00C632DB" w:rsidP="00137BC9">
      <w:pPr>
        <w:numPr>
          <w:ilvl w:val="0"/>
          <w:numId w:val="60"/>
        </w:numPr>
        <w:spacing w:before="120" w:after="120" w:line="360" w:lineRule="auto"/>
        <w:jc w:val="both"/>
        <w:rPr>
          <w:rFonts w:ascii="Arial" w:hAnsi="Arial" w:cs="Arial"/>
        </w:rPr>
      </w:pPr>
      <w:r w:rsidRPr="00C632DB">
        <w:rPr>
          <w:rFonts w:ascii="Arial" w:hAnsi="Arial" w:cs="Arial"/>
        </w:rPr>
        <w:t>przygotowanie dokumentacji niezbędnej do złożenia wniosków o wydanie wymaganych przepisami prawa decyzji, zgód i zezwoleń administracyjnych albo dokonania zgłoszenia budowy lub robót budowlanych;</w:t>
      </w:r>
    </w:p>
    <w:p w:rsidR="00C632DB" w:rsidRPr="00C632DB" w:rsidRDefault="00C632DB" w:rsidP="00137BC9">
      <w:pPr>
        <w:numPr>
          <w:ilvl w:val="0"/>
          <w:numId w:val="60"/>
        </w:numPr>
        <w:spacing w:before="120" w:after="120" w:line="360" w:lineRule="auto"/>
        <w:jc w:val="both"/>
        <w:rPr>
          <w:rFonts w:ascii="Arial" w:hAnsi="Arial" w:cs="Arial"/>
        </w:rPr>
      </w:pPr>
      <w:r w:rsidRPr="00C632DB">
        <w:rPr>
          <w:rFonts w:ascii="Arial" w:hAnsi="Arial" w:cs="Arial"/>
        </w:rPr>
        <w:t xml:space="preserve">dokumentacja budowlana art. 3 pkt 13 ustawy </w:t>
      </w:r>
      <w:r w:rsidRPr="00044603">
        <w:rPr>
          <w:rFonts w:ascii="Arial" w:hAnsi="Arial" w:cs="Arial"/>
          <w:i/>
        </w:rPr>
        <w:t>Prawo budowlane</w:t>
      </w:r>
      <w:r w:rsidRPr="00C632DB">
        <w:rPr>
          <w:rFonts w:ascii="Arial" w:hAnsi="Arial" w:cs="Arial"/>
        </w:rPr>
        <w:t>, z wyjątkiem związanych z jej prowadzeniem opłat o charakterze publicznoprawnym;</w:t>
      </w:r>
    </w:p>
    <w:p w:rsidR="00C632DB" w:rsidRPr="00C632DB" w:rsidRDefault="00C632DB" w:rsidP="00137BC9">
      <w:pPr>
        <w:numPr>
          <w:ilvl w:val="0"/>
          <w:numId w:val="60"/>
        </w:numPr>
        <w:spacing w:before="120" w:after="120" w:line="360" w:lineRule="auto"/>
        <w:jc w:val="both"/>
        <w:rPr>
          <w:rFonts w:ascii="Arial" w:hAnsi="Arial" w:cs="Arial"/>
        </w:rPr>
      </w:pPr>
      <w:r w:rsidRPr="00C632DB">
        <w:rPr>
          <w:rFonts w:ascii="Arial" w:hAnsi="Arial" w:cs="Arial"/>
        </w:rPr>
        <w:t xml:space="preserve">przygotowanie innej dokumentacji w zakresie, w jakim jest to wymagane zgodnie </w:t>
      </w:r>
      <w:r w:rsidRPr="00C632DB">
        <w:rPr>
          <w:rFonts w:ascii="Arial" w:hAnsi="Arial" w:cs="Arial"/>
        </w:rPr>
        <w:br/>
        <w:t>z obowiązującymi przepisami prawa.</w:t>
      </w:r>
    </w:p>
    <w:p w:rsidR="00C632DB" w:rsidRPr="00C632DB" w:rsidRDefault="00C632DB" w:rsidP="00137BC9">
      <w:pPr>
        <w:numPr>
          <w:ilvl w:val="0"/>
          <w:numId w:val="59"/>
        </w:numPr>
        <w:autoSpaceDE w:val="0"/>
        <w:autoSpaceDN w:val="0"/>
        <w:adjustRightInd w:val="0"/>
        <w:spacing w:before="120" w:after="120" w:line="360" w:lineRule="auto"/>
        <w:jc w:val="both"/>
        <w:rPr>
          <w:rFonts w:ascii="Arial" w:hAnsi="Arial" w:cs="Arial"/>
        </w:rPr>
      </w:pPr>
      <w:r w:rsidRPr="00C632DB">
        <w:rPr>
          <w:rFonts w:ascii="Arial" w:hAnsi="Arial" w:cs="Arial"/>
        </w:rPr>
        <w:t>kosztów nabycia prawa dysponowania nieruchomością związanych z realizacją projektu, w tym w szczególności:</w:t>
      </w:r>
    </w:p>
    <w:p w:rsidR="00C632DB" w:rsidRPr="00C632DB" w:rsidRDefault="00C632DB" w:rsidP="00137BC9">
      <w:pPr>
        <w:numPr>
          <w:ilvl w:val="0"/>
          <w:numId w:val="61"/>
        </w:numPr>
        <w:spacing w:before="120" w:after="120" w:line="360" w:lineRule="auto"/>
        <w:jc w:val="both"/>
        <w:rPr>
          <w:rFonts w:ascii="Arial" w:hAnsi="Arial" w:cs="Arial"/>
        </w:rPr>
      </w:pPr>
      <w:r w:rsidRPr="00C632DB">
        <w:rPr>
          <w:rFonts w:ascii="Arial" w:hAnsi="Arial" w:cs="Arial"/>
        </w:rPr>
        <w:t xml:space="preserve">kategorie wydatków w zakresie określonym w </w:t>
      </w:r>
      <w:r w:rsidRPr="005C74BF">
        <w:rPr>
          <w:rFonts w:ascii="Arial" w:hAnsi="Arial" w:cs="Arial"/>
          <w:i/>
        </w:rPr>
        <w:t>Wytycznych</w:t>
      </w:r>
      <w:r w:rsidRPr="00C632DB">
        <w:rPr>
          <w:rFonts w:ascii="Arial" w:hAnsi="Arial" w:cs="Arial"/>
        </w:rPr>
        <w:t>;</w:t>
      </w:r>
    </w:p>
    <w:p w:rsidR="00C632DB" w:rsidRPr="00C632DB" w:rsidRDefault="00C632DB" w:rsidP="00137BC9">
      <w:pPr>
        <w:numPr>
          <w:ilvl w:val="0"/>
          <w:numId w:val="61"/>
        </w:numPr>
        <w:spacing w:before="120" w:after="120" w:line="360" w:lineRule="auto"/>
        <w:jc w:val="both"/>
        <w:rPr>
          <w:rFonts w:ascii="Arial" w:hAnsi="Arial" w:cs="Arial"/>
        </w:rPr>
      </w:pPr>
      <w:r w:rsidRPr="00C632DB">
        <w:rPr>
          <w:rFonts w:ascii="Arial" w:hAnsi="Arial" w:cs="Arial"/>
        </w:rPr>
        <w:t xml:space="preserve">opłaty dla właściciela, użytkownika wieczystego nieruchomości lub zarządcy nieruchomości w zakresie w jakim wynikają z art. 30 ust. 3b pkt 1) i art. 33 </w:t>
      </w:r>
      <w:proofErr w:type="spellStart"/>
      <w:r w:rsidRPr="00C632DB">
        <w:rPr>
          <w:rFonts w:ascii="Arial" w:hAnsi="Arial" w:cs="Arial"/>
        </w:rPr>
        <w:t>megaustawy</w:t>
      </w:r>
      <w:proofErr w:type="spellEnd"/>
      <w:r w:rsidRPr="00C632DB">
        <w:rPr>
          <w:rFonts w:ascii="Arial" w:hAnsi="Arial" w:cs="Arial"/>
        </w:rPr>
        <w:t xml:space="preserve"> </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 xml:space="preserve">W ramach niniejszej kategorii stosowane są limity określone w </w:t>
      </w:r>
      <w:r w:rsidRPr="005C74BF">
        <w:rPr>
          <w:rFonts w:ascii="Arial" w:hAnsi="Arial" w:cs="Arial"/>
          <w:i/>
        </w:rPr>
        <w:t>Wytycznych</w:t>
      </w:r>
      <w:r w:rsidRPr="00C632DB">
        <w:rPr>
          <w:rFonts w:ascii="Arial" w:hAnsi="Arial" w:cs="Arial"/>
        </w:rPr>
        <w:t>.</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 przypadkach, gdy nabycie nieruchomości stanowi wydatek kwalifikowalny, kwalifikowalne są również wydatki poniesione w związku ze sporządzeniem dokumentacji geodezyjno-kartograficznej, wynagrodzenia rzeczoznawcy oraz opłaty notarialne.</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 przypadku innych, niż własność i dzierżawa wieczysta, tytułów prawnych do nieruchomości, umowa powinna zostać zawarta na okres nie krótszy niż okres trwałości projektu.</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lastRenderedPageBreak/>
        <w:t>Wydatki poniesione w ramach powyższej kategorii są kwalifikowane proporcjonalnie do okresu realizacji projektu co oznacza, że nie są kwalifikowalne wydatki odnoszące się do okresu trwałości i późniejszych, np. nie jest kwalifikowalny pełny koszt nabycia prawa, ale jego odpowiednia część obliczona proporcjonalnie do okresu realizacji projektu.</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dotyczące umów lub decyzji w zakresie art. 30 </w:t>
      </w:r>
      <w:proofErr w:type="spellStart"/>
      <w:r w:rsidRPr="00C632DB">
        <w:rPr>
          <w:rFonts w:ascii="Arial" w:hAnsi="Arial" w:cs="Arial"/>
        </w:rPr>
        <w:t>megaustawy</w:t>
      </w:r>
      <w:proofErr w:type="spellEnd"/>
      <w:r w:rsidRPr="00C632DB">
        <w:rPr>
          <w:rFonts w:ascii="Arial" w:hAnsi="Arial" w:cs="Arial"/>
        </w:rPr>
        <w:t xml:space="preserve"> są kwalifikowalne odpowiednio do kwalifikowalnego zakresu projektu (np. niekwalifikowalne będą całościowe wydatki dotyczące udostępnienia instalacji wewnątrzbudynkowej lub miejsca w budynku, ale kwalifikowalne będą takie wydatki, jeśli związane są wyłącznie z realizacją punktu styku w budynku, o którym mowa w § 192f rozporządzenia Ministra Infrastruktury z dnia 12 kwietnia 2002 w sprawie warunków technicznych jakim powinny odpowiadać budynki i ich usytuowanie).</w:t>
      </w:r>
    </w:p>
    <w:p w:rsidR="00C632DB" w:rsidRPr="00C632DB" w:rsidRDefault="00C632DB" w:rsidP="00137BC9">
      <w:pPr>
        <w:numPr>
          <w:ilvl w:val="0"/>
          <w:numId w:val="59"/>
        </w:numPr>
        <w:autoSpaceDE w:val="0"/>
        <w:autoSpaceDN w:val="0"/>
        <w:adjustRightInd w:val="0"/>
        <w:spacing w:before="120" w:after="120" w:line="360" w:lineRule="auto"/>
        <w:jc w:val="both"/>
        <w:rPr>
          <w:rFonts w:ascii="Arial" w:hAnsi="Arial" w:cs="Arial"/>
        </w:rPr>
      </w:pPr>
      <w:r w:rsidRPr="00C632DB">
        <w:rPr>
          <w:rFonts w:ascii="Arial" w:hAnsi="Arial" w:cs="Arial"/>
        </w:rPr>
        <w:t xml:space="preserve">kosztów dostarczenia, instalacji i uruchomienia urządzeń telekomunikacyjnych stanowiących infrastrukturę aktywną sieci NGA, w tym w szczególności: </w:t>
      </w:r>
    </w:p>
    <w:p w:rsidR="00C632DB" w:rsidRPr="00C632DB" w:rsidRDefault="00C632DB" w:rsidP="00137BC9">
      <w:pPr>
        <w:numPr>
          <w:ilvl w:val="0"/>
          <w:numId w:val="62"/>
        </w:numPr>
        <w:spacing w:before="120" w:after="120" w:line="360" w:lineRule="auto"/>
        <w:jc w:val="both"/>
        <w:rPr>
          <w:rFonts w:ascii="Arial" w:hAnsi="Arial" w:cs="Arial"/>
        </w:rPr>
      </w:pPr>
      <w:r w:rsidRPr="00C632DB">
        <w:rPr>
          <w:rFonts w:ascii="Arial" w:hAnsi="Arial" w:cs="Arial"/>
        </w:rPr>
        <w:t>urządzenia telekomunikacyjne stanowiące infrastrukturę aktywną sieci NGA, tj. m.in.: OLT, CMTS, DSLAM, ONU wyłącznie z portami szerokopasmowymi wyposażone w co najmniej dwa takie porty, multipleksery, wzmacniacze, przełącznice, karty liniowe, urządzenia radiowe);</w:t>
      </w:r>
    </w:p>
    <w:p w:rsidR="00C632DB" w:rsidRPr="00C632DB" w:rsidRDefault="00C632DB" w:rsidP="00137BC9">
      <w:pPr>
        <w:numPr>
          <w:ilvl w:val="0"/>
          <w:numId w:val="62"/>
        </w:numPr>
        <w:spacing w:before="120" w:after="120" w:line="360" w:lineRule="auto"/>
        <w:jc w:val="both"/>
        <w:rPr>
          <w:rFonts w:ascii="Arial" w:hAnsi="Arial" w:cs="Arial"/>
        </w:rPr>
      </w:pPr>
      <w:r w:rsidRPr="00C632DB">
        <w:rPr>
          <w:rFonts w:ascii="Arial" w:hAnsi="Arial" w:cs="Arial"/>
        </w:rPr>
        <w:t>usługi związane z konfiguracją urządzeń w sieci telekomunikacyjnej oraz nadzorem technicznym;</w:t>
      </w:r>
    </w:p>
    <w:p w:rsidR="00C632DB" w:rsidRPr="00C632DB" w:rsidRDefault="00C632DB" w:rsidP="00137BC9">
      <w:pPr>
        <w:numPr>
          <w:ilvl w:val="0"/>
          <w:numId w:val="62"/>
        </w:numPr>
        <w:spacing w:before="120" w:after="120" w:line="360" w:lineRule="auto"/>
        <w:jc w:val="both"/>
        <w:rPr>
          <w:rFonts w:ascii="Arial" w:hAnsi="Arial" w:cs="Arial"/>
        </w:rPr>
      </w:pPr>
      <w:r w:rsidRPr="00C632DB">
        <w:rPr>
          <w:rFonts w:ascii="Arial" w:hAnsi="Arial" w:cs="Arial"/>
        </w:rPr>
        <w:t xml:space="preserve">koszty niezbędne do spełnienia minimalnych warunków określonych w „Wymaganiach dla sieci NGA-POPC”, stanowiących załącznik do dokumentacji konkursowej w zakresie sposobu wypełnienia zobowiązania do realizacji sieci POPC spełniającej co najmniej minimalne warunki techniczne określone w pkt 1 tego dokumentu (np. wydatki na porty optyczne dla połączenia z innymi urządzeniami aktywnymi). </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Koszty te są kwalifikowalne pod warunkiem spełnienia założeń technicznych projektu określonych we wniosku o dofinansowanie.</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Wyłączona jest kwalifikowalność urządzeń abonenckich zgodnie z zasadami opisanymi w katalogu kosztów niekwalifikowalnych.</w:t>
      </w:r>
    </w:p>
    <w:p w:rsidR="00C632DB" w:rsidRPr="00C632DB" w:rsidRDefault="00C632DB" w:rsidP="00137BC9">
      <w:pPr>
        <w:numPr>
          <w:ilvl w:val="0"/>
          <w:numId w:val="59"/>
        </w:numPr>
        <w:autoSpaceDE w:val="0"/>
        <w:autoSpaceDN w:val="0"/>
        <w:adjustRightInd w:val="0"/>
        <w:spacing w:before="120" w:after="120" w:line="360" w:lineRule="auto"/>
        <w:jc w:val="both"/>
        <w:rPr>
          <w:rFonts w:ascii="Arial" w:hAnsi="Arial" w:cs="Arial"/>
        </w:rPr>
      </w:pPr>
      <w:r w:rsidRPr="00C632DB">
        <w:rPr>
          <w:rFonts w:ascii="Arial" w:hAnsi="Arial" w:cs="Arial"/>
        </w:rPr>
        <w:t>kosztów najmu, dzierżawy lub leasingu pasywnej infrastruktury szerokopasmowej, a także elementów infrastruktury elektroenergetycznej, sanitarnej, wodociągowej oraz kanałów technologicznych, w tym m.in.:</w:t>
      </w:r>
    </w:p>
    <w:p w:rsidR="00C632DB" w:rsidRPr="00C632DB" w:rsidRDefault="00C632DB" w:rsidP="00137BC9">
      <w:pPr>
        <w:numPr>
          <w:ilvl w:val="0"/>
          <w:numId w:val="63"/>
        </w:numPr>
        <w:spacing w:before="120" w:after="120" w:line="360" w:lineRule="auto"/>
        <w:jc w:val="both"/>
        <w:rPr>
          <w:rFonts w:ascii="Arial" w:hAnsi="Arial" w:cs="Arial"/>
        </w:rPr>
      </w:pPr>
      <w:r w:rsidRPr="00C632DB">
        <w:rPr>
          <w:rFonts w:ascii="Arial" w:hAnsi="Arial" w:cs="Arial"/>
        </w:rPr>
        <w:t xml:space="preserve">z tytułu współkorzystania lub dostępu do infrastruktury technicznej, o którym mowa w art. 17 </w:t>
      </w:r>
      <w:proofErr w:type="spellStart"/>
      <w:r w:rsidRPr="00C632DB">
        <w:rPr>
          <w:rFonts w:ascii="Arial" w:hAnsi="Arial" w:cs="Arial"/>
        </w:rPr>
        <w:t>megaustawy</w:t>
      </w:r>
      <w:proofErr w:type="spellEnd"/>
      <w:r w:rsidRPr="00C632DB">
        <w:rPr>
          <w:rFonts w:ascii="Arial" w:hAnsi="Arial" w:cs="Arial"/>
        </w:rPr>
        <w:t>;</w:t>
      </w:r>
    </w:p>
    <w:p w:rsidR="00C632DB" w:rsidRPr="00C632DB" w:rsidRDefault="00C632DB" w:rsidP="00137BC9">
      <w:pPr>
        <w:numPr>
          <w:ilvl w:val="0"/>
          <w:numId w:val="63"/>
        </w:numPr>
        <w:spacing w:before="120" w:after="120" w:line="360" w:lineRule="auto"/>
        <w:jc w:val="both"/>
        <w:rPr>
          <w:rFonts w:ascii="Arial" w:hAnsi="Arial" w:cs="Arial"/>
        </w:rPr>
      </w:pPr>
      <w:r w:rsidRPr="00C632DB">
        <w:rPr>
          <w:rFonts w:ascii="Arial" w:hAnsi="Arial" w:cs="Arial"/>
        </w:rPr>
        <w:lastRenderedPageBreak/>
        <w:t xml:space="preserve">z tytułu korzystania z urządzeń i obiektów infrastruktury technicznej o którym mowa w art. 35 </w:t>
      </w:r>
      <w:proofErr w:type="spellStart"/>
      <w:r w:rsidRPr="00C632DB">
        <w:rPr>
          <w:rFonts w:ascii="Arial" w:hAnsi="Arial" w:cs="Arial"/>
        </w:rPr>
        <w:t>megaustawy</w:t>
      </w:r>
      <w:proofErr w:type="spellEnd"/>
      <w:r w:rsidRPr="00C632DB">
        <w:rPr>
          <w:rFonts w:ascii="Arial" w:hAnsi="Arial" w:cs="Arial"/>
        </w:rPr>
        <w:t>;</w:t>
      </w:r>
    </w:p>
    <w:p w:rsidR="00C632DB" w:rsidRPr="00C632DB" w:rsidRDefault="00C632DB" w:rsidP="00137BC9">
      <w:pPr>
        <w:numPr>
          <w:ilvl w:val="0"/>
          <w:numId w:val="63"/>
        </w:numPr>
        <w:spacing w:before="120" w:after="120" w:line="360" w:lineRule="auto"/>
        <w:jc w:val="both"/>
        <w:rPr>
          <w:rFonts w:ascii="Arial" w:hAnsi="Arial" w:cs="Arial"/>
        </w:rPr>
      </w:pPr>
      <w:r w:rsidRPr="00C632DB">
        <w:rPr>
          <w:rFonts w:ascii="Arial" w:hAnsi="Arial" w:cs="Arial"/>
        </w:rPr>
        <w:t>z tytułu udostępnienia kanałów technologicznych, o których mowa w art. 39 ust. 7 ustawy z dnia 21 marca 1985 r. o drogach publicznych (</w:t>
      </w:r>
      <w:r w:rsidR="00DF65A1">
        <w:rPr>
          <w:rFonts w:ascii="Arial" w:hAnsi="Arial" w:cs="Arial"/>
        </w:rPr>
        <w:t>j.t.</w:t>
      </w:r>
      <w:r w:rsidRPr="00C632DB">
        <w:rPr>
          <w:rFonts w:ascii="Arial" w:hAnsi="Arial" w:cs="Arial"/>
        </w:rPr>
        <w:t xml:space="preserve"> Dz. U.  201</w:t>
      </w:r>
      <w:r w:rsidR="00DF65A1">
        <w:rPr>
          <w:rFonts w:ascii="Arial" w:hAnsi="Arial" w:cs="Arial"/>
        </w:rPr>
        <w:t>6</w:t>
      </w:r>
      <w:r w:rsidRPr="00C632DB">
        <w:rPr>
          <w:rFonts w:ascii="Arial" w:hAnsi="Arial" w:cs="Arial"/>
        </w:rPr>
        <w:t xml:space="preserve"> r. poz. </w:t>
      </w:r>
      <w:r w:rsidR="00DF65A1">
        <w:rPr>
          <w:rFonts w:ascii="Arial" w:hAnsi="Arial" w:cs="Arial"/>
        </w:rPr>
        <w:t>14</w:t>
      </w:r>
      <w:r w:rsidRPr="00C632DB">
        <w:rPr>
          <w:rFonts w:ascii="Arial" w:hAnsi="Arial" w:cs="Arial"/>
        </w:rPr>
        <w:t>40);</w:t>
      </w:r>
    </w:p>
    <w:p w:rsidR="00C632DB" w:rsidRPr="00C632DB" w:rsidRDefault="00C632DB" w:rsidP="00137BC9">
      <w:pPr>
        <w:numPr>
          <w:ilvl w:val="0"/>
          <w:numId w:val="63"/>
        </w:numPr>
        <w:spacing w:before="120" w:after="120" w:line="360" w:lineRule="auto"/>
        <w:jc w:val="both"/>
        <w:rPr>
          <w:rFonts w:ascii="Arial" w:hAnsi="Arial" w:cs="Arial"/>
        </w:rPr>
      </w:pPr>
      <w:r w:rsidRPr="00C632DB">
        <w:rPr>
          <w:rFonts w:ascii="Arial" w:hAnsi="Arial" w:cs="Arial"/>
        </w:rPr>
        <w:t xml:space="preserve">z tytułu uzyskania dostępu o którym mowa w art. 139 ustawy </w:t>
      </w:r>
      <w:r w:rsidRPr="00846EBE">
        <w:rPr>
          <w:rFonts w:ascii="Arial" w:hAnsi="Arial" w:cs="Arial"/>
          <w:i/>
        </w:rPr>
        <w:t>Prawo telekomunikacyjne</w:t>
      </w:r>
      <w:r w:rsidR="00DF65A1">
        <w:rPr>
          <w:rFonts w:ascii="Arial" w:hAnsi="Arial" w:cs="Arial"/>
          <w:i/>
        </w:rPr>
        <w:t>.</w:t>
      </w:r>
      <w:r w:rsidRPr="00C632DB">
        <w:rPr>
          <w:rFonts w:ascii="Arial" w:hAnsi="Arial" w:cs="Arial"/>
        </w:rPr>
        <w:t xml:space="preserve"> </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Koszty te są kwalifikowalne pod warunkiem spełnienia założeń technicznych projektu określonych we wniosku o dofinansowanie.</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 przypadku najmu, dzierżawy, IRU i innych, niż własność i dzierżawa wieczysta, tytułów prawnych do nieruchomości, koszt jest kwalifikowany pod warunkiem, że umowa została zawarta na okres nie krótszy niż okres trwałości projektu i nie krótszy niż minimalny okres świadczenia hurtowego dostępu określony rozporządzeniem pomocowym dla I osi.</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Wydatki wynikające z umów lub decyzji w ramach niniejszej kategorii, są kwalifikowalne proporcjonalnie do okresu realizacji projektu, tj. nie są kwalifikowalne wydatki odnoszące się do okresu trwałości i późniejszych.</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IRU jest kwalifikowalne do wysokości 5% wydatków kwalifikowalnych projektu.</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Całkowite wydatki kwalifikowalne w ramach tej kategorii wydatków nie mogą przekroczyć 10% wydatków kwalifikowalnych projektu.</w:t>
      </w:r>
    </w:p>
    <w:p w:rsidR="00C632DB" w:rsidRPr="00C632DB" w:rsidRDefault="00C632DB" w:rsidP="00137BC9">
      <w:pPr>
        <w:numPr>
          <w:ilvl w:val="0"/>
          <w:numId w:val="59"/>
        </w:numPr>
        <w:autoSpaceDE w:val="0"/>
        <w:autoSpaceDN w:val="0"/>
        <w:adjustRightInd w:val="0"/>
        <w:spacing w:before="120" w:after="120" w:line="360" w:lineRule="auto"/>
        <w:jc w:val="both"/>
        <w:rPr>
          <w:rFonts w:ascii="Arial" w:hAnsi="Arial" w:cs="Arial"/>
        </w:rPr>
      </w:pPr>
      <w:r w:rsidRPr="00C632DB">
        <w:rPr>
          <w:rFonts w:ascii="Arial" w:hAnsi="Arial" w:cs="Arial"/>
        </w:rPr>
        <w:t>kosztów inwestycyjnych budowy sieci NGA, w tym związanych z przebudową i rozbudową podstawowej sieci szerokopasmowej do standardu sieci NGA, w tym w szczególności:</w:t>
      </w:r>
    </w:p>
    <w:p w:rsidR="00C632DB" w:rsidRPr="00C632DB" w:rsidRDefault="00C632DB" w:rsidP="00137BC9">
      <w:pPr>
        <w:numPr>
          <w:ilvl w:val="0"/>
          <w:numId w:val="64"/>
        </w:numPr>
        <w:spacing w:before="120" w:after="120" w:line="360" w:lineRule="auto"/>
        <w:jc w:val="both"/>
        <w:rPr>
          <w:rFonts w:ascii="Arial" w:hAnsi="Arial" w:cs="Arial"/>
        </w:rPr>
      </w:pPr>
      <w:r w:rsidRPr="00C632DB">
        <w:rPr>
          <w:rFonts w:ascii="Arial" w:hAnsi="Arial" w:cs="Arial"/>
        </w:rPr>
        <w:t>urządzenia niezbędne dla funkcjonowania sieci telekomunikacyjnej, tj. urządzenia służące do zasilania, wentylacji, klimatyzacji, urządzenia alarmowe służące zabezpieczeniu przed kradzieżą, wandalizmem i włamaniami, urządzenia niezbędne do zapewnienia ochrony przeciwprzepięciowej i odgromowej;</w:t>
      </w:r>
    </w:p>
    <w:p w:rsidR="00C632DB" w:rsidRPr="00C632DB" w:rsidRDefault="00C632DB" w:rsidP="00137BC9">
      <w:pPr>
        <w:numPr>
          <w:ilvl w:val="0"/>
          <w:numId w:val="64"/>
        </w:numPr>
        <w:spacing w:before="120" w:after="120" w:line="360" w:lineRule="auto"/>
        <w:jc w:val="both"/>
        <w:rPr>
          <w:rFonts w:ascii="Arial" w:hAnsi="Arial" w:cs="Arial"/>
        </w:rPr>
      </w:pPr>
      <w:r w:rsidRPr="00C632DB">
        <w:rPr>
          <w:rFonts w:ascii="Arial" w:hAnsi="Arial" w:cs="Arial"/>
        </w:rPr>
        <w:t>koszty przyłączenia do sieci elektroenergetycznej lub innej formy zapewnienia zasilania w energię elektryczną.</w:t>
      </w:r>
    </w:p>
    <w:p w:rsidR="00C632DB" w:rsidRP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Wyłączona jest kwalifikowalność urządzeń abonenckich zgodnie z zasadami opisanymi w katalogu kosztów niekwalifikowalnych.</w:t>
      </w:r>
    </w:p>
    <w:p w:rsidR="00C632DB" w:rsidRPr="00C632DB" w:rsidRDefault="00C632DB" w:rsidP="00137BC9">
      <w:pPr>
        <w:numPr>
          <w:ilvl w:val="0"/>
          <w:numId w:val="59"/>
        </w:numPr>
        <w:autoSpaceDE w:val="0"/>
        <w:autoSpaceDN w:val="0"/>
        <w:adjustRightInd w:val="0"/>
        <w:spacing w:before="120" w:after="120" w:line="360" w:lineRule="auto"/>
        <w:jc w:val="both"/>
        <w:rPr>
          <w:rFonts w:ascii="Arial" w:hAnsi="Arial" w:cs="Arial"/>
        </w:rPr>
      </w:pPr>
      <w:r w:rsidRPr="00C632DB">
        <w:rPr>
          <w:rFonts w:ascii="Arial" w:hAnsi="Arial" w:cs="Arial"/>
        </w:rPr>
        <w:t>kosztów nabycia wartości niematerialnych i prawnych:</w:t>
      </w:r>
    </w:p>
    <w:p w:rsidR="00C632DB" w:rsidRPr="00C632DB" w:rsidRDefault="00C632DB" w:rsidP="00137BC9">
      <w:pPr>
        <w:numPr>
          <w:ilvl w:val="0"/>
          <w:numId w:val="65"/>
        </w:numPr>
        <w:spacing w:before="120" w:after="120" w:line="360" w:lineRule="auto"/>
        <w:jc w:val="both"/>
        <w:rPr>
          <w:rFonts w:ascii="Arial" w:hAnsi="Arial" w:cs="Arial"/>
        </w:rPr>
      </w:pPr>
      <w:r w:rsidRPr="00C632DB">
        <w:rPr>
          <w:rFonts w:ascii="Arial" w:hAnsi="Arial" w:cs="Arial"/>
        </w:rPr>
        <w:t>wraz z kosztem instalacji (wdrożenia), do łącznej wysokości 5% wartości kosztów kwalifikowanych projektu;</w:t>
      </w:r>
    </w:p>
    <w:p w:rsidR="00C632DB" w:rsidRPr="00C632DB" w:rsidRDefault="00C632DB" w:rsidP="00137BC9">
      <w:pPr>
        <w:numPr>
          <w:ilvl w:val="0"/>
          <w:numId w:val="65"/>
        </w:numPr>
        <w:spacing w:before="120" w:after="120" w:line="360" w:lineRule="auto"/>
        <w:jc w:val="both"/>
        <w:rPr>
          <w:rFonts w:ascii="Arial" w:hAnsi="Arial" w:cs="Arial"/>
        </w:rPr>
      </w:pPr>
      <w:r w:rsidRPr="00C632DB">
        <w:rPr>
          <w:rFonts w:ascii="Arial" w:hAnsi="Arial" w:cs="Arial"/>
        </w:rPr>
        <w:lastRenderedPageBreak/>
        <w:t>amortyzacja wartości niematerialnych z zachowaniem zasad ogólnych dotyczących amortyzacji danego rodzaju wartości niematerialnych w zakresie i w czasie, w jakim są one wykorzystywane do realizacji projektu.</w:t>
      </w:r>
    </w:p>
    <w:p w:rsidR="00C632DB" w:rsidRDefault="00C632DB" w:rsidP="005C74BF">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te są kwalifikowalne z uwzględnieniem przyjętych założeń technicznych projektu określonych we wniosku o dofinansowanie. </w:t>
      </w:r>
    </w:p>
    <w:p w:rsidR="00DF65A1" w:rsidRPr="009C6AED" w:rsidRDefault="00DF65A1" w:rsidP="00DF65A1">
      <w:pPr>
        <w:pStyle w:val="Nagwek2"/>
        <w:numPr>
          <w:ilvl w:val="2"/>
          <w:numId w:val="1"/>
        </w:numPr>
        <w:spacing w:before="240" w:after="60" w:line="360" w:lineRule="auto"/>
        <w:jc w:val="center"/>
        <w:rPr>
          <w:rFonts w:ascii="Arial" w:hAnsi="Arial" w:cs="Arial"/>
          <w:b w:val="0"/>
          <w:i/>
          <w:color w:val="auto"/>
          <w:sz w:val="24"/>
          <w:szCs w:val="24"/>
        </w:rPr>
      </w:pPr>
      <w:bookmarkStart w:id="129" w:name="_Toc498949832"/>
      <w:bookmarkStart w:id="130" w:name="_Toc466374126"/>
      <w:bookmarkStart w:id="131" w:name="_Toc508630124"/>
      <w:bookmarkEnd w:id="129"/>
      <w:r w:rsidRPr="009C6AED">
        <w:rPr>
          <w:rFonts w:ascii="Arial" w:hAnsi="Arial" w:cs="Arial"/>
          <w:b w:val="0"/>
          <w:i/>
          <w:color w:val="auto"/>
          <w:sz w:val="24"/>
          <w:szCs w:val="24"/>
        </w:rPr>
        <w:t xml:space="preserve">Kwalifikowalność wydatków w ramach pomocy de </w:t>
      </w:r>
      <w:proofErr w:type="spellStart"/>
      <w:r w:rsidRPr="009C6AED">
        <w:rPr>
          <w:rFonts w:ascii="Arial" w:hAnsi="Arial" w:cs="Arial"/>
          <w:b w:val="0"/>
          <w:i/>
          <w:color w:val="auto"/>
          <w:sz w:val="24"/>
          <w:szCs w:val="24"/>
        </w:rPr>
        <w:t>minimis</w:t>
      </w:r>
      <w:bookmarkEnd w:id="130"/>
      <w:bookmarkEnd w:id="131"/>
      <w:proofErr w:type="spellEnd"/>
    </w:p>
    <w:p w:rsidR="00DF65A1" w:rsidRPr="00DF65A1" w:rsidRDefault="00DF65A1" w:rsidP="00DF65A1">
      <w:pPr>
        <w:autoSpaceDE w:val="0"/>
        <w:autoSpaceDN w:val="0"/>
        <w:adjustRightInd w:val="0"/>
        <w:spacing w:before="120" w:after="120" w:line="360" w:lineRule="auto"/>
        <w:jc w:val="both"/>
        <w:rPr>
          <w:rFonts w:ascii="Arial" w:hAnsi="Arial" w:cs="Arial"/>
        </w:rPr>
      </w:pPr>
      <w:r w:rsidRPr="00DF65A1">
        <w:rPr>
          <w:rFonts w:ascii="Arial" w:hAnsi="Arial" w:cs="Arial"/>
        </w:rPr>
        <w:t xml:space="preserve">Do wydatków kwalifikujących się do objęcia wsparciem w ramach pomocy </w:t>
      </w:r>
      <w:r w:rsidRPr="009C6AED">
        <w:rPr>
          <w:rFonts w:ascii="Arial" w:hAnsi="Arial" w:cs="Arial"/>
          <w:i/>
        </w:rPr>
        <w:t xml:space="preserve">de </w:t>
      </w:r>
      <w:proofErr w:type="spellStart"/>
      <w:r w:rsidRPr="009C6AED">
        <w:rPr>
          <w:rFonts w:ascii="Arial" w:hAnsi="Arial" w:cs="Arial"/>
          <w:i/>
        </w:rPr>
        <w:t>minimis</w:t>
      </w:r>
      <w:proofErr w:type="spellEnd"/>
      <w:r w:rsidRPr="00DF65A1">
        <w:rPr>
          <w:rFonts w:ascii="Arial" w:hAnsi="Arial" w:cs="Arial"/>
        </w:rPr>
        <w:t xml:space="preserve"> udzielanej na podstawie Rozporządzenia Komisji (UE) nr 1407/2013 zalicza się wydatki na:</w:t>
      </w:r>
    </w:p>
    <w:p w:rsidR="00DF65A1" w:rsidRPr="00DF65A1" w:rsidRDefault="00DF65A1" w:rsidP="00137BC9">
      <w:pPr>
        <w:numPr>
          <w:ilvl w:val="0"/>
          <w:numId w:val="66"/>
        </w:numPr>
        <w:autoSpaceDE w:val="0"/>
        <w:autoSpaceDN w:val="0"/>
        <w:adjustRightInd w:val="0"/>
        <w:spacing w:before="120" w:after="120" w:line="360" w:lineRule="auto"/>
        <w:jc w:val="both"/>
        <w:rPr>
          <w:rFonts w:ascii="Arial" w:hAnsi="Arial" w:cs="Arial"/>
        </w:rPr>
      </w:pPr>
      <w:r w:rsidRPr="00DF65A1">
        <w:rPr>
          <w:rFonts w:ascii="Arial" w:hAnsi="Arial" w:cs="Arial"/>
        </w:rPr>
        <w:t>opłaty publicznoprawne związane z przygotowaniem i realizacją projektu, w szczególności za wydanie decyzji, zgód, zezwoleń, w tym m.in.:</w:t>
      </w:r>
    </w:p>
    <w:p w:rsidR="00DF65A1" w:rsidRPr="00DF65A1" w:rsidRDefault="00DF65A1" w:rsidP="00137BC9">
      <w:pPr>
        <w:numPr>
          <w:ilvl w:val="0"/>
          <w:numId w:val="67"/>
        </w:numPr>
        <w:spacing w:before="120" w:after="120" w:line="360" w:lineRule="auto"/>
        <w:jc w:val="both"/>
        <w:rPr>
          <w:rFonts w:ascii="Arial" w:hAnsi="Arial" w:cs="Arial"/>
        </w:rPr>
      </w:pPr>
      <w:r w:rsidRPr="00DF65A1">
        <w:rPr>
          <w:rFonts w:ascii="Arial" w:hAnsi="Arial" w:cs="Arial"/>
        </w:rPr>
        <w:t>opłaty związane z zajęciem pasa drogowego w celu prowadzenia robót w pasie drogowym,</w:t>
      </w:r>
    </w:p>
    <w:p w:rsidR="00DF65A1" w:rsidRPr="00DF65A1" w:rsidRDefault="00DF65A1" w:rsidP="00137BC9">
      <w:pPr>
        <w:numPr>
          <w:ilvl w:val="0"/>
          <w:numId w:val="67"/>
        </w:numPr>
        <w:spacing w:before="120" w:after="120" w:line="360" w:lineRule="auto"/>
        <w:jc w:val="both"/>
        <w:rPr>
          <w:rFonts w:ascii="Arial" w:hAnsi="Arial" w:cs="Arial"/>
        </w:rPr>
      </w:pPr>
      <w:r w:rsidRPr="00DF65A1">
        <w:rPr>
          <w:rFonts w:ascii="Arial" w:hAnsi="Arial" w:cs="Arial"/>
        </w:rPr>
        <w:t>opłaty związane z uzyskaniem pozwolenia na budowę</w:t>
      </w:r>
      <w:r>
        <w:rPr>
          <w:rFonts w:ascii="Arial" w:hAnsi="Arial" w:cs="Arial"/>
        </w:rPr>
        <w:t>,</w:t>
      </w:r>
    </w:p>
    <w:p w:rsidR="00DF65A1" w:rsidRPr="00DF65A1" w:rsidRDefault="00DF65A1" w:rsidP="00DF65A1">
      <w:pPr>
        <w:autoSpaceDE w:val="0"/>
        <w:autoSpaceDN w:val="0"/>
        <w:adjustRightInd w:val="0"/>
        <w:spacing w:before="120" w:after="120" w:line="360" w:lineRule="auto"/>
        <w:jc w:val="both"/>
        <w:rPr>
          <w:rFonts w:ascii="Arial" w:hAnsi="Arial" w:cs="Arial"/>
        </w:rPr>
      </w:pPr>
      <w:r w:rsidRPr="00DF65A1">
        <w:rPr>
          <w:rFonts w:ascii="Arial" w:hAnsi="Arial" w:cs="Arial"/>
        </w:rPr>
        <w:t>- wydatki te są niekwalifikowalne, jeśli stanowią karę za naruszenie obowiązujących przepisów prawa;</w:t>
      </w:r>
    </w:p>
    <w:p w:rsidR="00DF65A1" w:rsidRPr="00DF65A1" w:rsidRDefault="00DF65A1" w:rsidP="00137BC9">
      <w:pPr>
        <w:numPr>
          <w:ilvl w:val="0"/>
          <w:numId w:val="66"/>
        </w:numPr>
        <w:autoSpaceDE w:val="0"/>
        <w:autoSpaceDN w:val="0"/>
        <w:adjustRightInd w:val="0"/>
        <w:spacing w:before="120" w:after="120" w:line="360" w:lineRule="auto"/>
        <w:jc w:val="both"/>
        <w:rPr>
          <w:rFonts w:ascii="Arial" w:hAnsi="Arial" w:cs="Arial"/>
        </w:rPr>
      </w:pPr>
      <w:r w:rsidRPr="00DF65A1">
        <w:rPr>
          <w:rFonts w:ascii="Arial" w:hAnsi="Arial" w:cs="Arial"/>
        </w:rPr>
        <w:t xml:space="preserve">dokumentację powykonawczą w rozumieniu  </w:t>
      </w:r>
      <w:r>
        <w:rPr>
          <w:rFonts w:ascii="Arial" w:hAnsi="Arial" w:cs="Arial"/>
        </w:rPr>
        <w:t>-</w:t>
      </w:r>
      <w:r w:rsidRPr="00DF65A1">
        <w:rPr>
          <w:rFonts w:ascii="Arial" w:hAnsi="Arial" w:cs="Arial"/>
        </w:rPr>
        <w:t xml:space="preserve"> </w:t>
      </w:r>
      <w:r w:rsidRPr="00DF65A1">
        <w:rPr>
          <w:rFonts w:ascii="Arial" w:hAnsi="Arial" w:cs="Arial"/>
          <w:i/>
        </w:rPr>
        <w:t>Praw</w:t>
      </w:r>
      <w:r>
        <w:rPr>
          <w:rFonts w:ascii="Arial" w:hAnsi="Arial" w:cs="Arial"/>
          <w:i/>
        </w:rPr>
        <w:t>a</w:t>
      </w:r>
      <w:r w:rsidRPr="00DF65A1">
        <w:rPr>
          <w:rFonts w:ascii="Arial" w:hAnsi="Arial" w:cs="Arial"/>
          <w:i/>
        </w:rPr>
        <w:t xml:space="preserve"> budowlane</w:t>
      </w:r>
      <w:r>
        <w:rPr>
          <w:rFonts w:ascii="Arial" w:hAnsi="Arial" w:cs="Arial"/>
          <w:i/>
        </w:rPr>
        <w:t>go</w:t>
      </w:r>
      <w:r w:rsidRPr="00DF65A1">
        <w:rPr>
          <w:rFonts w:ascii="Arial" w:hAnsi="Arial" w:cs="Arial"/>
        </w:rPr>
        <w:t>;</w:t>
      </w:r>
    </w:p>
    <w:p w:rsidR="00DF65A1" w:rsidRPr="00DF65A1" w:rsidRDefault="00DF65A1" w:rsidP="00137BC9">
      <w:pPr>
        <w:numPr>
          <w:ilvl w:val="0"/>
          <w:numId w:val="66"/>
        </w:numPr>
        <w:autoSpaceDE w:val="0"/>
        <w:autoSpaceDN w:val="0"/>
        <w:adjustRightInd w:val="0"/>
        <w:spacing w:before="120" w:after="120" w:line="360" w:lineRule="auto"/>
        <w:jc w:val="both"/>
        <w:rPr>
          <w:rFonts w:ascii="Arial" w:hAnsi="Arial" w:cs="Arial"/>
        </w:rPr>
      </w:pPr>
      <w:r w:rsidRPr="00DF65A1">
        <w:rPr>
          <w:rFonts w:ascii="Arial" w:hAnsi="Arial" w:cs="Arial"/>
        </w:rPr>
        <w:t>obsługę instrumentów zabezpieczających realizację umowy o udzielenie wsparcia</w:t>
      </w:r>
      <w:r w:rsidRPr="00DF65A1">
        <w:rPr>
          <w:rFonts w:ascii="Arial" w:hAnsi="Arial" w:cs="Arial"/>
          <w:vertAlign w:val="superscript"/>
        </w:rPr>
        <w:footnoteReference w:id="21"/>
      </w:r>
      <w:r w:rsidRPr="00DF65A1">
        <w:rPr>
          <w:rFonts w:ascii="Arial" w:hAnsi="Arial" w:cs="Arial"/>
        </w:rPr>
        <w:t>, określonych w umowie o udzielenie wsparcia;</w:t>
      </w:r>
    </w:p>
    <w:p w:rsidR="00DF65A1" w:rsidRPr="00DB5FC3" w:rsidRDefault="00DF65A1" w:rsidP="00137BC9">
      <w:pPr>
        <w:numPr>
          <w:ilvl w:val="0"/>
          <w:numId w:val="66"/>
        </w:numPr>
        <w:autoSpaceDE w:val="0"/>
        <w:autoSpaceDN w:val="0"/>
        <w:adjustRightInd w:val="0"/>
        <w:spacing w:before="120" w:after="120" w:line="360" w:lineRule="auto"/>
        <w:jc w:val="both"/>
        <w:rPr>
          <w:rFonts w:ascii="Arial" w:hAnsi="Arial" w:cs="Arial"/>
        </w:rPr>
      </w:pPr>
      <w:r w:rsidRPr="00DF65A1">
        <w:rPr>
          <w:rFonts w:ascii="Arial" w:hAnsi="Arial" w:cs="Arial"/>
        </w:rPr>
        <w:t xml:space="preserve">wydatki związane z przygotowaniem projektu w zakresie w jakim są niezbędne do złożenia wniosku o dofinansowanie, do kwoty nieprzekraczającej 20 tys. zł oraz </w:t>
      </w:r>
      <w:r w:rsidRPr="00DB5FC3">
        <w:rPr>
          <w:rFonts w:ascii="Arial" w:hAnsi="Arial" w:cs="Arial"/>
        </w:rPr>
        <w:t>poniesione nie wcześniej niż 3 miesiące przed dniem złożenia tego wniosku, dotyczące:</w:t>
      </w:r>
    </w:p>
    <w:p w:rsidR="00DF65A1" w:rsidRPr="00DB5FC3" w:rsidRDefault="00DF65A1" w:rsidP="00137BC9">
      <w:pPr>
        <w:numPr>
          <w:ilvl w:val="0"/>
          <w:numId w:val="68"/>
        </w:numPr>
        <w:spacing w:before="120" w:after="120" w:line="360" w:lineRule="auto"/>
        <w:jc w:val="both"/>
        <w:rPr>
          <w:rFonts w:ascii="Arial" w:hAnsi="Arial" w:cs="Arial"/>
        </w:rPr>
      </w:pPr>
      <w:r w:rsidRPr="00DB5FC3">
        <w:rPr>
          <w:rFonts w:ascii="Arial" w:hAnsi="Arial" w:cs="Arial"/>
        </w:rPr>
        <w:t xml:space="preserve">dokumentacji projektowej </w:t>
      </w:r>
    </w:p>
    <w:p w:rsidR="00DF65A1" w:rsidRPr="00906D5B" w:rsidRDefault="00DF65A1" w:rsidP="00137BC9">
      <w:pPr>
        <w:numPr>
          <w:ilvl w:val="0"/>
          <w:numId w:val="68"/>
        </w:numPr>
        <w:spacing w:before="120" w:after="120" w:line="360" w:lineRule="auto"/>
        <w:jc w:val="both"/>
        <w:rPr>
          <w:rFonts w:ascii="Arial" w:hAnsi="Arial" w:cs="Arial"/>
        </w:rPr>
      </w:pPr>
      <w:r w:rsidRPr="009C4ADD">
        <w:rPr>
          <w:rFonts w:ascii="Arial" w:hAnsi="Arial" w:cs="Arial"/>
        </w:rPr>
        <w:t>dokumentacji</w:t>
      </w:r>
      <w:r w:rsidRPr="00906D5B">
        <w:rPr>
          <w:rFonts w:ascii="Arial" w:hAnsi="Arial" w:cs="Arial"/>
        </w:rPr>
        <w:t xml:space="preserve"> technicznej, </w:t>
      </w:r>
    </w:p>
    <w:p w:rsidR="00DF65A1" w:rsidRPr="00B7472D" w:rsidRDefault="00DF65A1" w:rsidP="00137BC9">
      <w:pPr>
        <w:numPr>
          <w:ilvl w:val="0"/>
          <w:numId w:val="68"/>
        </w:numPr>
        <w:spacing w:before="120" w:after="120" w:line="360" w:lineRule="auto"/>
        <w:jc w:val="both"/>
        <w:rPr>
          <w:rFonts w:ascii="Arial" w:hAnsi="Arial" w:cs="Arial"/>
        </w:rPr>
      </w:pPr>
      <w:r w:rsidRPr="00906D5B">
        <w:rPr>
          <w:rFonts w:ascii="Arial" w:hAnsi="Arial" w:cs="Arial"/>
        </w:rPr>
        <w:t xml:space="preserve">studium wykonalności lub </w:t>
      </w:r>
      <w:r w:rsidRPr="00B7472D">
        <w:rPr>
          <w:rFonts w:ascii="Arial" w:hAnsi="Arial" w:cs="Arial"/>
        </w:rPr>
        <w:t>innego dokumentu określonego w dokumentacji konkursowej  w zależności od tego jaki dokument jest wymagany,</w:t>
      </w:r>
    </w:p>
    <w:p w:rsidR="00DF65A1" w:rsidRPr="00B7472D" w:rsidRDefault="00DF65A1" w:rsidP="00137BC9">
      <w:pPr>
        <w:numPr>
          <w:ilvl w:val="0"/>
          <w:numId w:val="68"/>
        </w:numPr>
        <w:spacing w:before="120" w:after="120" w:line="360" w:lineRule="auto"/>
        <w:jc w:val="both"/>
        <w:rPr>
          <w:rFonts w:ascii="Arial" w:hAnsi="Arial" w:cs="Arial"/>
        </w:rPr>
      </w:pPr>
      <w:r w:rsidRPr="00B7472D">
        <w:rPr>
          <w:rFonts w:ascii="Arial" w:hAnsi="Arial" w:cs="Arial"/>
        </w:rPr>
        <w:t xml:space="preserve">map lub szkiców sytuujących projekt, </w:t>
      </w:r>
    </w:p>
    <w:p w:rsidR="00DF65A1" w:rsidRPr="00DF65A1" w:rsidRDefault="00DF65A1" w:rsidP="00DF65A1">
      <w:pPr>
        <w:autoSpaceDE w:val="0"/>
        <w:autoSpaceDN w:val="0"/>
        <w:adjustRightInd w:val="0"/>
        <w:spacing w:before="120" w:after="120" w:line="360" w:lineRule="auto"/>
        <w:jc w:val="both"/>
        <w:rPr>
          <w:rFonts w:ascii="Arial" w:hAnsi="Arial" w:cs="Arial"/>
        </w:rPr>
      </w:pPr>
      <w:r w:rsidRPr="00D103D8">
        <w:rPr>
          <w:rFonts w:ascii="Arial" w:hAnsi="Arial" w:cs="Arial"/>
        </w:rPr>
        <w:t xml:space="preserve">- z </w:t>
      </w:r>
      <w:r w:rsidRPr="00DF65A1">
        <w:rPr>
          <w:rFonts w:ascii="Arial" w:hAnsi="Arial" w:cs="Arial"/>
        </w:rPr>
        <w:t>wyjątkiem wydatków związanych z wypełnieniem formularza wniosku o dofinansowanie.</w:t>
      </w:r>
    </w:p>
    <w:p w:rsidR="00DB5FC3" w:rsidRDefault="00DF65A1" w:rsidP="00DB5FC3">
      <w:pPr>
        <w:pStyle w:val="Nagwek2"/>
        <w:numPr>
          <w:ilvl w:val="2"/>
          <w:numId w:val="1"/>
        </w:numPr>
        <w:spacing w:before="240" w:after="60" w:line="360" w:lineRule="auto"/>
        <w:jc w:val="center"/>
        <w:rPr>
          <w:rFonts w:ascii="Arial" w:hAnsi="Arial" w:cs="Arial"/>
          <w:b w:val="0"/>
          <w:i/>
          <w:color w:val="auto"/>
          <w:sz w:val="24"/>
          <w:szCs w:val="24"/>
        </w:rPr>
      </w:pPr>
      <w:bookmarkStart w:id="132" w:name="_Toc508630125"/>
      <w:r w:rsidRPr="00DB5FC3">
        <w:rPr>
          <w:rFonts w:ascii="Arial" w:hAnsi="Arial" w:cs="Arial"/>
          <w:b w:val="0"/>
          <w:i/>
          <w:color w:val="auto"/>
          <w:sz w:val="24"/>
          <w:szCs w:val="24"/>
        </w:rPr>
        <w:t>Wydatki niekwalifikowalne</w:t>
      </w:r>
      <w:bookmarkEnd w:id="132"/>
    </w:p>
    <w:p w:rsidR="00DB5FC3" w:rsidRPr="006101E2" w:rsidRDefault="00DB5FC3" w:rsidP="00DB5FC3">
      <w:pPr>
        <w:autoSpaceDE w:val="0"/>
        <w:autoSpaceDN w:val="0"/>
        <w:adjustRightInd w:val="0"/>
        <w:spacing w:before="120" w:after="120" w:line="360" w:lineRule="auto"/>
        <w:jc w:val="both"/>
        <w:rPr>
          <w:rFonts w:ascii="Arial" w:hAnsi="Arial" w:cs="Arial"/>
        </w:rPr>
      </w:pPr>
      <w:r w:rsidRPr="006101E2">
        <w:rPr>
          <w:rFonts w:ascii="Arial" w:hAnsi="Arial" w:cs="Arial"/>
        </w:rPr>
        <w:t>Za niekwalifikowalne uznaje się wydatki określone w ramach poniższych kategorii:</w:t>
      </w:r>
    </w:p>
    <w:p w:rsidR="00DB5FC3" w:rsidRPr="006101E2" w:rsidRDefault="00DB5FC3" w:rsidP="00137BC9">
      <w:pPr>
        <w:numPr>
          <w:ilvl w:val="0"/>
          <w:numId w:val="69"/>
        </w:numPr>
        <w:autoSpaceDE w:val="0"/>
        <w:autoSpaceDN w:val="0"/>
        <w:adjustRightInd w:val="0"/>
        <w:spacing w:before="120" w:after="120" w:line="360" w:lineRule="auto"/>
        <w:jc w:val="both"/>
        <w:rPr>
          <w:rFonts w:ascii="Arial" w:hAnsi="Arial" w:cs="Arial"/>
        </w:rPr>
      </w:pPr>
      <w:r w:rsidRPr="006101E2">
        <w:rPr>
          <w:rFonts w:ascii="Arial" w:hAnsi="Arial" w:cs="Arial"/>
        </w:rPr>
        <w:lastRenderedPageBreak/>
        <w:t>Wszelkie wydatki dotyczące aktywnych elementów sieci umieszczanych lub instalowanych w budynkach</w:t>
      </w:r>
      <w:r>
        <w:rPr>
          <w:rFonts w:ascii="Arial" w:hAnsi="Arial" w:cs="Arial"/>
        </w:rPr>
        <w:t xml:space="preserve">, </w:t>
      </w:r>
      <w:r w:rsidRPr="00846494">
        <w:rPr>
          <w:rFonts w:ascii="Arial" w:hAnsi="Arial" w:cs="Arial"/>
        </w:rPr>
        <w:t xml:space="preserve">z wyjątkiem wydatków na urządzenia aktywne umieszczonych </w:t>
      </w:r>
      <w:r>
        <w:rPr>
          <w:rFonts w:ascii="Arial" w:hAnsi="Arial" w:cs="Arial"/>
        </w:rPr>
        <w:t xml:space="preserve">na terenie i w budynkach placówek wchodzących w skład systemu oświaty, o których mowa w art. 2 ustawy z dnia 7 września 1991 r. o systemie oświaty (j.t. Dz. U. 2016 r., poz. 1943) wskazanych w dokumentacji konkursowej dla obszaru na którym realizowany będzie projekt, lub </w:t>
      </w:r>
      <w:r w:rsidRPr="00846494">
        <w:rPr>
          <w:rFonts w:ascii="Arial" w:hAnsi="Arial" w:cs="Arial"/>
        </w:rPr>
        <w:t>w pomieszczeniu budynku wielorodzinnego, o którym mowa § 192f ust. 1 pkt 1 rozporządzenia Ministra Infrastruktury z dnia 12 kwietnia 2002 r. w sprawie warunków technicznych jakim powinny odpowiadać budynki i ich usytuowanie.</w:t>
      </w:r>
      <w:r w:rsidRPr="006101E2">
        <w:rPr>
          <w:rFonts w:ascii="Arial" w:hAnsi="Arial" w:cs="Arial"/>
        </w:rPr>
        <w:t xml:space="preserve"> </w:t>
      </w:r>
      <w:r w:rsidR="009C4ADD">
        <w:rPr>
          <w:rFonts w:ascii="Arial" w:hAnsi="Arial" w:cs="Arial"/>
        </w:rPr>
        <w:t xml:space="preserve"> </w:t>
      </w:r>
      <w:r w:rsidRPr="006101E2">
        <w:rPr>
          <w:rFonts w:ascii="Arial" w:hAnsi="Arial" w:cs="Arial"/>
        </w:rPr>
        <w:t xml:space="preserve">W szczególności dotyczy to wydatków ponoszonych na wszelkie formy nabycia, wytworzenia, zakupu, dzierżawy, najmu lub instalacji urządzeń abonenckich. Urządzeniem abonenckim są w tym rozumieniu urządzenia telekomunikacyjne (a także telekomunikacyjne urządzenia końcowe), w tym np. aktywne elementy stanowiące zakończenie sieci, modemy i routery wyposażone np. w porty, złącza, bramki VoIP czy interfejsy bezprzewodowe, stanowiące dla użytkownika końcowego bezpośredni punkt służący do podłączenia wykorzystywanych w jego lokalizacji urządzeń (rozumianych jako komputery osobiste, laptopy, tablety, smartphone i inne tego typu) takie jak np. ONT, modemy </w:t>
      </w:r>
      <w:proofErr w:type="spellStart"/>
      <w:r w:rsidRPr="006101E2">
        <w:rPr>
          <w:rFonts w:ascii="Arial" w:hAnsi="Arial" w:cs="Arial"/>
        </w:rPr>
        <w:t>xDSL</w:t>
      </w:r>
      <w:proofErr w:type="spellEnd"/>
      <w:r w:rsidRPr="006101E2">
        <w:rPr>
          <w:rFonts w:ascii="Arial" w:hAnsi="Arial" w:cs="Arial"/>
        </w:rPr>
        <w:t>, DOCSIS oraz stosowane w sieciach bezprzewodowych, niezależnie czy przedmiotowe urządzenie abonenckie zostanie zlokalizowane w lokalu potencjalnego użytkownika końcowego czy poza nim. Wszelkie wydatki dotyczące różnego rodzaju urządzeń elektronicznych służących bezpośrednio użytkownikom końcowym, tj. laptopy, komputery osobiste, telefony, smartfony, tablety itp.</w:t>
      </w:r>
    </w:p>
    <w:p w:rsidR="00DB5FC3" w:rsidRPr="006101E2" w:rsidRDefault="00DB5FC3" w:rsidP="00137BC9">
      <w:pPr>
        <w:numPr>
          <w:ilvl w:val="0"/>
          <w:numId w:val="69"/>
        </w:numPr>
        <w:spacing w:before="120" w:after="120" w:line="360" w:lineRule="auto"/>
        <w:jc w:val="both"/>
        <w:rPr>
          <w:rFonts w:ascii="Arial" w:hAnsi="Arial" w:cs="Arial"/>
        </w:rPr>
      </w:pPr>
      <w:r w:rsidRPr="006101E2">
        <w:rPr>
          <w:rFonts w:ascii="Arial" w:hAnsi="Arial" w:cs="Arial"/>
        </w:rPr>
        <w:t>Dla projektów realizowanych w obszarze zabudowy:</w:t>
      </w:r>
    </w:p>
    <w:p w:rsidR="00DB5FC3" w:rsidRPr="00846494" w:rsidRDefault="00DB5FC3" w:rsidP="00137BC9">
      <w:pPr>
        <w:numPr>
          <w:ilvl w:val="0"/>
          <w:numId w:val="70"/>
        </w:numPr>
        <w:spacing w:before="120" w:after="120" w:line="360" w:lineRule="auto"/>
        <w:jc w:val="both"/>
        <w:rPr>
          <w:rFonts w:ascii="Arial" w:hAnsi="Arial" w:cs="Arial"/>
        </w:rPr>
      </w:pPr>
      <w:r w:rsidRPr="006101E2">
        <w:rPr>
          <w:rFonts w:ascii="Arial" w:hAnsi="Arial" w:cs="Arial"/>
        </w:rPr>
        <w:t xml:space="preserve">jednorodzinnej - za niekwalifikowalne uznaje się wydatki na </w:t>
      </w:r>
      <w:r w:rsidRPr="00846494">
        <w:rPr>
          <w:rFonts w:ascii="Arial" w:hAnsi="Arial" w:cs="Arial"/>
        </w:rPr>
        <w:t>realizację odcinka linii kablowych i ich duktów od granicy działki ewidencyjnej, na której usytuowany jest budynek, w którym znajduje się zakończenie tego odcinka</w:t>
      </w:r>
      <w:r>
        <w:rPr>
          <w:rFonts w:ascii="Arial" w:hAnsi="Arial" w:cs="Arial"/>
        </w:rPr>
        <w:t>,</w:t>
      </w:r>
      <w:r w:rsidRPr="00846494">
        <w:rPr>
          <w:rFonts w:ascii="Arial" w:hAnsi="Arial" w:cs="Arial"/>
        </w:rPr>
        <w:t xml:space="preserve"> aż do zakończenia sieci,</w:t>
      </w:r>
    </w:p>
    <w:p w:rsidR="00DB5FC3" w:rsidRPr="006101E2" w:rsidRDefault="00DB5FC3" w:rsidP="00137BC9">
      <w:pPr>
        <w:numPr>
          <w:ilvl w:val="0"/>
          <w:numId w:val="70"/>
        </w:numPr>
        <w:spacing w:before="120" w:after="120" w:line="360" w:lineRule="auto"/>
        <w:jc w:val="both"/>
        <w:rPr>
          <w:rFonts w:ascii="Arial" w:hAnsi="Arial" w:cs="Arial"/>
        </w:rPr>
      </w:pPr>
      <w:r w:rsidRPr="006101E2">
        <w:rPr>
          <w:rFonts w:ascii="Arial" w:hAnsi="Arial" w:cs="Arial"/>
        </w:rPr>
        <w:t>wielorodzinnej - za niekwalifikowalne uznaje się wydatki na realizację</w:t>
      </w:r>
      <w:r>
        <w:rPr>
          <w:rFonts w:ascii="Arial" w:hAnsi="Arial" w:cs="Arial"/>
        </w:rPr>
        <w:t xml:space="preserve"> instalacji </w:t>
      </w:r>
      <w:r w:rsidRPr="00846494">
        <w:rPr>
          <w:rFonts w:ascii="Arial" w:hAnsi="Arial" w:cs="Arial"/>
        </w:rPr>
        <w:t>odcinka linii kablowych i ich duktów</w:t>
      </w:r>
      <w:r w:rsidRPr="006101E2">
        <w:rPr>
          <w:rFonts w:ascii="Arial" w:hAnsi="Arial" w:cs="Arial"/>
        </w:rPr>
        <w:t xml:space="preserve"> wewnątrz budynku wielorodzinnego, </w:t>
      </w:r>
      <w:r w:rsidRPr="00846494">
        <w:rPr>
          <w:rFonts w:ascii="Arial" w:hAnsi="Arial" w:cs="Arial"/>
        </w:rPr>
        <w:t>w tym odcinka linii kablowych i ich duktów</w:t>
      </w:r>
      <w:r w:rsidRPr="006101E2">
        <w:rPr>
          <w:rFonts w:ascii="Arial" w:hAnsi="Arial" w:cs="Arial"/>
        </w:rPr>
        <w:t xml:space="preserve"> </w:t>
      </w:r>
      <w:r>
        <w:rPr>
          <w:rFonts w:ascii="Arial" w:hAnsi="Arial" w:cs="Arial"/>
        </w:rPr>
        <w:t xml:space="preserve">instalacji </w:t>
      </w:r>
      <w:r w:rsidRPr="006101E2">
        <w:rPr>
          <w:rFonts w:ascii="Arial" w:hAnsi="Arial" w:cs="Arial"/>
        </w:rPr>
        <w:t xml:space="preserve">wewnątrz mieszkań. Dotyczy to </w:t>
      </w:r>
      <w:r w:rsidRPr="00846494">
        <w:rPr>
          <w:rFonts w:ascii="Arial" w:hAnsi="Arial" w:cs="Arial"/>
        </w:rPr>
        <w:t>odcinka linii kablowych i ich duktów</w:t>
      </w:r>
      <w:r w:rsidRPr="00846494" w:rsidDel="00180CF6">
        <w:rPr>
          <w:rFonts w:ascii="Arial" w:hAnsi="Arial" w:cs="Arial"/>
        </w:rPr>
        <w:t xml:space="preserve"> </w:t>
      </w:r>
      <w:r w:rsidRPr="006101E2">
        <w:rPr>
          <w:rFonts w:ascii="Arial" w:hAnsi="Arial" w:cs="Arial"/>
        </w:rPr>
        <w:t xml:space="preserve">od punktu połączenia instalacji telekomunikacyjnej z publiczną siecią telekomunikacyjną (punkt styku, o którym mowa w § 192f rozporządzenia Ministra Infrastruktury z dnia 12 kwietnia 2002 r. w sprawie warunków technicznych jakim powinny odpowiadać budynki i ich usytuowanie. Co do zasady rozporządzenie jest stosowane wyłącznie do nowych budynków, jednakże w przypadku projektów współfinansowanych z POPC, wskazana definicja będzie stosowana odpowiednio również do budynków istniejących) do zakończenia sieci, </w:t>
      </w:r>
    </w:p>
    <w:p w:rsidR="00DB5FC3" w:rsidRPr="006101E2" w:rsidRDefault="00DB5FC3" w:rsidP="00137BC9">
      <w:pPr>
        <w:numPr>
          <w:ilvl w:val="0"/>
          <w:numId w:val="70"/>
        </w:numPr>
        <w:spacing w:before="120" w:after="120" w:line="360" w:lineRule="auto"/>
        <w:jc w:val="both"/>
        <w:rPr>
          <w:rFonts w:ascii="Arial" w:hAnsi="Arial" w:cs="Arial"/>
        </w:rPr>
      </w:pPr>
      <w:r w:rsidRPr="006101E2">
        <w:rPr>
          <w:rFonts w:ascii="Arial" w:hAnsi="Arial" w:cs="Arial"/>
        </w:rPr>
        <w:lastRenderedPageBreak/>
        <w:t>wielorodzinnej typu szeregowego, stosuje się odpowiednio zasady dla zabudowy jednorodzinnej, przy czym uznaje się, że każdy wydzielony lokal mieszkalny może być traktowany jak odrębny dom jednorodzinny,</w:t>
      </w:r>
    </w:p>
    <w:p w:rsidR="00DB5FC3" w:rsidRPr="006101E2" w:rsidRDefault="00DB5FC3" w:rsidP="00DB5FC3">
      <w:pPr>
        <w:autoSpaceDE w:val="0"/>
        <w:autoSpaceDN w:val="0"/>
        <w:adjustRightInd w:val="0"/>
        <w:spacing w:before="120" w:after="120" w:line="360" w:lineRule="auto"/>
        <w:jc w:val="both"/>
        <w:rPr>
          <w:rFonts w:ascii="Arial" w:hAnsi="Arial" w:cs="Arial"/>
        </w:rPr>
      </w:pPr>
      <w:r w:rsidRPr="006101E2">
        <w:rPr>
          <w:rFonts w:ascii="Arial" w:hAnsi="Arial" w:cs="Arial"/>
        </w:rPr>
        <w:t>W przypadku mieszanego typu zabudowy danego obszaru, powyższe zasady stosuje się odpowiednio dla danego typu budynku jednorodzinnego, wielorodzinnego lub wielorodzinnego szeregowego.</w:t>
      </w:r>
    </w:p>
    <w:p w:rsidR="00DB5FC3" w:rsidRPr="006101E2" w:rsidRDefault="00DB5FC3" w:rsidP="00DB5FC3">
      <w:pPr>
        <w:autoSpaceDE w:val="0"/>
        <w:autoSpaceDN w:val="0"/>
        <w:adjustRightInd w:val="0"/>
        <w:spacing w:before="120" w:after="120" w:line="360" w:lineRule="auto"/>
        <w:jc w:val="both"/>
        <w:rPr>
          <w:rFonts w:ascii="Arial" w:hAnsi="Arial" w:cs="Arial"/>
        </w:rPr>
      </w:pPr>
      <w:r w:rsidRPr="006101E2">
        <w:rPr>
          <w:rFonts w:ascii="Arial" w:hAnsi="Arial" w:cs="Arial"/>
        </w:rPr>
        <w:t xml:space="preserve">W przypadku realizacji projektu w technologii bezprzewodowej za </w:t>
      </w:r>
      <w:r w:rsidR="0036761B" w:rsidRPr="006101E2">
        <w:rPr>
          <w:rFonts w:ascii="Arial" w:hAnsi="Arial" w:cs="Arial"/>
        </w:rPr>
        <w:t>niekwalifikowalne</w:t>
      </w:r>
      <w:r w:rsidRPr="006101E2">
        <w:rPr>
          <w:rFonts w:ascii="Arial" w:hAnsi="Arial" w:cs="Arial"/>
        </w:rPr>
        <w:t xml:space="preserve"> uznaje się wydatki dotyczące elementów infrastruktury i sieci telekomunikacyjnej instalowane w budynku stanowiącym lokalizację potencjalnego użytkownika końcowego.</w:t>
      </w:r>
    </w:p>
    <w:p w:rsidR="00DB5FC3" w:rsidRPr="006101E2" w:rsidRDefault="00DB5FC3" w:rsidP="00DB5FC3">
      <w:pPr>
        <w:autoSpaceDE w:val="0"/>
        <w:autoSpaceDN w:val="0"/>
        <w:adjustRightInd w:val="0"/>
        <w:spacing w:before="120" w:after="120" w:line="360" w:lineRule="auto"/>
        <w:jc w:val="both"/>
        <w:rPr>
          <w:rFonts w:ascii="Arial" w:hAnsi="Arial" w:cs="Arial"/>
        </w:rPr>
      </w:pPr>
      <w:r w:rsidRPr="006101E2">
        <w:rPr>
          <w:rFonts w:ascii="Arial" w:hAnsi="Arial" w:cs="Arial"/>
        </w:rPr>
        <w:t>W zakresie wydatków ponoszonych na realizację sieci do budynków użyteczności publicznej (w zakresie i na zasadach określonych w dokumentacji konkursowej) za niekwalifikowalne uznaje się wydatki na realizację instalacji wewnątrz budynku</w:t>
      </w:r>
      <w:r>
        <w:rPr>
          <w:rFonts w:ascii="Arial" w:hAnsi="Arial" w:cs="Arial"/>
        </w:rPr>
        <w:t xml:space="preserve"> za wyjątkiem sytuacji, gdy poniesienie wydatku dotyczy realizacji projektu w budynku </w:t>
      </w:r>
      <w:r w:rsidR="009C4ADD">
        <w:rPr>
          <w:rFonts w:ascii="Arial" w:hAnsi="Arial" w:cs="Arial"/>
        </w:rPr>
        <w:t>placówki wchodzącej w skład systemu oświaty</w:t>
      </w:r>
      <w:r w:rsidRPr="006101E2">
        <w:rPr>
          <w:rFonts w:ascii="Arial" w:hAnsi="Arial" w:cs="Arial"/>
        </w:rPr>
        <w:t>. Dotyczy to odcinka od punktu połączenia instalacji telekomunikacyjnej z publiczną siecią telekomunikacyjną (punkt styku, o którym mowa w § 192f rozporządzenia Ministra Infrastruktury z dnia 12 kwietnia 2002 r. w sprawie warunków technicznych jakim powinny odpowiadać budynki i ich usytuowanie. Co do zasady rozporządzenie jest stosowane wyłącznie do nowych budynków, jednakże w przypadku projektów współfinansowanych z POPC, wskazana definicja będzie stosowana odpowiednio, również do budynków istniejących) do zakończenia instalacji w poszczególnych lokalach użytkowych.</w:t>
      </w:r>
    </w:p>
    <w:p w:rsidR="00DB5FC3" w:rsidRDefault="00DB5FC3" w:rsidP="00137BC9">
      <w:pPr>
        <w:numPr>
          <w:ilvl w:val="0"/>
          <w:numId w:val="69"/>
        </w:numPr>
        <w:spacing w:before="120" w:after="120" w:line="360" w:lineRule="auto"/>
        <w:jc w:val="both"/>
        <w:rPr>
          <w:rFonts w:ascii="Arial" w:hAnsi="Arial" w:cs="Arial"/>
        </w:rPr>
      </w:pPr>
      <w:r w:rsidRPr="006101E2">
        <w:rPr>
          <w:rFonts w:ascii="Arial" w:hAnsi="Arial" w:cs="Arial"/>
        </w:rPr>
        <w:t>Wszelkie wydatki dotyczące aktywnych elementów sieci, w szczególności urządzeń telekomunikacyjnych, w tym urządzeń radiowych instalowanych w telekomunikacyjnej sieci szkieletowej i dystrybucyjnej.</w:t>
      </w:r>
    </w:p>
    <w:p w:rsidR="00DB5FC3" w:rsidRPr="000D79AE" w:rsidRDefault="00DB5FC3" w:rsidP="00137BC9">
      <w:pPr>
        <w:pStyle w:val="Akapitzlist"/>
        <w:numPr>
          <w:ilvl w:val="0"/>
          <w:numId w:val="69"/>
        </w:numPr>
        <w:spacing w:after="0" w:line="360" w:lineRule="auto"/>
        <w:jc w:val="both"/>
        <w:rPr>
          <w:rFonts w:ascii="Arial" w:hAnsi="Arial" w:cs="Arial"/>
        </w:rPr>
      </w:pPr>
      <w:r>
        <w:rPr>
          <w:rFonts w:ascii="Arial" w:hAnsi="Arial" w:cs="Arial"/>
        </w:rPr>
        <w:t>Wszelkie w</w:t>
      </w:r>
      <w:r w:rsidRPr="007E469E">
        <w:rPr>
          <w:rFonts w:ascii="Arial" w:hAnsi="Arial" w:cs="Arial"/>
        </w:rPr>
        <w:t xml:space="preserve">ydatki związane z </w:t>
      </w:r>
      <w:r>
        <w:rPr>
          <w:rFonts w:ascii="Arial" w:hAnsi="Arial" w:cs="Arial"/>
        </w:rPr>
        <w:t xml:space="preserve">działaniami informacyjno-promocyjnymi w ramach projektów w </w:t>
      </w:r>
      <w:r w:rsidRPr="006101E2">
        <w:rPr>
          <w:rFonts w:ascii="Arial" w:eastAsia="MS Mincho" w:hAnsi="Arial" w:cs="Arial"/>
          <w:lang w:eastAsia="ja-JP"/>
        </w:rPr>
        <w:t>I osi priorytetowej POPC</w:t>
      </w:r>
      <w:r>
        <w:rPr>
          <w:rFonts w:ascii="Arial" w:hAnsi="Arial" w:cs="Arial"/>
        </w:rPr>
        <w:t xml:space="preserve">. </w:t>
      </w:r>
      <w:r w:rsidRPr="008F073C">
        <w:rPr>
          <w:rFonts w:ascii="Arial" w:hAnsi="Arial" w:cs="Arial"/>
        </w:rPr>
        <w:t xml:space="preserve">Beneficjent jest </w:t>
      </w:r>
      <w:r>
        <w:rPr>
          <w:rFonts w:ascii="Arial" w:hAnsi="Arial" w:cs="Arial"/>
        </w:rPr>
        <w:t xml:space="preserve">jednak </w:t>
      </w:r>
      <w:r w:rsidRPr="008F073C">
        <w:rPr>
          <w:rFonts w:ascii="Arial" w:hAnsi="Arial" w:cs="Arial"/>
        </w:rPr>
        <w:t xml:space="preserve">zobowiązany do stosowania </w:t>
      </w:r>
      <w:r>
        <w:rPr>
          <w:rFonts w:ascii="Arial" w:hAnsi="Arial" w:cs="Arial"/>
        </w:rPr>
        <w:t xml:space="preserve">obowiązków określonych w </w:t>
      </w:r>
      <w:r w:rsidRPr="008F073C">
        <w:rPr>
          <w:rFonts w:ascii="Arial" w:hAnsi="Arial" w:cs="Arial"/>
        </w:rPr>
        <w:t>punk</w:t>
      </w:r>
      <w:r>
        <w:rPr>
          <w:rFonts w:ascii="Arial" w:hAnsi="Arial" w:cs="Arial"/>
        </w:rPr>
        <w:t>cie</w:t>
      </w:r>
      <w:r w:rsidRPr="008F073C">
        <w:rPr>
          <w:rFonts w:ascii="Arial" w:hAnsi="Arial" w:cs="Arial"/>
        </w:rPr>
        <w:t xml:space="preserve"> 2.2. załącznika XII do Rozporządzenia Rady nr</w:t>
      </w:r>
      <w:r>
        <w:rPr>
          <w:rFonts w:ascii="Arial" w:hAnsi="Arial" w:cs="Arial"/>
        </w:rPr>
        <w:t> </w:t>
      </w:r>
      <w:r w:rsidRPr="008F073C">
        <w:rPr>
          <w:rFonts w:ascii="Arial" w:hAnsi="Arial" w:cs="Arial"/>
        </w:rPr>
        <w:t>1303/2013.</w:t>
      </w:r>
    </w:p>
    <w:p w:rsidR="00DB5FC3" w:rsidRPr="006101E2" w:rsidRDefault="00DB5FC3" w:rsidP="00137BC9">
      <w:pPr>
        <w:numPr>
          <w:ilvl w:val="0"/>
          <w:numId w:val="69"/>
        </w:numPr>
        <w:spacing w:before="120" w:after="120" w:line="360" w:lineRule="auto"/>
        <w:jc w:val="both"/>
        <w:rPr>
          <w:rFonts w:ascii="Arial" w:hAnsi="Arial" w:cs="Arial"/>
        </w:rPr>
      </w:pPr>
      <w:r w:rsidRPr="006101E2">
        <w:rPr>
          <w:rFonts w:ascii="Arial" w:hAnsi="Arial" w:cs="Arial"/>
        </w:rPr>
        <w:t>Wszelkie wydatki dotyczące realizacji infrastruktury i sieci w zakresie wykraczającym poza minimalne wymagania określone w „</w:t>
      </w:r>
      <w:r>
        <w:rPr>
          <w:rFonts w:ascii="Arial" w:hAnsi="Arial" w:cs="Arial"/>
        </w:rPr>
        <w:t>Wymaganiach dla sieci NGA - POPC</w:t>
      </w:r>
      <w:r w:rsidRPr="006101E2">
        <w:rPr>
          <w:rFonts w:ascii="Arial" w:hAnsi="Arial" w:cs="Arial"/>
        </w:rPr>
        <w:t xml:space="preserve"> stanowiących załączniki do dokumentacji konkursowej.</w:t>
      </w:r>
    </w:p>
    <w:p w:rsidR="00DB5FC3" w:rsidRPr="006101E2" w:rsidRDefault="00DB5FC3" w:rsidP="00137BC9">
      <w:pPr>
        <w:numPr>
          <w:ilvl w:val="0"/>
          <w:numId w:val="69"/>
        </w:numPr>
        <w:spacing w:before="120" w:after="120" w:line="360" w:lineRule="auto"/>
        <w:jc w:val="both"/>
        <w:rPr>
          <w:rFonts w:ascii="Arial" w:hAnsi="Arial" w:cs="Arial"/>
        </w:rPr>
      </w:pPr>
      <w:r w:rsidRPr="006101E2">
        <w:rPr>
          <w:rFonts w:ascii="Arial" w:hAnsi="Arial" w:cs="Arial"/>
        </w:rPr>
        <w:t>Wszelkie wydatki związane ze świadczeniem usług detalicznych i hurtowych, w tym zapewnieniem obsługi klientów, rozliczeń z nimi, przedstawienia ofert i cenników.</w:t>
      </w:r>
    </w:p>
    <w:p w:rsidR="00DB5FC3" w:rsidRPr="006101E2" w:rsidRDefault="00DB5FC3" w:rsidP="00137BC9">
      <w:pPr>
        <w:numPr>
          <w:ilvl w:val="0"/>
          <w:numId w:val="69"/>
        </w:numPr>
        <w:spacing w:before="120" w:after="120" w:line="360" w:lineRule="auto"/>
        <w:jc w:val="both"/>
        <w:rPr>
          <w:rFonts w:ascii="Arial" w:hAnsi="Arial" w:cs="Arial"/>
        </w:rPr>
      </w:pPr>
      <w:r w:rsidRPr="006101E2">
        <w:rPr>
          <w:rFonts w:ascii="Arial" w:hAnsi="Arial" w:cs="Arial"/>
        </w:rPr>
        <w:t xml:space="preserve">Wszelkie wydatki dotyczące realizacji infrastruktury i sieci w zakresie w jakim ich realizacja wynika z zobowiązań lub obowiązków nałożonych przez podmioty publiczne </w:t>
      </w:r>
      <w:r w:rsidRPr="006101E2">
        <w:rPr>
          <w:rFonts w:ascii="Arial" w:hAnsi="Arial" w:cs="Arial"/>
        </w:rPr>
        <w:lastRenderedPageBreak/>
        <w:t xml:space="preserve">(innych niż wynikające z realizacji umowy o dofinasowanie) w szczególności obowiązki  lub zobowiązania, o których mowa w art. 43a oraz art. 115 ust. 1 pkt 9 ustawy </w:t>
      </w:r>
      <w:r w:rsidRPr="009C4ADD">
        <w:rPr>
          <w:rFonts w:ascii="Arial" w:hAnsi="Arial" w:cs="Arial"/>
          <w:i/>
        </w:rPr>
        <w:t>Prawo telekomunikacyjne</w:t>
      </w:r>
      <w:r>
        <w:rPr>
          <w:rFonts w:ascii="Arial" w:hAnsi="Arial" w:cs="Arial"/>
        </w:rPr>
        <w:t xml:space="preserve">, </w:t>
      </w:r>
    </w:p>
    <w:p w:rsidR="00DB5FC3" w:rsidRPr="006101E2" w:rsidRDefault="00DB5FC3" w:rsidP="00137BC9">
      <w:pPr>
        <w:numPr>
          <w:ilvl w:val="0"/>
          <w:numId w:val="69"/>
        </w:numPr>
        <w:spacing w:before="120" w:after="120" w:line="360" w:lineRule="auto"/>
        <w:jc w:val="both"/>
        <w:rPr>
          <w:rFonts w:ascii="Arial" w:hAnsi="Arial" w:cs="Arial"/>
        </w:rPr>
      </w:pPr>
      <w:r w:rsidRPr="006101E2">
        <w:rPr>
          <w:rFonts w:ascii="Arial" w:hAnsi="Arial" w:cs="Arial"/>
        </w:rPr>
        <w:t>Koszty pośrednie.</w:t>
      </w:r>
    </w:p>
    <w:p w:rsidR="00DB5FC3" w:rsidRPr="006101E2" w:rsidRDefault="00DB5FC3" w:rsidP="00137BC9">
      <w:pPr>
        <w:numPr>
          <w:ilvl w:val="0"/>
          <w:numId w:val="69"/>
        </w:numPr>
        <w:spacing w:before="120" w:after="120" w:line="360" w:lineRule="auto"/>
        <w:jc w:val="both"/>
        <w:rPr>
          <w:rFonts w:ascii="Arial" w:hAnsi="Arial" w:cs="Arial"/>
        </w:rPr>
      </w:pPr>
      <w:r w:rsidRPr="006101E2">
        <w:rPr>
          <w:rFonts w:ascii="Arial" w:hAnsi="Arial" w:cs="Arial"/>
        </w:rPr>
        <w:t>Inne wydatki niewymienione w katalogu wydatków kwalifikowalnych.</w:t>
      </w:r>
    </w:p>
    <w:p w:rsidR="00DB5FC3" w:rsidRPr="009C4ADD" w:rsidRDefault="009C4ADD" w:rsidP="009C4ADD">
      <w:pPr>
        <w:pStyle w:val="Nagwek2"/>
        <w:numPr>
          <w:ilvl w:val="2"/>
          <w:numId w:val="1"/>
        </w:numPr>
        <w:spacing w:before="240" w:after="60" w:line="360" w:lineRule="auto"/>
        <w:jc w:val="center"/>
        <w:rPr>
          <w:rFonts w:ascii="Arial" w:hAnsi="Arial" w:cs="Arial"/>
          <w:b w:val="0"/>
          <w:i/>
          <w:color w:val="auto"/>
          <w:sz w:val="24"/>
          <w:szCs w:val="24"/>
        </w:rPr>
      </w:pPr>
      <w:bookmarkStart w:id="133" w:name="_Toc508630126"/>
      <w:r>
        <w:rPr>
          <w:rFonts w:ascii="Arial" w:hAnsi="Arial" w:cs="Arial"/>
          <w:b w:val="0"/>
          <w:i/>
          <w:color w:val="auto"/>
          <w:sz w:val="24"/>
          <w:szCs w:val="24"/>
        </w:rPr>
        <w:t>W</w:t>
      </w:r>
      <w:bookmarkStart w:id="134" w:name="_Toc466374129"/>
      <w:r w:rsidR="00DB5FC3" w:rsidRPr="009C4ADD">
        <w:rPr>
          <w:rFonts w:ascii="Arial" w:hAnsi="Arial" w:cs="Arial"/>
          <w:b w:val="0"/>
          <w:i/>
          <w:color w:val="auto"/>
          <w:sz w:val="24"/>
          <w:szCs w:val="24"/>
        </w:rPr>
        <w:t>arunki oraz okres kwalifikowania wydatków w projektach podlegających zasadom pomocy publicznej</w:t>
      </w:r>
      <w:bookmarkEnd w:id="134"/>
      <w:bookmarkEnd w:id="133"/>
    </w:p>
    <w:p w:rsidR="00DB5FC3" w:rsidRPr="00846494" w:rsidRDefault="00DB5FC3" w:rsidP="00137BC9">
      <w:pPr>
        <w:numPr>
          <w:ilvl w:val="0"/>
          <w:numId w:val="71"/>
        </w:numPr>
        <w:spacing w:before="120" w:after="120" w:line="360" w:lineRule="auto"/>
        <w:jc w:val="both"/>
        <w:rPr>
          <w:rFonts w:ascii="Arial" w:hAnsi="Arial" w:cs="Arial"/>
        </w:rPr>
      </w:pPr>
      <w:r w:rsidRPr="00846494">
        <w:rPr>
          <w:rFonts w:ascii="Arial" w:hAnsi="Arial" w:cs="Arial"/>
        </w:rPr>
        <w:t>Wszystkie projekty w ramach I osi priorytetowej POPC podlegają zasadom pomocy publicznej określonych w </w:t>
      </w:r>
      <w:r w:rsidR="000C2C01">
        <w:rPr>
          <w:rFonts w:ascii="Arial" w:hAnsi="Arial" w:cs="Arial"/>
        </w:rPr>
        <w:t xml:space="preserve">przepisach rozdziału I </w:t>
      </w:r>
      <w:proofErr w:type="spellStart"/>
      <w:r w:rsidR="000C2C01">
        <w:rPr>
          <w:rFonts w:ascii="Arial" w:hAnsi="Arial" w:cs="Arial"/>
        </w:rPr>
        <w:t>i</w:t>
      </w:r>
      <w:proofErr w:type="spellEnd"/>
      <w:r w:rsidR="000C2C01">
        <w:rPr>
          <w:rFonts w:ascii="Arial" w:hAnsi="Arial" w:cs="Arial"/>
        </w:rPr>
        <w:t xml:space="preserve"> </w:t>
      </w:r>
      <w:r w:rsidRPr="00846494">
        <w:rPr>
          <w:rFonts w:ascii="Arial" w:hAnsi="Arial" w:cs="Arial"/>
        </w:rPr>
        <w:t xml:space="preserve">art. 52 GBER oraz opracowanego na </w:t>
      </w:r>
      <w:r w:rsidR="000C2C01">
        <w:rPr>
          <w:rFonts w:ascii="Arial" w:hAnsi="Arial" w:cs="Arial"/>
        </w:rPr>
        <w:t xml:space="preserve">ich </w:t>
      </w:r>
      <w:r w:rsidRPr="00846494">
        <w:rPr>
          <w:rFonts w:ascii="Arial" w:hAnsi="Arial" w:cs="Arial"/>
        </w:rPr>
        <w:t xml:space="preserve">podstawie rozporządzenia pomocowego dla I osi. </w:t>
      </w:r>
    </w:p>
    <w:p w:rsidR="00DB5FC3" w:rsidRPr="00846494" w:rsidRDefault="00DB5FC3" w:rsidP="00137BC9">
      <w:pPr>
        <w:numPr>
          <w:ilvl w:val="0"/>
          <w:numId w:val="71"/>
        </w:numPr>
        <w:spacing w:before="120" w:after="120" w:line="360" w:lineRule="auto"/>
        <w:jc w:val="both"/>
        <w:rPr>
          <w:rFonts w:ascii="Arial" w:hAnsi="Arial" w:cs="Arial"/>
        </w:rPr>
      </w:pPr>
      <w:r>
        <w:rPr>
          <w:rFonts w:ascii="Arial" w:hAnsi="Arial" w:cs="Arial"/>
        </w:rPr>
        <w:t>W</w:t>
      </w:r>
      <w:r w:rsidRPr="00846494">
        <w:rPr>
          <w:rFonts w:ascii="Arial" w:hAnsi="Arial" w:cs="Arial"/>
        </w:rPr>
        <w:t xml:space="preserve">ydatki mogą </w:t>
      </w:r>
      <w:r>
        <w:rPr>
          <w:rFonts w:ascii="Arial" w:hAnsi="Arial" w:cs="Arial"/>
        </w:rPr>
        <w:t xml:space="preserve">jednocześnie </w:t>
      </w:r>
      <w:r w:rsidRPr="00846494">
        <w:rPr>
          <w:rFonts w:ascii="Arial" w:hAnsi="Arial" w:cs="Arial"/>
        </w:rPr>
        <w:t xml:space="preserve">podlegać zasadom pomocy de </w:t>
      </w:r>
      <w:proofErr w:type="spellStart"/>
      <w:r w:rsidRPr="00846494">
        <w:rPr>
          <w:rFonts w:ascii="Arial" w:hAnsi="Arial" w:cs="Arial"/>
        </w:rPr>
        <w:t>minimis</w:t>
      </w:r>
      <w:proofErr w:type="spellEnd"/>
      <w:r w:rsidRPr="00846494">
        <w:rPr>
          <w:rFonts w:ascii="Arial" w:hAnsi="Arial" w:cs="Arial"/>
        </w:rPr>
        <w:t xml:space="preserve"> określonej w rozporządzeniu Komisji (UE) nr 1407/2013 w odniesieniu do wskazanych w </w:t>
      </w:r>
      <w:r w:rsidR="001823B0" w:rsidRPr="001823B0">
        <w:rPr>
          <w:rFonts w:ascii="Arial" w:hAnsi="Arial" w:cs="Arial"/>
          <w:i/>
        </w:rPr>
        <w:t>Katalogu</w:t>
      </w:r>
      <w:r w:rsidR="001823B0" w:rsidRPr="00846494">
        <w:rPr>
          <w:rFonts w:ascii="Arial" w:hAnsi="Arial" w:cs="Arial"/>
        </w:rPr>
        <w:t xml:space="preserve"> </w:t>
      </w:r>
      <w:r w:rsidRPr="00846494">
        <w:rPr>
          <w:rFonts w:ascii="Arial" w:hAnsi="Arial" w:cs="Arial"/>
        </w:rPr>
        <w:t>wydatków.</w:t>
      </w:r>
    </w:p>
    <w:p w:rsidR="00DB5FC3" w:rsidRPr="00846EBE" w:rsidRDefault="00DB5FC3" w:rsidP="00137BC9">
      <w:pPr>
        <w:numPr>
          <w:ilvl w:val="0"/>
          <w:numId w:val="71"/>
        </w:numPr>
        <w:spacing w:before="120" w:after="120" w:line="360" w:lineRule="auto"/>
        <w:jc w:val="both"/>
        <w:rPr>
          <w:rFonts w:ascii="Arial" w:hAnsi="Arial" w:cs="Arial"/>
        </w:rPr>
      </w:pPr>
      <w:r w:rsidRPr="001C6FB3">
        <w:rPr>
          <w:rFonts w:ascii="Arial" w:hAnsi="Arial" w:cs="Arial"/>
        </w:rPr>
        <w:t>Wszystkie główne kategorie wydatków określone w niniejszym rozdziale, odzwierciedlają wprost kategorie wydatków przewidziane w rozporządzeniu pomocowym dla I osi oraz je uszczegóławiają,  nie przewidując nowych kategorii wydatków.</w:t>
      </w:r>
    </w:p>
    <w:p w:rsidR="00DD0F75" w:rsidRDefault="00DD0F75">
      <w:pPr>
        <w:rPr>
          <w:rFonts w:ascii="Arial" w:hAnsi="Arial" w:cs="Arial"/>
          <w:b/>
          <w:i/>
          <w:sz w:val="24"/>
          <w:szCs w:val="24"/>
        </w:rPr>
      </w:pPr>
    </w:p>
    <w:p w:rsidR="00DD0F75" w:rsidRDefault="00DD0F75">
      <w:pPr>
        <w:rPr>
          <w:rFonts w:ascii="Arial" w:hAnsi="Arial" w:cs="Arial"/>
          <w:b/>
          <w:i/>
          <w:sz w:val="24"/>
          <w:szCs w:val="24"/>
        </w:rPr>
      </w:pPr>
    </w:p>
    <w:p w:rsidR="00DD0F75" w:rsidRDefault="00DD0F75">
      <w:pPr>
        <w:rPr>
          <w:rFonts w:ascii="Arial" w:hAnsi="Arial" w:cs="Arial"/>
          <w:b/>
          <w:i/>
          <w:sz w:val="24"/>
          <w:szCs w:val="24"/>
        </w:rPr>
      </w:pPr>
    </w:p>
    <w:p w:rsidR="00DD0F75" w:rsidRDefault="00DD0F75">
      <w:pPr>
        <w:rPr>
          <w:rFonts w:ascii="Arial" w:hAnsi="Arial" w:cs="Arial"/>
          <w:b/>
          <w:i/>
          <w:sz w:val="24"/>
          <w:szCs w:val="24"/>
        </w:rPr>
      </w:pPr>
    </w:p>
    <w:p w:rsidR="00DD0F75" w:rsidRDefault="00DD0F75">
      <w:pPr>
        <w:rPr>
          <w:rFonts w:ascii="Arial" w:hAnsi="Arial" w:cs="Arial"/>
          <w:b/>
          <w:i/>
          <w:sz w:val="24"/>
          <w:szCs w:val="24"/>
        </w:rPr>
      </w:pPr>
    </w:p>
    <w:p w:rsidR="00DD0F75" w:rsidRDefault="00DD0F75">
      <w:pPr>
        <w:rPr>
          <w:rFonts w:ascii="Arial" w:hAnsi="Arial" w:cs="Arial"/>
          <w:b/>
          <w:i/>
          <w:sz w:val="24"/>
          <w:szCs w:val="24"/>
        </w:rPr>
      </w:pPr>
    </w:p>
    <w:p w:rsidR="00D64366" w:rsidRDefault="00D64366">
      <w:pPr>
        <w:rPr>
          <w:rFonts w:ascii="Arial" w:hAnsi="Arial" w:cs="Arial"/>
          <w:b/>
          <w:i/>
          <w:sz w:val="24"/>
          <w:szCs w:val="24"/>
        </w:rPr>
      </w:pPr>
    </w:p>
    <w:p w:rsidR="00D64366" w:rsidRDefault="00D64366">
      <w:pPr>
        <w:rPr>
          <w:rFonts w:ascii="Arial" w:hAnsi="Arial" w:cs="Arial"/>
          <w:b/>
          <w:i/>
          <w:sz w:val="24"/>
          <w:szCs w:val="24"/>
        </w:rPr>
      </w:pPr>
    </w:p>
    <w:p w:rsidR="00DD0F75" w:rsidRPr="00A77C3B" w:rsidRDefault="00DD0F75" w:rsidP="00DD0F75">
      <w:pPr>
        <w:pStyle w:val="Nagwek2"/>
        <w:numPr>
          <w:ilvl w:val="1"/>
          <w:numId w:val="1"/>
        </w:numPr>
        <w:spacing w:before="240" w:after="60" w:line="360" w:lineRule="auto"/>
        <w:jc w:val="center"/>
        <w:rPr>
          <w:rFonts w:ascii="Arial" w:hAnsi="Arial" w:cs="Arial"/>
          <w:i/>
          <w:color w:val="auto"/>
          <w:sz w:val="24"/>
          <w:szCs w:val="24"/>
        </w:rPr>
      </w:pPr>
      <w:bookmarkStart w:id="135" w:name="_Toc508630127"/>
      <w:r w:rsidRPr="00C632DB">
        <w:rPr>
          <w:rFonts w:ascii="Arial" w:hAnsi="Arial" w:cs="Arial"/>
          <w:i/>
          <w:color w:val="auto"/>
          <w:sz w:val="24"/>
          <w:szCs w:val="24"/>
        </w:rPr>
        <w:lastRenderedPageBreak/>
        <w:t xml:space="preserve">Katalog wydatków kwalifikowalnych w ramach Działania 1.1 </w:t>
      </w:r>
      <w:r>
        <w:rPr>
          <w:rFonts w:ascii="Arial" w:hAnsi="Arial" w:cs="Arial"/>
          <w:i/>
          <w:color w:val="auto"/>
          <w:sz w:val="24"/>
          <w:szCs w:val="24"/>
        </w:rPr>
        <w:t>„</w:t>
      </w:r>
      <w:r w:rsidRPr="00C632DB">
        <w:rPr>
          <w:rFonts w:ascii="Arial" w:hAnsi="Arial" w:cs="Arial"/>
          <w:i/>
          <w:color w:val="auto"/>
          <w:sz w:val="24"/>
          <w:szCs w:val="24"/>
        </w:rPr>
        <w:t xml:space="preserve">Wyeliminowanie terytorialnych różnic w możliwości dostępu do szerokopasmowego </w:t>
      </w:r>
      <w:proofErr w:type="spellStart"/>
      <w:r w:rsidRPr="00C632DB">
        <w:rPr>
          <w:rFonts w:ascii="Arial" w:hAnsi="Arial" w:cs="Arial"/>
          <w:i/>
          <w:color w:val="auto"/>
          <w:sz w:val="24"/>
          <w:szCs w:val="24"/>
        </w:rPr>
        <w:t>internetu</w:t>
      </w:r>
      <w:proofErr w:type="spellEnd"/>
      <w:r w:rsidRPr="00C632DB">
        <w:rPr>
          <w:rFonts w:ascii="Arial" w:hAnsi="Arial" w:cs="Arial"/>
          <w:i/>
          <w:color w:val="auto"/>
          <w:sz w:val="24"/>
          <w:szCs w:val="24"/>
        </w:rPr>
        <w:t xml:space="preserve"> o wysokich przepustowościach</w:t>
      </w:r>
      <w:r>
        <w:rPr>
          <w:rFonts w:ascii="Arial" w:hAnsi="Arial" w:cs="Arial"/>
          <w:i/>
          <w:color w:val="auto"/>
          <w:sz w:val="24"/>
          <w:szCs w:val="24"/>
        </w:rPr>
        <w:t>”</w:t>
      </w:r>
      <w:r w:rsidRPr="00C632DB">
        <w:rPr>
          <w:rFonts w:ascii="Arial" w:hAnsi="Arial" w:cs="Arial"/>
          <w:i/>
          <w:color w:val="auto"/>
          <w:sz w:val="24"/>
          <w:szCs w:val="24"/>
        </w:rPr>
        <w:t xml:space="preserve"> dla nabor</w:t>
      </w:r>
      <w:r>
        <w:rPr>
          <w:rFonts w:ascii="Arial" w:hAnsi="Arial" w:cs="Arial"/>
          <w:i/>
          <w:color w:val="auto"/>
          <w:sz w:val="24"/>
          <w:szCs w:val="24"/>
        </w:rPr>
        <w:t>ów nr</w:t>
      </w:r>
      <w:r w:rsidRPr="00C632DB">
        <w:rPr>
          <w:rFonts w:ascii="Arial" w:hAnsi="Arial" w:cs="Arial"/>
          <w:i/>
          <w:color w:val="auto"/>
          <w:sz w:val="24"/>
          <w:szCs w:val="24"/>
        </w:rPr>
        <w:t xml:space="preserve"> </w:t>
      </w:r>
      <w:r>
        <w:rPr>
          <w:rFonts w:ascii="Arial" w:hAnsi="Arial" w:cs="Arial"/>
          <w:i/>
          <w:color w:val="auto"/>
          <w:sz w:val="24"/>
          <w:szCs w:val="24"/>
        </w:rPr>
        <w:t>POPC.01.01.00-IP.01-00-004/17</w:t>
      </w:r>
      <w:bookmarkEnd w:id="135"/>
      <w:r>
        <w:rPr>
          <w:rFonts w:ascii="Arial" w:hAnsi="Arial" w:cs="Arial"/>
          <w:i/>
          <w:color w:val="auto"/>
          <w:sz w:val="24"/>
          <w:szCs w:val="24"/>
        </w:rPr>
        <w:t xml:space="preserve"> </w:t>
      </w:r>
    </w:p>
    <w:p w:rsidR="00DD0F75" w:rsidRPr="00C632DB" w:rsidRDefault="00DD0F75" w:rsidP="00DD0F75">
      <w:pPr>
        <w:pStyle w:val="Nagwek2"/>
        <w:numPr>
          <w:ilvl w:val="2"/>
          <w:numId w:val="1"/>
        </w:numPr>
        <w:spacing w:before="240" w:after="60" w:line="360" w:lineRule="auto"/>
        <w:jc w:val="center"/>
        <w:rPr>
          <w:rFonts w:ascii="Arial" w:hAnsi="Arial" w:cs="Arial"/>
          <w:b w:val="0"/>
          <w:i/>
          <w:color w:val="auto"/>
          <w:sz w:val="24"/>
          <w:szCs w:val="24"/>
        </w:rPr>
      </w:pPr>
      <w:bookmarkStart w:id="136" w:name="_Toc508630128"/>
      <w:r>
        <w:rPr>
          <w:rFonts w:ascii="Arial" w:hAnsi="Arial" w:cs="Arial"/>
          <w:b w:val="0"/>
          <w:i/>
          <w:color w:val="auto"/>
          <w:sz w:val="24"/>
          <w:szCs w:val="24"/>
        </w:rPr>
        <w:t>W</w:t>
      </w:r>
      <w:r w:rsidRPr="00C632DB">
        <w:rPr>
          <w:rFonts w:ascii="Arial" w:hAnsi="Arial" w:cs="Arial"/>
          <w:b w:val="0"/>
          <w:i/>
          <w:color w:val="auto"/>
          <w:sz w:val="24"/>
          <w:szCs w:val="24"/>
        </w:rPr>
        <w:t>ydatki kwalifikowalne</w:t>
      </w:r>
      <w:bookmarkEnd w:id="136"/>
    </w:p>
    <w:p w:rsidR="00DD0F75" w:rsidRPr="0036568A" w:rsidRDefault="00DD0F75" w:rsidP="00DD0F75">
      <w:pPr>
        <w:autoSpaceDE w:val="0"/>
        <w:autoSpaceDN w:val="0"/>
        <w:adjustRightInd w:val="0"/>
        <w:spacing w:before="120" w:after="120" w:line="360" w:lineRule="auto"/>
        <w:jc w:val="both"/>
        <w:rPr>
          <w:rFonts w:ascii="Arial" w:hAnsi="Arial" w:cs="Arial"/>
        </w:rPr>
      </w:pPr>
      <w:r w:rsidRPr="0036568A">
        <w:rPr>
          <w:rFonts w:ascii="Arial" w:hAnsi="Arial" w:cs="Arial"/>
        </w:rPr>
        <w:t xml:space="preserve">Wydatki kwalifikowalne określone zostały w rozporządzeniu Ministra Administracji i Cyfryzacji z dnia 16 września 2015 r. </w:t>
      </w:r>
      <w:r w:rsidRPr="0036568A">
        <w:rPr>
          <w:rFonts w:ascii="Arial" w:hAnsi="Arial" w:cs="Arial"/>
          <w:i/>
        </w:rPr>
        <w:t>w sprawie udzielania pomocy na rozwój infrastruktury szerokopasmowej w ramach Programu Operacyjnego Polska Cyfrowa na lata 2014–2020</w:t>
      </w:r>
      <w:r w:rsidRPr="0036568A">
        <w:rPr>
          <w:rFonts w:ascii="Arial" w:hAnsi="Arial" w:cs="Arial"/>
        </w:rPr>
        <w:t xml:space="preserve"> (Dz. U. z 201</w:t>
      </w:r>
      <w:r>
        <w:rPr>
          <w:rFonts w:ascii="Arial" w:hAnsi="Arial" w:cs="Arial"/>
        </w:rPr>
        <w:t>6</w:t>
      </w:r>
      <w:r w:rsidRPr="0036568A">
        <w:rPr>
          <w:rFonts w:ascii="Arial" w:hAnsi="Arial" w:cs="Arial"/>
        </w:rPr>
        <w:t xml:space="preserve"> r. poz. 1466</w:t>
      </w:r>
      <w:r w:rsidR="00037054">
        <w:rPr>
          <w:rFonts w:ascii="Arial" w:hAnsi="Arial" w:cs="Arial"/>
        </w:rPr>
        <w:t>, ze zm.</w:t>
      </w:r>
      <w:r w:rsidRPr="0036568A">
        <w:rPr>
          <w:rFonts w:ascii="Arial" w:hAnsi="Arial" w:cs="Arial"/>
        </w:rPr>
        <w:t>), dalej jako „rozporządzenie pomocowe dla I osi”. Niniejsz</w:t>
      </w:r>
      <w:r w:rsidR="00EE7DEE">
        <w:rPr>
          <w:rFonts w:ascii="Arial" w:hAnsi="Arial" w:cs="Arial"/>
        </w:rPr>
        <w:t>y</w:t>
      </w:r>
      <w:r w:rsidRPr="0036568A">
        <w:rPr>
          <w:rFonts w:ascii="Arial" w:hAnsi="Arial" w:cs="Arial"/>
        </w:rPr>
        <w:t xml:space="preserve"> </w:t>
      </w:r>
      <w:r w:rsidR="00EE7DEE" w:rsidRPr="00EE7DEE">
        <w:rPr>
          <w:rFonts w:ascii="Arial" w:hAnsi="Arial" w:cs="Arial"/>
          <w:i/>
        </w:rPr>
        <w:t>Katalog</w:t>
      </w:r>
      <w:r w:rsidRPr="0036568A">
        <w:rPr>
          <w:rFonts w:ascii="Arial" w:hAnsi="Arial" w:cs="Arial"/>
        </w:rPr>
        <w:t xml:space="preserve"> powtarza główne kategorie wydatków wskazane w rozporządzeniu, określając jednocześnie szczegółowe zasady ich kwalifikowania z uwzględnieniem odpowiednich limitów i </w:t>
      </w:r>
      <w:proofErr w:type="spellStart"/>
      <w:r w:rsidRPr="0036568A">
        <w:rPr>
          <w:rFonts w:ascii="Arial" w:hAnsi="Arial" w:cs="Arial"/>
        </w:rPr>
        <w:t>wyłączeń</w:t>
      </w:r>
      <w:proofErr w:type="spellEnd"/>
      <w:r w:rsidRPr="0036568A">
        <w:rPr>
          <w:rFonts w:ascii="Arial" w:hAnsi="Arial" w:cs="Arial"/>
        </w:rPr>
        <w:t>.</w:t>
      </w:r>
    </w:p>
    <w:p w:rsidR="00DD0F75" w:rsidRDefault="00DD0F75" w:rsidP="00DD0F75">
      <w:pPr>
        <w:rPr>
          <w:rFonts w:ascii="Arial" w:hAnsi="Arial" w:cs="Arial"/>
        </w:rPr>
      </w:pPr>
      <w:r w:rsidRPr="0036568A">
        <w:rPr>
          <w:rFonts w:ascii="Arial" w:hAnsi="Arial" w:cs="Arial"/>
        </w:rPr>
        <w:t>Tabela 1. Klasyfikacja wydatków w osi I POPC.</w:t>
      </w:r>
    </w:p>
    <w:tbl>
      <w:tblPr>
        <w:tblStyle w:val="Tabela-Siatka"/>
        <w:tblW w:w="0" w:type="auto"/>
        <w:tblLook w:val="04A0" w:firstRow="1" w:lastRow="0" w:firstColumn="1" w:lastColumn="0" w:noHBand="0" w:noVBand="1"/>
      </w:tblPr>
      <w:tblGrid>
        <w:gridCol w:w="4606"/>
        <w:gridCol w:w="4606"/>
      </w:tblGrid>
      <w:tr w:rsidR="00DD0F75" w:rsidRPr="0036568A" w:rsidTr="006A27E1">
        <w:tc>
          <w:tcPr>
            <w:tcW w:w="4606" w:type="dxa"/>
            <w:shd w:val="clear" w:color="auto" w:fill="F2F2F2" w:themeFill="background1" w:themeFillShade="F2"/>
          </w:tcPr>
          <w:p w:rsidR="00DD0F75" w:rsidRPr="0036568A" w:rsidRDefault="00DD0F75" w:rsidP="006A27E1">
            <w:pPr>
              <w:spacing w:after="200" w:line="276" w:lineRule="auto"/>
              <w:rPr>
                <w:rFonts w:ascii="Arial" w:hAnsi="Arial" w:cs="Arial"/>
              </w:rPr>
            </w:pPr>
            <w:r w:rsidRPr="0036568A">
              <w:rPr>
                <w:rFonts w:ascii="Arial" w:hAnsi="Arial" w:cs="Arial"/>
              </w:rPr>
              <w:t>Wydatki poniesione na pokrycie kosztów, o których mowa w art. 52 ust. 2 lit. a), b) i d) GBER oraz określone w rozporządzeniu pomocowym dla osi I jako:</w:t>
            </w:r>
          </w:p>
        </w:tc>
        <w:tc>
          <w:tcPr>
            <w:tcW w:w="4606" w:type="dxa"/>
            <w:shd w:val="clear" w:color="auto" w:fill="F2F2F2" w:themeFill="background1" w:themeFillShade="F2"/>
          </w:tcPr>
          <w:p w:rsidR="00DD0F75" w:rsidRPr="0036568A" w:rsidRDefault="00DD0F75" w:rsidP="006A27E1">
            <w:pPr>
              <w:spacing w:after="200" w:line="276" w:lineRule="auto"/>
              <w:rPr>
                <w:rFonts w:ascii="Arial" w:hAnsi="Arial" w:cs="Arial"/>
              </w:rPr>
            </w:pPr>
            <w:r w:rsidRPr="0036568A">
              <w:rPr>
                <w:rFonts w:ascii="Arial" w:hAnsi="Arial" w:cs="Arial"/>
              </w:rPr>
              <w:t xml:space="preserve">Wydatki kwalifikujące się do wsparcia jako pomoc </w:t>
            </w:r>
            <w:r w:rsidRPr="0036568A">
              <w:rPr>
                <w:rFonts w:ascii="Arial" w:hAnsi="Arial" w:cs="Arial"/>
                <w:i/>
              </w:rPr>
              <w:t xml:space="preserve">de </w:t>
            </w:r>
            <w:proofErr w:type="spellStart"/>
            <w:r w:rsidRPr="0036568A">
              <w:rPr>
                <w:rFonts w:ascii="Arial" w:hAnsi="Arial" w:cs="Arial"/>
                <w:i/>
              </w:rPr>
              <w:t>minimis</w:t>
            </w:r>
            <w:proofErr w:type="spellEnd"/>
            <w:r w:rsidRPr="0036568A">
              <w:rPr>
                <w:rFonts w:ascii="Arial" w:hAnsi="Arial" w:cs="Arial"/>
              </w:rPr>
              <w:t xml:space="preserve"> udzielana na podstawie Rozporządzenia Komisji (UE) nr 1407/2013 oraz określone w rozporządzeniu pomocowym dla I osi jako:</w:t>
            </w:r>
          </w:p>
        </w:tc>
      </w:tr>
      <w:tr w:rsidR="00DD0F75" w:rsidRPr="0036568A" w:rsidTr="006A27E1">
        <w:trPr>
          <w:trHeight w:val="1931"/>
        </w:trPr>
        <w:tc>
          <w:tcPr>
            <w:tcW w:w="4606" w:type="dxa"/>
          </w:tcPr>
          <w:p w:rsidR="00DD0F75" w:rsidRPr="0036568A" w:rsidRDefault="00DD0F75" w:rsidP="00137BC9">
            <w:pPr>
              <w:numPr>
                <w:ilvl w:val="0"/>
                <w:numId w:val="73"/>
              </w:numPr>
              <w:spacing w:after="200" w:line="276" w:lineRule="auto"/>
              <w:rPr>
                <w:rFonts w:ascii="Arial" w:hAnsi="Arial" w:cs="Arial"/>
                <w:bCs/>
              </w:rPr>
            </w:pPr>
            <w:r w:rsidRPr="0036568A">
              <w:rPr>
                <w:rFonts w:ascii="Arial" w:hAnsi="Arial" w:cs="Arial"/>
                <w:bCs/>
              </w:rPr>
              <w:t>koszty inwestycyjne budowy pasywnej infrastruktury szerokopasmowej</w:t>
            </w:r>
            <w:r w:rsidRPr="00A77C3B">
              <w:rPr>
                <w:rFonts w:ascii="Arial" w:hAnsi="Arial" w:cs="Arial"/>
                <w:bCs/>
                <w:vertAlign w:val="superscript"/>
              </w:rPr>
              <w:footnoteReference w:id="22"/>
            </w:r>
            <w:r w:rsidRPr="0036568A">
              <w:rPr>
                <w:rFonts w:ascii="Arial" w:hAnsi="Arial" w:cs="Arial"/>
                <w:bCs/>
              </w:rPr>
              <w:t xml:space="preserve">, w tym robót i materiałów budowlanych oraz dostaw i instalacji elementów  infrastruktury szerokopasmowej; </w:t>
            </w:r>
          </w:p>
        </w:tc>
        <w:tc>
          <w:tcPr>
            <w:tcW w:w="4606" w:type="dxa"/>
          </w:tcPr>
          <w:p w:rsidR="00DD0F75" w:rsidRPr="0036568A" w:rsidRDefault="00DD0F75" w:rsidP="00137BC9">
            <w:pPr>
              <w:numPr>
                <w:ilvl w:val="0"/>
                <w:numId w:val="78"/>
              </w:numPr>
              <w:spacing w:after="200" w:line="276" w:lineRule="auto"/>
              <w:rPr>
                <w:rFonts w:ascii="Arial" w:hAnsi="Arial" w:cs="Arial"/>
              </w:rPr>
            </w:pPr>
            <w:r w:rsidRPr="0036568A">
              <w:rPr>
                <w:rFonts w:ascii="Arial" w:hAnsi="Arial" w:cs="Arial"/>
                <w:bCs/>
              </w:rPr>
              <w:t>opłaty publicznoprawne związane z przygotowaniem i realizacją projektu, w szczególności za wydanie decyzji, zgód, zezwoleń;</w:t>
            </w:r>
          </w:p>
        </w:tc>
      </w:tr>
      <w:tr w:rsidR="00DD0F75" w:rsidRPr="0036568A" w:rsidTr="006A27E1">
        <w:tc>
          <w:tcPr>
            <w:tcW w:w="4606" w:type="dxa"/>
          </w:tcPr>
          <w:p w:rsidR="00DD0F75" w:rsidRPr="0036568A" w:rsidRDefault="00DD0F75" w:rsidP="00137BC9">
            <w:pPr>
              <w:numPr>
                <w:ilvl w:val="0"/>
                <w:numId w:val="78"/>
              </w:numPr>
              <w:spacing w:after="200" w:line="276" w:lineRule="auto"/>
              <w:rPr>
                <w:rFonts w:ascii="Arial" w:hAnsi="Arial" w:cs="Arial"/>
                <w:bCs/>
              </w:rPr>
            </w:pPr>
            <w:r w:rsidRPr="0036568A">
              <w:rPr>
                <w:rFonts w:ascii="Arial" w:hAnsi="Arial" w:cs="Arial"/>
                <w:bCs/>
              </w:rPr>
              <w:t xml:space="preserve">koszty przygotowania dokumentacji niezbędnej do wykonania robót budowlanych, z wyłączeniem kosztów przygotowania dokumentacji powykonawczej w rozumieniu ustawy </w:t>
            </w:r>
            <w:r w:rsidRPr="0036568A">
              <w:rPr>
                <w:rFonts w:ascii="Arial" w:hAnsi="Arial" w:cs="Arial"/>
                <w:bCs/>
              </w:rPr>
              <w:lastRenderedPageBreak/>
              <w:t>- Prawo budowlane;</w:t>
            </w:r>
          </w:p>
        </w:tc>
        <w:tc>
          <w:tcPr>
            <w:tcW w:w="4606" w:type="dxa"/>
          </w:tcPr>
          <w:p w:rsidR="00DD0F75" w:rsidRPr="0036568A" w:rsidRDefault="00DD0F75" w:rsidP="00137BC9">
            <w:pPr>
              <w:numPr>
                <w:ilvl w:val="0"/>
                <w:numId w:val="74"/>
              </w:numPr>
              <w:spacing w:after="200" w:line="276" w:lineRule="auto"/>
              <w:rPr>
                <w:rFonts w:ascii="Arial" w:hAnsi="Arial" w:cs="Arial"/>
              </w:rPr>
            </w:pPr>
            <w:r w:rsidRPr="0036568A">
              <w:rPr>
                <w:rFonts w:ascii="Arial" w:hAnsi="Arial" w:cs="Arial"/>
                <w:bCs/>
              </w:rPr>
              <w:lastRenderedPageBreak/>
              <w:t>obsługa instrumentów zabezpieczających realizację umowy o dofinansowanie, określonych w umowie o dofinansowanie;</w:t>
            </w:r>
          </w:p>
        </w:tc>
      </w:tr>
      <w:tr w:rsidR="00DD0F75" w:rsidRPr="0036568A" w:rsidTr="006A27E1">
        <w:tc>
          <w:tcPr>
            <w:tcW w:w="4606" w:type="dxa"/>
          </w:tcPr>
          <w:p w:rsidR="00DD0F75" w:rsidRPr="0036568A" w:rsidRDefault="00DD0F75" w:rsidP="00137BC9">
            <w:pPr>
              <w:numPr>
                <w:ilvl w:val="0"/>
                <w:numId w:val="74"/>
              </w:numPr>
              <w:spacing w:after="200" w:line="276" w:lineRule="auto"/>
              <w:rPr>
                <w:rFonts w:ascii="Arial" w:hAnsi="Arial" w:cs="Arial"/>
                <w:bCs/>
              </w:rPr>
            </w:pPr>
            <w:r w:rsidRPr="0036568A">
              <w:rPr>
                <w:rFonts w:ascii="Arial" w:hAnsi="Arial" w:cs="Arial"/>
                <w:bCs/>
              </w:rPr>
              <w:lastRenderedPageBreak/>
              <w:t>koszty nabycia prawa do dysponowania nieruchomością związaną z realizacją projektu;</w:t>
            </w:r>
          </w:p>
        </w:tc>
        <w:tc>
          <w:tcPr>
            <w:tcW w:w="4606" w:type="dxa"/>
          </w:tcPr>
          <w:p w:rsidR="00DD0F75" w:rsidRPr="0036568A" w:rsidRDefault="00DD0F75" w:rsidP="00137BC9">
            <w:pPr>
              <w:numPr>
                <w:ilvl w:val="0"/>
                <w:numId w:val="75"/>
              </w:numPr>
              <w:spacing w:after="200" w:line="276" w:lineRule="auto"/>
              <w:rPr>
                <w:rFonts w:ascii="Arial" w:hAnsi="Arial" w:cs="Arial"/>
                <w:bCs/>
              </w:rPr>
            </w:pPr>
            <w:r w:rsidRPr="0036568A">
              <w:rPr>
                <w:rFonts w:ascii="Arial" w:hAnsi="Arial" w:cs="Arial"/>
              </w:rPr>
              <w:t xml:space="preserve">przygotowanie projektu w zakresie niezbędnym do złożenia wniosku o udzielenie wsparcia, nie wcześniej niż 3 miesiące przed dniem złożenia wniosku, do wysokości 20 tysięcy złotych; </w:t>
            </w:r>
            <w:r w:rsidRPr="0036568A">
              <w:rPr>
                <w:rFonts w:ascii="Arial" w:hAnsi="Arial" w:cs="Arial"/>
                <w:bCs/>
              </w:rPr>
              <w:t>wsparcie nie obejmuje wydatków zwi</w:t>
            </w:r>
            <w:r w:rsidRPr="0036568A">
              <w:rPr>
                <w:rFonts w:ascii="Arial" w:hAnsi="Arial" w:cs="Arial" w:hint="eastAsia"/>
                <w:bCs/>
              </w:rPr>
              <w:t>ą</w:t>
            </w:r>
            <w:r w:rsidRPr="0036568A">
              <w:rPr>
                <w:rFonts w:ascii="Arial" w:hAnsi="Arial" w:cs="Arial"/>
                <w:bCs/>
              </w:rPr>
              <w:t>zanych z wype</w:t>
            </w:r>
            <w:r w:rsidRPr="0036568A">
              <w:rPr>
                <w:rFonts w:ascii="Arial" w:hAnsi="Arial" w:cs="Arial" w:hint="eastAsia"/>
                <w:bCs/>
              </w:rPr>
              <w:t>ł</w:t>
            </w:r>
            <w:r w:rsidRPr="0036568A">
              <w:rPr>
                <w:rFonts w:ascii="Arial" w:hAnsi="Arial" w:cs="Arial"/>
                <w:bCs/>
              </w:rPr>
              <w:t>nieniem formularza wniosku;</w:t>
            </w:r>
          </w:p>
          <w:p w:rsidR="00DD0F75" w:rsidRPr="0036568A" w:rsidRDefault="00DD0F75" w:rsidP="006A27E1">
            <w:pPr>
              <w:spacing w:after="200" w:line="276" w:lineRule="auto"/>
              <w:rPr>
                <w:rFonts w:ascii="Arial" w:hAnsi="Arial" w:cs="Arial"/>
              </w:rPr>
            </w:pPr>
          </w:p>
        </w:tc>
      </w:tr>
      <w:tr w:rsidR="00DD0F75" w:rsidRPr="0036568A" w:rsidTr="006A27E1">
        <w:tc>
          <w:tcPr>
            <w:tcW w:w="4606" w:type="dxa"/>
          </w:tcPr>
          <w:p w:rsidR="00DD0F75" w:rsidRPr="0036568A" w:rsidRDefault="00DD0F75" w:rsidP="00137BC9">
            <w:pPr>
              <w:numPr>
                <w:ilvl w:val="0"/>
                <w:numId w:val="75"/>
              </w:numPr>
              <w:spacing w:after="200" w:line="276" w:lineRule="auto"/>
              <w:rPr>
                <w:rFonts w:ascii="Arial" w:hAnsi="Arial" w:cs="Arial"/>
                <w:bCs/>
              </w:rPr>
            </w:pPr>
            <w:r w:rsidRPr="0036568A">
              <w:rPr>
                <w:rFonts w:ascii="Arial" w:hAnsi="Arial" w:cs="Arial"/>
                <w:bCs/>
              </w:rPr>
              <w:t>koszty dostawy, instalacji i uruchomienia urządzeń telekomunikacyjnych stanowiących infrastrukturę aktywną sieci NGA;</w:t>
            </w:r>
          </w:p>
        </w:tc>
        <w:tc>
          <w:tcPr>
            <w:tcW w:w="4606" w:type="dxa"/>
            <w:vMerge w:val="restart"/>
          </w:tcPr>
          <w:p w:rsidR="00DD0F75" w:rsidRPr="0036568A" w:rsidRDefault="00DD0F75" w:rsidP="006A27E1">
            <w:pPr>
              <w:spacing w:after="200" w:line="276" w:lineRule="auto"/>
              <w:rPr>
                <w:rFonts w:ascii="Arial" w:hAnsi="Arial" w:cs="Arial"/>
              </w:rPr>
            </w:pPr>
            <w:r w:rsidRPr="0036568A">
              <w:rPr>
                <w:rFonts w:ascii="Arial" w:hAnsi="Arial" w:cs="Arial"/>
                <w:bCs/>
              </w:rPr>
              <w:t xml:space="preserve">4) przygotowanie dokumentacji powykonawczej w rozumieniu ustawy - Prawo budowlane. </w:t>
            </w:r>
          </w:p>
        </w:tc>
      </w:tr>
      <w:tr w:rsidR="00DD0F75" w:rsidRPr="0036568A" w:rsidTr="006A27E1">
        <w:tc>
          <w:tcPr>
            <w:tcW w:w="4606" w:type="dxa"/>
          </w:tcPr>
          <w:p w:rsidR="00DD0F75" w:rsidRPr="0036568A" w:rsidRDefault="00DD0F75" w:rsidP="00137BC9">
            <w:pPr>
              <w:numPr>
                <w:ilvl w:val="0"/>
                <w:numId w:val="75"/>
              </w:numPr>
              <w:spacing w:after="200" w:line="276" w:lineRule="auto"/>
              <w:rPr>
                <w:rFonts w:ascii="Arial" w:hAnsi="Arial" w:cs="Arial"/>
                <w:bCs/>
              </w:rPr>
            </w:pPr>
            <w:r w:rsidRPr="0036568A">
              <w:rPr>
                <w:rFonts w:ascii="Arial" w:hAnsi="Arial" w:cs="Arial"/>
                <w:bCs/>
              </w:rPr>
              <w:t>koszty najmu, dzierżawy lub leasingu pasywnej infrastruktury szerokopasmowej, a także elementów infrastruktury elektroenergetycznej, sanitarnej, wodociągowej oraz kanałów technologicznych;</w:t>
            </w:r>
          </w:p>
        </w:tc>
        <w:tc>
          <w:tcPr>
            <w:tcW w:w="4606" w:type="dxa"/>
            <w:vMerge/>
          </w:tcPr>
          <w:p w:rsidR="00DD0F75" w:rsidRPr="0036568A" w:rsidRDefault="00DD0F75" w:rsidP="006A27E1">
            <w:pPr>
              <w:spacing w:after="200" w:line="276" w:lineRule="auto"/>
              <w:rPr>
                <w:rFonts w:ascii="Arial" w:hAnsi="Arial" w:cs="Arial"/>
              </w:rPr>
            </w:pPr>
          </w:p>
        </w:tc>
      </w:tr>
      <w:tr w:rsidR="00DD0F75" w:rsidRPr="0036568A" w:rsidTr="006A27E1">
        <w:tc>
          <w:tcPr>
            <w:tcW w:w="4606" w:type="dxa"/>
          </w:tcPr>
          <w:p w:rsidR="00DD0F75" w:rsidRPr="0036568A" w:rsidRDefault="00DD0F75" w:rsidP="00137BC9">
            <w:pPr>
              <w:numPr>
                <w:ilvl w:val="0"/>
                <w:numId w:val="75"/>
              </w:numPr>
              <w:spacing w:after="200" w:line="276" w:lineRule="auto"/>
              <w:rPr>
                <w:rFonts w:ascii="Arial" w:hAnsi="Arial" w:cs="Arial"/>
              </w:rPr>
            </w:pPr>
            <w:r w:rsidRPr="0036568A">
              <w:rPr>
                <w:rFonts w:ascii="Arial" w:hAnsi="Arial" w:cs="Arial"/>
                <w:bCs/>
              </w:rPr>
              <w:t xml:space="preserve">koszty inwestycyjne budowy sieci NGA, w tym związane z przebudową i rozbudową podstawowej sieci szerokopasmowej do standardu sieci NGA; </w:t>
            </w:r>
          </w:p>
        </w:tc>
        <w:tc>
          <w:tcPr>
            <w:tcW w:w="4606" w:type="dxa"/>
            <w:vMerge/>
          </w:tcPr>
          <w:p w:rsidR="00DD0F75" w:rsidRPr="0036568A" w:rsidRDefault="00DD0F75" w:rsidP="00137BC9">
            <w:pPr>
              <w:numPr>
                <w:ilvl w:val="0"/>
                <w:numId w:val="49"/>
              </w:numPr>
              <w:spacing w:after="200" w:line="276" w:lineRule="auto"/>
              <w:rPr>
                <w:rFonts w:ascii="Arial" w:hAnsi="Arial" w:cs="Arial"/>
              </w:rPr>
            </w:pPr>
          </w:p>
        </w:tc>
      </w:tr>
      <w:tr w:rsidR="00DD0F75" w:rsidRPr="0036568A" w:rsidTr="006A27E1">
        <w:tc>
          <w:tcPr>
            <w:tcW w:w="4606" w:type="dxa"/>
          </w:tcPr>
          <w:p w:rsidR="00DD0F75" w:rsidRPr="0036568A" w:rsidRDefault="00DD0F75" w:rsidP="00137BC9">
            <w:pPr>
              <w:numPr>
                <w:ilvl w:val="0"/>
                <w:numId w:val="75"/>
              </w:numPr>
              <w:spacing w:after="200" w:line="276" w:lineRule="auto"/>
              <w:rPr>
                <w:rFonts w:ascii="Arial" w:hAnsi="Arial" w:cs="Arial"/>
              </w:rPr>
            </w:pPr>
            <w:r w:rsidRPr="0036568A">
              <w:rPr>
                <w:rFonts w:ascii="Arial" w:hAnsi="Arial" w:cs="Arial"/>
              </w:rPr>
              <w:t>koszty nabycia wartości niematerialnych i prawnych.</w:t>
            </w:r>
          </w:p>
        </w:tc>
        <w:tc>
          <w:tcPr>
            <w:tcW w:w="4606" w:type="dxa"/>
            <w:vMerge/>
          </w:tcPr>
          <w:p w:rsidR="00DD0F75" w:rsidRPr="0036568A" w:rsidRDefault="00DD0F75" w:rsidP="006A27E1">
            <w:pPr>
              <w:spacing w:after="200" w:line="276" w:lineRule="auto"/>
              <w:rPr>
                <w:rFonts w:ascii="Arial" w:hAnsi="Arial" w:cs="Arial"/>
              </w:rPr>
            </w:pPr>
          </w:p>
        </w:tc>
      </w:tr>
    </w:tbl>
    <w:p w:rsidR="00DD0F75" w:rsidRDefault="00DD0F75" w:rsidP="00DD0F75">
      <w:pPr>
        <w:rPr>
          <w:rFonts w:ascii="Arial" w:hAnsi="Arial" w:cs="Arial"/>
        </w:rPr>
      </w:pPr>
      <w:r>
        <w:rPr>
          <w:rFonts w:ascii="Arial" w:hAnsi="Arial" w:cs="Arial"/>
        </w:rPr>
        <w:br w:type="page"/>
      </w:r>
    </w:p>
    <w:p w:rsidR="00DD0F75" w:rsidRPr="00A77C3B" w:rsidRDefault="00DD0F75" w:rsidP="00DD0F75">
      <w:pPr>
        <w:rPr>
          <w:rFonts w:ascii="Arial" w:hAnsi="Arial" w:cs="Arial"/>
        </w:rPr>
      </w:pPr>
      <w:r w:rsidRPr="00A77C3B">
        <w:rPr>
          <w:rFonts w:ascii="Arial" w:hAnsi="Arial" w:cs="Arial"/>
        </w:rPr>
        <w:lastRenderedPageBreak/>
        <w:t>W ramach powyższych kategorii wydatków stosuje się następujące ogólne zasady:</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 xml:space="preserve">wszystkie wskazane w niniejszym rozdziale wydatki muszą być ponoszone zgodnie z Rozporządzeniem pomocowym dla I osi, niniejszym </w:t>
      </w:r>
      <w:r w:rsidRPr="00147534">
        <w:rPr>
          <w:rFonts w:ascii="Arial" w:hAnsi="Arial" w:cs="Arial"/>
          <w:i/>
        </w:rPr>
        <w:t xml:space="preserve">Katalogiem, Wytycznymi </w:t>
      </w:r>
      <w:r w:rsidRPr="00A77C3B">
        <w:rPr>
          <w:rFonts w:ascii="Arial" w:hAnsi="Arial" w:cs="Arial"/>
        </w:rPr>
        <w:t>oraz umową o dofinansowanie pod rygorem uznania ich za niekwalifikowane.  Wydatki te muszą być bezpośrednio związane z realizacja projektu;</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wydatkami kwalifikującymi się do objęcia wsparciem są wydatki poniesione w okresie określonym w rozporządzeniu pomocowym dla I osi;</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wszystkie wydatki powinny być przypisane do odpowiednich kategorii określonych w</w:t>
      </w:r>
      <w:r>
        <w:rPr>
          <w:rFonts w:ascii="Arial" w:hAnsi="Arial" w:cs="Arial"/>
        </w:rPr>
        <w:t> </w:t>
      </w:r>
      <w:r w:rsidRPr="00A77C3B">
        <w:rPr>
          <w:rFonts w:ascii="Arial" w:hAnsi="Arial" w:cs="Arial"/>
        </w:rPr>
        <w:t>niniejszym rozdziale;</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 xml:space="preserve">cenę nabycia wartości niematerialnych i prawnych oraz środków trwałych, kwalifikujących się do objęcia wsparciem ustala się zgodnie z właściwymi przepisami ustawy </w:t>
      </w:r>
      <w:r>
        <w:rPr>
          <w:rFonts w:ascii="Arial" w:hAnsi="Arial" w:cs="Arial"/>
        </w:rPr>
        <w:t xml:space="preserve">z dnia 29 września 1994 r. </w:t>
      </w:r>
      <w:r w:rsidRPr="00A77C3B">
        <w:rPr>
          <w:rFonts w:ascii="Arial" w:hAnsi="Arial" w:cs="Arial"/>
        </w:rPr>
        <w:t>o rachunkowości</w:t>
      </w:r>
      <w:r>
        <w:rPr>
          <w:rFonts w:ascii="Arial" w:hAnsi="Arial" w:cs="Arial"/>
        </w:rPr>
        <w:t xml:space="preserve"> (Dz. U. 2016 r., poz. 1047)</w:t>
      </w:r>
      <w:r w:rsidRPr="00A77C3B">
        <w:rPr>
          <w:rFonts w:ascii="Arial" w:hAnsi="Arial" w:cs="Arial"/>
        </w:rPr>
        <w:t xml:space="preserve">; </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wydatki na środki trwałe ponoszone są w ramach kategorii wydatków określonych w</w:t>
      </w:r>
      <w:r>
        <w:rPr>
          <w:rFonts w:ascii="Arial" w:hAnsi="Arial" w:cs="Arial"/>
        </w:rPr>
        <w:t> </w:t>
      </w:r>
      <w:r w:rsidRPr="00A77C3B">
        <w:rPr>
          <w:rFonts w:ascii="Arial" w:hAnsi="Arial" w:cs="Arial"/>
        </w:rPr>
        <w:t>niniejszym rozdziale;</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w ramach wydatków dotyczących nowych środków trwałych uznaje się je za kwalifikowalne, o ile środki te są na stałe zainstalowane w ramach projektu, a środki te będą włączone w rejestr środków trwałych beneficjenta oraz wydatek ten będzie traktowany jako wydatek inwestycyjny zgodnie z zasadami rachunkowości;</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 xml:space="preserve">dopuszcza się zakup używanych środków trwałych, z zastrzeżeniem </w:t>
      </w:r>
      <w:r>
        <w:rPr>
          <w:rFonts w:ascii="Arial" w:hAnsi="Arial" w:cs="Arial"/>
        </w:rPr>
        <w:t>p</w:t>
      </w:r>
      <w:r w:rsidRPr="00A77C3B">
        <w:rPr>
          <w:rFonts w:ascii="Arial" w:hAnsi="Arial" w:cs="Arial"/>
        </w:rPr>
        <w:t xml:space="preserve">odrozdziału </w:t>
      </w:r>
      <w:r>
        <w:rPr>
          <w:rFonts w:ascii="Arial" w:hAnsi="Arial" w:cs="Arial"/>
        </w:rPr>
        <w:t>3</w:t>
      </w:r>
      <w:r w:rsidRPr="00A77C3B">
        <w:rPr>
          <w:rFonts w:ascii="Arial" w:hAnsi="Arial" w:cs="Arial"/>
        </w:rPr>
        <w:t>.3 pkt 4 lit. e;</w:t>
      </w:r>
    </w:p>
    <w:p w:rsidR="00DD0F75" w:rsidRPr="00A77C3B"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kwalifikowalne są wydatki w związku z zastosowaniem leasingu i innych technik finansowania nie powodujących natychmiastowego przeniesienia prawa własności;</w:t>
      </w:r>
    </w:p>
    <w:p w:rsidR="00DD0F75" w:rsidRDefault="00DD0F75" w:rsidP="00137BC9">
      <w:pPr>
        <w:numPr>
          <w:ilvl w:val="0"/>
          <w:numId w:val="76"/>
        </w:numPr>
        <w:autoSpaceDE w:val="0"/>
        <w:autoSpaceDN w:val="0"/>
        <w:adjustRightInd w:val="0"/>
        <w:spacing w:before="120" w:after="120" w:line="360" w:lineRule="auto"/>
        <w:jc w:val="both"/>
        <w:rPr>
          <w:rFonts w:ascii="Arial" w:hAnsi="Arial" w:cs="Arial"/>
        </w:rPr>
      </w:pPr>
      <w:r w:rsidRPr="00A77C3B">
        <w:rPr>
          <w:rFonts w:ascii="Arial" w:hAnsi="Arial" w:cs="Arial"/>
        </w:rPr>
        <w:t>nie dopuszcza się stosowania uproszczonych metod rozliczania wydatków.</w:t>
      </w:r>
    </w:p>
    <w:p w:rsidR="00DD0F75" w:rsidRPr="005C74BF" w:rsidRDefault="00DD0F75" w:rsidP="00DD0F75">
      <w:pPr>
        <w:pStyle w:val="Nagwek2"/>
        <w:numPr>
          <w:ilvl w:val="2"/>
          <w:numId w:val="1"/>
        </w:numPr>
        <w:spacing w:before="240" w:after="60" w:line="360" w:lineRule="auto"/>
        <w:jc w:val="center"/>
        <w:rPr>
          <w:rFonts w:ascii="Arial" w:hAnsi="Arial" w:cs="Arial"/>
          <w:b w:val="0"/>
          <w:i/>
          <w:color w:val="auto"/>
          <w:sz w:val="24"/>
          <w:szCs w:val="24"/>
        </w:rPr>
      </w:pPr>
      <w:bookmarkStart w:id="137" w:name="_Toc508630129"/>
      <w:r w:rsidRPr="005C74BF">
        <w:rPr>
          <w:rFonts w:ascii="Arial" w:hAnsi="Arial" w:cs="Arial"/>
          <w:b w:val="0"/>
          <w:i/>
          <w:color w:val="auto"/>
          <w:sz w:val="24"/>
          <w:szCs w:val="24"/>
        </w:rPr>
        <w:t>Kwalifikowalność wydatków w ramach pomocy na infrastrukturę szerokopasmową</w:t>
      </w:r>
      <w:bookmarkEnd w:id="137"/>
    </w:p>
    <w:p w:rsidR="00DD0F75" w:rsidRDefault="00DD0F75" w:rsidP="00DD0F75">
      <w:pPr>
        <w:rPr>
          <w:rFonts w:ascii="Arial" w:hAnsi="Arial" w:cs="Arial"/>
        </w:rPr>
      </w:pPr>
      <w:r w:rsidRPr="00C632DB">
        <w:rPr>
          <w:rFonts w:ascii="Arial" w:hAnsi="Arial" w:cs="Arial"/>
        </w:rPr>
        <w:t>Za kwalifikowalne uznaje się następujące wydatki poniesione na pokrycie:</w:t>
      </w:r>
    </w:p>
    <w:p w:rsidR="00DD0F75" w:rsidRPr="00C632DB" w:rsidRDefault="00DD0F75" w:rsidP="00137BC9">
      <w:pPr>
        <w:numPr>
          <w:ilvl w:val="0"/>
          <w:numId w:val="77"/>
        </w:numPr>
        <w:autoSpaceDE w:val="0"/>
        <w:autoSpaceDN w:val="0"/>
        <w:adjustRightInd w:val="0"/>
        <w:spacing w:before="120" w:after="120" w:line="360" w:lineRule="auto"/>
        <w:jc w:val="both"/>
        <w:rPr>
          <w:rFonts w:ascii="Arial" w:hAnsi="Arial" w:cs="Arial"/>
        </w:rPr>
      </w:pPr>
      <w:r w:rsidRPr="00C632DB">
        <w:rPr>
          <w:rFonts w:ascii="Arial" w:hAnsi="Arial" w:cs="Arial"/>
        </w:rPr>
        <w:t>kosztów inwestycyjnych budowy pasywnej infrastruktury szerokopasmowej, w tym robót i materiałów budowlanych oraz dostaw</w:t>
      </w:r>
      <w:r w:rsidRPr="00F92714">
        <w:rPr>
          <w:rFonts w:ascii="Arial" w:hAnsi="Arial" w:cs="Arial"/>
          <w:vertAlign w:val="superscript"/>
        </w:rPr>
        <w:footnoteReference w:id="23"/>
      </w:r>
      <w:r w:rsidRPr="00C632DB">
        <w:rPr>
          <w:rFonts w:ascii="Arial" w:hAnsi="Arial" w:cs="Arial"/>
        </w:rPr>
        <w:t xml:space="preserve"> i instalacji elementów pasywnej infrastruktury szerokopasmowej, w tym w szczególności:</w:t>
      </w:r>
    </w:p>
    <w:p w:rsidR="00DD0F75" w:rsidRPr="00C632DB" w:rsidRDefault="00DD0F75" w:rsidP="00137BC9">
      <w:pPr>
        <w:numPr>
          <w:ilvl w:val="0"/>
          <w:numId w:val="80"/>
        </w:numPr>
        <w:spacing w:before="120" w:after="120" w:line="360" w:lineRule="auto"/>
        <w:jc w:val="both"/>
        <w:rPr>
          <w:rFonts w:ascii="Arial" w:hAnsi="Arial" w:cs="Arial"/>
        </w:rPr>
      </w:pPr>
      <w:r w:rsidRPr="00C632DB">
        <w:rPr>
          <w:rFonts w:ascii="Arial" w:hAnsi="Arial" w:cs="Arial"/>
        </w:rPr>
        <w:lastRenderedPageBreak/>
        <w:t>usługi związane z nadzorem technicznym realizacji inwestycji w zakresie niezbędnym dla realizacji inwestycji, w tym związanych z nadzorem nad robotami budowlanymi i nadzorem autorskim nad robotami budowlanymi przez projektanta, a także nadzorem inwestorskim pod warunkiem pełnienia tych funkcji przez osoby posiadające odpowiednie uprawnienia w tym zakresie;</w:t>
      </w:r>
    </w:p>
    <w:p w:rsidR="00DD0F75" w:rsidRPr="00C632DB" w:rsidRDefault="00DD0F75" w:rsidP="00137BC9">
      <w:pPr>
        <w:numPr>
          <w:ilvl w:val="0"/>
          <w:numId w:val="80"/>
        </w:numPr>
        <w:spacing w:before="120" w:after="120" w:line="360" w:lineRule="auto"/>
        <w:jc w:val="both"/>
        <w:rPr>
          <w:rFonts w:ascii="Arial" w:hAnsi="Arial" w:cs="Arial"/>
        </w:rPr>
      </w:pPr>
      <w:r w:rsidRPr="00C632DB">
        <w:rPr>
          <w:rFonts w:ascii="Arial" w:hAnsi="Arial" w:cs="Arial"/>
        </w:rPr>
        <w:t xml:space="preserve">roboty budowlane – w rozumieniu ustawy </w:t>
      </w:r>
      <w:r w:rsidRPr="005C74BF">
        <w:rPr>
          <w:rFonts w:ascii="Arial" w:hAnsi="Arial" w:cs="Arial"/>
          <w:i/>
        </w:rPr>
        <w:t>Prawo budowlane</w:t>
      </w:r>
      <w:r w:rsidRPr="00C632DB">
        <w:rPr>
          <w:rFonts w:ascii="Arial" w:hAnsi="Arial" w:cs="Arial"/>
        </w:rPr>
        <w:t>;</w:t>
      </w:r>
    </w:p>
    <w:p w:rsidR="00DD0F75" w:rsidRPr="00C632DB" w:rsidRDefault="00DD0F75" w:rsidP="00137BC9">
      <w:pPr>
        <w:numPr>
          <w:ilvl w:val="0"/>
          <w:numId w:val="80"/>
        </w:numPr>
        <w:spacing w:before="120" w:after="120" w:line="360" w:lineRule="auto"/>
        <w:jc w:val="both"/>
        <w:rPr>
          <w:rFonts w:ascii="Arial" w:hAnsi="Arial" w:cs="Arial"/>
        </w:rPr>
      </w:pPr>
      <w:r w:rsidRPr="00C632DB">
        <w:rPr>
          <w:rFonts w:ascii="Arial" w:hAnsi="Arial" w:cs="Arial"/>
        </w:rPr>
        <w:t>materiały budowlane;</w:t>
      </w:r>
    </w:p>
    <w:p w:rsidR="00DD0F75" w:rsidRPr="00C632DB" w:rsidRDefault="00DD0F75" w:rsidP="00137BC9">
      <w:pPr>
        <w:numPr>
          <w:ilvl w:val="0"/>
          <w:numId w:val="80"/>
        </w:numPr>
        <w:spacing w:before="120" w:after="120" w:line="360" w:lineRule="auto"/>
        <w:jc w:val="both"/>
        <w:rPr>
          <w:rFonts w:ascii="Arial" w:hAnsi="Arial" w:cs="Arial"/>
        </w:rPr>
      </w:pPr>
      <w:r w:rsidRPr="00C632DB">
        <w:rPr>
          <w:rFonts w:ascii="Arial" w:hAnsi="Arial" w:cs="Arial"/>
        </w:rPr>
        <w:t xml:space="preserve"> dostawa i instalacja niezbędnych do realizacji projektu elementów pasywnej infrastruktury szerokopasmowej , takich jak m.in.: elementy instalacyjne, złącza, elementy kanalizacji kablowej, studnie, rury, </w:t>
      </w:r>
      <w:proofErr w:type="spellStart"/>
      <w:r w:rsidRPr="00C632DB">
        <w:rPr>
          <w:rFonts w:ascii="Arial" w:hAnsi="Arial" w:cs="Arial"/>
        </w:rPr>
        <w:t>mikrorury</w:t>
      </w:r>
      <w:proofErr w:type="spellEnd"/>
      <w:r w:rsidRPr="00C632DB">
        <w:rPr>
          <w:rFonts w:ascii="Arial" w:hAnsi="Arial" w:cs="Arial"/>
        </w:rPr>
        <w:t xml:space="preserve">, złączki, mufy, kable telekomunikacyjne (wraz z niezbędnymi do pozostawienia w punktach zakończenia sieci zapasami), </w:t>
      </w:r>
      <w:proofErr w:type="spellStart"/>
      <w:r w:rsidRPr="00C632DB">
        <w:rPr>
          <w:rFonts w:ascii="Arial" w:hAnsi="Arial" w:cs="Arial"/>
        </w:rPr>
        <w:t>splittery</w:t>
      </w:r>
      <w:proofErr w:type="spellEnd"/>
      <w:r w:rsidRPr="00C632DB">
        <w:rPr>
          <w:rFonts w:ascii="Arial" w:hAnsi="Arial" w:cs="Arial"/>
        </w:rPr>
        <w:t>, taśmy ostrzegawcze, znaczniki elektromagnetyczne, szafy i kontenery telekomunikacyjne, słupy, maszty i wieże radiowe, a także elementy pasywne niezbędne do ochrony przeciwprzepięciowej i odgromowej;</w:t>
      </w:r>
    </w:p>
    <w:p w:rsidR="00DD0F75" w:rsidRPr="00C632DB" w:rsidRDefault="00DD0F75" w:rsidP="00137BC9">
      <w:pPr>
        <w:numPr>
          <w:ilvl w:val="0"/>
          <w:numId w:val="80"/>
        </w:numPr>
        <w:spacing w:before="120" w:after="120" w:line="360" w:lineRule="auto"/>
        <w:jc w:val="both"/>
        <w:rPr>
          <w:rFonts w:ascii="Arial" w:hAnsi="Arial" w:cs="Arial"/>
        </w:rPr>
      </w:pPr>
      <w:r w:rsidRPr="00C632DB">
        <w:rPr>
          <w:rFonts w:ascii="Arial" w:hAnsi="Arial" w:cs="Arial"/>
        </w:rPr>
        <w:t xml:space="preserve">koszty niezbędne do spełnienia wymagań </w:t>
      </w:r>
      <w:r>
        <w:rPr>
          <w:rFonts w:ascii="Arial" w:hAnsi="Arial" w:cs="Arial"/>
        </w:rPr>
        <w:t>technicznych określonych w ramach dokumentacji konkursowej</w:t>
      </w:r>
      <w:r w:rsidRPr="00C632DB">
        <w:rPr>
          <w:rFonts w:ascii="Arial" w:hAnsi="Arial" w:cs="Arial"/>
        </w:rPr>
        <w:t>, w zakresie w jakim dotyczą one specyfikacji technicznej części pasywnej infrastruktury i sieci, w tym minimalnej nadmiarowości, tj. m.in. wydatki na realizację dodatkowych otworów kanalizacji kablowej, włókien lub kabli itp.;</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poniesione na pokrycie tych kosztów są kwalifikowalne pod warunkiem spełnienia założeń technicznych projektu określonych we wniosku o dofinansowanie. </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Niezbędnym warunkiem kwalifikowalności tych elementów w ramach niniejszej kategorii jest, aby nie zawierały żadnych aktywnych elementów sieci telekomunikacyjnej, w szczególności urządzeń telekomunikacyjnych, w tym urządzeń radiowych.</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 ramach niniejszej kategorii możliwe jest ponoszenie kosztów realizacji pasywnej infrastruktury szerokopasmowej w warstwie sieci szkieletowej i dystrybucyjnej</w:t>
      </w:r>
      <w:r w:rsidRPr="00F92714">
        <w:rPr>
          <w:rFonts w:ascii="Arial" w:hAnsi="Arial" w:cs="Arial"/>
          <w:vertAlign w:val="superscript"/>
        </w:rPr>
        <w:footnoteReference w:id="24"/>
      </w:r>
      <w:r w:rsidRPr="00C632DB">
        <w:rPr>
          <w:rFonts w:ascii="Arial" w:hAnsi="Arial" w:cs="Arial"/>
        </w:rPr>
        <w:t xml:space="preserve">.  </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poniesione na pokrycie kosztów realizacji pasywnej infrastruktury szerokopasmowej w warstwie sieci dystrybucyjnej i szkieletowej są kwalifikowalne wyłącznie w zakresie w jakim są niezbędne do realizacji sieci NGA, a także pod warunkiem wykazania, że jest to </w:t>
      </w:r>
      <w:r w:rsidRPr="00C632DB">
        <w:rPr>
          <w:rFonts w:ascii="Arial" w:hAnsi="Arial" w:cs="Arial"/>
        </w:rPr>
        <w:lastRenderedPageBreak/>
        <w:t>najbardziej efektywna możliwość realizacji sieci dostępowej i nie jest możliwe lub uzasadnione skorzystanie z istniejącej infrastruktury lub usług hurtowych świadczonych przez innych przedsiębiorców telekomunikacyjnych na danym obszarze. Aktywne elementy sieci dystrybucyjnej i szkieletowej są niekwalifikowalne zgodnie z katalogiem wydatków  niekwalifikowalnych.</w:t>
      </w:r>
    </w:p>
    <w:p w:rsidR="00DD0F75" w:rsidRPr="00C632DB" w:rsidRDefault="00DD0F75" w:rsidP="00137BC9">
      <w:pPr>
        <w:numPr>
          <w:ilvl w:val="0"/>
          <w:numId w:val="77"/>
        </w:numPr>
        <w:autoSpaceDE w:val="0"/>
        <w:autoSpaceDN w:val="0"/>
        <w:adjustRightInd w:val="0"/>
        <w:spacing w:before="120" w:after="120" w:line="360" w:lineRule="auto"/>
        <w:jc w:val="both"/>
        <w:rPr>
          <w:rFonts w:ascii="Arial" w:hAnsi="Arial" w:cs="Arial"/>
        </w:rPr>
      </w:pPr>
      <w:r w:rsidRPr="00C632DB">
        <w:rPr>
          <w:rFonts w:ascii="Arial" w:hAnsi="Arial" w:cs="Arial"/>
        </w:rPr>
        <w:t>kosztów przygotowania dokumentacji niezbędnej do wykonania robót budowlanych.</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 szczególności są to wydatki niezbędne do poniesienia na etapie przygotowania do realizacji infrastruktury i sieci w terenie, w szczególności dotyczące takich elementów jak:</w:t>
      </w:r>
    </w:p>
    <w:p w:rsidR="00DD0F75" w:rsidRPr="00C632DB" w:rsidRDefault="00DD0F75" w:rsidP="00137BC9">
      <w:pPr>
        <w:numPr>
          <w:ilvl w:val="0"/>
          <w:numId w:val="81"/>
        </w:numPr>
        <w:spacing w:before="120" w:after="120" w:line="360" w:lineRule="auto"/>
        <w:jc w:val="both"/>
        <w:rPr>
          <w:rFonts w:ascii="Arial" w:hAnsi="Arial" w:cs="Arial"/>
        </w:rPr>
      </w:pPr>
      <w:r w:rsidRPr="00C632DB">
        <w:rPr>
          <w:rFonts w:ascii="Arial" w:hAnsi="Arial" w:cs="Arial"/>
        </w:rPr>
        <w:t>dokumentacja techniczna projektu, w tym projektowanie infrastruktury i sieci;</w:t>
      </w:r>
    </w:p>
    <w:p w:rsidR="00DD0F75" w:rsidRPr="00C632DB" w:rsidRDefault="00DD0F75" w:rsidP="00137BC9">
      <w:pPr>
        <w:numPr>
          <w:ilvl w:val="0"/>
          <w:numId w:val="81"/>
        </w:numPr>
        <w:spacing w:before="120" w:after="120" w:line="360" w:lineRule="auto"/>
        <w:jc w:val="both"/>
        <w:rPr>
          <w:rFonts w:ascii="Arial" w:hAnsi="Arial" w:cs="Arial"/>
        </w:rPr>
      </w:pPr>
      <w:r w:rsidRPr="00C632DB">
        <w:rPr>
          <w:rFonts w:ascii="Arial" w:hAnsi="Arial" w:cs="Arial"/>
        </w:rPr>
        <w:t>pozyskanie i przygotowanie map lub szkiców sytuujących projekt, w tym dotyczące zamówienia usług w zakresie obsługi geodezyjnej;</w:t>
      </w:r>
    </w:p>
    <w:p w:rsidR="00DD0F75" w:rsidRPr="00C632DB" w:rsidRDefault="00DD0F75" w:rsidP="00137BC9">
      <w:pPr>
        <w:numPr>
          <w:ilvl w:val="0"/>
          <w:numId w:val="81"/>
        </w:numPr>
        <w:spacing w:before="120" w:after="120" w:line="360" w:lineRule="auto"/>
        <w:jc w:val="both"/>
        <w:rPr>
          <w:rFonts w:ascii="Arial" w:hAnsi="Arial" w:cs="Arial"/>
        </w:rPr>
      </w:pPr>
      <w:r w:rsidRPr="00C632DB">
        <w:rPr>
          <w:rFonts w:ascii="Arial" w:hAnsi="Arial" w:cs="Arial"/>
        </w:rPr>
        <w:t>przygotowanie dokumentacji niezbędnej do złożenia wniosków o wydanie wymaganych przepisami prawa decyzji, zgód i zezwoleń administracyjnych albo dokonania zgłoszenia budowy lub robót budowlanych;</w:t>
      </w:r>
    </w:p>
    <w:p w:rsidR="00DD0F75" w:rsidRPr="00C632DB" w:rsidRDefault="00DD0F75" w:rsidP="00137BC9">
      <w:pPr>
        <w:numPr>
          <w:ilvl w:val="0"/>
          <w:numId w:val="81"/>
        </w:numPr>
        <w:spacing w:before="120" w:after="120" w:line="360" w:lineRule="auto"/>
        <w:jc w:val="both"/>
        <w:rPr>
          <w:rFonts w:ascii="Arial" w:hAnsi="Arial" w:cs="Arial"/>
        </w:rPr>
      </w:pPr>
      <w:r w:rsidRPr="00C632DB">
        <w:rPr>
          <w:rFonts w:ascii="Arial" w:hAnsi="Arial" w:cs="Arial"/>
        </w:rPr>
        <w:t xml:space="preserve">dokumentacja budowlana art. 3 pkt 13 ustawy </w:t>
      </w:r>
      <w:r w:rsidRPr="00044603">
        <w:rPr>
          <w:rFonts w:ascii="Arial" w:hAnsi="Arial" w:cs="Arial"/>
          <w:i/>
        </w:rPr>
        <w:t>Prawo budowlane</w:t>
      </w:r>
      <w:r w:rsidRPr="00C632DB">
        <w:rPr>
          <w:rFonts w:ascii="Arial" w:hAnsi="Arial" w:cs="Arial"/>
        </w:rPr>
        <w:t>, z wyjątkiem związanych z jej prowadzeniem opłat o charakterze publicznoprawnym;</w:t>
      </w:r>
    </w:p>
    <w:p w:rsidR="00DD0F75" w:rsidRPr="00C632DB" w:rsidRDefault="00DD0F75" w:rsidP="00137BC9">
      <w:pPr>
        <w:numPr>
          <w:ilvl w:val="0"/>
          <w:numId w:val="81"/>
        </w:numPr>
        <w:spacing w:before="120" w:after="120" w:line="360" w:lineRule="auto"/>
        <w:jc w:val="both"/>
        <w:rPr>
          <w:rFonts w:ascii="Arial" w:hAnsi="Arial" w:cs="Arial"/>
        </w:rPr>
      </w:pPr>
      <w:r w:rsidRPr="00C632DB">
        <w:rPr>
          <w:rFonts w:ascii="Arial" w:hAnsi="Arial" w:cs="Arial"/>
        </w:rPr>
        <w:t xml:space="preserve">przygotowanie innej dokumentacji w zakresie, w jakim jest to wymagane zgodnie </w:t>
      </w:r>
      <w:r w:rsidRPr="00C632DB">
        <w:rPr>
          <w:rFonts w:ascii="Arial" w:hAnsi="Arial" w:cs="Arial"/>
        </w:rPr>
        <w:br/>
        <w:t>z obowiązującymi przepisami prawa.</w:t>
      </w:r>
    </w:p>
    <w:p w:rsidR="00DD0F75" w:rsidRPr="00C632DB" w:rsidRDefault="00DD0F75" w:rsidP="00137BC9">
      <w:pPr>
        <w:numPr>
          <w:ilvl w:val="0"/>
          <w:numId w:val="77"/>
        </w:numPr>
        <w:autoSpaceDE w:val="0"/>
        <w:autoSpaceDN w:val="0"/>
        <w:adjustRightInd w:val="0"/>
        <w:spacing w:before="120" w:after="120" w:line="360" w:lineRule="auto"/>
        <w:jc w:val="both"/>
        <w:rPr>
          <w:rFonts w:ascii="Arial" w:hAnsi="Arial" w:cs="Arial"/>
        </w:rPr>
      </w:pPr>
      <w:r w:rsidRPr="00C632DB">
        <w:rPr>
          <w:rFonts w:ascii="Arial" w:hAnsi="Arial" w:cs="Arial"/>
        </w:rPr>
        <w:t>kosztów nabycia prawa dysponowania nieruchomością związanych z realizacją projektu, w tym w szczególności:</w:t>
      </w:r>
    </w:p>
    <w:p w:rsidR="00DD0F75" w:rsidRPr="00C632DB" w:rsidRDefault="00DD0F75" w:rsidP="00137BC9">
      <w:pPr>
        <w:numPr>
          <w:ilvl w:val="0"/>
          <w:numId w:val="82"/>
        </w:numPr>
        <w:spacing w:before="120" w:after="120" w:line="360" w:lineRule="auto"/>
        <w:jc w:val="both"/>
        <w:rPr>
          <w:rFonts w:ascii="Arial" w:hAnsi="Arial" w:cs="Arial"/>
        </w:rPr>
      </w:pPr>
      <w:r w:rsidRPr="00C632DB">
        <w:rPr>
          <w:rFonts w:ascii="Arial" w:hAnsi="Arial" w:cs="Arial"/>
        </w:rPr>
        <w:t xml:space="preserve">kategorie wydatków w zakresie określonym w </w:t>
      </w:r>
      <w:r w:rsidRPr="005C74BF">
        <w:rPr>
          <w:rFonts w:ascii="Arial" w:hAnsi="Arial" w:cs="Arial"/>
          <w:i/>
        </w:rPr>
        <w:t>Wytycznych</w:t>
      </w:r>
      <w:r w:rsidRPr="00C632DB">
        <w:rPr>
          <w:rFonts w:ascii="Arial" w:hAnsi="Arial" w:cs="Arial"/>
        </w:rPr>
        <w:t>;</w:t>
      </w:r>
    </w:p>
    <w:p w:rsidR="00DD0F75" w:rsidRPr="00C632DB" w:rsidRDefault="00DD0F75" w:rsidP="00137BC9">
      <w:pPr>
        <w:numPr>
          <w:ilvl w:val="0"/>
          <w:numId w:val="82"/>
        </w:numPr>
        <w:spacing w:before="120" w:after="120" w:line="360" w:lineRule="auto"/>
        <w:jc w:val="both"/>
        <w:rPr>
          <w:rFonts w:ascii="Arial" w:hAnsi="Arial" w:cs="Arial"/>
        </w:rPr>
      </w:pPr>
      <w:r w:rsidRPr="00C632DB">
        <w:rPr>
          <w:rFonts w:ascii="Arial" w:hAnsi="Arial" w:cs="Arial"/>
        </w:rPr>
        <w:t xml:space="preserve">opłaty dla właściciela, użytkownika wieczystego nieruchomości lub zarządcy nieruchomości w zakresie w jakim wynikają z art. 30 ust. 3b pkt 1) i art. 33 </w:t>
      </w:r>
      <w:proofErr w:type="spellStart"/>
      <w:r w:rsidRPr="00C632DB">
        <w:rPr>
          <w:rFonts w:ascii="Arial" w:hAnsi="Arial" w:cs="Arial"/>
        </w:rPr>
        <w:t>megaustawy</w:t>
      </w:r>
      <w:proofErr w:type="spellEnd"/>
      <w:r w:rsidRPr="00C632DB">
        <w:rPr>
          <w:rFonts w:ascii="Arial" w:hAnsi="Arial" w:cs="Arial"/>
        </w:rPr>
        <w:t xml:space="preserve"> </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 xml:space="preserve">W ramach niniejszej kategorii stosowane są limity określone w </w:t>
      </w:r>
      <w:r w:rsidRPr="005C74BF">
        <w:rPr>
          <w:rFonts w:ascii="Arial" w:hAnsi="Arial" w:cs="Arial"/>
          <w:i/>
        </w:rPr>
        <w:t>Wytycznych</w:t>
      </w:r>
      <w:r w:rsidRPr="00C632DB">
        <w:rPr>
          <w:rFonts w:ascii="Arial" w:hAnsi="Arial" w:cs="Arial"/>
        </w:rPr>
        <w:t>.</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 przypadkach, gdy nabycie nieruchomości stanowi wydatek kwalifikowalny, kwalifikowalne są również wydatki poniesione w związku ze sporządzeniem dokumentacji geodezyjno-kartograficznej, wynagrodzenia rzeczoznawcy oraz opłaty notarialne.</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 przypadku innych, niż własność i dzierżawa wieczysta, tytułów prawnych do nieruchomości, umowa powinna zostać zawarta na okres nie krótszy niż okres trwałości projektu.</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lastRenderedPageBreak/>
        <w:t>Wydatki poniesione w ramach powyższej kategorii są kwalifikowane proporcjonalnie do okresu realizacji projektu co oznacza, że nie są kwalifikowalne wydatki odnoszące się do okresu trwałości i późniejszych, np. nie jest kwalifikowalny pełny koszt nabycia prawa, ale jego odpowiednia część obliczona proporcjonalnie do okresu realizacji projektu.</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dotyczące umów lub decyzji w zakresie art. 30 </w:t>
      </w:r>
      <w:proofErr w:type="spellStart"/>
      <w:r w:rsidRPr="00C632DB">
        <w:rPr>
          <w:rFonts w:ascii="Arial" w:hAnsi="Arial" w:cs="Arial"/>
        </w:rPr>
        <w:t>megaustawy</w:t>
      </w:r>
      <w:proofErr w:type="spellEnd"/>
      <w:r w:rsidRPr="00C632DB">
        <w:rPr>
          <w:rFonts w:ascii="Arial" w:hAnsi="Arial" w:cs="Arial"/>
        </w:rPr>
        <w:t xml:space="preserve"> są kwalifikowalne odpowiednio do kwalifikowalnego zakresu projektu (np. niekwalifikowalne będą całościowe wydatki dotyczące udostępnienia instalacji wewnątrzbudynkowej lub miejsca w budynku, ale kwalifikowalne będą takie wydatki, jeśli związane są wyłącznie z realizacją punktu styku w budynku, o którym mowa w § 192f rozporządzenia Ministra Infrastruktury z dnia 12 kwietnia 2002 w sprawie warunków technicznych jakim powinny odpowiadać budynki i ich usytuowanie).</w:t>
      </w:r>
    </w:p>
    <w:p w:rsidR="00DD0F75" w:rsidRPr="00C632DB" w:rsidRDefault="00DD0F75" w:rsidP="00137BC9">
      <w:pPr>
        <w:numPr>
          <w:ilvl w:val="0"/>
          <w:numId w:val="77"/>
        </w:numPr>
        <w:autoSpaceDE w:val="0"/>
        <w:autoSpaceDN w:val="0"/>
        <w:adjustRightInd w:val="0"/>
        <w:spacing w:before="120" w:after="120" w:line="360" w:lineRule="auto"/>
        <w:jc w:val="both"/>
        <w:rPr>
          <w:rFonts w:ascii="Arial" w:hAnsi="Arial" w:cs="Arial"/>
        </w:rPr>
      </w:pPr>
      <w:r w:rsidRPr="00C632DB">
        <w:rPr>
          <w:rFonts w:ascii="Arial" w:hAnsi="Arial" w:cs="Arial"/>
        </w:rPr>
        <w:t xml:space="preserve">kosztów dostarczenia, instalacji i uruchomienia urządzeń telekomunikacyjnych stanowiących infrastrukturę aktywną sieci NGA, w tym w szczególności: </w:t>
      </w:r>
    </w:p>
    <w:p w:rsidR="00DD0F75" w:rsidRPr="00C632DB" w:rsidRDefault="00DD0F75" w:rsidP="00137BC9">
      <w:pPr>
        <w:numPr>
          <w:ilvl w:val="0"/>
          <w:numId w:val="83"/>
        </w:numPr>
        <w:spacing w:before="120" w:after="120" w:line="360" w:lineRule="auto"/>
        <w:jc w:val="both"/>
        <w:rPr>
          <w:rFonts w:ascii="Arial" w:hAnsi="Arial" w:cs="Arial"/>
        </w:rPr>
      </w:pPr>
      <w:r w:rsidRPr="00C632DB">
        <w:rPr>
          <w:rFonts w:ascii="Arial" w:hAnsi="Arial" w:cs="Arial"/>
        </w:rPr>
        <w:t>urządzenia telekomunikacyjne stanowiące infrastrukturę aktywną sieci NGA, tj. m.in.: OLT, CMTS, DSLAM, ONU wyłącznie z portami szerokopasmowymi wyposażone w co najmniej dwa takie porty, multipleksery, wzmacniacze, przełącznice, karty liniowe, urządzenia radiowe);</w:t>
      </w:r>
    </w:p>
    <w:p w:rsidR="00DD0F75" w:rsidRPr="00C632DB" w:rsidRDefault="00DD0F75" w:rsidP="00137BC9">
      <w:pPr>
        <w:numPr>
          <w:ilvl w:val="0"/>
          <w:numId w:val="83"/>
        </w:numPr>
        <w:spacing w:before="120" w:after="120" w:line="360" w:lineRule="auto"/>
        <w:jc w:val="both"/>
        <w:rPr>
          <w:rFonts w:ascii="Arial" w:hAnsi="Arial" w:cs="Arial"/>
        </w:rPr>
      </w:pPr>
      <w:r w:rsidRPr="00C632DB">
        <w:rPr>
          <w:rFonts w:ascii="Arial" w:hAnsi="Arial" w:cs="Arial"/>
        </w:rPr>
        <w:t>usługi związane z konfiguracją urządzeń w sieci telekomunikacyjnej oraz nadzorem technicznym;</w:t>
      </w:r>
    </w:p>
    <w:p w:rsidR="00DD0F75" w:rsidRPr="00C632DB" w:rsidRDefault="00DD0F75" w:rsidP="00137BC9">
      <w:pPr>
        <w:numPr>
          <w:ilvl w:val="0"/>
          <w:numId w:val="83"/>
        </w:numPr>
        <w:spacing w:before="120" w:after="120" w:line="360" w:lineRule="auto"/>
        <w:jc w:val="both"/>
        <w:rPr>
          <w:rFonts w:ascii="Arial" w:hAnsi="Arial" w:cs="Arial"/>
        </w:rPr>
      </w:pPr>
      <w:r w:rsidRPr="00C632DB">
        <w:rPr>
          <w:rFonts w:ascii="Arial" w:hAnsi="Arial" w:cs="Arial"/>
        </w:rPr>
        <w:t xml:space="preserve">koszty niezbędne do spełnienia minimalnych warunków określonych w „Wymaganiach dla sieci NGA-POPC”, stanowiących załącznik do dokumentacji konkursowej w zakresie sposobu wypełnienia zobowiązania do realizacji sieci POPC spełniającej co najmniej minimalne warunki techniczne określone w pkt 1 tego dokumentu (np. wydatki na porty optyczne dla połączenia z innymi urządzeniami aktywnymi). </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Koszty te są kwalifikowalne pod warunkiem spełnienia założeń technicznych projektu określonych we wniosku o dofinansowanie.</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Wyłączona jest kwalifikowalność urządzeń abonenckich zgodnie z zasadami opisanymi w katalogu kosztów niekwalifikowalnych.</w:t>
      </w:r>
    </w:p>
    <w:p w:rsidR="00DD0F75" w:rsidRPr="00C632DB" w:rsidRDefault="00DD0F75" w:rsidP="00137BC9">
      <w:pPr>
        <w:numPr>
          <w:ilvl w:val="0"/>
          <w:numId w:val="77"/>
        </w:numPr>
        <w:autoSpaceDE w:val="0"/>
        <w:autoSpaceDN w:val="0"/>
        <w:adjustRightInd w:val="0"/>
        <w:spacing w:before="120" w:after="120" w:line="360" w:lineRule="auto"/>
        <w:jc w:val="both"/>
        <w:rPr>
          <w:rFonts w:ascii="Arial" w:hAnsi="Arial" w:cs="Arial"/>
        </w:rPr>
      </w:pPr>
      <w:r w:rsidRPr="00C632DB">
        <w:rPr>
          <w:rFonts w:ascii="Arial" w:hAnsi="Arial" w:cs="Arial"/>
        </w:rPr>
        <w:t>kosztów najmu, dzierżawy lub leasingu pasywnej infrastruktury szerokopasmowej, a także elementów infrastruktury elektroenergetycznej, sanitarnej, wodociągowej oraz kanałów technologicznych, w tym m.in.:</w:t>
      </w:r>
    </w:p>
    <w:p w:rsidR="00DD0F75" w:rsidRPr="00C632DB" w:rsidRDefault="00DD0F75" w:rsidP="00137BC9">
      <w:pPr>
        <w:numPr>
          <w:ilvl w:val="0"/>
          <w:numId w:val="84"/>
        </w:numPr>
        <w:spacing w:before="120" w:after="120" w:line="360" w:lineRule="auto"/>
        <w:jc w:val="both"/>
        <w:rPr>
          <w:rFonts w:ascii="Arial" w:hAnsi="Arial" w:cs="Arial"/>
        </w:rPr>
      </w:pPr>
      <w:r w:rsidRPr="00C632DB">
        <w:rPr>
          <w:rFonts w:ascii="Arial" w:hAnsi="Arial" w:cs="Arial"/>
        </w:rPr>
        <w:t xml:space="preserve">z tytułu współkorzystania lub dostępu do infrastruktury technicznej, o którym mowa w art. 17 </w:t>
      </w:r>
      <w:proofErr w:type="spellStart"/>
      <w:r w:rsidRPr="00C632DB">
        <w:rPr>
          <w:rFonts w:ascii="Arial" w:hAnsi="Arial" w:cs="Arial"/>
        </w:rPr>
        <w:t>megaustawy</w:t>
      </w:r>
      <w:proofErr w:type="spellEnd"/>
      <w:r w:rsidRPr="00C632DB">
        <w:rPr>
          <w:rFonts w:ascii="Arial" w:hAnsi="Arial" w:cs="Arial"/>
        </w:rPr>
        <w:t>;</w:t>
      </w:r>
    </w:p>
    <w:p w:rsidR="00DD0F75" w:rsidRPr="00C632DB" w:rsidRDefault="00DD0F75" w:rsidP="00137BC9">
      <w:pPr>
        <w:numPr>
          <w:ilvl w:val="0"/>
          <w:numId w:val="84"/>
        </w:numPr>
        <w:spacing w:before="120" w:after="120" w:line="360" w:lineRule="auto"/>
        <w:jc w:val="both"/>
        <w:rPr>
          <w:rFonts w:ascii="Arial" w:hAnsi="Arial" w:cs="Arial"/>
        </w:rPr>
      </w:pPr>
      <w:r w:rsidRPr="00C632DB">
        <w:rPr>
          <w:rFonts w:ascii="Arial" w:hAnsi="Arial" w:cs="Arial"/>
        </w:rPr>
        <w:lastRenderedPageBreak/>
        <w:t xml:space="preserve">z tytułu korzystania z urządzeń i obiektów infrastruktury technicznej o którym mowa w art. 35 </w:t>
      </w:r>
      <w:proofErr w:type="spellStart"/>
      <w:r w:rsidRPr="00C632DB">
        <w:rPr>
          <w:rFonts w:ascii="Arial" w:hAnsi="Arial" w:cs="Arial"/>
        </w:rPr>
        <w:t>megaustawy</w:t>
      </w:r>
      <w:proofErr w:type="spellEnd"/>
      <w:r w:rsidRPr="00C632DB">
        <w:rPr>
          <w:rFonts w:ascii="Arial" w:hAnsi="Arial" w:cs="Arial"/>
        </w:rPr>
        <w:t>;</w:t>
      </w:r>
    </w:p>
    <w:p w:rsidR="00DD0F75" w:rsidRPr="00C632DB" w:rsidRDefault="00DD0F75" w:rsidP="00137BC9">
      <w:pPr>
        <w:numPr>
          <w:ilvl w:val="0"/>
          <w:numId w:val="84"/>
        </w:numPr>
        <w:spacing w:before="120" w:after="120" w:line="360" w:lineRule="auto"/>
        <w:jc w:val="both"/>
        <w:rPr>
          <w:rFonts w:ascii="Arial" w:hAnsi="Arial" w:cs="Arial"/>
        </w:rPr>
      </w:pPr>
      <w:r w:rsidRPr="00C632DB">
        <w:rPr>
          <w:rFonts w:ascii="Arial" w:hAnsi="Arial" w:cs="Arial"/>
        </w:rPr>
        <w:t>z tytułu udostępnienia kanałów technologicznych, o których mowa w art. 39 ust. 7 ustawy z dnia 21 marca 1985 r. o drogach publicznych (</w:t>
      </w:r>
      <w:r>
        <w:rPr>
          <w:rFonts w:ascii="Arial" w:hAnsi="Arial" w:cs="Arial"/>
        </w:rPr>
        <w:t>j.t.</w:t>
      </w:r>
      <w:r w:rsidRPr="00C632DB">
        <w:rPr>
          <w:rFonts w:ascii="Arial" w:hAnsi="Arial" w:cs="Arial"/>
        </w:rPr>
        <w:t xml:space="preserve"> Dz. U.  201</w:t>
      </w:r>
      <w:r>
        <w:rPr>
          <w:rFonts w:ascii="Arial" w:hAnsi="Arial" w:cs="Arial"/>
        </w:rPr>
        <w:t>6</w:t>
      </w:r>
      <w:r w:rsidRPr="00C632DB">
        <w:rPr>
          <w:rFonts w:ascii="Arial" w:hAnsi="Arial" w:cs="Arial"/>
        </w:rPr>
        <w:t xml:space="preserve"> r. poz. </w:t>
      </w:r>
      <w:r>
        <w:rPr>
          <w:rFonts w:ascii="Arial" w:hAnsi="Arial" w:cs="Arial"/>
        </w:rPr>
        <w:t>14</w:t>
      </w:r>
      <w:r w:rsidRPr="00C632DB">
        <w:rPr>
          <w:rFonts w:ascii="Arial" w:hAnsi="Arial" w:cs="Arial"/>
        </w:rPr>
        <w:t>40);</w:t>
      </w:r>
    </w:p>
    <w:p w:rsidR="00DD0F75" w:rsidRPr="00C632DB" w:rsidRDefault="00DD0F75" w:rsidP="00137BC9">
      <w:pPr>
        <w:numPr>
          <w:ilvl w:val="0"/>
          <w:numId w:val="84"/>
        </w:numPr>
        <w:spacing w:before="120" w:after="120" w:line="360" w:lineRule="auto"/>
        <w:jc w:val="both"/>
        <w:rPr>
          <w:rFonts w:ascii="Arial" w:hAnsi="Arial" w:cs="Arial"/>
        </w:rPr>
      </w:pPr>
      <w:r w:rsidRPr="00C632DB">
        <w:rPr>
          <w:rFonts w:ascii="Arial" w:hAnsi="Arial" w:cs="Arial"/>
        </w:rPr>
        <w:t xml:space="preserve">z tytułu uzyskania dostępu o którym mowa w art. 139 ustawy </w:t>
      </w:r>
      <w:r w:rsidRPr="00147534">
        <w:rPr>
          <w:rFonts w:ascii="Arial" w:hAnsi="Arial" w:cs="Arial"/>
          <w:i/>
        </w:rPr>
        <w:t>Prawo telekomunikacyjne</w:t>
      </w:r>
      <w:r>
        <w:rPr>
          <w:rFonts w:ascii="Arial" w:hAnsi="Arial" w:cs="Arial"/>
          <w:i/>
        </w:rPr>
        <w:t>.</w:t>
      </w:r>
      <w:r w:rsidRPr="00C632DB">
        <w:rPr>
          <w:rFonts w:ascii="Arial" w:hAnsi="Arial" w:cs="Arial"/>
        </w:rPr>
        <w:t xml:space="preserve"> </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Koszty te są kwalifikowalne pod warunkiem spełnienia założeń technicznych projektu określonych we wniosku o dofinansowanie.</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 przypadku najmu, dzierżawy, IRU i innych, niż własność i dzierżawa wieczysta, tytułów prawnych do nieruchomości, koszt jest kwalifikowany pod warunkiem, że umowa została zawarta na okres nie krótszy niż okres trwałości projektu i nie krótszy niż minimalny okres świadczenia hurtowego dostępu określony rozporządzeniem pomocowym dla I osi.</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Wydatki wynikające z umów lub decyzji w ramach niniejszej kategorii, są kwalifikowalne proporcjonalnie do okresu realizacji projektu, tj. nie są kwalifikowalne wydatki odnoszące się do okresu trwałości i późniejszych.</w:t>
      </w:r>
      <w:r w:rsidR="007449F1">
        <w:rPr>
          <w:rFonts w:ascii="Arial" w:hAnsi="Arial" w:cs="Arial"/>
        </w:rPr>
        <w:t xml:space="preserve"> </w:t>
      </w:r>
      <w:r w:rsidR="007449F1" w:rsidRPr="00445ECC">
        <w:rPr>
          <w:rFonts w:ascii="Arial" w:hAnsi="Arial" w:cs="Arial"/>
        </w:rPr>
        <w:t>Powyższe nie dotyczy wydatków poniesionych w ramach IRU.</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 xml:space="preserve">IRU jest kwalifikowalne do wysokości </w:t>
      </w:r>
      <w:r w:rsidR="007449F1">
        <w:rPr>
          <w:rFonts w:ascii="Arial" w:hAnsi="Arial" w:cs="Arial"/>
        </w:rPr>
        <w:t>10</w:t>
      </w:r>
      <w:r w:rsidRPr="00C632DB">
        <w:rPr>
          <w:rFonts w:ascii="Arial" w:hAnsi="Arial" w:cs="Arial"/>
        </w:rPr>
        <w:t>% wydatków kwalifikowalnych projektu</w:t>
      </w:r>
      <w:r w:rsidR="00A27714">
        <w:rPr>
          <w:rFonts w:ascii="Arial" w:hAnsi="Arial" w:cs="Arial"/>
        </w:rPr>
        <w:t xml:space="preserve"> na zasadach określonych w podsekcji 6.12.3.1 </w:t>
      </w:r>
      <w:r w:rsidR="00A27714" w:rsidRPr="00445ECC">
        <w:rPr>
          <w:rFonts w:ascii="Arial" w:hAnsi="Arial" w:cs="Arial"/>
          <w:i/>
        </w:rPr>
        <w:t>Wytycznych</w:t>
      </w:r>
      <w:r w:rsidR="00A27714">
        <w:rPr>
          <w:rFonts w:ascii="Arial" w:hAnsi="Arial" w:cs="Arial"/>
          <w:i/>
        </w:rPr>
        <w:t xml:space="preserve"> </w:t>
      </w:r>
      <w:r w:rsidR="00A27714">
        <w:rPr>
          <w:rFonts w:ascii="Arial" w:hAnsi="Arial" w:cs="Arial"/>
        </w:rPr>
        <w:t xml:space="preserve">oraz niniejszym </w:t>
      </w:r>
      <w:r w:rsidR="00A27714" w:rsidRPr="00445ECC">
        <w:rPr>
          <w:rFonts w:ascii="Arial" w:hAnsi="Arial" w:cs="Arial"/>
          <w:i/>
        </w:rPr>
        <w:t>Katalogu</w:t>
      </w:r>
      <w:r w:rsidRPr="00C632DB">
        <w:rPr>
          <w:rFonts w:ascii="Arial" w:hAnsi="Arial" w:cs="Arial"/>
        </w:rPr>
        <w:t>.</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Całkowite wydatki kwalifikowalne w ramach tej kategorii wydatków nie mogą przekroczyć 10% wydatków kwalifikowalnych projektu.</w:t>
      </w:r>
    </w:p>
    <w:p w:rsidR="00DD0F75" w:rsidRPr="00C632DB" w:rsidRDefault="00DD0F75" w:rsidP="00137BC9">
      <w:pPr>
        <w:numPr>
          <w:ilvl w:val="0"/>
          <w:numId w:val="77"/>
        </w:numPr>
        <w:autoSpaceDE w:val="0"/>
        <w:autoSpaceDN w:val="0"/>
        <w:adjustRightInd w:val="0"/>
        <w:spacing w:before="120" w:after="120" w:line="360" w:lineRule="auto"/>
        <w:jc w:val="both"/>
        <w:rPr>
          <w:rFonts w:ascii="Arial" w:hAnsi="Arial" w:cs="Arial"/>
        </w:rPr>
      </w:pPr>
      <w:r w:rsidRPr="00C632DB">
        <w:rPr>
          <w:rFonts w:ascii="Arial" w:hAnsi="Arial" w:cs="Arial"/>
        </w:rPr>
        <w:t>kosztów inwestycyjnych budowy sieci NGA, w tym związanych z przebudową i rozbudową podstawowej sieci szerokopasmowej do standardu sieci NGA, w tym w szczególności:</w:t>
      </w:r>
    </w:p>
    <w:p w:rsidR="00DD0F75" w:rsidRPr="00C632DB" w:rsidRDefault="00DD0F75" w:rsidP="00137BC9">
      <w:pPr>
        <w:numPr>
          <w:ilvl w:val="0"/>
          <w:numId w:val="85"/>
        </w:numPr>
        <w:spacing w:before="120" w:after="120" w:line="360" w:lineRule="auto"/>
        <w:jc w:val="both"/>
        <w:rPr>
          <w:rFonts w:ascii="Arial" w:hAnsi="Arial" w:cs="Arial"/>
        </w:rPr>
      </w:pPr>
      <w:r w:rsidRPr="00C632DB">
        <w:rPr>
          <w:rFonts w:ascii="Arial" w:hAnsi="Arial" w:cs="Arial"/>
        </w:rPr>
        <w:t>urządzenia niezbędne dla funkcjonowania sieci telekomunikacyjnej, tj. urządzenia służące do zasilania, wentylacji, klimatyzacji, urządzenia alarmowe służące zabezpieczeniu przed kradzieżą, wandalizmem i włamaniami, urządzenia niezbędne do zapewnienia ochrony przeciwprzepięciowej i odgromowej;</w:t>
      </w:r>
    </w:p>
    <w:p w:rsidR="00DD0F75" w:rsidRPr="00C632DB" w:rsidRDefault="00DD0F75" w:rsidP="00137BC9">
      <w:pPr>
        <w:numPr>
          <w:ilvl w:val="0"/>
          <w:numId w:val="85"/>
        </w:numPr>
        <w:spacing w:before="120" w:after="120" w:line="360" w:lineRule="auto"/>
        <w:jc w:val="both"/>
        <w:rPr>
          <w:rFonts w:ascii="Arial" w:hAnsi="Arial" w:cs="Arial"/>
        </w:rPr>
      </w:pPr>
      <w:r w:rsidRPr="00C632DB">
        <w:rPr>
          <w:rFonts w:ascii="Arial" w:hAnsi="Arial" w:cs="Arial"/>
        </w:rPr>
        <w:t>koszty przyłączenia do sieci elektroenergetycznej lub innej formy zapewnienia zasilania w energię elektryczną.</w:t>
      </w:r>
    </w:p>
    <w:p w:rsidR="00DD0F75" w:rsidRPr="00C632DB"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Wyłączona jest kwalifikowalność urządzeń abonenckich zgodnie z zasadami opisanymi w katalogu kosztów niekwalifikowalnych.</w:t>
      </w:r>
    </w:p>
    <w:p w:rsidR="00DD0F75" w:rsidRPr="00C632DB" w:rsidRDefault="00DD0F75" w:rsidP="00137BC9">
      <w:pPr>
        <w:numPr>
          <w:ilvl w:val="0"/>
          <w:numId w:val="77"/>
        </w:numPr>
        <w:autoSpaceDE w:val="0"/>
        <w:autoSpaceDN w:val="0"/>
        <w:adjustRightInd w:val="0"/>
        <w:spacing w:before="120" w:after="120" w:line="360" w:lineRule="auto"/>
        <w:jc w:val="both"/>
        <w:rPr>
          <w:rFonts w:ascii="Arial" w:hAnsi="Arial" w:cs="Arial"/>
        </w:rPr>
      </w:pPr>
      <w:r w:rsidRPr="00C632DB">
        <w:rPr>
          <w:rFonts w:ascii="Arial" w:hAnsi="Arial" w:cs="Arial"/>
        </w:rPr>
        <w:t>kosztów nabycia wartości niematerialnych i prawnych:</w:t>
      </w:r>
    </w:p>
    <w:p w:rsidR="00DD0F75" w:rsidRPr="00C632DB" w:rsidRDefault="00DD0F75" w:rsidP="00137BC9">
      <w:pPr>
        <w:numPr>
          <w:ilvl w:val="0"/>
          <w:numId w:val="86"/>
        </w:numPr>
        <w:spacing w:before="120" w:after="120" w:line="360" w:lineRule="auto"/>
        <w:jc w:val="both"/>
        <w:rPr>
          <w:rFonts w:ascii="Arial" w:hAnsi="Arial" w:cs="Arial"/>
        </w:rPr>
      </w:pPr>
      <w:r w:rsidRPr="00C632DB">
        <w:rPr>
          <w:rFonts w:ascii="Arial" w:hAnsi="Arial" w:cs="Arial"/>
        </w:rPr>
        <w:lastRenderedPageBreak/>
        <w:t>wraz z kosztem instalacji (wdrożenia), do łącznej wysokości 5% wartości kosztów kwalifikowanych projektu;</w:t>
      </w:r>
    </w:p>
    <w:p w:rsidR="00DD0F75" w:rsidRPr="00C632DB" w:rsidRDefault="00DD0F75" w:rsidP="00137BC9">
      <w:pPr>
        <w:numPr>
          <w:ilvl w:val="0"/>
          <w:numId w:val="86"/>
        </w:numPr>
        <w:spacing w:before="120" w:after="120" w:line="360" w:lineRule="auto"/>
        <w:jc w:val="both"/>
        <w:rPr>
          <w:rFonts w:ascii="Arial" w:hAnsi="Arial" w:cs="Arial"/>
        </w:rPr>
      </w:pPr>
      <w:r w:rsidRPr="00C632DB">
        <w:rPr>
          <w:rFonts w:ascii="Arial" w:hAnsi="Arial" w:cs="Arial"/>
        </w:rPr>
        <w:t>amortyzacja wartości niematerialnych z zachowaniem zasad ogólnych dotyczących amortyzacji danego rodzaju wartości niematerialnych w zakresie i w czasie, w jakim są one wykorzystywane do realizacji projektu.</w:t>
      </w:r>
    </w:p>
    <w:p w:rsidR="00DD0F75" w:rsidRDefault="00DD0F75" w:rsidP="00DD0F75">
      <w:pPr>
        <w:autoSpaceDE w:val="0"/>
        <w:autoSpaceDN w:val="0"/>
        <w:adjustRightInd w:val="0"/>
        <w:spacing w:before="120" w:after="120" w:line="360" w:lineRule="auto"/>
        <w:jc w:val="both"/>
        <w:rPr>
          <w:rFonts w:ascii="Arial" w:hAnsi="Arial" w:cs="Arial"/>
        </w:rPr>
      </w:pPr>
      <w:r w:rsidRPr="00C632DB">
        <w:rPr>
          <w:rFonts w:ascii="Arial" w:hAnsi="Arial" w:cs="Arial"/>
        </w:rPr>
        <w:t xml:space="preserve">Wydatki te są kwalifikowalne z uwzględnieniem przyjętych założeń technicznych projektu określonych we wniosku o dofinansowanie. </w:t>
      </w:r>
    </w:p>
    <w:p w:rsidR="00D64366" w:rsidRPr="00147534" w:rsidRDefault="00D64366" w:rsidP="00230A42">
      <w:pPr>
        <w:spacing w:before="120" w:after="120" w:line="360" w:lineRule="auto"/>
        <w:jc w:val="both"/>
        <w:rPr>
          <w:rFonts w:ascii="Arial" w:hAnsi="Arial" w:cs="Arial"/>
        </w:rPr>
      </w:pPr>
    </w:p>
    <w:p w:rsidR="00DD0F75" w:rsidRPr="00147534" w:rsidRDefault="00DD0F75" w:rsidP="00DD0F75">
      <w:pPr>
        <w:pStyle w:val="Nagwek2"/>
        <w:numPr>
          <w:ilvl w:val="2"/>
          <w:numId w:val="1"/>
        </w:numPr>
        <w:spacing w:before="240" w:after="60" w:line="360" w:lineRule="auto"/>
        <w:jc w:val="center"/>
        <w:rPr>
          <w:rFonts w:ascii="Arial" w:hAnsi="Arial" w:cs="Arial"/>
          <w:b w:val="0"/>
          <w:i/>
          <w:color w:val="auto"/>
          <w:sz w:val="24"/>
          <w:szCs w:val="24"/>
        </w:rPr>
      </w:pPr>
      <w:bookmarkStart w:id="138" w:name="_Toc508630130"/>
      <w:r w:rsidRPr="00147534">
        <w:rPr>
          <w:rFonts w:ascii="Arial" w:hAnsi="Arial" w:cs="Arial"/>
          <w:b w:val="0"/>
          <w:i/>
          <w:color w:val="auto"/>
          <w:sz w:val="24"/>
          <w:szCs w:val="24"/>
        </w:rPr>
        <w:t xml:space="preserve">Kwalifikowalność wydatków w ramach pomocy de </w:t>
      </w:r>
      <w:proofErr w:type="spellStart"/>
      <w:r w:rsidRPr="00147534">
        <w:rPr>
          <w:rFonts w:ascii="Arial" w:hAnsi="Arial" w:cs="Arial"/>
          <w:b w:val="0"/>
          <w:i/>
          <w:color w:val="auto"/>
          <w:sz w:val="24"/>
          <w:szCs w:val="24"/>
        </w:rPr>
        <w:t>minimis</w:t>
      </w:r>
      <w:bookmarkEnd w:id="138"/>
      <w:proofErr w:type="spellEnd"/>
    </w:p>
    <w:p w:rsidR="00DD0F75" w:rsidRPr="00DF65A1" w:rsidRDefault="00DD0F75" w:rsidP="00DD0F75">
      <w:pPr>
        <w:autoSpaceDE w:val="0"/>
        <w:autoSpaceDN w:val="0"/>
        <w:adjustRightInd w:val="0"/>
        <w:spacing w:before="120" w:after="120" w:line="360" w:lineRule="auto"/>
        <w:jc w:val="both"/>
        <w:rPr>
          <w:rFonts w:ascii="Arial" w:hAnsi="Arial" w:cs="Arial"/>
        </w:rPr>
      </w:pPr>
      <w:r w:rsidRPr="00DF65A1">
        <w:rPr>
          <w:rFonts w:ascii="Arial" w:hAnsi="Arial" w:cs="Arial"/>
        </w:rPr>
        <w:t xml:space="preserve">Do wydatków kwalifikujących się do objęcia wsparciem w ramach pomocy </w:t>
      </w:r>
      <w:r w:rsidRPr="00147534">
        <w:rPr>
          <w:rFonts w:ascii="Arial" w:hAnsi="Arial" w:cs="Arial"/>
          <w:i/>
        </w:rPr>
        <w:t xml:space="preserve">de </w:t>
      </w:r>
      <w:proofErr w:type="spellStart"/>
      <w:r w:rsidRPr="00147534">
        <w:rPr>
          <w:rFonts w:ascii="Arial" w:hAnsi="Arial" w:cs="Arial"/>
          <w:i/>
        </w:rPr>
        <w:t>minimis</w:t>
      </w:r>
      <w:proofErr w:type="spellEnd"/>
      <w:r w:rsidRPr="00DF65A1">
        <w:rPr>
          <w:rFonts w:ascii="Arial" w:hAnsi="Arial" w:cs="Arial"/>
        </w:rPr>
        <w:t xml:space="preserve"> udzielanej na podstawie Rozporządzenia Komisji (UE) nr 1407/2013 zalicza się wydatki na:</w:t>
      </w:r>
    </w:p>
    <w:p w:rsidR="00DD0F75" w:rsidRPr="00DF65A1" w:rsidRDefault="00DD0F75" w:rsidP="00A03923">
      <w:pPr>
        <w:numPr>
          <w:ilvl w:val="0"/>
          <w:numId w:val="103"/>
        </w:numPr>
        <w:autoSpaceDE w:val="0"/>
        <w:autoSpaceDN w:val="0"/>
        <w:adjustRightInd w:val="0"/>
        <w:spacing w:before="120" w:after="120" w:line="360" w:lineRule="auto"/>
        <w:jc w:val="both"/>
        <w:rPr>
          <w:rFonts w:ascii="Arial" w:hAnsi="Arial" w:cs="Arial"/>
        </w:rPr>
      </w:pPr>
      <w:r w:rsidRPr="00DF65A1">
        <w:rPr>
          <w:rFonts w:ascii="Arial" w:hAnsi="Arial" w:cs="Arial"/>
        </w:rPr>
        <w:t>opłaty publicznoprawne związane z przygotowaniem i realizacją projektu, w szczególności za wydanie decyzji, zgód, zezwoleń, w tym m.in.:</w:t>
      </w:r>
    </w:p>
    <w:p w:rsidR="00DD0F75" w:rsidRPr="00DF65A1" w:rsidRDefault="00DD0F75" w:rsidP="00137BC9">
      <w:pPr>
        <w:numPr>
          <w:ilvl w:val="0"/>
          <w:numId w:val="67"/>
        </w:numPr>
        <w:spacing w:before="120" w:after="120" w:line="360" w:lineRule="auto"/>
        <w:jc w:val="both"/>
        <w:rPr>
          <w:rFonts w:ascii="Arial" w:hAnsi="Arial" w:cs="Arial"/>
        </w:rPr>
      </w:pPr>
      <w:r w:rsidRPr="00DF65A1">
        <w:rPr>
          <w:rFonts w:ascii="Arial" w:hAnsi="Arial" w:cs="Arial"/>
        </w:rPr>
        <w:t>opłaty związane z zajęciem pasa drogowego w celu prowadzenia robót w pasie drogowym,</w:t>
      </w:r>
    </w:p>
    <w:p w:rsidR="00DD0F75" w:rsidRPr="00DF65A1" w:rsidRDefault="00DD0F75" w:rsidP="00137BC9">
      <w:pPr>
        <w:numPr>
          <w:ilvl w:val="0"/>
          <w:numId w:val="67"/>
        </w:numPr>
        <w:spacing w:before="120" w:after="120" w:line="360" w:lineRule="auto"/>
        <w:jc w:val="both"/>
        <w:rPr>
          <w:rFonts w:ascii="Arial" w:hAnsi="Arial" w:cs="Arial"/>
        </w:rPr>
      </w:pPr>
      <w:r w:rsidRPr="00DF65A1">
        <w:rPr>
          <w:rFonts w:ascii="Arial" w:hAnsi="Arial" w:cs="Arial"/>
        </w:rPr>
        <w:t>opłaty związane z uzyskaniem pozwolenia na budowę</w:t>
      </w:r>
      <w:r>
        <w:rPr>
          <w:rFonts w:ascii="Arial" w:hAnsi="Arial" w:cs="Arial"/>
        </w:rPr>
        <w:t>,</w:t>
      </w:r>
    </w:p>
    <w:p w:rsidR="00DD0F75" w:rsidRPr="00DF65A1" w:rsidRDefault="00DD0F75" w:rsidP="00DD0F75">
      <w:pPr>
        <w:autoSpaceDE w:val="0"/>
        <w:autoSpaceDN w:val="0"/>
        <w:adjustRightInd w:val="0"/>
        <w:spacing w:before="120" w:after="120" w:line="360" w:lineRule="auto"/>
        <w:jc w:val="both"/>
        <w:rPr>
          <w:rFonts w:ascii="Arial" w:hAnsi="Arial" w:cs="Arial"/>
        </w:rPr>
      </w:pPr>
      <w:r w:rsidRPr="00DF65A1">
        <w:rPr>
          <w:rFonts w:ascii="Arial" w:hAnsi="Arial" w:cs="Arial"/>
        </w:rPr>
        <w:t>- wydatki te są niekwalifikowalne, jeśli stanowią karę za naruszenie obowiązujących przepisów prawa;</w:t>
      </w:r>
    </w:p>
    <w:p w:rsidR="00DD0F75" w:rsidRPr="00DF65A1" w:rsidRDefault="00DD0F75" w:rsidP="00A03923">
      <w:pPr>
        <w:numPr>
          <w:ilvl w:val="0"/>
          <w:numId w:val="103"/>
        </w:numPr>
        <w:autoSpaceDE w:val="0"/>
        <w:autoSpaceDN w:val="0"/>
        <w:adjustRightInd w:val="0"/>
        <w:spacing w:before="120" w:after="120" w:line="360" w:lineRule="auto"/>
        <w:jc w:val="both"/>
        <w:rPr>
          <w:rFonts w:ascii="Arial" w:hAnsi="Arial" w:cs="Arial"/>
        </w:rPr>
      </w:pPr>
      <w:r w:rsidRPr="00DF65A1">
        <w:rPr>
          <w:rFonts w:ascii="Arial" w:hAnsi="Arial" w:cs="Arial"/>
        </w:rPr>
        <w:t xml:space="preserve">dokumentację powykonawczą w rozumieniu  </w:t>
      </w:r>
      <w:r>
        <w:rPr>
          <w:rFonts w:ascii="Arial" w:hAnsi="Arial" w:cs="Arial"/>
        </w:rPr>
        <w:t>-</w:t>
      </w:r>
      <w:r w:rsidRPr="00DF65A1">
        <w:rPr>
          <w:rFonts w:ascii="Arial" w:hAnsi="Arial" w:cs="Arial"/>
        </w:rPr>
        <w:t xml:space="preserve"> </w:t>
      </w:r>
      <w:r w:rsidRPr="00DF65A1">
        <w:rPr>
          <w:rFonts w:ascii="Arial" w:hAnsi="Arial" w:cs="Arial"/>
          <w:i/>
        </w:rPr>
        <w:t>Praw</w:t>
      </w:r>
      <w:r>
        <w:rPr>
          <w:rFonts w:ascii="Arial" w:hAnsi="Arial" w:cs="Arial"/>
          <w:i/>
        </w:rPr>
        <w:t>a</w:t>
      </w:r>
      <w:r w:rsidRPr="00DF65A1">
        <w:rPr>
          <w:rFonts w:ascii="Arial" w:hAnsi="Arial" w:cs="Arial"/>
          <w:i/>
        </w:rPr>
        <w:t xml:space="preserve"> budowlane</w:t>
      </w:r>
      <w:r>
        <w:rPr>
          <w:rFonts w:ascii="Arial" w:hAnsi="Arial" w:cs="Arial"/>
          <w:i/>
        </w:rPr>
        <w:t>go</w:t>
      </w:r>
      <w:r w:rsidRPr="00DF65A1">
        <w:rPr>
          <w:rFonts w:ascii="Arial" w:hAnsi="Arial" w:cs="Arial"/>
        </w:rPr>
        <w:t>;</w:t>
      </w:r>
    </w:p>
    <w:p w:rsidR="00DD0F75" w:rsidRPr="00DF65A1" w:rsidRDefault="00DD0F75" w:rsidP="00A03923">
      <w:pPr>
        <w:numPr>
          <w:ilvl w:val="0"/>
          <w:numId w:val="103"/>
        </w:numPr>
        <w:autoSpaceDE w:val="0"/>
        <w:autoSpaceDN w:val="0"/>
        <w:adjustRightInd w:val="0"/>
        <w:spacing w:before="120" w:after="120" w:line="360" w:lineRule="auto"/>
        <w:jc w:val="both"/>
        <w:rPr>
          <w:rFonts w:ascii="Arial" w:hAnsi="Arial" w:cs="Arial"/>
        </w:rPr>
      </w:pPr>
      <w:r w:rsidRPr="00DF65A1">
        <w:rPr>
          <w:rFonts w:ascii="Arial" w:hAnsi="Arial" w:cs="Arial"/>
        </w:rPr>
        <w:t>obsługę instrumentów zabezpieczających realizację umowy o udzielenie wsparcia</w:t>
      </w:r>
      <w:r w:rsidRPr="00DF65A1">
        <w:rPr>
          <w:rFonts w:ascii="Arial" w:hAnsi="Arial" w:cs="Arial"/>
          <w:vertAlign w:val="superscript"/>
        </w:rPr>
        <w:footnoteReference w:id="25"/>
      </w:r>
      <w:r w:rsidRPr="00DF65A1">
        <w:rPr>
          <w:rFonts w:ascii="Arial" w:hAnsi="Arial" w:cs="Arial"/>
        </w:rPr>
        <w:t>, określonych w umowie o udzielenie wsparcia;</w:t>
      </w:r>
    </w:p>
    <w:p w:rsidR="00DD0F75" w:rsidRPr="00DB5FC3" w:rsidRDefault="00DD0F75" w:rsidP="00A03923">
      <w:pPr>
        <w:numPr>
          <w:ilvl w:val="0"/>
          <w:numId w:val="103"/>
        </w:numPr>
        <w:autoSpaceDE w:val="0"/>
        <w:autoSpaceDN w:val="0"/>
        <w:adjustRightInd w:val="0"/>
        <w:spacing w:before="120" w:after="120" w:line="360" w:lineRule="auto"/>
        <w:jc w:val="both"/>
        <w:rPr>
          <w:rFonts w:ascii="Arial" w:hAnsi="Arial" w:cs="Arial"/>
        </w:rPr>
      </w:pPr>
      <w:r w:rsidRPr="00DF65A1">
        <w:rPr>
          <w:rFonts w:ascii="Arial" w:hAnsi="Arial" w:cs="Arial"/>
        </w:rPr>
        <w:t xml:space="preserve">wydatki związane z przygotowaniem projektu w zakresie w jakim są niezbędne do złożenia wniosku o dofinansowanie, do kwoty nieprzekraczającej 20 tys. zł oraz </w:t>
      </w:r>
      <w:r w:rsidRPr="00DB5FC3">
        <w:rPr>
          <w:rFonts w:ascii="Arial" w:hAnsi="Arial" w:cs="Arial"/>
        </w:rPr>
        <w:t>poniesione nie wcześniej niż 3 miesiące przed dniem złożenia tego wniosku, dotyczące:</w:t>
      </w:r>
    </w:p>
    <w:p w:rsidR="00DD0F75" w:rsidRPr="00DB5FC3" w:rsidRDefault="00DD0F75" w:rsidP="00137BC9">
      <w:pPr>
        <w:numPr>
          <w:ilvl w:val="0"/>
          <w:numId w:val="68"/>
        </w:numPr>
        <w:spacing w:before="120" w:after="120" w:line="360" w:lineRule="auto"/>
        <w:jc w:val="both"/>
        <w:rPr>
          <w:rFonts w:ascii="Arial" w:hAnsi="Arial" w:cs="Arial"/>
        </w:rPr>
      </w:pPr>
      <w:r w:rsidRPr="00DB5FC3">
        <w:rPr>
          <w:rFonts w:ascii="Arial" w:hAnsi="Arial" w:cs="Arial"/>
        </w:rPr>
        <w:t xml:space="preserve">dokumentacji projektowej </w:t>
      </w:r>
    </w:p>
    <w:p w:rsidR="00DD0F75" w:rsidRPr="00906D5B" w:rsidRDefault="00DD0F75" w:rsidP="00137BC9">
      <w:pPr>
        <w:numPr>
          <w:ilvl w:val="0"/>
          <w:numId w:val="68"/>
        </w:numPr>
        <w:spacing w:before="120" w:after="120" w:line="360" w:lineRule="auto"/>
        <w:jc w:val="both"/>
        <w:rPr>
          <w:rFonts w:ascii="Arial" w:hAnsi="Arial" w:cs="Arial"/>
        </w:rPr>
      </w:pPr>
      <w:r w:rsidRPr="009C4ADD">
        <w:rPr>
          <w:rFonts w:ascii="Arial" w:hAnsi="Arial" w:cs="Arial"/>
        </w:rPr>
        <w:t>dokumentacji</w:t>
      </w:r>
      <w:r w:rsidRPr="00906D5B">
        <w:rPr>
          <w:rFonts w:ascii="Arial" w:hAnsi="Arial" w:cs="Arial"/>
        </w:rPr>
        <w:t xml:space="preserve"> technicznej, </w:t>
      </w:r>
    </w:p>
    <w:p w:rsidR="00DD0F75" w:rsidRPr="00B7472D" w:rsidRDefault="00DD0F75" w:rsidP="00137BC9">
      <w:pPr>
        <w:numPr>
          <w:ilvl w:val="0"/>
          <w:numId w:val="68"/>
        </w:numPr>
        <w:spacing w:before="120" w:after="120" w:line="360" w:lineRule="auto"/>
        <w:jc w:val="both"/>
        <w:rPr>
          <w:rFonts w:ascii="Arial" w:hAnsi="Arial" w:cs="Arial"/>
        </w:rPr>
      </w:pPr>
      <w:r w:rsidRPr="00906D5B">
        <w:rPr>
          <w:rFonts w:ascii="Arial" w:hAnsi="Arial" w:cs="Arial"/>
        </w:rPr>
        <w:t xml:space="preserve">studium wykonalności lub </w:t>
      </w:r>
      <w:r w:rsidRPr="00B7472D">
        <w:rPr>
          <w:rFonts w:ascii="Arial" w:hAnsi="Arial" w:cs="Arial"/>
        </w:rPr>
        <w:t>innego dokumentu określonego w dokumentacji konkursowej  w zależności od tego jaki dokument jest wymagany,</w:t>
      </w:r>
    </w:p>
    <w:p w:rsidR="00DD0F75" w:rsidRPr="00B7472D" w:rsidRDefault="00DD0F75" w:rsidP="00137BC9">
      <w:pPr>
        <w:numPr>
          <w:ilvl w:val="0"/>
          <w:numId w:val="68"/>
        </w:numPr>
        <w:spacing w:before="120" w:after="120" w:line="360" w:lineRule="auto"/>
        <w:jc w:val="both"/>
        <w:rPr>
          <w:rFonts w:ascii="Arial" w:hAnsi="Arial" w:cs="Arial"/>
        </w:rPr>
      </w:pPr>
      <w:r w:rsidRPr="00B7472D">
        <w:rPr>
          <w:rFonts w:ascii="Arial" w:hAnsi="Arial" w:cs="Arial"/>
        </w:rPr>
        <w:t xml:space="preserve">map lub szkiców sytuujących projekt, </w:t>
      </w:r>
    </w:p>
    <w:p w:rsidR="00DD0F75" w:rsidRPr="00DF65A1" w:rsidRDefault="00DD0F75" w:rsidP="00DD0F75">
      <w:pPr>
        <w:autoSpaceDE w:val="0"/>
        <w:autoSpaceDN w:val="0"/>
        <w:adjustRightInd w:val="0"/>
        <w:spacing w:before="120" w:after="120" w:line="360" w:lineRule="auto"/>
        <w:jc w:val="both"/>
        <w:rPr>
          <w:rFonts w:ascii="Arial" w:hAnsi="Arial" w:cs="Arial"/>
        </w:rPr>
      </w:pPr>
      <w:r w:rsidRPr="00D103D8">
        <w:rPr>
          <w:rFonts w:ascii="Arial" w:hAnsi="Arial" w:cs="Arial"/>
        </w:rPr>
        <w:t xml:space="preserve">- z </w:t>
      </w:r>
      <w:r w:rsidRPr="00DF65A1">
        <w:rPr>
          <w:rFonts w:ascii="Arial" w:hAnsi="Arial" w:cs="Arial"/>
        </w:rPr>
        <w:t>wyjątkiem wydatków związanych z wypełnieniem formularza wniosku o dofinansowanie.</w:t>
      </w:r>
    </w:p>
    <w:p w:rsidR="00DD0F75" w:rsidRDefault="00DD0F75" w:rsidP="00DD0F75">
      <w:pPr>
        <w:pStyle w:val="Nagwek2"/>
        <w:numPr>
          <w:ilvl w:val="2"/>
          <w:numId w:val="1"/>
        </w:numPr>
        <w:spacing w:before="240" w:after="60" w:line="360" w:lineRule="auto"/>
        <w:jc w:val="center"/>
        <w:rPr>
          <w:rFonts w:ascii="Arial" w:hAnsi="Arial" w:cs="Arial"/>
          <w:b w:val="0"/>
          <w:i/>
          <w:color w:val="auto"/>
          <w:sz w:val="24"/>
          <w:szCs w:val="24"/>
        </w:rPr>
      </w:pPr>
      <w:bookmarkStart w:id="139" w:name="_Toc508630131"/>
      <w:r w:rsidRPr="00DB5FC3">
        <w:rPr>
          <w:rFonts w:ascii="Arial" w:hAnsi="Arial" w:cs="Arial"/>
          <w:b w:val="0"/>
          <w:i/>
          <w:color w:val="auto"/>
          <w:sz w:val="24"/>
          <w:szCs w:val="24"/>
        </w:rPr>
        <w:lastRenderedPageBreak/>
        <w:t>Wydatki niekwalifikowalne</w:t>
      </w:r>
      <w:bookmarkEnd w:id="139"/>
    </w:p>
    <w:p w:rsidR="00DD0F75" w:rsidRPr="006101E2" w:rsidRDefault="00DD0F75" w:rsidP="00DD0F75">
      <w:pPr>
        <w:autoSpaceDE w:val="0"/>
        <w:autoSpaceDN w:val="0"/>
        <w:adjustRightInd w:val="0"/>
        <w:spacing w:before="120" w:after="120" w:line="360" w:lineRule="auto"/>
        <w:jc w:val="both"/>
        <w:rPr>
          <w:rFonts w:ascii="Arial" w:hAnsi="Arial" w:cs="Arial"/>
        </w:rPr>
      </w:pPr>
      <w:r w:rsidRPr="006101E2">
        <w:rPr>
          <w:rFonts w:ascii="Arial" w:hAnsi="Arial" w:cs="Arial"/>
        </w:rPr>
        <w:t>Za niekwalifikowalne uznaje się wydatki określone w ramach poniższych kategorii:</w:t>
      </w:r>
    </w:p>
    <w:p w:rsidR="00DD0F75" w:rsidRPr="006101E2" w:rsidRDefault="00DD0F75" w:rsidP="00A03923">
      <w:pPr>
        <w:numPr>
          <w:ilvl w:val="0"/>
          <w:numId w:val="104"/>
        </w:numPr>
        <w:autoSpaceDE w:val="0"/>
        <w:autoSpaceDN w:val="0"/>
        <w:adjustRightInd w:val="0"/>
        <w:spacing w:before="120" w:after="120" w:line="360" w:lineRule="auto"/>
        <w:jc w:val="both"/>
        <w:rPr>
          <w:rFonts w:ascii="Arial" w:hAnsi="Arial" w:cs="Arial"/>
        </w:rPr>
      </w:pPr>
      <w:r w:rsidRPr="006101E2">
        <w:rPr>
          <w:rFonts w:ascii="Arial" w:hAnsi="Arial" w:cs="Arial"/>
        </w:rPr>
        <w:t>Wszelkie wydatki dotyczące aktywnych elementów sieci umieszczanych lub instalowanych w budynkach</w:t>
      </w:r>
      <w:r>
        <w:rPr>
          <w:rFonts w:ascii="Arial" w:hAnsi="Arial" w:cs="Arial"/>
        </w:rPr>
        <w:t xml:space="preserve">, </w:t>
      </w:r>
      <w:r w:rsidRPr="00846494">
        <w:rPr>
          <w:rFonts w:ascii="Arial" w:hAnsi="Arial" w:cs="Arial"/>
        </w:rPr>
        <w:t xml:space="preserve">z wyjątkiem wydatków na urządzenia aktywne umieszczonych </w:t>
      </w:r>
      <w:r>
        <w:rPr>
          <w:rFonts w:ascii="Arial" w:hAnsi="Arial" w:cs="Arial"/>
        </w:rPr>
        <w:t xml:space="preserve">na terenie i w budynkach placówek wchodzących w skład systemu oświaty, o których mowa w art. 2 ustawy z dnia 7 września 1991 r. o systemie oświaty (j.t. Dz. U. 2016 r., poz. 1943) wskazanych w dokumentacji konkursowej dla obszaru na którym realizowany będzie projekt, lub </w:t>
      </w:r>
      <w:r w:rsidRPr="00846494">
        <w:rPr>
          <w:rFonts w:ascii="Arial" w:hAnsi="Arial" w:cs="Arial"/>
        </w:rPr>
        <w:t>w pomieszczeniu budynku wielorodzinnego, o którym mowa § 192f ust. 1 pkt 1 rozporządzenia Ministra Infrastruktury z dnia 12 kwietnia 2002 r. w sprawie warunków technicznych jakim powinny odpowiadać budynki i ich usytuowanie.</w:t>
      </w:r>
      <w:r w:rsidRPr="006101E2">
        <w:rPr>
          <w:rFonts w:ascii="Arial" w:hAnsi="Arial" w:cs="Arial"/>
        </w:rPr>
        <w:t xml:space="preserve"> </w:t>
      </w:r>
      <w:r>
        <w:rPr>
          <w:rFonts w:ascii="Arial" w:hAnsi="Arial" w:cs="Arial"/>
        </w:rPr>
        <w:t xml:space="preserve"> </w:t>
      </w:r>
      <w:r w:rsidRPr="006101E2">
        <w:rPr>
          <w:rFonts w:ascii="Arial" w:hAnsi="Arial" w:cs="Arial"/>
        </w:rPr>
        <w:t xml:space="preserve">W szczególności dotyczy to wydatków ponoszonych na wszelkie formy nabycia, wytworzenia, zakupu, dzierżawy, najmu lub instalacji urządzeń abonenckich. Urządzeniem abonenckim są w tym rozumieniu urządzenia telekomunikacyjne (a także telekomunikacyjne urządzenia końcowe), w tym np. aktywne elementy stanowiące zakończenie sieci, modemy i routery wyposażone np. w porty, złącza, bramki VoIP czy interfejsy bezprzewodowe, stanowiące dla użytkownika końcowego bezpośredni punkt służący do podłączenia wykorzystywanych w jego lokalizacji urządzeń (rozumianych jako komputery osobiste, laptopy, tablety, smartphone i inne tego typu) takie jak np. ONT, modemy </w:t>
      </w:r>
      <w:proofErr w:type="spellStart"/>
      <w:r w:rsidRPr="006101E2">
        <w:rPr>
          <w:rFonts w:ascii="Arial" w:hAnsi="Arial" w:cs="Arial"/>
        </w:rPr>
        <w:t>xDSL</w:t>
      </w:r>
      <w:proofErr w:type="spellEnd"/>
      <w:r w:rsidRPr="006101E2">
        <w:rPr>
          <w:rFonts w:ascii="Arial" w:hAnsi="Arial" w:cs="Arial"/>
        </w:rPr>
        <w:t>, DOCSIS oraz stosowane w sieciach bezprzewodowych, niezależnie czy przedmiotowe urządzenie abonenckie zostanie zlokalizowane w lokalu potencjalnego użytkownika końcowego czy poza nim. Wszelkie wydatki dotyczące różnego rodzaju urządzeń elektronicznych służących bezpośrednio użytkownikom końcowym, tj. laptopy, komputery osobiste, telefony, smartfony, tablety itp.</w:t>
      </w:r>
    </w:p>
    <w:p w:rsidR="00DD0F75" w:rsidRPr="006101E2" w:rsidRDefault="00DD0F75" w:rsidP="00A03923">
      <w:pPr>
        <w:numPr>
          <w:ilvl w:val="0"/>
          <w:numId w:val="104"/>
        </w:numPr>
        <w:spacing w:before="120" w:after="120" w:line="360" w:lineRule="auto"/>
        <w:jc w:val="both"/>
        <w:rPr>
          <w:rFonts w:ascii="Arial" w:hAnsi="Arial" w:cs="Arial"/>
        </w:rPr>
      </w:pPr>
      <w:r w:rsidRPr="006101E2">
        <w:rPr>
          <w:rFonts w:ascii="Arial" w:hAnsi="Arial" w:cs="Arial"/>
        </w:rPr>
        <w:t>Dla projektów realizowanych w obszarze zabudowy:</w:t>
      </w:r>
    </w:p>
    <w:p w:rsidR="00DD0F75" w:rsidRPr="00846494" w:rsidRDefault="00DD0F75" w:rsidP="00137BC9">
      <w:pPr>
        <w:numPr>
          <w:ilvl w:val="0"/>
          <w:numId w:val="92"/>
        </w:numPr>
        <w:spacing w:before="120" w:after="120" w:line="360" w:lineRule="auto"/>
        <w:jc w:val="both"/>
        <w:rPr>
          <w:rFonts w:ascii="Arial" w:hAnsi="Arial" w:cs="Arial"/>
        </w:rPr>
      </w:pPr>
      <w:r w:rsidRPr="006101E2">
        <w:rPr>
          <w:rFonts w:ascii="Arial" w:hAnsi="Arial" w:cs="Arial"/>
        </w:rPr>
        <w:t xml:space="preserve">jednorodzinnej - za niekwalifikowalne uznaje się wydatki na </w:t>
      </w:r>
      <w:r w:rsidRPr="00846494">
        <w:rPr>
          <w:rFonts w:ascii="Arial" w:hAnsi="Arial" w:cs="Arial"/>
        </w:rPr>
        <w:t>realizację odcinka linii kablowych i ich duktów od granicy działki ewidencyjnej, na której usytuowany jest budynek, w którym znajduje się zakończenie tego odcinka</w:t>
      </w:r>
      <w:r>
        <w:rPr>
          <w:rFonts w:ascii="Arial" w:hAnsi="Arial" w:cs="Arial"/>
        </w:rPr>
        <w:t>,</w:t>
      </w:r>
      <w:r w:rsidRPr="00846494">
        <w:rPr>
          <w:rFonts w:ascii="Arial" w:hAnsi="Arial" w:cs="Arial"/>
        </w:rPr>
        <w:t xml:space="preserve"> aż do zakończenia sieci,</w:t>
      </w:r>
    </w:p>
    <w:p w:rsidR="00DD0F75" w:rsidRPr="006101E2" w:rsidRDefault="00DD0F75" w:rsidP="00137BC9">
      <w:pPr>
        <w:numPr>
          <w:ilvl w:val="0"/>
          <w:numId w:val="92"/>
        </w:numPr>
        <w:spacing w:before="120" w:after="120" w:line="360" w:lineRule="auto"/>
        <w:jc w:val="both"/>
        <w:rPr>
          <w:rFonts w:ascii="Arial" w:hAnsi="Arial" w:cs="Arial"/>
        </w:rPr>
      </w:pPr>
      <w:r w:rsidRPr="006101E2">
        <w:rPr>
          <w:rFonts w:ascii="Arial" w:hAnsi="Arial" w:cs="Arial"/>
        </w:rPr>
        <w:t>wielorodzinnej - za niekwalifikowalne uznaje się wydatki na realizację</w:t>
      </w:r>
      <w:r>
        <w:rPr>
          <w:rFonts w:ascii="Arial" w:hAnsi="Arial" w:cs="Arial"/>
        </w:rPr>
        <w:t xml:space="preserve"> instalacji </w:t>
      </w:r>
      <w:r w:rsidRPr="00846494">
        <w:rPr>
          <w:rFonts w:ascii="Arial" w:hAnsi="Arial" w:cs="Arial"/>
        </w:rPr>
        <w:t>odcinka linii kablowych i ich duktów</w:t>
      </w:r>
      <w:r w:rsidRPr="006101E2">
        <w:rPr>
          <w:rFonts w:ascii="Arial" w:hAnsi="Arial" w:cs="Arial"/>
        </w:rPr>
        <w:t xml:space="preserve"> wewnątrz budynku wielorodzinnego, </w:t>
      </w:r>
      <w:r w:rsidRPr="00846494">
        <w:rPr>
          <w:rFonts w:ascii="Arial" w:hAnsi="Arial" w:cs="Arial"/>
        </w:rPr>
        <w:t>w tym odcinka linii kablowych i ich duktów</w:t>
      </w:r>
      <w:r w:rsidRPr="006101E2">
        <w:rPr>
          <w:rFonts w:ascii="Arial" w:hAnsi="Arial" w:cs="Arial"/>
        </w:rPr>
        <w:t xml:space="preserve"> </w:t>
      </w:r>
      <w:r>
        <w:rPr>
          <w:rFonts w:ascii="Arial" w:hAnsi="Arial" w:cs="Arial"/>
        </w:rPr>
        <w:t xml:space="preserve">instalacji </w:t>
      </w:r>
      <w:r w:rsidRPr="006101E2">
        <w:rPr>
          <w:rFonts w:ascii="Arial" w:hAnsi="Arial" w:cs="Arial"/>
        </w:rPr>
        <w:t xml:space="preserve">wewnątrz mieszkań. Dotyczy to </w:t>
      </w:r>
      <w:r w:rsidRPr="00846494">
        <w:rPr>
          <w:rFonts w:ascii="Arial" w:hAnsi="Arial" w:cs="Arial"/>
        </w:rPr>
        <w:t>odcinka linii kablowych i ich duktów</w:t>
      </w:r>
      <w:r w:rsidRPr="00846494" w:rsidDel="00180CF6">
        <w:rPr>
          <w:rFonts w:ascii="Arial" w:hAnsi="Arial" w:cs="Arial"/>
        </w:rPr>
        <w:t xml:space="preserve"> </w:t>
      </w:r>
      <w:r w:rsidRPr="006101E2">
        <w:rPr>
          <w:rFonts w:ascii="Arial" w:hAnsi="Arial" w:cs="Arial"/>
        </w:rPr>
        <w:t xml:space="preserve">od punktu połączenia instalacji telekomunikacyjnej z publiczną siecią telekomunikacyjną (punkt styku, o którym mowa w § 192f rozporządzenia Ministra Infrastruktury z dnia 12 kwietnia 2002 r. w sprawie warunków technicznych jakim powinny odpowiadać budynki i ich usytuowanie. Co do zasady rozporządzenie jest stosowane wyłącznie do nowych budynków, jednakże w </w:t>
      </w:r>
      <w:r w:rsidRPr="006101E2">
        <w:rPr>
          <w:rFonts w:ascii="Arial" w:hAnsi="Arial" w:cs="Arial"/>
        </w:rPr>
        <w:lastRenderedPageBreak/>
        <w:t xml:space="preserve">przypadku projektów współfinansowanych z POPC, wskazana definicja będzie stosowana odpowiednio również do budynków istniejących) do zakończenia sieci, </w:t>
      </w:r>
    </w:p>
    <w:p w:rsidR="00DD0F75" w:rsidRPr="006101E2" w:rsidRDefault="00DD0F75" w:rsidP="00137BC9">
      <w:pPr>
        <w:numPr>
          <w:ilvl w:val="0"/>
          <w:numId w:val="92"/>
        </w:numPr>
        <w:spacing w:before="120" w:after="120" w:line="360" w:lineRule="auto"/>
        <w:jc w:val="both"/>
        <w:rPr>
          <w:rFonts w:ascii="Arial" w:hAnsi="Arial" w:cs="Arial"/>
        </w:rPr>
      </w:pPr>
      <w:r w:rsidRPr="006101E2">
        <w:rPr>
          <w:rFonts w:ascii="Arial" w:hAnsi="Arial" w:cs="Arial"/>
        </w:rPr>
        <w:t>wielorodzinnej typu szeregowego, stosuje się odpowiednio zasady dla zabudowy jednorodzinnej, przy czym uznaje się, że każdy wydzielony lokal mieszkalny może być traktowany jak odrębny dom jednorodzinny,</w:t>
      </w:r>
    </w:p>
    <w:p w:rsidR="00DD0F75" w:rsidRPr="006101E2" w:rsidRDefault="00DD0F75" w:rsidP="00DD0F75">
      <w:pPr>
        <w:autoSpaceDE w:val="0"/>
        <w:autoSpaceDN w:val="0"/>
        <w:adjustRightInd w:val="0"/>
        <w:spacing w:before="120" w:after="120" w:line="360" w:lineRule="auto"/>
        <w:jc w:val="both"/>
        <w:rPr>
          <w:rFonts w:ascii="Arial" w:hAnsi="Arial" w:cs="Arial"/>
        </w:rPr>
      </w:pPr>
      <w:r w:rsidRPr="006101E2">
        <w:rPr>
          <w:rFonts w:ascii="Arial" w:hAnsi="Arial" w:cs="Arial"/>
        </w:rPr>
        <w:t>W przypadku mieszanego typu zabudowy danego obszaru, powyższe zasady stosuje się odpowiednio dla danego typu budynku jednorodzinnego, wielorodzinnego lub wielorodzinnego szeregowego.</w:t>
      </w:r>
    </w:p>
    <w:p w:rsidR="00DD0F75" w:rsidRPr="006101E2" w:rsidRDefault="00DD0F75" w:rsidP="00DD0F75">
      <w:pPr>
        <w:autoSpaceDE w:val="0"/>
        <w:autoSpaceDN w:val="0"/>
        <w:adjustRightInd w:val="0"/>
        <w:spacing w:before="120" w:after="120" w:line="360" w:lineRule="auto"/>
        <w:jc w:val="both"/>
        <w:rPr>
          <w:rFonts w:ascii="Arial" w:hAnsi="Arial" w:cs="Arial"/>
        </w:rPr>
      </w:pPr>
      <w:r w:rsidRPr="006101E2">
        <w:rPr>
          <w:rFonts w:ascii="Arial" w:hAnsi="Arial" w:cs="Arial"/>
        </w:rPr>
        <w:t>W przypadku realizacji projektu w technologii bezprzewodowej za niekwalifikowalne uznaje się wydatki dotyczące elementów infrastruktury i sieci telekomunikacyjnej instalowane w budynku stanowiącym lokalizację potencjalnego użytkownika końcowego.</w:t>
      </w:r>
    </w:p>
    <w:p w:rsidR="00DD0F75" w:rsidRPr="006101E2" w:rsidRDefault="00DD0F75" w:rsidP="00DD0F75">
      <w:pPr>
        <w:autoSpaceDE w:val="0"/>
        <w:autoSpaceDN w:val="0"/>
        <w:adjustRightInd w:val="0"/>
        <w:spacing w:before="120" w:after="120" w:line="360" w:lineRule="auto"/>
        <w:jc w:val="both"/>
        <w:rPr>
          <w:rFonts w:ascii="Arial" w:hAnsi="Arial" w:cs="Arial"/>
        </w:rPr>
      </w:pPr>
      <w:r w:rsidRPr="006101E2">
        <w:rPr>
          <w:rFonts w:ascii="Arial" w:hAnsi="Arial" w:cs="Arial"/>
        </w:rPr>
        <w:t>W zakresie wydatków ponoszonych na realizację sieci do budynków użyteczności publicznej (w zakresie i na zasadach określonych w dokumentacji konkursowej) za niekwalifikowalne uznaje się wydatki na realizację instalacji wewnątrz budynku</w:t>
      </w:r>
      <w:r>
        <w:rPr>
          <w:rFonts w:ascii="Arial" w:hAnsi="Arial" w:cs="Arial"/>
        </w:rPr>
        <w:t xml:space="preserve"> za wyjątkiem sytuacji, gdy poniesienie wydatku dotyczy realizacji projektu w budynku placówki wchodzącej w skład systemu oświaty</w:t>
      </w:r>
      <w:r w:rsidRPr="006101E2">
        <w:rPr>
          <w:rFonts w:ascii="Arial" w:hAnsi="Arial" w:cs="Arial"/>
        </w:rPr>
        <w:t>. Dotyczy to odcinka od punktu połączenia instalacji telekomunikacyjnej z publiczną siecią telekomunikacyjną (punkt styku, o którym mowa w § 192f rozporządzenia Ministra Infrastruktury z dnia 12 kwietnia 2002 r. w sprawie warunków technicznych jakim powinny odpowiadać budynki i ich usytuowanie. Co do zasady rozporządzenie jest stosowane wyłącznie do nowych budynków, jednakże w przypadku projektów współfinansowanych z POPC, wskazana definicja będzie stosowana odpowiednio, również do budynków istniejących) do zakończenia instalacji w poszczególnych lokalach użytkowych.</w:t>
      </w:r>
    </w:p>
    <w:p w:rsidR="00DD0F75" w:rsidRDefault="00DD0F75" w:rsidP="00A03923">
      <w:pPr>
        <w:numPr>
          <w:ilvl w:val="0"/>
          <w:numId w:val="104"/>
        </w:numPr>
        <w:spacing w:before="120" w:after="120" w:line="360" w:lineRule="auto"/>
        <w:jc w:val="both"/>
        <w:rPr>
          <w:rFonts w:ascii="Arial" w:hAnsi="Arial" w:cs="Arial"/>
        </w:rPr>
      </w:pPr>
      <w:r w:rsidRPr="006101E2">
        <w:rPr>
          <w:rFonts w:ascii="Arial" w:hAnsi="Arial" w:cs="Arial"/>
        </w:rPr>
        <w:t>Wszelkie wydatki dotyczące aktywnych elementów sieci, w szczególności urządzeń telekomunikacyjnych, w tym urządzeń radiowych instalowanych w telekomunikacyjnej sieci szkieletowej i dystrybucyjnej.</w:t>
      </w:r>
    </w:p>
    <w:p w:rsidR="00DD0F75" w:rsidRPr="000D79AE" w:rsidRDefault="00DD0F75" w:rsidP="00A03923">
      <w:pPr>
        <w:pStyle w:val="Akapitzlist"/>
        <w:numPr>
          <w:ilvl w:val="0"/>
          <w:numId w:val="104"/>
        </w:numPr>
        <w:spacing w:after="0" w:line="360" w:lineRule="auto"/>
        <w:jc w:val="both"/>
        <w:rPr>
          <w:rFonts w:ascii="Arial" w:hAnsi="Arial" w:cs="Arial"/>
        </w:rPr>
      </w:pPr>
      <w:r>
        <w:rPr>
          <w:rFonts w:ascii="Arial" w:hAnsi="Arial" w:cs="Arial"/>
        </w:rPr>
        <w:t>Wszelkie w</w:t>
      </w:r>
      <w:r w:rsidRPr="007E469E">
        <w:rPr>
          <w:rFonts w:ascii="Arial" w:hAnsi="Arial" w:cs="Arial"/>
        </w:rPr>
        <w:t xml:space="preserve">ydatki związane z </w:t>
      </w:r>
      <w:r>
        <w:rPr>
          <w:rFonts w:ascii="Arial" w:hAnsi="Arial" w:cs="Arial"/>
        </w:rPr>
        <w:t xml:space="preserve">działaniami informacyjno-promocyjnymi w ramach projektów w </w:t>
      </w:r>
      <w:r w:rsidRPr="006101E2">
        <w:rPr>
          <w:rFonts w:ascii="Arial" w:eastAsia="MS Mincho" w:hAnsi="Arial" w:cs="Arial"/>
          <w:lang w:eastAsia="ja-JP"/>
        </w:rPr>
        <w:t>I osi priorytetowej POPC</w:t>
      </w:r>
      <w:r>
        <w:rPr>
          <w:rFonts w:ascii="Arial" w:hAnsi="Arial" w:cs="Arial"/>
        </w:rPr>
        <w:t xml:space="preserve">. </w:t>
      </w:r>
      <w:r w:rsidRPr="008F073C">
        <w:rPr>
          <w:rFonts w:ascii="Arial" w:hAnsi="Arial" w:cs="Arial"/>
        </w:rPr>
        <w:t xml:space="preserve">Beneficjent jest </w:t>
      </w:r>
      <w:r>
        <w:rPr>
          <w:rFonts w:ascii="Arial" w:hAnsi="Arial" w:cs="Arial"/>
        </w:rPr>
        <w:t xml:space="preserve">jednak </w:t>
      </w:r>
      <w:r w:rsidRPr="008F073C">
        <w:rPr>
          <w:rFonts w:ascii="Arial" w:hAnsi="Arial" w:cs="Arial"/>
        </w:rPr>
        <w:t xml:space="preserve">zobowiązany do stosowania </w:t>
      </w:r>
      <w:r>
        <w:rPr>
          <w:rFonts w:ascii="Arial" w:hAnsi="Arial" w:cs="Arial"/>
        </w:rPr>
        <w:t xml:space="preserve">obowiązków określonych w </w:t>
      </w:r>
      <w:r w:rsidRPr="008F073C">
        <w:rPr>
          <w:rFonts w:ascii="Arial" w:hAnsi="Arial" w:cs="Arial"/>
        </w:rPr>
        <w:t>punk</w:t>
      </w:r>
      <w:r>
        <w:rPr>
          <w:rFonts w:ascii="Arial" w:hAnsi="Arial" w:cs="Arial"/>
        </w:rPr>
        <w:t>cie</w:t>
      </w:r>
      <w:r w:rsidRPr="008F073C">
        <w:rPr>
          <w:rFonts w:ascii="Arial" w:hAnsi="Arial" w:cs="Arial"/>
        </w:rPr>
        <w:t xml:space="preserve"> 2.2. załącznika XII do Rozporządzenia Rady nr</w:t>
      </w:r>
      <w:r>
        <w:rPr>
          <w:rFonts w:ascii="Arial" w:hAnsi="Arial" w:cs="Arial"/>
        </w:rPr>
        <w:t> </w:t>
      </w:r>
      <w:r w:rsidRPr="008F073C">
        <w:rPr>
          <w:rFonts w:ascii="Arial" w:hAnsi="Arial" w:cs="Arial"/>
        </w:rPr>
        <w:t>1303/2013.</w:t>
      </w:r>
    </w:p>
    <w:p w:rsidR="00DD0F75" w:rsidRPr="006101E2" w:rsidRDefault="00DD0F75" w:rsidP="00A03923">
      <w:pPr>
        <w:numPr>
          <w:ilvl w:val="0"/>
          <w:numId w:val="104"/>
        </w:numPr>
        <w:spacing w:before="120" w:after="120" w:line="360" w:lineRule="auto"/>
        <w:jc w:val="both"/>
        <w:rPr>
          <w:rFonts w:ascii="Arial" w:hAnsi="Arial" w:cs="Arial"/>
        </w:rPr>
      </w:pPr>
      <w:r w:rsidRPr="006101E2">
        <w:rPr>
          <w:rFonts w:ascii="Arial" w:hAnsi="Arial" w:cs="Arial"/>
        </w:rPr>
        <w:t>Wszelkie wydatki dotyczące realizacji infrastruktury i sieci w zakresie wykraczającym poza minimalne wymagania określone w „</w:t>
      </w:r>
      <w:r>
        <w:rPr>
          <w:rFonts w:ascii="Arial" w:hAnsi="Arial" w:cs="Arial"/>
        </w:rPr>
        <w:t>Wymaganiach dla sieci NGA - POPC</w:t>
      </w:r>
      <w:r w:rsidRPr="006101E2">
        <w:rPr>
          <w:rFonts w:ascii="Arial" w:hAnsi="Arial" w:cs="Arial"/>
        </w:rPr>
        <w:t xml:space="preserve"> stanowiących załączniki do dokumentacji konkursowej.</w:t>
      </w:r>
    </w:p>
    <w:p w:rsidR="00DD0F75" w:rsidRPr="006101E2" w:rsidRDefault="00DD0F75" w:rsidP="00A03923">
      <w:pPr>
        <w:numPr>
          <w:ilvl w:val="0"/>
          <w:numId w:val="104"/>
        </w:numPr>
        <w:spacing w:before="120" w:after="120" w:line="360" w:lineRule="auto"/>
        <w:jc w:val="both"/>
        <w:rPr>
          <w:rFonts w:ascii="Arial" w:hAnsi="Arial" w:cs="Arial"/>
        </w:rPr>
      </w:pPr>
      <w:r w:rsidRPr="006101E2">
        <w:rPr>
          <w:rFonts w:ascii="Arial" w:hAnsi="Arial" w:cs="Arial"/>
        </w:rPr>
        <w:t>Wszelkie wydatki związane ze świadczeniem usług detalicznych i hurtowych, w tym zapewnieniem obsługi klientów, rozliczeń z nimi, przedstawienia ofert i cenników.</w:t>
      </w:r>
    </w:p>
    <w:p w:rsidR="00DD0F75" w:rsidRPr="006101E2" w:rsidRDefault="00DD0F75" w:rsidP="00A03923">
      <w:pPr>
        <w:numPr>
          <w:ilvl w:val="0"/>
          <w:numId w:val="104"/>
        </w:numPr>
        <w:spacing w:before="120" w:after="120" w:line="360" w:lineRule="auto"/>
        <w:jc w:val="both"/>
        <w:rPr>
          <w:rFonts w:ascii="Arial" w:hAnsi="Arial" w:cs="Arial"/>
        </w:rPr>
      </w:pPr>
      <w:r w:rsidRPr="006101E2">
        <w:rPr>
          <w:rFonts w:ascii="Arial" w:hAnsi="Arial" w:cs="Arial"/>
        </w:rPr>
        <w:lastRenderedPageBreak/>
        <w:t xml:space="preserve">Wszelkie wydatki dotyczące realizacji infrastruktury i sieci w zakresie w jakim ich realizacja wynika z zobowiązań lub obowiązków nałożonych przez podmioty publiczne (innych niż wynikające z realizacji umowy o dofinasowanie) w szczególności obowiązki  lub zobowiązania, o których mowa w art. 43a oraz art. 115 ust. 1 pkt 9 ustawy </w:t>
      </w:r>
      <w:r w:rsidRPr="009C4ADD">
        <w:rPr>
          <w:rFonts w:ascii="Arial" w:hAnsi="Arial" w:cs="Arial"/>
          <w:i/>
        </w:rPr>
        <w:t>Prawo telekomunikacyjne</w:t>
      </w:r>
      <w:r>
        <w:rPr>
          <w:rFonts w:ascii="Arial" w:hAnsi="Arial" w:cs="Arial"/>
        </w:rPr>
        <w:t xml:space="preserve">, </w:t>
      </w:r>
    </w:p>
    <w:p w:rsidR="00DD0F75" w:rsidRPr="006101E2" w:rsidRDefault="00DD0F75" w:rsidP="00A03923">
      <w:pPr>
        <w:numPr>
          <w:ilvl w:val="0"/>
          <w:numId w:val="104"/>
        </w:numPr>
        <w:spacing w:before="120" w:after="120" w:line="360" w:lineRule="auto"/>
        <w:jc w:val="both"/>
        <w:rPr>
          <w:rFonts w:ascii="Arial" w:hAnsi="Arial" w:cs="Arial"/>
        </w:rPr>
      </w:pPr>
      <w:r w:rsidRPr="006101E2">
        <w:rPr>
          <w:rFonts w:ascii="Arial" w:hAnsi="Arial" w:cs="Arial"/>
        </w:rPr>
        <w:t>Koszty pośrednie.</w:t>
      </w:r>
    </w:p>
    <w:p w:rsidR="00DD0F75" w:rsidRPr="006101E2" w:rsidRDefault="00DD0F75" w:rsidP="00A03923">
      <w:pPr>
        <w:numPr>
          <w:ilvl w:val="0"/>
          <w:numId w:val="104"/>
        </w:numPr>
        <w:spacing w:before="120" w:after="120" w:line="360" w:lineRule="auto"/>
        <w:jc w:val="both"/>
        <w:rPr>
          <w:rFonts w:ascii="Arial" w:hAnsi="Arial" w:cs="Arial"/>
        </w:rPr>
      </w:pPr>
      <w:r w:rsidRPr="006101E2">
        <w:rPr>
          <w:rFonts w:ascii="Arial" w:hAnsi="Arial" w:cs="Arial"/>
        </w:rPr>
        <w:t>Inne wydatki niewymienione w katalogu wydatków kwalifikowalnych.</w:t>
      </w:r>
    </w:p>
    <w:p w:rsidR="00DD0F75" w:rsidRPr="009C4ADD" w:rsidRDefault="00DD0F75" w:rsidP="00DD0F75">
      <w:pPr>
        <w:pStyle w:val="Nagwek2"/>
        <w:numPr>
          <w:ilvl w:val="2"/>
          <w:numId w:val="1"/>
        </w:numPr>
        <w:spacing w:before="240" w:after="60" w:line="360" w:lineRule="auto"/>
        <w:jc w:val="center"/>
        <w:rPr>
          <w:rFonts w:ascii="Arial" w:hAnsi="Arial" w:cs="Arial"/>
          <w:b w:val="0"/>
          <w:i/>
          <w:color w:val="auto"/>
          <w:sz w:val="24"/>
          <w:szCs w:val="24"/>
        </w:rPr>
      </w:pPr>
      <w:bookmarkStart w:id="140" w:name="_Toc508630132"/>
      <w:r>
        <w:rPr>
          <w:rFonts w:ascii="Arial" w:hAnsi="Arial" w:cs="Arial"/>
          <w:b w:val="0"/>
          <w:i/>
          <w:color w:val="auto"/>
          <w:sz w:val="24"/>
          <w:szCs w:val="24"/>
        </w:rPr>
        <w:t>W</w:t>
      </w:r>
      <w:r w:rsidRPr="009C4ADD">
        <w:rPr>
          <w:rFonts w:ascii="Arial" w:hAnsi="Arial" w:cs="Arial"/>
          <w:b w:val="0"/>
          <w:i/>
          <w:color w:val="auto"/>
          <w:sz w:val="24"/>
          <w:szCs w:val="24"/>
        </w:rPr>
        <w:t>arunki oraz okres kwalifikowania wydatków w projektach podlegających zasadom pomocy publicznej</w:t>
      </w:r>
      <w:bookmarkEnd w:id="140"/>
    </w:p>
    <w:p w:rsidR="00DD0F75" w:rsidRPr="00846494" w:rsidRDefault="00DD0F75" w:rsidP="00137BC9">
      <w:pPr>
        <w:numPr>
          <w:ilvl w:val="0"/>
          <w:numId w:val="79"/>
        </w:numPr>
        <w:spacing w:before="120" w:after="120" w:line="360" w:lineRule="auto"/>
        <w:jc w:val="both"/>
        <w:rPr>
          <w:rFonts w:ascii="Arial" w:hAnsi="Arial" w:cs="Arial"/>
        </w:rPr>
      </w:pPr>
      <w:r w:rsidRPr="00846494">
        <w:rPr>
          <w:rFonts w:ascii="Arial" w:hAnsi="Arial" w:cs="Arial"/>
        </w:rPr>
        <w:t>Wszystkie projekty w ramach I osi priorytetowej POPC podlegają zasadom pomocy publicznej określonych w </w:t>
      </w:r>
      <w:r w:rsidR="006518C3">
        <w:rPr>
          <w:rFonts w:ascii="Arial" w:hAnsi="Arial" w:cs="Arial"/>
        </w:rPr>
        <w:t xml:space="preserve">przepisach rozdziału I </w:t>
      </w:r>
      <w:proofErr w:type="spellStart"/>
      <w:r w:rsidR="006518C3">
        <w:rPr>
          <w:rFonts w:ascii="Arial" w:hAnsi="Arial" w:cs="Arial"/>
        </w:rPr>
        <w:t>i</w:t>
      </w:r>
      <w:proofErr w:type="spellEnd"/>
      <w:r w:rsidR="006518C3">
        <w:rPr>
          <w:rFonts w:ascii="Arial" w:hAnsi="Arial" w:cs="Arial"/>
        </w:rPr>
        <w:t xml:space="preserve"> </w:t>
      </w:r>
      <w:r w:rsidRPr="00846494">
        <w:rPr>
          <w:rFonts w:ascii="Arial" w:hAnsi="Arial" w:cs="Arial"/>
        </w:rPr>
        <w:t xml:space="preserve">art. 52 GBER oraz opracowanego na </w:t>
      </w:r>
      <w:r w:rsidR="001823B0">
        <w:rPr>
          <w:rFonts w:ascii="Arial" w:hAnsi="Arial" w:cs="Arial"/>
        </w:rPr>
        <w:t>ich</w:t>
      </w:r>
      <w:r w:rsidR="001823B0" w:rsidRPr="00846494">
        <w:rPr>
          <w:rFonts w:ascii="Arial" w:hAnsi="Arial" w:cs="Arial"/>
        </w:rPr>
        <w:t xml:space="preserve"> </w:t>
      </w:r>
      <w:r w:rsidRPr="00846494">
        <w:rPr>
          <w:rFonts w:ascii="Arial" w:hAnsi="Arial" w:cs="Arial"/>
        </w:rPr>
        <w:t xml:space="preserve">podstawie rozporządzenia pomocowego dla I osi. </w:t>
      </w:r>
    </w:p>
    <w:p w:rsidR="00DD0F75" w:rsidRPr="00846494" w:rsidRDefault="00DD0F75" w:rsidP="00137BC9">
      <w:pPr>
        <w:numPr>
          <w:ilvl w:val="0"/>
          <w:numId w:val="79"/>
        </w:numPr>
        <w:spacing w:before="120" w:after="120" w:line="360" w:lineRule="auto"/>
        <w:jc w:val="both"/>
        <w:rPr>
          <w:rFonts w:ascii="Arial" w:hAnsi="Arial" w:cs="Arial"/>
        </w:rPr>
      </w:pPr>
      <w:r>
        <w:rPr>
          <w:rFonts w:ascii="Arial" w:hAnsi="Arial" w:cs="Arial"/>
        </w:rPr>
        <w:t>W</w:t>
      </w:r>
      <w:r w:rsidRPr="00846494">
        <w:rPr>
          <w:rFonts w:ascii="Arial" w:hAnsi="Arial" w:cs="Arial"/>
        </w:rPr>
        <w:t xml:space="preserve">ydatki mogą </w:t>
      </w:r>
      <w:r>
        <w:rPr>
          <w:rFonts w:ascii="Arial" w:hAnsi="Arial" w:cs="Arial"/>
        </w:rPr>
        <w:t xml:space="preserve">jednocześnie </w:t>
      </w:r>
      <w:r w:rsidRPr="00846494">
        <w:rPr>
          <w:rFonts w:ascii="Arial" w:hAnsi="Arial" w:cs="Arial"/>
        </w:rPr>
        <w:t xml:space="preserve">podlegać zasadom pomocy de </w:t>
      </w:r>
      <w:proofErr w:type="spellStart"/>
      <w:r w:rsidRPr="00846494">
        <w:rPr>
          <w:rFonts w:ascii="Arial" w:hAnsi="Arial" w:cs="Arial"/>
        </w:rPr>
        <w:t>minimis</w:t>
      </w:r>
      <w:proofErr w:type="spellEnd"/>
      <w:r w:rsidRPr="00846494">
        <w:rPr>
          <w:rFonts w:ascii="Arial" w:hAnsi="Arial" w:cs="Arial"/>
        </w:rPr>
        <w:t xml:space="preserve"> określonej w rozporządzeniu Komisji (UE) nr 1407/2013 w odniesieniu do wskazanych w </w:t>
      </w:r>
      <w:r w:rsidR="001823B0" w:rsidRPr="000C19C0">
        <w:rPr>
          <w:rFonts w:ascii="Arial" w:hAnsi="Arial" w:cs="Arial"/>
          <w:i/>
        </w:rPr>
        <w:t>Katalogu</w:t>
      </w:r>
      <w:r w:rsidR="001823B0" w:rsidRPr="00846494">
        <w:rPr>
          <w:rFonts w:ascii="Arial" w:hAnsi="Arial" w:cs="Arial"/>
        </w:rPr>
        <w:t xml:space="preserve"> </w:t>
      </w:r>
      <w:r w:rsidRPr="00846494">
        <w:rPr>
          <w:rFonts w:ascii="Arial" w:hAnsi="Arial" w:cs="Arial"/>
        </w:rPr>
        <w:t>wydatków.</w:t>
      </w:r>
    </w:p>
    <w:p w:rsidR="00DD0F75" w:rsidRPr="00147534" w:rsidRDefault="00DD0F75" w:rsidP="00137BC9">
      <w:pPr>
        <w:numPr>
          <w:ilvl w:val="0"/>
          <w:numId w:val="79"/>
        </w:numPr>
        <w:spacing w:before="120" w:after="120" w:line="360" w:lineRule="auto"/>
        <w:jc w:val="both"/>
        <w:rPr>
          <w:rFonts w:ascii="Arial" w:hAnsi="Arial" w:cs="Arial"/>
        </w:rPr>
      </w:pPr>
      <w:r w:rsidRPr="001C6FB3">
        <w:rPr>
          <w:rFonts w:ascii="Arial" w:hAnsi="Arial" w:cs="Arial"/>
        </w:rPr>
        <w:t>Wszystkie główne kategorie wydatków określone w niniejszym rozdziale, odzwierciedlają wprost kategorie wydatków przewidziane w rozporządzeniu pomocowym dla I osi oraz je uszczegóławiają,  nie przewidując nowych kategorii wydatków.</w:t>
      </w:r>
    </w:p>
    <w:p w:rsidR="00DB5FC3" w:rsidRDefault="00DB5FC3">
      <w:pPr>
        <w:rPr>
          <w:rFonts w:ascii="Arial" w:hAnsi="Arial" w:cs="Arial"/>
          <w:sz w:val="24"/>
          <w:szCs w:val="24"/>
        </w:rPr>
      </w:pPr>
      <w:r>
        <w:rPr>
          <w:rFonts w:ascii="Arial" w:hAnsi="Arial" w:cs="Arial"/>
          <w:b/>
          <w:i/>
          <w:sz w:val="24"/>
          <w:szCs w:val="24"/>
        </w:rPr>
        <w:br w:type="page"/>
      </w:r>
    </w:p>
    <w:p w:rsidR="00EE7DEE" w:rsidRPr="008D2916" w:rsidRDefault="00EE7DEE" w:rsidP="00EE7DEE">
      <w:pPr>
        <w:pStyle w:val="Akapitzlist"/>
        <w:keepNext/>
        <w:keepLines/>
        <w:numPr>
          <w:ilvl w:val="1"/>
          <w:numId w:val="1"/>
        </w:numPr>
        <w:spacing w:before="240" w:after="60" w:line="360" w:lineRule="auto"/>
        <w:contextualSpacing w:val="0"/>
        <w:jc w:val="center"/>
        <w:outlineLvl w:val="1"/>
        <w:rPr>
          <w:rFonts w:ascii="Arial" w:eastAsiaTheme="majorEastAsia" w:hAnsi="Arial" w:cs="Arial"/>
          <w:bCs/>
          <w:i/>
          <w:vanish/>
          <w:sz w:val="24"/>
          <w:szCs w:val="24"/>
        </w:rPr>
      </w:pPr>
      <w:bookmarkStart w:id="141" w:name="_Toc508630133"/>
      <w:r w:rsidRPr="008D2916">
        <w:rPr>
          <w:rFonts w:ascii="Arial" w:hAnsi="Arial" w:cs="Arial"/>
          <w:i/>
          <w:sz w:val="24"/>
          <w:szCs w:val="24"/>
        </w:rPr>
        <w:lastRenderedPageBreak/>
        <w:t>Katalog wydatków kwalifikowalnych dla projektów Ogólnopolskiej Sieci Edukacyjnej (OSE)</w:t>
      </w:r>
      <w:bookmarkEnd w:id="141"/>
    </w:p>
    <w:p w:rsidR="00A25E1B" w:rsidRDefault="00A25E1B" w:rsidP="00EE7DEE">
      <w:pPr>
        <w:pStyle w:val="Nagwek2"/>
        <w:numPr>
          <w:ilvl w:val="2"/>
          <w:numId w:val="1"/>
        </w:numPr>
        <w:spacing w:before="240" w:after="60" w:line="360" w:lineRule="auto"/>
        <w:jc w:val="center"/>
        <w:rPr>
          <w:rFonts w:ascii="Arial" w:hAnsi="Arial" w:cs="Arial"/>
          <w:b w:val="0"/>
          <w:i/>
          <w:color w:val="auto"/>
          <w:sz w:val="24"/>
          <w:szCs w:val="24"/>
        </w:rPr>
      </w:pPr>
      <w:bookmarkStart w:id="142" w:name="_Toc508630134"/>
      <w:bookmarkEnd w:id="142"/>
    </w:p>
    <w:p w:rsidR="008A559B" w:rsidRDefault="008A559B" w:rsidP="00800CDA">
      <w:pPr>
        <w:pStyle w:val="Nagwek2"/>
        <w:numPr>
          <w:ilvl w:val="2"/>
          <w:numId w:val="102"/>
        </w:numPr>
        <w:spacing w:before="240" w:after="60" w:line="360" w:lineRule="auto"/>
        <w:jc w:val="center"/>
        <w:rPr>
          <w:rFonts w:ascii="Arial" w:hAnsi="Arial" w:cs="Arial"/>
          <w:b w:val="0"/>
          <w:i/>
          <w:color w:val="auto"/>
          <w:sz w:val="24"/>
          <w:szCs w:val="24"/>
        </w:rPr>
      </w:pPr>
      <w:bookmarkStart w:id="143" w:name="_Toc508630135"/>
      <w:r w:rsidRPr="008A559B">
        <w:rPr>
          <w:rFonts w:ascii="Arial" w:hAnsi="Arial" w:cs="Arial"/>
          <w:b w:val="0"/>
          <w:i/>
          <w:color w:val="auto"/>
          <w:sz w:val="24"/>
          <w:szCs w:val="24"/>
        </w:rPr>
        <w:t>Wydatki kwalifikowalne</w:t>
      </w:r>
      <w:bookmarkEnd w:id="143"/>
    </w:p>
    <w:p w:rsidR="00EE7DEE" w:rsidRPr="007E469E" w:rsidRDefault="00EE7DEE" w:rsidP="00EE7DEE">
      <w:pPr>
        <w:spacing w:before="120" w:after="120" w:line="360" w:lineRule="auto"/>
        <w:jc w:val="both"/>
        <w:rPr>
          <w:rFonts w:ascii="Arial" w:eastAsia="MS Mincho" w:hAnsi="Arial" w:cs="Arial"/>
          <w:lang w:eastAsia="ja-JP"/>
        </w:rPr>
      </w:pPr>
      <w:r w:rsidRPr="007E469E">
        <w:rPr>
          <w:rFonts w:ascii="Arial" w:eastAsia="MS Mincho" w:hAnsi="Arial" w:cs="Arial"/>
          <w:lang w:eastAsia="ja-JP"/>
        </w:rPr>
        <w:t xml:space="preserve">Wydatki kwalifikowalne </w:t>
      </w:r>
      <w:r>
        <w:rPr>
          <w:rFonts w:ascii="Arial" w:eastAsia="MS Mincho" w:hAnsi="Arial" w:cs="Arial"/>
          <w:lang w:eastAsia="ja-JP"/>
        </w:rPr>
        <w:t xml:space="preserve">w projektach OSE wskazane </w:t>
      </w:r>
      <w:r w:rsidRPr="007E469E">
        <w:rPr>
          <w:rFonts w:ascii="Arial" w:eastAsia="MS Mincho" w:hAnsi="Arial" w:cs="Arial"/>
          <w:lang w:eastAsia="ja-JP"/>
        </w:rPr>
        <w:t>w ni</w:t>
      </w:r>
      <w:r>
        <w:rPr>
          <w:rFonts w:ascii="Arial" w:eastAsia="MS Mincho" w:hAnsi="Arial" w:cs="Arial"/>
          <w:lang w:eastAsia="ja-JP"/>
        </w:rPr>
        <w:t xml:space="preserve">niejszej sekcji </w:t>
      </w:r>
      <w:r w:rsidRPr="007E469E">
        <w:rPr>
          <w:rFonts w:ascii="Arial" w:eastAsia="MS Mincho" w:hAnsi="Arial" w:cs="Arial"/>
          <w:lang w:eastAsia="ja-JP"/>
        </w:rPr>
        <w:t xml:space="preserve">zostały zaprezentowane w podziale na kategorie i podkategorie. </w:t>
      </w:r>
    </w:p>
    <w:tbl>
      <w:tblPr>
        <w:tblStyle w:val="Tabela-Siatka"/>
        <w:tblW w:w="9498" w:type="dxa"/>
        <w:tblInd w:w="-176" w:type="dxa"/>
        <w:tblLook w:val="04A0" w:firstRow="1" w:lastRow="0" w:firstColumn="1" w:lastColumn="0" w:noHBand="0" w:noVBand="1"/>
      </w:tblPr>
      <w:tblGrid>
        <w:gridCol w:w="4537"/>
        <w:gridCol w:w="4961"/>
      </w:tblGrid>
      <w:tr w:rsidR="00EE7DEE" w:rsidRPr="00A445A6" w:rsidTr="00EE7DEE">
        <w:tc>
          <w:tcPr>
            <w:tcW w:w="4537" w:type="dxa"/>
          </w:tcPr>
          <w:p w:rsidR="00EE7DEE" w:rsidRDefault="00EE7DEE" w:rsidP="008D2916">
            <w:pPr>
              <w:jc w:val="center"/>
              <w:rPr>
                <w:rFonts w:ascii="Arial" w:hAnsi="Arial" w:cs="Arial"/>
                <w:b/>
                <w:bCs/>
              </w:rPr>
            </w:pPr>
          </w:p>
          <w:p w:rsidR="00EE7DEE" w:rsidRDefault="00EE7DEE" w:rsidP="008D2916">
            <w:pPr>
              <w:jc w:val="center"/>
              <w:rPr>
                <w:rFonts w:ascii="Arial" w:hAnsi="Arial" w:cs="Arial"/>
                <w:b/>
                <w:bCs/>
              </w:rPr>
            </w:pPr>
            <w:r w:rsidRPr="00A445A6">
              <w:rPr>
                <w:rFonts w:ascii="Arial" w:hAnsi="Arial" w:cs="Arial"/>
                <w:b/>
                <w:bCs/>
              </w:rPr>
              <w:t>Kategoria</w:t>
            </w:r>
          </w:p>
          <w:p w:rsidR="00EE7DEE" w:rsidRPr="00A445A6" w:rsidRDefault="00EE7DEE" w:rsidP="008D2916">
            <w:pPr>
              <w:jc w:val="center"/>
              <w:rPr>
                <w:rFonts w:ascii="Arial" w:hAnsi="Arial" w:cs="Arial"/>
                <w:b/>
                <w:bCs/>
              </w:rPr>
            </w:pPr>
          </w:p>
        </w:tc>
        <w:tc>
          <w:tcPr>
            <w:tcW w:w="4961" w:type="dxa"/>
          </w:tcPr>
          <w:p w:rsidR="00EE7DEE" w:rsidRDefault="00EE7DEE" w:rsidP="008D2916">
            <w:pPr>
              <w:jc w:val="center"/>
              <w:rPr>
                <w:rFonts w:ascii="Arial" w:hAnsi="Arial" w:cs="Arial"/>
                <w:b/>
                <w:bCs/>
              </w:rPr>
            </w:pPr>
          </w:p>
          <w:p w:rsidR="00EE7DEE" w:rsidRPr="00A445A6" w:rsidRDefault="00EE7DEE" w:rsidP="008D2916">
            <w:pPr>
              <w:jc w:val="center"/>
              <w:rPr>
                <w:rFonts w:ascii="Arial" w:hAnsi="Arial" w:cs="Arial"/>
                <w:b/>
                <w:bCs/>
              </w:rPr>
            </w:pPr>
            <w:r w:rsidRPr="00A445A6">
              <w:rPr>
                <w:rFonts w:ascii="Arial" w:hAnsi="Arial" w:cs="Arial"/>
                <w:b/>
                <w:bCs/>
              </w:rPr>
              <w:t>Podkategoria</w:t>
            </w:r>
          </w:p>
        </w:tc>
      </w:tr>
      <w:tr w:rsidR="00EE7DEE" w:rsidRPr="0058141D" w:rsidTr="00EE7DEE">
        <w:tc>
          <w:tcPr>
            <w:tcW w:w="4537" w:type="dxa"/>
          </w:tcPr>
          <w:p w:rsidR="00EE7DEE" w:rsidRPr="0058141D" w:rsidRDefault="00EE7DEE" w:rsidP="009E4CA1">
            <w:pPr>
              <w:pStyle w:val="Akapitzlist"/>
              <w:numPr>
                <w:ilvl w:val="0"/>
                <w:numId w:val="89"/>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Środki trwałe i wartości niematerialne i prawne</w:t>
            </w:r>
            <w:r>
              <w:rPr>
                <w:rFonts w:ascii="Arial" w:eastAsia="Times New Roman" w:hAnsi="Arial" w:cs="Arial"/>
                <w:lang w:eastAsia="pl-PL"/>
              </w:rPr>
              <w:t xml:space="preserve"> oraz </w:t>
            </w:r>
            <w:r w:rsidRPr="0058141D">
              <w:rPr>
                <w:rFonts w:ascii="Arial" w:eastAsia="Times New Roman" w:hAnsi="Arial" w:cs="Arial"/>
                <w:lang w:eastAsia="pl-PL"/>
              </w:rPr>
              <w:t>rzeczowe aktywa niestanowiące środków trwałych</w:t>
            </w:r>
          </w:p>
        </w:tc>
        <w:tc>
          <w:tcPr>
            <w:tcW w:w="4961" w:type="dxa"/>
          </w:tcPr>
          <w:p w:rsidR="00EE7DEE" w:rsidRPr="0058141D" w:rsidRDefault="00EE7DEE" w:rsidP="009E4CA1">
            <w:pPr>
              <w:pStyle w:val="Akapitzlist"/>
              <w:numPr>
                <w:ilvl w:val="0"/>
                <w:numId w:val="88"/>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 xml:space="preserve">urządzenia i budowle </w:t>
            </w:r>
            <w:r>
              <w:rPr>
                <w:rFonts w:ascii="Arial" w:eastAsia="Times New Roman" w:hAnsi="Arial" w:cs="Arial"/>
                <w:lang w:eastAsia="pl-PL"/>
              </w:rPr>
              <w:t>będące</w:t>
            </w:r>
            <w:r w:rsidRPr="0058141D">
              <w:rPr>
                <w:rFonts w:ascii="Arial" w:eastAsia="Times New Roman" w:hAnsi="Arial" w:cs="Arial"/>
                <w:lang w:eastAsia="pl-PL"/>
              </w:rPr>
              <w:t xml:space="preserve"> środkami trwałymi, </w:t>
            </w:r>
          </w:p>
          <w:p w:rsidR="00EE7DEE" w:rsidRPr="0058141D" w:rsidRDefault="00EE7DEE" w:rsidP="009E4CA1">
            <w:pPr>
              <w:pStyle w:val="Akapitzlist"/>
              <w:numPr>
                <w:ilvl w:val="0"/>
                <w:numId w:val="88"/>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 xml:space="preserve">licencje i oprogramowanie </w:t>
            </w:r>
            <w:r>
              <w:rPr>
                <w:rFonts w:ascii="Arial" w:eastAsia="Times New Roman" w:hAnsi="Arial" w:cs="Arial"/>
                <w:lang w:eastAsia="pl-PL"/>
              </w:rPr>
              <w:t>będące</w:t>
            </w:r>
            <w:r w:rsidRPr="0058141D">
              <w:rPr>
                <w:rFonts w:ascii="Arial" w:eastAsia="Times New Roman" w:hAnsi="Arial" w:cs="Arial"/>
                <w:lang w:eastAsia="pl-PL"/>
              </w:rPr>
              <w:t xml:space="preserve"> wartościami niematerialnymi prawnymi</w:t>
            </w:r>
            <w:r>
              <w:rPr>
                <w:rFonts w:ascii="Arial" w:eastAsia="Times New Roman" w:hAnsi="Arial" w:cs="Arial"/>
                <w:lang w:eastAsia="pl-PL"/>
              </w:rPr>
              <w:t>,</w:t>
            </w:r>
          </w:p>
          <w:p w:rsidR="00EE7DEE" w:rsidRPr="0058141D" w:rsidRDefault="00EE7DEE" w:rsidP="009E4CA1">
            <w:pPr>
              <w:pStyle w:val="Akapitzlist"/>
              <w:numPr>
                <w:ilvl w:val="0"/>
                <w:numId w:val="88"/>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materiały, elementy i urządzenia nie</w:t>
            </w:r>
            <w:r>
              <w:rPr>
                <w:rFonts w:ascii="Arial" w:eastAsia="Times New Roman" w:hAnsi="Arial" w:cs="Arial"/>
                <w:lang w:eastAsia="pl-PL"/>
              </w:rPr>
              <w:t>będące</w:t>
            </w:r>
            <w:r w:rsidRPr="0058141D">
              <w:rPr>
                <w:rFonts w:ascii="Arial" w:eastAsia="Times New Roman" w:hAnsi="Arial" w:cs="Arial"/>
                <w:lang w:eastAsia="pl-PL"/>
              </w:rPr>
              <w:t xml:space="preserve"> środkami trwałymi lub ich elementami</w:t>
            </w:r>
            <w:r>
              <w:rPr>
                <w:rFonts w:ascii="Arial" w:eastAsia="Times New Roman" w:hAnsi="Arial" w:cs="Arial"/>
                <w:lang w:eastAsia="pl-PL"/>
              </w:rPr>
              <w:t>.</w:t>
            </w:r>
          </w:p>
        </w:tc>
      </w:tr>
      <w:tr w:rsidR="00EE7DEE" w:rsidRPr="008B019A" w:rsidTr="00EE7DEE">
        <w:tc>
          <w:tcPr>
            <w:tcW w:w="4537" w:type="dxa"/>
          </w:tcPr>
          <w:p w:rsidR="00EE7DEE" w:rsidRPr="0058141D" w:rsidRDefault="00EE7DEE" w:rsidP="009E4CA1">
            <w:pPr>
              <w:pStyle w:val="Akapitzlist"/>
              <w:numPr>
                <w:ilvl w:val="0"/>
                <w:numId w:val="89"/>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Wynagrodzenia pracowników wykonujących merytoryczne zadania bezpośrednio związane z głównymi celami i produktami projektu</w:t>
            </w:r>
          </w:p>
        </w:tc>
        <w:tc>
          <w:tcPr>
            <w:tcW w:w="4961" w:type="dxa"/>
          </w:tcPr>
          <w:p w:rsidR="00EE7DEE" w:rsidRPr="008B019A" w:rsidRDefault="00EE7DEE" w:rsidP="008D2916">
            <w:pPr>
              <w:spacing w:before="120" w:after="120" w:line="360" w:lineRule="auto"/>
              <w:jc w:val="both"/>
              <w:rPr>
                <w:rFonts w:ascii="Arial" w:eastAsia="Times New Roman" w:hAnsi="Arial" w:cs="Arial"/>
                <w:lang w:eastAsia="pl-PL"/>
              </w:rPr>
            </w:pPr>
          </w:p>
        </w:tc>
      </w:tr>
      <w:tr w:rsidR="00EE7DEE" w:rsidRPr="0058141D" w:rsidTr="00EE7DEE">
        <w:tc>
          <w:tcPr>
            <w:tcW w:w="4537" w:type="dxa"/>
          </w:tcPr>
          <w:p w:rsidR="00EE7DEE" w:rsidRPr="004F27FF" w:rsidRDefault="00EE7DEE" w:rsidP="00137BC9">
            <w:pPr>
              <w:pStyle w:val="Akapitzlist"/>
              <w:numPr>
                <w:ilvl w:val="0"/>
                <w:numId w:val="89"/>
              </w:numPr>
              <w:spacing w:before="120" w:after="120" w:line="360" w:lineRule="auto"/>
              <w:jc w:val="both"/>
              <w:rPr>
                <w:rFonts w:ascii="Arial" w:eastAsia="Times New Roman" w:hAnsi="Arial" w:cs="Arial"/>
                <w:lang w:eastAsia="pl-PL"/>
              </w:rPr>
            </w:pPr>
            <w:r w:rsidRPr="004F27FF">
              <w:rPr>
                <w:rFonts w:ascii="Arial" w:eastAsia="Times New Roman" w:hAnsi="Arial" w:cs="Arial"/>
                <w:lang w:eastAsia="pl-PL"/>
              </w:rPr>
              <w:t>Usługi zewnętrzne</w:t>
            </w:r>
          </w:p>
        </w:tc>
        <w:tc>
          <w:tcPr>
            <w:tcW w:w="4961" w:type="dxa"/>
          </w:tcPr>
          <w:p w:rsidR="00EE7DEE" w:rsidRPr="0058141D" w:rsidRDefault="00EE7DEE" w:rsidP="009E4CA1">
            <w:pPr>
              <w:pStyle w:val="Akapitzlist"/>
              <w:numPr>
                <w:ilvl w:val="0"/>
                <w:numId w:val="90"/>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przygotowanie projektu</w:t>
            </w:r>
            <w:r>
              <w:rPr>
                <w:rFonts w:ascii="Arial" w:eastAsia="Times New Roman" w:hAnsi="Arial" w:cs="Arial"/>
                <w:lang w:eastAsia="pl-PL"/>
              </w:rPr>
              <w:t>,</w:t>
            </w:r>
          </w:p>
          <w:p w:rsidR="00EE7DEE" w:rsidRPr="0058141D" w:rsidRDefault="00EE7DEE" w:rsidP="009E4CA1">
            <w:pPr>
              <w:pStyle w:val="Akapitzlist"/>
              <w:numPr>
                <w:ilvl w:val="0"/>
                <w:numId w:val="90"/>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usługi wsparcia</w:t>
            </w:r>
            <w:r>
              <w:rPr>
                <w:rFonts w:ascii="Arial" w:eastAsia="Times New Roman" w:hAnsi="Arial" w:cs="Arial"/>
                <w:lang w:eastAsia="pl-PL"/>
              </w:rPr>
              <w:t>,</w:t>
            </w:r>
          </w:p>
          <w:p w:rsidR="00EE7DEE" w:rsidRPr="0058141D" w:rsidRDefault="00EE7DEE" w:rsidP="009E4CA1">
            <w:pPr>
              <w:pStyle w:val="Akapitzlist"/>
              <w:numPr>
                <w:ilvl w:val="0"/>
                <w:numId w:val="90"/>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usługi telekomunikacyjne i teleinformatyczne</w:t>
            </w:r>
            <w:r>
              <w:rPr>
                <w:rFonts w:ascii="Arial" w:eastAsia="Times New Roman" w:hAnsi="Arial" w:cs="Arial"/>
                <w:lang w:eastAsia="pl-PL"/>
              </w:rPr>
              <w:t>,</w:t>
            </w:r>
          </w:p>
          <w:p w:rsidR="00EE7DEE" w:rsidRPr="0058141D" w:rsidRDefault="00EE7DEE" w:rsidP="009E4CA1">
            <w:pPr>
              <w:pStyle w:val="Akapitzlist"/>
              <w:numPr>
                <w:ilvl w:val="0"/>
                <w:numId w:val="90"/>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serwis urządzeń</w:t>
            </w:r>
            <w:r>
              <w:rPr>
                <w:rFonts w:ascii="Arial" w:eastAsia="Times New Roman" w:hAnsi="Arial" w:cs="Arial"/>
                <w:lang w:eastAsia="pl-PL"/>
              </w:rPr>
              <w:t xml:space="preserve"> </w:t>
            </w:r>
            <w:r w:rsidRPr="0058141D">
              <w:rPr>
                <w:rFonts w:ascii="Arial" w:eastAsia="Times New Roman" w:hAnsi="Arial" w:cs="Arial"/>
                <w:lang w:eastAsia="pl-PL"/>
              </w:rPr>
              <w:t>wsparcie dla oprogramowania</w:t>
            </w:r>
            <w:r>
              <w:rPr>
                <w:rFonts w:ascii="Arial" w:eastAsia="Times New Roman" w:hAnsi="Arial" w:cs="Arial"/>
                <w:lang w:eastAsia="pl-PL"/>
              </w:rPr>
              <w:t>,</w:t>
            </w:r>
          </w:p>
          <w:p w:rsidR="00EE7DEE" w:rsidRPr="0058141D" w:rsidRDefault="00EE7DEE" w:rsidP="009E4CA1">
            <w:pPr>
              <w:pStyle w:val="Akapitzlist"/>
              <w:numPr>
                <w:ilvl w:val="0"/>
                <w:numId w:val="90"/>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kolokacja i najem miejsca</w:t>
            </w:r>
            <w:r>
              <w:rPr>
                <w:rFonts w:ascii="Arial" w:eastAsia="Times New Roman" w:hAnsi="Arial" w:cs="Arial"/>
                <w:lang w:eastAsia="pl-PL"/>
              </w:rPr>
              <w:t>,</w:t>
            </w:r>
          </w:p>
          <w:p w:rsidR="00EE7DEE" w:rsidRPr="0058141D" w:rsidRDefault="00EE7DEE" w:rsidP="009E4CA1">
            <w:pPr>
              <w:pStyle w:val="Akapitzlist"/>
              <w:numPr>
                <w:ilvl w:val="0"/>
                <w:numId w:val="90"/>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dostawa prądu i innych mediów</w:t>
            </w:r>
            <w:r>
              <w:rPr>
                <w:rFonts w:ascii="Arial" w:eastAsia="Times New Roman" w:hAnsi="Arial" w:cs="Arial"/>
                <w:lang w:eastAsia="pl-PL"/>
              </w:rPr>
              <w:t>,</w:t>
            </w:r>
            <w:r w:rsidRPr="0058141D">
              <w:rPr>
                <w:rFonts w:ascii="Arial" w:eastAsia="Times New Roman" w:hAnsi="Arial" w:cs="Arial"/>
                <w:lang w:eastAsia="pl-PL"/>
              </w:rPr>
              <w:t xml:space="preserve"> </w:t>
            </w:r>
          </w:p>
          <w:p w:rsidR="00EE7DEE" w:rsidRPr="0058141D" w:rsidRDefault="00EE7DEE" w:rsidP="009E4CA1">
            <w:pPr>
              <w:pStyle w:val="Akapitzlist"/>
              <w:numPr>
                <w:ilvl w:val="0"/>
                <w:numId w:val="90"/>
              </w:numPr>
              <w:spacing w:before="120" w:after="120" w:line="360" w:lineRule="auto"/>
              <w:rPr>
                <w:rFonts w:ascii="Arial" w:eastAsia="Times New Roman" w:hAnsi="Arial" w:cs="Arial"/>
                <w:lang w:eastAsia="pl-PL"/>
              </w:rPr>
            </w:pPr>
            <w:r w:rsidRPr="0058141D">
              <w:rPr>
                <w:rFonts w:ascii="Arial" w:eastAsia="Times New Roman" w:hAnsi="Arial" w:cs="Arial"/>
                <w:lang w:eastAsia="pl-PL"/>
              </w:rPr>
              <w:t>transport</w:t>
            </w:r>
            <w:r>
              <w:rPr>
                <w:rFonts w:ascii="Arial" w:eastAsia="Times New Roman" w:hAnsi="Arial" w:cs="Arial"/>
                <w:lang w:eastAsia="pl-PL"/>
              </w:rPr>
              <w:t>.</w:t>
            </w:r>
          </w:p>
        </w:tc>
      </w:tr>
      <w:tr w:rsidR="00EE7DEE" w:rsidRPr="008B019A" w:rsidTr="00EE7DEE">
        <w:tc>
          <w:tcPr>
            <w:tcW w:w="4537" w:type="dxa"/>
          </w:tcPr>
          <w:p w:rsidR="00EE7DEE" w:rsidRPr="00127E66" w:rsidRDefault="00EE7DEE" w:rsidP="00137BC9">
            <w:pPr>
              <w:pStyle w:val="Akapitzlist"/>
              <w:numPr>
                <w:ilvl w:val="0"/>
                <w:numId w:val="89"/>
              </w:numPr>
              <w:spacing w:before="120" w:after="120" w:line="360" w:lineRule="auto"/>
              <w:jc w:val="both"/>
              <w:rPr>
                <w:rFonts w:ascii="Arial" w:eastAsia="Times New Roman" w:hAnsi="Arial" w:cs="Arial"/>
                <w:lang w:eastAsia="pl-PL"/>
              </w:rPr>
            </w:pPr>
            <w:r w:rsidRPr="00127E66">
              <w:rPr>
                <w:rFonts w:ascii="Arial" w:eastAsia="Times New Roman" w:hAnsi="Arial" w:cs="Arial"/>
                <w:lang w:eastAsia="pl-PL"/>
              </w:rPr>
              <w:t xml:space="preserve">Informacja i </w:t>
            </w:r>
            <w:r w:rsidR="008D2916">
              <w:rPr>
                <w:rFonts w:ascii="Arial" w:eastAsia="Times New Roman" w:hAnsi="Arial" w:cs="Arial"/>
                <w:lang w:eastAsia="pl-PL"/>
              </w:rPr>
              <w:t>p</w:t>
            </w:r>
            <w:r w:rsidRPr="00127E66">
              <w:rPr>
                <w:rFonts w:ascii="Arial" w:eastAsia="Times New Roman" w:hAnsi="Arial" w:cs="Arial"/>
                <w:lang w:eastAsia="pl-PL"/>
              </w:rPr>
              <w:t>romocja</w:t>
            </w:r>
          </w:p>
        </w:tc>
        <w:tc>
          <w:tcPr>
            <w:tcW w:w="4961" w:type="dxa"/>
          </w:tcPr>
          <w:p w:rsidR="00EE7DEE" w:rsidRPr="008B019A" w:rsidRDefault="00EE7DEE" w:rsidP="008D2916">
            <w:pPr>
              <w:spacing w:before="120" w:after="120" w:line="360" w:lineRule="auto"/>
              <w:ind w:left="360"/>
              <w:jc w:val="both"/>
              <w:rPr>
                <w:rFonts w:ascii="Arial" w:eastAsia="Times New Roman" w:hAnsi="Arial" w:cs="Arial"/>
                <w:lang w:eastAsia="pl-PL"/>
              </w:rPr>
            </w:pPr>
          </w:p>
        </w:tc>
      </w:tr>
      <w:tr w:rsidR="00EE7DEE" w:rsidRPr="008B019A" w:rsidTr="00EE7DEE">
        <w:tc>
          <w:tcPr>
            <w:tcW w:w="4537" w:type="dxa"/>
          </w:tcPr>
          <w:p w:rsidR="00EE7DEE" w:rsidRPr="00127E66" w:rsidRDefault="00EE7DEE" w:rsidP="00137BC9">
            <w:pPr>
              <w:pStyle w:val="Akapitzlist"/>
              <w:numPr>
                <w:ilvl w:val="0"/>
                <w:numId w:val="89"/>
              </w:numPr>
              <w:spacing w:before="120" w:after="120" w:line="360" w:lineRule="auto"/>
              <w:jc w:val="both"/>
              <w:rPr>
                <w:rFonts w:ascii="Arial" w:eastAsia="Times New Roman" w:hAnsi="Arial" w:cs="Arial"/>
                <w:lang w:eastAsia="pl-PL"/>
              </w:rPr>
            </w:pPr>
            <w:r w:rsidRPr="00127E66">
              <w:rPr>
                <w:rFonts w:ascii="Arial" w:eastAsia="Times New Roman" w:hAnsi="Arial" w:cs="Arial"/>
                <w:lang w:eastAsia="pl-PL"/>
              </w:rPr>
              <w:t>Wydatki poniesione na pokrycie kosztów pośrednich</w:t>
            </w:r>
          </w:p>
        </w:tc>
        <w:tc>
          <w:tcPr>
            <w:tcW w:w="4961" w:type="dxa"/>
          </w:tcPr>
          <w:p w:rsidR="00EE7DEE" w:rsidRPr="008B019A" w:rsidRDefault="00EE7DEE" w:rsidP="008D2916">
            <w:pPr>
              <w:spacing w:before="120" w:after="120" w:line="360" w:lineRule="auto"/>
              <w:jc w:val="both"/>
              <w:rPr>
                <w:rFonts w:ascii="Arial" w:eastAsia="Times New Roman" w:hAnsi="Arial" w:cs="Arial"/>
                <w:lang w:eastAsia="pl-PL"/>
              </w:rPr>
            </w:pPr>
          </w:p>
        </w:tc>
      </w:tr>
    </w:tbl>
    <w:p w:rsidR="008A559B" w:rsidRDefault="008A559B" w:rsidP="008A559B"/>
    <w:p w:rsidR="00EE7DEE" w:rsidRDefault="00EE7DEE" w:rsidP="00137BC9">
      <w:pPr>
        <w:numPr>
          <w:ilvl w:val="0"/>
          <w:numId w:val="91"/>
        </w:numPr>
        <w:spacing w:before="120" w:after="120" w:line="360" w:lineRule="auto"/>
        <w:jc w:val="both"/>
        <w:rPr>
          <w:rFonts w:ascii="Arial" w:hAnsi="Arial" w:cs="Arial"/>
        </w:rPr>
      </w:pPr>
      <w:r w:rsidRPr="00EE7DEE">
        <w:rPr>
          <w:rFonts w:ascii="Arial" w:hAnsi="Arial" w:cs="Arial"/>
        </w:rPr>
        <w:lastRenderedPageBreak/>
        <w:t>Środki trwałe i wartości niematerialne i prawne oraz rzeczowe aktywa niestanowiące środków trwałych</w:t>
      </w:r>
      <w:r w:rsidR="00A03923">
        <w:rPr>
          <w:rFonts w:ascii="Arial" w:hAnsi="Arial" w:cs="Arial"/>
        </w:rPr>
        <w:t>.</w:t>
      </w:r>
    </w:p>
    <w:p w:rsidR="00EE7DEE" w:rsidRPr="00EE7DEE" w:rsidRDefault="00EE7DEE" w:rsidP="00EE7DEE">
      <w:pPr>
        <w:spacing w:before="120" w:after="120" w:line="360" w:lineRule="auto"/>
        <w:ind w:left="426"/>
        <w:jc w:val="both"/>
        <w:rPr>
          <w:rFonts w:ascii="Arial" w:hAnsi="Arial" w:cs="Arial"/>
        </w:rPr>
      </w:pPr>
      <w:r w:rsidRPr="00EE7DEE">
        <w:rPr>
          <w:rFonts w:ascii="Arial" w:hAnsi="Arial" w:cs="Arial"/>
        </w:rPr>
        <w:t>W ramach tej kategorii kwalifikowane są wydatki na pokrycie kosztów zakupu:</w:t>
      </w:r>
    </w:p>
    <w:p w:rsidR="00EE7DEE" w:rsidRPr="00EE7DEE" w:rsidRDefault="00EE7DEE" w:rsidP="00137BC9">
      <w:pPr>
        <w:numPr>
          <w:ilvl w:val="0"/>
          <w:numId w:val="93"/>
        </w:numPr>
        <w:spacing w:before="120" w:after="120" w:line="360" w:lineRule="auto"/>
        <w:jc w:val="both"/>
        <w:rPr>
          <w:rFonts w:ascii="Arial" w:hAnsi="Arial" w:cs="Arial"/>
        </w:rPr>
      </w:pPr>
      <w:r w:rsidRPr="00EE7DEE">
        <w:rPr>
          <w:rFonts w:ascii="Arial" w:hAnsi="Arial" w:cs="Arial"/>
        </w:rPr>
        <w:t>urządzeń i budowli będących środkami trwałymi niezbędnych do realizacji projektu, takich jak:</w:t>
      </w:r>
    </w:p>
    <w:p w:rsidR="00EE7DEE" w:rsidRPr="001B7151" w:rsidRDefault="00EE7DEE" w:rsidP="001B7151">
      <w:pPr>
        <w:spacing w:before="120" w:after="120" w:line="360" w:lineRule="auto"/>
        <w:ind w:left="993" w:hanging="360"/>
        <w:jc w:val="both"/>
        <w:rPr>
          <w:rFonts w:ascii="Arial" w:eastAsia="Times New Roman" w:hAnsi="Arial" w:cs="Arial"/>
          <w:lang w:eastAsia="pl-PL"/>
        </w:rPr>
      </w:pPr>
      <w:r w:rsidRPr="001B7151">
        <w:rPr>
          <w:rFonts w:ascii="Arial" w:eastAsia="Times New Roman" w:hAnsi="Arial" w:cs="Arial"/>
          <w:lang w:eastAsia="pl-PL"/>
        </w:rPr>
        <w:t>i.</w:t>
      </w:r>
      <w:r w:rsidRPr="001B7151">
        <w:rPr>
          <w:rFonts w:ascii="Arial" w:eastAsia="Times New Roman" w:hAnsi="Arial" w:cs="Arial"/>
          <w:lang w:eastAsia="pl-PL"/>
        </w:rPr>
        <w:tab/>
        <w:t>urządzenia techniczne (np. urządzenia końcowe – CPE, punkty dostępowe WLAN – AP, przełączniki sieciowe, routery, urządzenia bezpieczeństwa takie jak np. firewall, bramy, serwery, macierze, biblioteki taśmowe itp.);</w:t>
      </w:r>
    </w:p>
    <w:p w:rsidR="00EE7DEE" w:rsidRPr="001B7151" w:rsidRDefault="00EE7DEE" w:rsidP="001B7151">
      <w:pPr>
        <w:spacing w:before="120" w:after="120" w:line="360" w:lineRule="auto"/>
        <w:ind w:left="993" w:hanging="360"/>
        <w:jc w:val="both"/>
        <w:rPr>
          <w:rFonts w:ascii="Arial" w:eastAsia="Times New Roman" w:hAnsi="Arial" w:cs="Arial"/>
          <w:lang w:eastAsia="pl-PL"/>
        </w:rPr>
      </w:pPr>
      <w:r w:rsidRPr="001B7151">
        <w:rPr>
          <w:rFonts w:ascii="Arial" w:eastAsia="Times New Roman" w:hAnsi="Arial" w:cs="Arial"/>
          <w:lang w:eastAsia="pl-PL"/>
        </w:rPr>
        <w:t>ii.</w:t>
      </w:r>
      <w:r w:rsidRPr="001B7151">
        <w:rPr>
          <w:rFonts w:ascii="Arial" w:eastAsia="Times New Roman" w:hAnsi="Arial" w:cs="Arial"/>
          <w:lang w:eastAsia="pl-PL"/>
        </w:rPr>
        <w:tab/>
        <w:t>infrastruktura techniczna (np. szafy telekomunikacyjne, UPS, klimatyzacja, system monitoringu, modem GSM, przełącznica, krosownica, pole zasilania itp.);</w:t>
      </w:r>
    </w:p>
    <w:p w:rsidR="00EE7DEE" w:rsidRPr="001B7151" w:rsidRDefault="00EE7DEE" w:rsidP="001B7151">
      <w:pPr>
        <w:spacing w:before="120" w:after="120" w:line="360" w:lineRule="auto"/>
        <w:ind w:left="993" w:hanging="360"/>
        <w:jc w:val="both"/>
        <w:rPr>
          <w:rFonts w:ascii="Arial" w:eastAsia="Times New Roman" w:hAnsi="Arial" w:cs="Arial"/>
          <w:lang w:eastAsia="pl-PL"/>
        </w:rPr>
      </w:pPr>
      <w:r w:rsidRPr="001B7151">
        <w:rPr>
          <w:rFonts w:ascii="Arial" w:eastAsia="Times New Roman" w:hAnsi="Arial" w:cs="Arial"/>
          <w:lang w:eastAsia="pl-PL"/>
        </w:rPr>
        <w:t>iii.</w:t>
      </w:r>
      <w:r w:rsidRPr="001B7151">
        <w:rPr>
          <w:rFonts w:ascii="Arial" w:eastAsia="Times New Roman" w:hAnsi="Arial" w:cs="Arial"/>
          <w:lang w:eastAsia="pl-PL"/>
        </w:rPr>
        <w:tab/>
        <w:t>kabel telekomunikacyjny z instalacją, kanalizacja teletechniczna (w budynku, w gruncie, w kanalizacji itp.);</w:t>
      </w:r>
    </w:p>
    <w:p w:rsidR="00EE7DEE" w:rsidRPr="001B7151" w:rsidRDefault="00EE7DEE" w:rsidP="001B7151">
      <w:pPr>
        <w:spacing w:before="120" w:after="120" w:line="360" w:lineRule="auto"/>
        <w:ind w:left="993" w:hanging="360"/>
        <w:jc w:val="both"/>
        <w:rPr>
          <w:rFonts w:ascii="Arial" w:eastAsia="Times New Roman" w:hAnsi="Arial" w:cs="Arial"/>
          <w:lang w:eastAsia="pl-PL"/>
        </w:rPr>
      </w:pPr>
      <w:r w:rsidRPr="001B7151">
        <w:rPr>
          <w:rFonts w:ascii="Arial" w:eastAsia="Times New Roman" w:hAnsi="Arial" w:cs="Arial"/>
          <w:lang w:eastAsia="pl-PL"/>
        </w:rPr>
        <w:t>iv.</w:t>
      </w:r>
      <w:r w:rsidRPr="001B7151">
        <w:rPr>
          <w:rFonts w:ascii="Arial" w:eastAsia="Times New Roman" w:hAnsi="Arial" w:cs="Arial"/>
          <w:lang w:eastAsia="pl-PL"/>
        </w:rPr>
        <w:tab/>
        <w:t xml:space="preserve">elementy urządzeń telekomunikacyjnych (np. karty do istniejących routerów, </w:t>
      </w:r>
      <w:proofErr w:type="spellStart"/>
      <w:r w:rsidRPr="001B7151">
        <w:rPr>
          <w:rFonts w:ascii="Arial" w:eastAsia="Times New Roman" w:hAnsi="Arial" w:cs="Arial"/>
          <w:lang w:eastAsia="pl-PL"/>
        </w:rPr>
        <w:t>switchy</w:t>
      </w:r>
      <w:proofErr w:type="spellEnd"/>
      <w:r w:rsidRPr="001B7151">
        <w:rPr>
          <w:rFonts w:ascii="Arial" w:eastAsia="Times New Roman" w:hAnsi="Arial" w:cs="Arial"/>
          <w:lang w:eastAsia="pl-PL"/>
        </w:rPr>
        <w:t xml:space="preserve"> itp.);</w:t>
      </w:r>
    </w:p>
    <w:p w:rsidR="00EE7DEE" w:rsidRPr="00EE7DEE" w:rsidRDefault="00EE7DEE" w:rsidP="00137BC9">
      <w:pPr>
        <w:numPr>
          <w:ilvl w:val="0"/>
          <w:numId w:val="93"/>
        </w:numPr>
        <w:spacing w:before="120" w:after="120" w:line="360" w:lineRule="auto"/>
        <w:jc w:val="both"/>
        <w:rPr>
          <w:rFonts w:ascii="Arial" w:hAnsi="Arial" w:cs="Arial"/>
        </w:rPr>
      </w:pPr>
      <w:r w:rsidRPr="00EE7DEE">
        <w:rPr>
          <w:rFonts w:ascii="Arial" w:hAnsi="Arial" w:cs="Arial"/>
        </w:rPr>
        <w:t>licencji i oprogramowania będących wartościami niematerialnymi prawnymi</w:t>
      </w:r>
      <w:r w:rsidR="00A03923">
        <w:rPr>
          <w:rFonts w:ascii="Arial" w:hAnsi="Arial" w:cs="Arial"/>
        </w:rPr>
        <w:t>,</w:t>
      </w:r>
      <w:r w:rsidRPr="00EE7DEE">
        <w:rPr>
          <w:rFonts w:ascii="Arial" w:hAnsi="Arial" w:cs="Arial"/>
        </w:rPr>
        <w:t xml:space="preserve"> niezbędnych do realizacji projektu, takich jak:</w:t>
      </w:r>
    </w:p>
    <w:p w:rsidR="00EE7DEE" w:rsidRPr="001B7151" w:rsidRDefault="00EE7DEE" w:rsidP="001B7151">
      <w:pPr>
        <w:spacing w:before="120" w:after="120" w:line="360" w:lineRule="auto"/>
        <w:ind w:left="993" w:hanging="360"/>
        <w:jc w:val="both"/>
        <w:rPr>
          <w:rFonts w:ascii="Arial" w:eastAsia="Times New Roman" w:hAnsi="Arial" w:cs="Arial"/>
          <w:lang w:eastAsia="pl-PL"/>
        </w:rPr>
      </w:pPr>
      <w:r w:rsidRPr="00EE7DEE">
        <w:rPr>
          <w:rFonts w:ascii="Arial" w:hAnsi="Arial" w:cs="Arial"/>
        </w:rPr>
        <w:t>i</w:t>
      </w:r>
      <w:r w:rsidRPr="001B7151">
        <w:rPr>
          <w:rFonts w:ascii="Arial" w:eastAsia="Times New Roman" w:hAnsi="Arial" w:cs="Arial"/>
          <w:lang w:eastAsia="pl-PL"/>
        </w:rPr>
        <w:t>.</w:t>
      </w:r>
      <w:r w:rsidRPr="001B7151">
        <w:rPr>
          <w:rFonts w:ascii="Arial" w:eastAsia="Times New Roman" w:hAnsi="Arial" w:cs="Arial"/>
          <w:lang w:eastAsia="pl-PL"/>
        </w:rPr>
        <w:tab/>
        <w:t>licencje na oprogramowanie (np. system zarządzania, systemy bezpieczeństwa, rozbudowa systemu zarządzania, portal fazy początkowej, systemy wirtualizacji, oprogramowanie systemowe itp.)</w:t>
      </w:r>
    </w:p>
    <w:p w:rsidR="00EE7DEE" w:rsidRPr="001B7151" w:rsidRDefault="00EE7DEE" w:rsidP="001B7151">
      <w:pPr>
        <w:spacing w:before="120" w:after="120" w:line="360" w:lineRule="auto"/>
        <w:ind w:left="993" w:hanging="360"/>
        <w:jc w:val="both"/>
        <w:rPr>
          <w:rFonts w:ascii="Arial" w:eastAsia="Times New Roman" w:hAnsi="Arial" w:cs="Arial"/>
          <w:lang w:eastAsia="pl-PL"/>
        </w:rPr>
      </w:pPr>
      <w:r w:rsidRPr="001B7151">
        <w:rPr>
          <w:rFonts w:ascii="Arial" w:eastAsia="Times New Roman" w:hAnsi="Arial" w:cs="Arial"/>
          <w:lang w:eastAsia="pl-PL"/>
        </w:rPr>
        <w:t>ii.</w:t>
      </w:r>
      <w:r w:rsidRPr="001B7151">
        <w:rPr>
          <w:rFonts w:ascii="Arial" w:eastAsia="Times New Roman" w:hAnsi="Arial" w:cs="Arial"/>
          <w:lang w:eastAsia="pl-PL"/>
        </w:rPr>
        <w:tab/>
        <w:t>licencje na dostęp do baz danych, systemów gromadzących dane oraz plików z informacjami (np. sygnatury treści zakazanych, sygnatury wirusów, sygnatury ataków itp.)</w:t>
      </w:r>
    </w:p>
    <w:p w:rsidR="00EE7DEE" w:rsidRPr="00EE7DEE" w:rsidRDefault="00EE7DEE" w:rsidP="00137BC9">
      <w:pPr>
        <w:numPr>
          <w:ilvl w:val="0"/>
          <w:numId w:val="93"/>
        </w:numPr>
        <w:spacing w:before="120" w:after="120" w:line="360" w:lineRule="auto"/>
        <w:jc w:val="both"/>
        <w:rPr>
          <w:rFonts w:ascii="Arial" w:hAnsi="Arial" w:cs="Arial"/>
        </w:rPr>
      </w:pPr>
      <w:r w:rsidRPr="00EE7DEE">
        <w:rPr>
          <w:rFonts w:ascii="Arial" w:hAnsi="Arial" w:cs="Arial"/>
        </w:rPr>
        <w:t>materiałów, elementów i urządzeń niebędących środkami trwałymi lub ich elementami, takich jak:</w:t>
      </w:r>
    </w:p>
    <w:p w:rsidR="00EE7DEE" w:rsidRPr="00EE7DEE" w:rsidRDefault="00EE7DEE" w:rsidP="001B7151">
      <w:pPr>
        <w:spacing w:before="120" w:after="120" w:line="360" w:lineRule="auto"/>
        <w:ind w:left="993" w:hanging="360"/>
        <w:jc w:val="both"/>
        <w:rPr>
          <w:rFonts w:ascii="Arial" w:hAnsi="Arial" w:cs="Arial"/>
        </w:rPr>
      </w:pPr>
      <w:r w:rsidRPr="00EE7DEE">
        <w:rPr>
          <w:rFonts w:ascii="Arial" w:hAnsi="Arial" w:cs="Arial"/>
        </w:rPr>
        <w:t>i.</w:t>
      </w:r>
      <w:r w:rsidRPr="00EE7DEE">
        <w:rPr>
          <w:rFonts w:ascii="Arial" w:hAnsi="Arial" w:cs="Arial"/>
        </w:rPr>
        <w:tab/>
      </w:r>
      <w:proofErr w:type="spellStart"/>
      <w:r w:rsidRPr="00EE7DEE">
        <w:rPr>
          <w:rFonts w:ascii="Arial" w:hAnsi="Arial" w:cs="Arial"/>
        </w:rPr>
        <w:t>niskocenne</w:t>
      </w:r>
      <w:proofErr w:type="spellEnd"/>
      <w:r w:rsidRPr="00EE7DEE">
        <w:rPr>
          <w:rFonts w:ascii="Arial" w:hAnsi="Arial" w:cs="Arial"/>
        </w:rPr>
        <w:t xml:space="preserve"> urządzenia i elementy (np. wkładki światłowodowe, narzędzia itp.)</w:t>
      </w:r>
    </w:p>
    <w:p w:rsidR="00EE7DEE" w:rsidRPr="00EE7DEE" w:rsidRDefault="00EE7DEE" w:rsidP="001B7151">
      <w:pPr>
        <w:spacing w:before="120" w:after="120" w:line="360" w:lineRule="auto"/>
        <w:ind w:left="993" w:hanging="360"/>
        <w:jc w:val="both"/>
        <w:rPr>
          <w:rFonts w:ascii="Arial" w:hAnsi="Arial" w:cs="Arial"/>
        </w:rPr>
      </w:pPr>
      <w:r w:rsidRPr="00EE7DEE">
        <w:rPr>
          <w:rFonts w:ascii="Arial" w:hAnsi="Arial" w:cs="Arial"/>
        </w:rPr>
        <w:t>ii.</w:t>
      </w:r>
      <w:r w:rsidRPr="00EE7DEE">
        <w:rPr>
          <w:rFonts w:ascii="Arial" w:hAnsi="Arial" w:cs="Arial"/>
        </w:rPr>
        <w:tab/>
        <w:t xml:space="preserve">materiały (np. kabel LAN, złączki, gniazda, </w:t>
      </w:r>
      <w:proofErr w:type="spellStart"/>
      <w:r w:rsidRPr="00EE7DEE">
        <w:rPr>
          <w:rFonts w:ascii="Arial" w:hAnsi="Arial" w:cs="Arial"/>
        </w:rPr>
        <w:t>patchpanele</w:t>
      </w:r>
      <w:proofErr w:type="spellEnd"/>
      <w:r w:rsidRPr="00EE7DEE">
        <w:rPr>
          <w:rFonts w:ascii="Arial" w:hAnsi="Arial" w:cs="Arial"/>
        </w:rPr>
        <w:t>, łączniki itp.)</w:t>
      </w:r>
    </w:p>
    <w:p w:rsidR="00EE7DEE" w:rsidRPr="00EE7DEE" w:rsidRDefault="00EE7DEE" w:rsidP="001B7151">
      <w:pPr>
        <w:spacing w:before="120" w:after="120" w:line="360" w:lineRule="auto"/>
        <w:ind w:left="993" w:hanging="360"/>
        <w:jc w:val="both"/>
        <w:rPr>
          <w:rFonts w:ascii="Arial" w:hAnsi="Arial" w:cs="Arial"/>
        </w:rPr>
      </w:pPr>
      <w:r w:rsidRPr="00EE7DEE">
        <w:rPr>
          <w:rFonts w:ascii="Arial" w:hAnsi="Arial" w:cs="Arial"/>
        </w:rPr>
        <w:t>iii.</w:t>
      </w:r>
      <w:r w:rsidRPr="00EE7DEE">
        <w:rPr>
          <w:rFonts w:ascii="Arial" w:hAnsi="Arial" w:cs="Arial"/>
        </w:rPr>
        <w:tab/>
        <w:t>infrastruktura techniczna (np. szafy telekomunikacyjne, UPS, klimatyzacja, system monitoringu, modem GSM, przełącznica, krosownica, pole zasilania itp.) – o wartości jednostkowej poniżej 10 000,00 zł.</w:t>
      </w:r>
    </w:p>
    <w:p w:rsidR="008A559B" w:rsidRDefault="008D2916" w:rsidP="00137BC9">
      <w:pPr>
        <w:numPr>
          <w:ilvl w:val="0"/>
          <w:numId w:val="91"/>
        </w:numPr>
        <w:spacing w:before="120" w:after="120" w:line="360" w:lineRule="auto"/>
        <w:jc w:val="both"/>
        <w:rPr>
          <w:rFonts w:ascii="Arial" w:hAnsi="Arial" w:cs="Arial"/>
        </w:rPr>
      </w:pPr>
      <w:r w:rsidRPr="001B7151">
        <w:rPr>
          <w:rFonts w:ascii="Arial" w:hAnsi="Arial" w:cs="Arial"/>
        </w:rPr>
        <w:t>Wynagrodzenia pracowników wykonujących merytoryczne zadania bezpośrednio związane z głównymi celami i produktami projektu</w:t>
      </w:r>
      <w:r w:rsidR="00A03923">
        <w:rPr>
          <w:rFonts w:ascii="Arial" w:hAnsi="Arial" w:cs="Arial"/>
        </w:rPr>
        <w:t>.</w:t>
      </w:r>
    </w:p>
    <w:p w:rsidR="001B7151" w:rsidRDefault="008D2916" w:rsidP="00137BC9">
      <w:pPr>
        <w:numPr>
          <w:ilvl w:val="0"/>
          <w:numId w:val="91"/>
        </w:numPr>
        <w:spacing w:before="120" w:after="120" w:line="360" w:lineRule="auto"/>
        <w:jc w:val="both"/>
        <w:rPr>
          <w:rFonts w:ascii="Arial" w:hAnsi="Arial" w:cs="Arial"/>
        </w:rPr>
      </w:pPr>
      <w:r w:rsidRPr="001B7151">
        <w:rPr>
          <w:rFonts w:ascii="Arial" w:hAnsi="Arial" w:cs="Arial"/>
        </w:rPr>
        <w:t>Usługi zewnętrzne</w:t>
      </w:r>
      <w:r w:rsidR="001B7151">
        <w:rPr>
          <w:rFonts w:ascii="Arial" w:hAnsi="Arial" w:cs="Arial"/>
        </w:rPr>
        <w:t>, w tym wydatki poniesione na:</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lastRenderedPageBreak/>
        <w:t xml:space="preserve">przygotowanie projektu: </w:t>
      </w:r>
    </w:p>
    <w:p w:rsidR="001B7151" w:rsidRPr="001B7151" w:rsidRDefault="001B7151" w:rsidP="00137BC9">
      <w:pPr>
        <w:numPr>
          <w:ilvl w:val="0"/>
          <w:numId w:val="96"/>
        </w:numPr>
        <w:spacing w:before="120" w:after="120" w:line="360" w:lineRule="auto"/>
        <w:ind w:left="992" w:hanging="357"/>
        <w:jc w:val="both"/>
        <w:rPr>
          <w:rFonts w:ascii="Arial" w:hAnsi="Arial" w:cs="Arial"/>
        </w:rPr>
      </w:pPr>
      <w:r w:rsidRPr="001B7151">
        <w:rPr>
          <w:rFonts w:ascii="Arial" w:hAnsi="Arial" w:cs="Arial"/>
        </w:rPr>
        <w:t>dokumentacja techniczna, finansowa, w tym w zakresie pomocy publicznej, o ile jej opracowanie jest niezbędne do przygotowania lub realizacji projektu, z wyjątkiem wypełnienia formularza wniosku o dofinansowanie</w:t>
      </w:r>
      <w:r w:rsidR="00A03923">
        <w:rPr>
          <w:rFonts w:ascii="Arial" w:hAnsi="Arial" w:cs="Arial"/>
        </w:rPr>
        <w:t>,</w:t>
      </w:r>
      <w:r w:rsidRPr="001B7151">
        <w:rPr>
          <w:rFonts w:ascii="Arial" w:hAnsi="Arial" w:cs="Arial"/>
        </w:rPr>
        <w:t xml:space="preserve"> </w:t>
      </w:r>
    </w:p>
    <w:p w:rsidR="001B7151" w:rsidRPr="001B7151" w:rsidRDefault="001B7151" w:rsidP="00137BC9">
      <w:pPr>
        <w:numPr>
          <w:ilvl w:val="0"/>
          <w:numId w:val="96"/>
        </w:numPr>
        <w:spacing w:before="120" w:after="120" w:line="360" w:lineRule="auto"/>
        <w:ind w:left="992" w:hanging="357"/>
        <w:jc w:val="both"/>
        <w:rPr>
          <w:rFonts w:ascii="Arial" w:hAnsi="Arial" w:cs="Arial"/>
        </w:rPr>
      </w:pPr>
      <w:r w:rsidRPr="001B7151">
        <w:rPr>
          <w:rFonts w:ascii="Arial" w:hAnsi="Arial" w:cs="Arial"/>
        </w:rPr>
        <w:t>studium wykonalności,</w:t>
      </w:r>
    </w:p>
    <w:p w:rsidR="001B7151" w:rsidRPr="001B7151" w:rsidRDefault="001B7151" w:rsidP="00137BC9">
      <w:pPr>
        <w:numPr>
          <w:ilvl w:val="0"/>
          <w:numId w:val="96"/>
        </w:numPr>
        <w:spacing w:before="120" w:after="120" w:line="360" w:lineRule="auto"/>
        <w:ind w:left="992" w:hanging="357"/>
        <w:jc w:val="both"/>
        <w:rPr>
          <w:rFonts w:ascii="Arial" w:hAnsi="Arial" w:cs="Arial"/>
        </w:rPr>
      </w:pPr>
      <w:r w:rsidRPr="001B7151">
        <w:rPr>
          <w:rFonts w:ascii="Arial" w:hAnsi="Arial" w:cs="Arial"/>
        </w:rPr>
        <w:t>dokumentacja przetargowa,</w:t>
      </w:r>
    </w:p>
    <w:p w:rsidR="001B7151" w:rsidRPr="001B7151" w:rsidRDefault="001B7151" w:rsidP="00137BC9">
      <w:pPr>
        <w:numPr>
          <w:ilvl w:val="0"/>
          <w:numId w:val="96"/>
        </w:numPr>
        <w:spacing w:before="120" w:after="120" w:line="360" w:lineRule="auto"/>
        <w:ind w:left="992" w:hanging="357"/>
        <w:jc w:val="both"/>
        <w:rPr>
          <w:rFonts w:ascii="Arial" w:hAnsi="Arial" w:cs="Arial"/>
        </w:rPr>
      </w:pPr>
      <w:r w:rsidRPr="001B7151">
        <w:rPr>
          <w:rFonts w:ascii="Arial" w:hAnsi="Arial" w:cs="Arial"/>
        </w:rPr>
        <w:t>uzyskanie niezbędnych decyzji administracyjnych na etapie przygotowania projektu czy wniosku o dofinansowanie,</w:t>
      </w:r>
    </w:p>
    <w:p w:rsidR="001B7151" w:rsidRPr="001B7151" w:rsidRDefault="001B7151" w:rsidP="00137BC9">
      <w:pPr>
        <w:numPr>
          <w:ilvl w:val="0"/>
          <w:numId w:val="96"/>
        </w:numPr>
        <w:spacing w:before="120" w:after="120" w:line="360" w:lineRule="auto"/>
        <w:ind w:left="992" w:hanging="357"/>
        <w:jc w:val="both"/>
        <w:rPr>
          <w:rFonts w:ascii="Arial" w:hAnsi="Arial" w:cs="Arial"/>
        </w:rPr>
      </w:pPr>
      <w:r w:rsidRPr="001B7151">
        <w:rPr>
          <w:rFonts w:ascii="Arial" w:hAnsi="Arial" w:cs="Arial"/>
        </w:rPr>
        <w:t>obsługa instrumentów zabezpieczających realizację umowy o dofinansowanie, określona w umowie o dofinansowanie,</w:t>
      </w:r>
    </w:p>
    <w:p w:rsidR="001B7151" w:rsidRPr="001B7151" w:rsidRDefault="001B7151" w:rsidP="00137BC9">
      <w:pPr>
        <w:numPr>
          <w:ilvl w:val="0"/>
          <w:numId w:val="96"/>
        </w:numPr>
        <w:spacing w:before="120" w:after="120" w:line="360" w:lineRule="auto"/>
        <w:ind w:left="992" w:hanging="357"/>
        <w:jc w:val="both"/>
        <w:rPr>
          <w:rFonts w:ascii="Arial" w:hAnsi="Arial" w:cs="Arial"/>
        </w:rPr>
      </w:pPr>
      <w:r w:rsidRPr="001B7151">
        <w:rPr>
          <w:rFonts w:ascii="Arial" w:hAnsi="Arial" w:cs="Arial"/>
        </w:rPr>
        <w:t>ocena oddziaływania na środowisko,</w:t>
      </w:r>
    </w:p>
    <w:p w:rsidR="001B7151" w:rsidRPr="001B7151" w:rsidRDefault="001B7151" w:rsidP="00137BC9">
      <w:pPr>
        <w:numPr>
          <w:ilvl w:val="0"/>
          <w:numId w:val="96"/>
        </w:numPr>
        <w:spacing w:before="120" w:after="120" w:line="360" w:lineRule="auto"/>
        <w:ind w:left="992" w:hanging="357"/>
        <w:jc w:val="both"/>
        <w:rPr>
          <w:rFonts w:ascii="Arial" w:hAnsi="Arial" w:cs="Arial"/>
        </w:rPr>
      </w:pPr>
      <w:r w:rsidRPr="001B7151">
        <w:rPr>
          <w:rFonts w:ascii="Arial" w:hAnsi="Arial" w:cs="Arial"/>
        </w:rPr>
        <w:t>mapy lub szkice sytuujące projekt,</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t>usługi wsparcia:</w:t>
      </w:r>
    </w:p>
    <w:p w:rsidR="001B7151" w:rsidRPr="001B7151" w:rsidRDefault="001B7151" w:rsidP="00137BC9">
      <w:pPr>
        <w:numPr>
          <w:ilvl w:val="0"/>
          <w:numId w:val="94"/>
        </w:numPr>
        <w:spacing w:before="120" w:after="120" w:line="360" w:lineRule="auto"/>
        <w:ind w:left="992" w:hanging="357"/>
        <w:jc w:val="both"/>
        <w:rPr>
          <w:rFonts w:ascii="Arial" w:hAnsi="Arial" w:cs="Arial"/>
        </w:rPr>
      </w:pPr>
      <w:r w:rsidRPr="001B7151">
        <w:rPr>
          <w:rFonts w:ascii="Arial" w:hAnsi="Arial" w:cs="Arial"/>
        </w:rPr>
        <w:t>teleinformatycznego (np. usługi partnerów uruchamiających i konfigurujących oraz wspierających na miejscu usługę w szkole, instalacja urządzeń w węźle, wsparcie obsługi itp.).</w:t>
      </w:r>
    </w:p>
    <w:p w:rsidR="001B7151" w:rsidRPr="001B7151" w:rsidRDefault="001B7151" w:rsidP="00137BC9">
      <w:pPr>
        <w:numPr>
          <w:ilvl w:val="0"/>
          <w:numId w:val="94"/>
        </w:numPr>
        <w:spacing w:before="120" w:after="120" w:line="360" w:lineRule="auto"/>
        <w:ind w:left="992" w:hanging="357"/>
        <w:jc w:val="both"/>
        <w:rPr>
          <w:rFonts w:ascii="Arial" w:hAnsi="Arial" w:cs="Arial"/>
        </w:rPr>
      </w:pPr>
      <w:r w:rsidRPr="001B7151">
        <w:rPr>
          <w:rFonts w:ascii="Arial" w:hAnsi="Arial" w:cs="Arial"/>
        </w:rPr>
        <w:t>usługi konsultacyjne (np. techniczne, wsparcie wytworzenia projektu technicznego, prawne, inne).</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t>usługi telekomunikacyjne i teleinformatyczne:</w:t>
      </w:r>
    </w:p>
    <w:p w:rsidR="001B7151" w:rsidRPr="001B7151" w:rsidRDefault="001B7151" w:rsidP="00137BC9">
      <w:pPr>
        <w:numPr>
          <w:ilvl w:val="0"/>
          <w:numId w:val="95"/>
        </w:numPr>
        <w:spacing w:before="120" w:after="120" w:line="360" w:lineRule="auto"/>
        <w:ind w:left="992" w:hanging="357"/>
        <w:jc w:val="both"/>
        <w:rPr>
          <w:rFonts w:ascii="Arial" w:hAnsi="Arial" w:cs="Arial"/>
        </w:rPr>
      </w:pPr>
      <w:r w:rsidRPr="001B7151">
        <w:rPr>
          <w:rFonts w:ascii="Arial" w:hAnsi="Arial" w:cs="Arial"/>
        </w:rPr>
        <w:t>usługi dzierżawy łączy telekomunikacyjnych (w tym jednorazowe i abonamentowe) w trakcie realizacji projektu,</w:t>
      </w:r>
    </w:p>
    <w:p w:rsidR="001B7151" w:rsidRPr="001B7151" w:rsidRDefault="001B7151" w:rsidP="00137BC9">
      <w:pPr>
        <w:numPr>
          <w:ilvl w:val="0"/>
          <w:numId w:val="95"/>
        </w:numPr>
        <w:spacing w:before="120" w:after="120" w:line="360" w:lineRule="auto"/>
        <w:ind w:left="992" w:hanging="357"/>
        <w:jc w:val="both"/>
        <w:rPr>
          <w:rFonts w:ascii="Arial" w:hAnsi="Arial" w:cs="Arial"/>
        </w:rPr>
      </w:pPr>
      <w:r w:rsidRPr="001B7151">
        <w:rPr>
          <w:rFonts w:ascii="Arial" w:hAnsi="Arial" w:cs="Arial"/>
        </w:rPr>
        <w:t>usługi telekomunikacyjne inne (np. tranzyt ruchu, dostęp do punktu wymiany ruchu, utrzymanie punktu styku itp.) w trakcie realizacji projektu,</w:t>
      </w:r>
    </w:p>
    <w:p w:rsidR="001B7151" w:rsidRPr="001B7151" w:rsidRDefault="001B7151" w:rsidP="00137BC9">
      <w:pPr>
        <w:numPr>
          <w:ilvl w:val="0"/>
          <w:numId w:val="95"/>
        </w:numPr>
        <w:spacing w:before="120" w:after="120" w:line="360" w:lineRule="auto"/>
        <w:ind w:left="992" w:hanging="357"/>
        <w:jc w:val="both"/>
        <w:rPr>
          <w:rFonts w:ascii="Arial" w:hAnsi="Arial" w:cs="Arial"/>
        </w:rPr>
      </w:pPr>
      <w:r w:rsidRPr="001B7151">
        <w:rPr>
          <w:rFonts w:ascii="Arial" w:hAnsi="Arial" w:cs="Arial"/>
        </w:rPr>
        <w:t>usługi teleinformatyczne (np. filtrowanie pod względem bezpieczeństwa ruchu internetowego).</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t>instalacja i serwis urządzeń w trakcie realizacji projektu,</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t>wdrożenie i wsparcie dla oprogramowania w trakcie realizacji projektu,</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t>kolokacja i najem miejsca (w serwerowniach, powierzchni biurowej, magazynowej itp.) w trakcie realizacji projektu,</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lastRenderedPageBreak/>
        <w:t>dostawa prądu i innych mediów niezbędnych do funkcjonowania i obsługi serwerowni i węzłów (nieużywanych w ramach powierzchni biurowych) – w trakcie realizacji projektu;</w:t>
      </w:r>
    </w:p>
    <w:p w:rsidR="001B7151" w:rsidRPr="001B7151" w:rsidRDefault="001B7151" w:rsidP="00137BC9">
      <w:pPr>
        <w:numPr>
          <w:ilvl w:val="0"/>
          <w:numId w:val="97"/>
        </w:numPr>
        <w:spacing w:before="120" w:after="120" w:line="360" w:lineRule="auto"/>
        <w:jc w:val="both"/>
        <w:rPr>
          <w:rFonts w:ascii="Arial" w:hAnsi="Arial" w:cs="Arial"/>
        </w:rPr>
      </w:pPr>
      <w:r w:rsidRPr="001B7151">
        <w:rPr>
          <w:rFonts w:ascii="Arial" w:hAnsi="Arial" w:cs="Arial"/>
        </w:rPr>
        <w:t>transport środków trwałych i wartości niematerialnych i prawnych oraz rzeczowych aktywów niestanowiących środków trwałych</w:t>
      </w:r>
      <w:r w:rsidR="00A03923">
        <w:rPr>
          <w:rFonts w:ascii="Arial" w:hAnsi="Arial" w:cs="Arial"/>
        </w:rPr>
        <w:t>,</w:t>
      </w:r>
      <w:r w:rsidRPr="001B7151">
        <w:rPr>
          <w:rFonts w:ascii="Arial" w:hAnsi="Arial" w:cs="Arial"/>
        </w:rPr>
        <w:t xml:space="preserve"> jak również pracowników wykonujących merytoryczne zadania w projekcie</w:t>
      </w:r>
      <w:r w:rsidR="00A03923">
        <w:rPr>
          <w:rFonts w:ascii="Arial" w:hAnsi="Arial" w:cs="Arial"/>
        </w:rPr>
        <w:t>.</w:t>
      </w:r>
      <w:r w:rsidRPr="001B7151">
        <w:rPr>
          <w:rFonts w:ascii="Arial" w:hAnsi="Arial" w:cs="Arial"/>
        </w:rPr>
        <w:t xml:space="preserve"> </w:t>
      </w:r>
    </w:p>
    <w:p w:rsidR="008D2916" w:rsidRPr="008D2916" w:rsidRDefault="008D2916" w:rsidP="00137BC9">
      <w:pPr>
        <w:numPr>
          <w:ilvl w:val="0"/>
          <w:numId w:val="91"/>
        </w:numPr>
        <w:spacing w:before="120" w:after="120" w:line="360" w:lineRule="auto"/>
        <w:jc w:val="both"/>
        <w:rPr>
          <w:rFonts w:ascii="Arial" w:hAnsi="Arial" w:cs="Arial"/>
        </w:rPr>
      </w:pPr>
      <w:r w:rsidRPr="008D2916">
        <w:rPr>
          <w:rFonts w:ascii="Arial" w:hAnsi="Arial" w:cs="Arial"/>
        </w:rPr>
        <w:t>Informacja i promocja, w tym wydatki:</w:t>
      </w:r>
    </w:p>
    <w:p w:rsidR="008D2916" w:rsidRPr="008D2916" w:rsidRDefault="008D2916" w:rsidP="00137BC9">
      <w:pPr>
        <w:numPr>
          <w:ilvl w:val="0"/>
          <w:numId w:val="98"/>
        </w:numPr>
        <w:spacing w:before="120" w:after="120" w:line="360" w:lineRule="auto"/>
        <w:jc w:val="both"/>
        <w:rPr>
          <w:rFonts w:ascii="Arial" w:hAnsi="Arial" w:cs="Arial"/>
        </w:rPr>
      </w:pPr>
      <w:r w:rsidRPr="008D2916">
        <w:rPr>
          <w:rFonts w:ascii="Arial" w:hAnsi="Arial" w:cs="Arial"/>
        </w:rPr>
        <w:t>poniesione na tablice informacyjne i pamiątkowe,</w:t>
      </w:r>
    </w:p>
    <w:p w:rsidR="008D2916" w:rsidRPr="008D2916" w:rsidRDefault="008D2916" w:rsidP="00137BC9">
      <w:pPr>
        <w:numPr>
          <w:ilvl w:val="0"/>
          <w:numId w:val="98"/>
        </w:numPr>
        <w:spacing w:before="120" w:after="120" w:line="360" w:lineRule="auto"/>
        <w:jc w:val="both"/>
        <w:rPr>
          <w:rFonts w:ascii="Arial" w:hAnsi="Arial" w:cs="Arial"/>
        </w:rPr>
      </w:pPr>
      <w:r w:rsidRPr="008D2916">
        <w:rPr>
          <w:rFonts w:ascii="Arial" w:hAnsi="Arial" w:cs="Arial"/>
        </w:rPr>
        <w:t>związane ze stworzeniem i prowadzeniem strony internetowej projektu, profili na portalach społecznościowych, blogów i innych form wykorzystujących komunikację internetową,</w:t>
      </w:r>
    </w:p>
    <w:p w:rsidR="008D2916" w:rsidRPr="008D2916" w:rsidRDefault="008D2916" w:rsidP="00137BC9">
      <w:pPr>
        <w:numPr>
          <w:ilvl w:val="0"/>
          <w:numId w:val="98"/>
        </w:numPr>
        <w:spacing w:before="120" w:after="120" w:line="360" w:lineRule="auto"/>
        <w:jc w:val="both"/>
        <w:rPr>
          <w:rFonts w:ascii="Arial" w:hAnsi="Arial" w:cs="Arial"/>
        </w:rPr>
      </w:pPr>
      <w:r w:rsidRPr="008D2916">
        <w:rPr>
          <w:rFonts w:ascii="Arial" w:hAnsi="Arial" w:cs="Arial"/>
        </w:rPr>
        <w:t>poniesione w związku z organizacją konferencji promujących projekt,</w:t>
      </w:r>
    </w:p>
    <w:p w:rsidR="008D2916" w:rsidRPr="008D2916" w:rsidRDefault="008D2916" w:rsidP="00137BC9">
      <w:pPr>
        <w:numPr>
          <w:ilvl w:val="0"/>
          <w:numId w:val="98"/>
        </w:numPr>
        <w:spacing w:before="120" w:after="120" w:line="360" w:lineRule="auto"/>
        <w:jc w:val="both"/>
        <w:rPr>
          <w:rFonts w:ascii="Arial" w:hAnsi="Arial" w:cs="Arial"/>
        </w:rPr>
      </w:pPr>
      <w:r w:rsidRPr="008D2916">
        <w:rPr>
          <w:rFonts w:ascii="Arial" w:hAnsi="Arial" w:cs="Arial"/>
        </w:rPr>
        <w:t>poniesione w związku z realizacją działań informacyjno-promocyjnych, w tym m.in. kampanii, promocji w mediach elektronicznych i tradycyjnych,</w:t>
      </w:r>
    </w:p>
    <w:p w:rsidR="008D2916" w:rsidRPr="008D2916" w:rsidRDefault="008D2916" w:rsidP="00137BC9">
      <w:pPr>
        <w:numPr>
          <w:ilvl w:val="0"/>
          <w:numId w:val="98"/>
        </w:numPr>
        <w:spacing w:before="120" w:after="120" w:line="360" w:lineRule="auto"/>
        <w:jc w:val="both"/>
        <w:rPr>
          <w:rFonts w:ascii="Arial" w:hAnsi="Arial" w:cs="Arial"/>
        </w:rPr>
      </w:pPr>
      <w:r w:rsidRPr="008D2916">
        <w:rPr>
          <w:rFonts w:ascii="Arial" w:hAnsi="Arial" w:cs="Arial"/>
        </w:rPr>
        <w:t>poniesione w związku z organizowaniem spotkań informacyjnych i wydarzeń promocyjnych (w tym wynajem sali, catering),</w:t>
      </w:r>
    </w:p>
    <w:p w:rsidR="008D2916" w:rsidRPr="008D2916" w:rsidRDefault="008D2916" w:rsidP="00137BC9">
      <w:pPr>
        <w:numPr>
          <w:ilvl w:val="0"/>
          <w:numId w:val="98"/>
        </w:numPr>
        <w:spacing w:before="120" w:after="120" w:line="360" w:lineRule="auto"/>
        <w:jc w:val="both"/>
        <w:rPr>
          <w:rFonts w:ascii="Arial" w:hAnsi="Arial" w:cs="Arial"/>
        </w:rPr>
      </w:pPr>
      <w:r w:rsidRPr="008D2916">
        <w:rPr>
          <w:rFonts w:ascii="Arial" w:hAnsi="Arial" w:cs="Arial"/>
        </w:rPr>
        <w:t xml:space="preserve">poniesione na podstawowe materiały informacyjne i promocyjne. </w:t>
      </w:r>
    </w:p>
    <w:p w:rsidR="008D2916" w:rsidRPr="008B019A" w:rsidRDefault="008D2916" w:rsidP="008D2916">
      <w:pPr>
        <w:spacing w:before="120" w:after="120" w:line="360" w:lineRule="auto"/>
        <w:ind w:left="360"/>
        <w:jc w:val="both"/>
        <w:rPr>
          <w:rFonts w:ascii="Arial" w:eastAsia="Times New Roman" w:hAnsi="Arial" w:cs="Arial"/>
          <w:lang w:eastAsia="pl-PL"/>
        </w:rPr>
      </w:pPr>
      <w:r w:rsidRPr="008B019A">
        <w:rPr>
          <w:rFonts w:ascii="Arial" w:eastAsia="Times New Roman" w:hAnsi="Arial" w:cs="Arial"/>
          <w:lang w:eastAsia="pl-PL"/>
        </w:rPr>
        <w:t xml:space="preserve">Wydatki związane z działaniami informacyjno-promocyjnymi stanowią wydatki kwalifikowalne w ramach realizowanych projektów jeśli ponoszone są zgodnie z warunkami i procedurami określonymi w </w:t>
      </w:r>
      <w:r w:rsidRPr="008B019A">
        <w:rPr>
          <w:rFonts w:ascii="Arial" w:eastAsia="Times New Roman" w:hAnsi="Arial" w:cs="Arial"/>
          <w:i/>
          <w:lang w:eastAsia="pl-PL"/>
        </w:rPr>
        <w:t>Wytycznych</w:t>
      </w:r>
      <w:r w:rsidRPr="008B019A">
        <w:rPr>
          <w:rFonts w:ascii="Arial" w:eastAsia="Times New Roman" w:hAnsi="Arial" w:cs="Arial"/>
          <w:lang w:eastAsia="pl-PL"/>
        </w:rPr>
        <w:t xml:space="preserve">, niniejszym </w:t>
      </w:r>
      <w:r w:rsidRPr="008B019A">
        <w:rPr>
          <w:rFonts w:ascii="Arial" w:eastAsia="Times New Roman" w:hAnsi="Arial" w:cs="Arial"/>
          <w:i/>
          <w:lang w:eastAsia="pl-PL"/>
        </w:rPr>
        <w:t>Katalogu</w:t>
      </w:r>
      <w:r w:rsidRPr="008B019A">
        <w:rPr>
          <w:rFonts w:ascii="Arial" w:eastAsia="Times New Roman" w:hAnsi="Arial" w:cs="Arial"/>
          <w:lang w:eastAsia="pl-PL"/>
        </w:rPr>
        <w:t>, w umowie o dofinasowanie projektu oraz w Podręczniku wnioskodawcy i beneficjenta programów polityki spójności 2014-2020</w:t>
      </w:r>
      <w:r>
        <w:rPr>
          <w:rFonts w:ascii="Arial" w:eastAsia="Times New Roman" w:hAnsi="Arial" w:cs="Arial"/>
          <w:lang w:eastAsia="pl-PL"/>
        </w:rPr>
        <w:t xml:space="preserve"> w zakresie informacji i promocji</w:t>
      </w:r>
      <w:r w:rsidRPr="008B019A">
        <w:rPr>
          <w:rFonts w:ascii="Arial" w:eastAsia="Times New Roman" w:hAnsi="Arial" w:cs="Arial"/>
          <w:lang w:eastAsia="pl-PL"/>
        </w:rPr>
        <w:t>.</w:t>
      </w:r>
    </w:p>
    <w:p w:rsidR="008D2916" w:rsidRPr="008B019A" w:rsidRDefault="008D2916" w:rsidP="008D2916">
      <w:pPr>
        <w:spacing w:before="120" w:after="120" w:line="360" w:lineRule="auto"/>
        <w:ind w:left="360"/>
        <w:jc w:val="both"/>
        <w:rPr>
          <w:rFonts w:ascii="Arial" w:eastAsia="Times New Roman" w:hAnsi="Arial" w:cs="Arial"/>
          <w:lang w:eastAsia="pl-PL"/>
        </w:rPr>
      </w:pPr>
      <w:r w:rsidRPr="008B019A">
        <w:rPr>
          <w:rFonts w:ascii="Arial" w:eastAsia="Times New Roman" w:hAnsi="Arial" w:cs="Arial"/>
          <w:lang w:eastAsia="pl-PL"/>
        </w:rPr>
        <w:t xml:space="preserve">Wydatki na informację i promocję nie mogą przekraczać </w:t>
      </w:r>
      <w:r>
        <w:rPr>
          <w:rFonts w:ascii="Arial" w:eastAsia="Times New Roman" w:hAnsi="Arial" w:cs="Arial"/>
          <w:lang w:eastAsia="pl-PL"/>
        </w:rPr>
        <w:t>0,5</w:t>
      </w:r>
      <w:r w:rsidRPr="00E61480">
        <w:rPr>
          <w:rFonts w:ascii="Arial" w:eastAsia="Times New Roman" w:hAnsi="Arial" w:cs="Arial"/>
          <w:lang w:eastAsia="pl-PL"/>
        </w:rPr>
        <w:t>%</w:t>
      </w:r>
      <w:r w:rsidRPr="008B019A">
        <w:rPr>
          <w:rFonts w:ascii="Arial" w:eastAsia="Times New Roman" w:hAnsi="Arial" w:cs="Arial"/>
          <w:lang w:eastAsia="pl-PL"/>
        </w:rPr>
        <w:t xml:space="preserve"> wydatków kwalifikowalnych projektu.  </w:t>
      </w:r>
    </w:p>
    <w:p w:rsidR="008D2916" w:rsidRPr="008B019A" w:rsidRDefault="008D2916" w:rsidP="008D2916">
      <w:pPr>
        <w:spacing w:before="120" w:after="120" w:line="360" w:lineRule="auto"/>
        <w:ind w:left="360"/>
        <w:jc w:val="both"/>
        <w:rPr>
          <w:rFonts w:ascii="Arial" w:eastAsia="Times New Roman" w:hAnsi="Arial" w:cs="Arial"/>
          <w:lang w:eastAsia="pl-PL"/>
        </w:rPr>
      </w:pPr>
      <w:r w:rsidRPr="008B019A">
        <w:rPr>
          <w:rFonts w:ascii="Arial" w:eastAsia="Times New Roman" w:hAnsi="Arial" w:cs="Arial"/>
          <w:lang w:eastAsia="pl-PL"/>
        </w:rPr>
        <w:t>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p w:rsidR="008D2916" w:rsidRPr="008D2916" w:rsidRDefault="008D2916" w:rsidP="00137BC9">
      <w:pPr>
        <w:numPr>
          <w:ilvl w:val="0"/>
          <w:numId w:val="91"/>
        </w:numPr>
        <w:spacing w:before="120" w:after="120" w:line="360" w:lineRule="auto"/>
        <w:jc w:val="both"/>
        <w:rPr>
          <w:rFonts w:ascii="Arial" w:hAnsi="Arial" w:cs="Arial"/>
        </w:rPr>
      </w:pPr>
      <w:r w:rsidRPr="008D2916">
        <w:rPr>
          <w:rFonts w:ascii="Arial" w:hAnsi="Arial" w:cs="Arial"/>
        </w:rPr>
        <w:t>Wydatki poniesione na pokrycie kosztów pośrednich</w:t>
      </w:r>
    </w:p>
    <w:p w:rsidR="008D2916" w:rsidRPr="008D2916" w:rsidRDefault="008D2916" w:rsidP="00137BC9">
      <w:pPr>
        <w:numPr>
          <w:ilvl w:val="0"/>
          <w:numId w:val="99"/>
        </w:numPr>
        <w:spacing w:before="120" w:after="120" w:line="360" w:lineRule="auto"/>
        <w:jc w:val="both"/>
        <w:rPr>
          <w:rFonts w:ascii="Arial" w:hAnsi="Arial" w:cs="Arial"/>
        </w:rPr>
      </w:pPr>
      <w:r w:rsidRPr="008D2916">
        <w:rPr>
          <w:rFonts w:ascii="Arial" w:hAnsi="Arial" w:cs="Arial"/>
        </w:rPr>
        <w:t xml:space="preserve">Koszty pośrednie mogą być kwalifikowalne w ramach projektów OSE na warunkach określonych w podrozdziale 7.5 </w:t>
      </w:r>
      <w:r w:rsidRPr="008D2916">
        <w:rPr>
          <w:rFonts w:ascii="Arial" w:hAnsi="Arial" w:cs="Arial"/>
          <w:i/>
        </w:rPr>
        <w:t>Wytycznych</w:t>
      </w:r>
      <w:r w:rsidRPr="008D2916">
        <w:rPr>
          <w:rFonts w:ascii="Arial" w:hAnsi="Arial" w:cs="Arial"/>
        </w:rPr>
        <w:t xml:space="preserve"> oraz w niniejszym </w:t>
      </w:r>
      <w:r w:rsidRPr="008D2916">
        <w:rPr>
          <w:rFonts w:ascii="Arial" w:hAnsi="Arial" w:cs="Arial"/>
          <w:i/>
        </w:rPr>
        <w:t>Katalogu</w:t>
      </w:r>
      <w:r w:rsidRPr="008D2916">
        <w:rPr>
          <w:rFonts w:ascii="Arial" w:hAnsi="Arial" w:cs="Arial"/>
        </w:rPr>
        <w:t xml:space="preserve">. </w:t>
      </w:r>
    </w:p>
    <w:p w:rsidR="008D2916" w:rsidRPr="008D2916" w:rsidRDefault="008D2916" w:rsidP="00137BC9">
      <w:pPr>
        <w:numPr>
          <w:ilvl w:val="0"/>
          <w:numId w:val="99"/>
        </w:numPr>
        <w:spacing w:before="120" w:after="120" w:line="360" w:lineRule="auto"/>
        <w:jc w:val="both"/>
        <w:rPr>
          <w:rFonts w:ascii="Arial" w:hAnsi="Arial" w:cs="Arial"/>
        </w:rPr>
      </w:pPr>
      <w:r w:rsidRPr="008D2916">
        <w:rPr>
          <w:rFonts w:ascii="Arial" w:hAnsi="Arial" w:cs="Arial"/>
        </w:rPr>
        <w:lastRenderedPageBreak/>
        <w:t xml:space="preserve">Koszty pośrednie są rozliczane stawką ryczałtową w wysokości do 15% bezpośrednich kwalifikowanych kosztów związanych z zaangażowaniem personelu projektu na zasadach określonych w rozdziale 6.6 </w:t>
      </w:r>
      <w:r w:rsidRPr="008D2916">
        <w:rPr>
          <w:rFonts w:ascii="Arial" w:hAnsi="Arial" w:cs="Arial"/>
          <w:i/>
        </w:rPr>
        <w:t>Wytycznych</w:t>
      </w:r>
      <w:r w:rsidRPr="008D2916">
        <w:rPr>
          <w:rFonts w:ascii="Arial" w:hAnsi="Arial" w:cs="Arial"/>
        </w:rPr>
        <w:t xml:space="preserve"> oraz w niniejszym </w:t>
      </w:r>
      <w:r w:rsidRPr="008D2916">
        <w:rPr>
          <w:rFonts w:ascii="Arial" w:hAnsi="Arial" w:cs="Arial"/>
          <w:i/>
        </w:rPr>
        <w:t>Katalogu</w:t>
      </w:r>
      <w:r w:rsidRPr="008D2916">
        <w:rPr>
          <w:rFonts w:ascii="Arial" w:hAnsi="Arial" w:cs="Arial"/>
        </w:rPr>
        <w:t xml:space="preserve">.  </w:t>
      </w:r>
    </w:p>
    <w:p w:rsidR="008D2916" w:rsidRPr="008D2916" w:rsidRDefault="008D2916" w:rsidP="00137BC9">
      <w:pPr>
        <w:numPr>
          <w:ilvl w:val="0"/>
          <w:numId w:val="99"/>
        </w:numPr>
        <w:spacing w:before="120" w:after="120" w:line="360" w:lineRule="auto"/>
        <w:jc w:val="both"/>
        <w:rPr>
          <w:rFonts w:ascii="Arial" w:hAnsi="Arial" w:cs="Arial"/>
        </w:rPr>
      </w:pPr>
      <w:r w:rsidRPr="008D2916">
        <w:rPr>
          <w:rFonts w:ascii="Arial" w:hAnsi="Arial" w:cs="Arial"/>
        </w:rPr>
        <w:t xml:space="preserve">W przypadku projektów, w których co najmniej 50% wydatków bezpośrednich (zgodnie z szacunkiem beneficjenta wynikającym ze złożonego do oceny wniosku o dofinasowanie) ponoszone jest w drodze zastosowania </w:t>
      </w:r>
      <w:proofErr w:type="spellStart"/>
      <w:r w:rsidRPr="008D2916">
        <w:rPr>
          <w:rFonts w:ascii="Arial" w:hAnsi="Arial" w:cs="Arial"/>
        </w:rPr>
        <w:t>Pzp</w:t>
      </w:r>
      <w:proofErr w:type="spellEnd"/>
      <w:r w:rsidRPr="008D2916">
        <w:rPr>
          <w:rFonts w:ascii="Arial" w:hAnsi="Arial" w:cs="Arial"/>
        </w:rPr>
        <w:t xml:space="preserve">, koszty pośrednie mogą być rozliczane  na podstawie rzeczywiście poniesionych wydatków (tj. z pełnym udokumentowaniem wydatków), z zachowaniem wymogów określonych w podrozdziale 6.5 </w:t>
      </w:r>
      <w:r w:rsidRPr="008D2916">
        <w:rPr>
          <w:rFonts w:ascii="Arial" w:hAnsi="Arial" w:cs="Arial"/>
          <w:i/>
        </w:rPr>
        <w:t>Wytycznych</w:t>
      </w:r>
      <w:r w:rsidRPr="008D2916">
        <w:rPr>
          <w:rFonts w:ascii="Arial" w:hAnsi="Arial" w:cs="Arial"/>
        </w:rPr>
        <w:t xml:space="preserve"> oraz podrozdziału 3.3 niniejszego </w:t>
      </w:r>
      <w:r w:rsidRPr="008D2916">
        <w:rPr>
          <w:rFonts w:ascii="Arial" w:hAnsi="Arial" w:cs="Arial"/>
          <w:i/>
        </w:rPr>
        <w:t>Katalogu</w:t>
      </w:r>
      <w:r w:rsidRPr="008D2916">
        <w:rPr>
          <w:rFonts w:ascii="Arial" w:hAnsi="Arial" w:cs="Arial"/>
        </w:rPr>
        <w:t xml:space="preserve">. W takiej sytuacji wydatki te nie mogą przekroczyć 10% całkowitych wydatków kwalifikowalnych projektu. </w:t>
      </w:r>
    </w:p>
    <w:p w:rsidR="008D2916" w:rsidRPr="008D2916" w:rsidRDefault="008D2916" w:rsidP="00137BC9">
      <w:pPr>
        <w:numPr>
          <w:ilvl w:val="0"/>
          <w:numId w:val="99"/>
        </w:numPr>
        <w:spacing w:before="120" w:after="120" w:line="360" w:lineRule="auto"/>
        <w:jc w:val="both"/>
        <w:rPr>
          <w:rFonts w:ascii="Arial" w:hAnsi="Arial" w:cs="Arial"/>
        </w:rPr>
      </w:pPr>
      <w:r w:rsidRPr="008D2916">
        <w:rPr>
          <w:rFonts w:ascii="Arial" w:hAnsi="Arial" w:cs="Arial"/>
        </w:rPr>
        <w:t>Wydatkami kwalifikowalnymi w zakresie tej kategorii mogą być:</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 xml:space="preserve">wydatki na pokrycie kosztów koordynatora lub kierownika projektu oraz innego personelu bezpośrednio zaangażowanego w zarządzanie, rozliczanie, monitorowanie projektu lub prowadzenie innych działań administracyjnych w projekcie, w tym w szczególności koszty wynagrodzenia tych osób i ich delegacji służbowych,  </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zarządu (wynagrodzenia osób uprawnionych do reprezentowania jednostki, których zakresy czynności nie są przypisane wyłącznie do projektu, np. kierownika jednostki),</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personelu obsługowego (obsługa kadrowa, finansowa, administracyjna, sekretariat, kancelaria, obsługa prawna, w tym  dotycząca zamówień) na potrzeby funkcjonowania jednostki,</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obsługi księgowej (wynagrodzenia osób księgujących wydatki w projekcie, koszty związane ze zleceniem prowadzenia obsługi księgowej projektu biuru rachunkowemu),</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utrzymania powierzchni biurowych (czynsz, najem, opłaty administracyjne) związanych z obsługą administracyjną projektu,</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związane z otworzeniem lub prowadzeniem wyodrębnionego na rzecz projektu subkonta na rachunku bankowym lub odrębnego rachunku bankowego,</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 xml:space="preserve">amortyzacja, najem lub zakup aktywów (środków trwałych i wartości niematerialnych i prawnych) używanych na potrzeby osób, o których mowa w </w:t>
      </w:r>
      <w:proofErr w:type="spellStart"/>
      <w:r w:rsidR="00842875">
        <w:rPr>
          <w:rFonts w:ascii="Arial" w:hAnsi="Arial" w:cs="Arial"/>
        </w:rPr>
        <w:t>tiret</w:t>
      </w:r>
      <w:proofErr w:type="spellEnd"/>
      <w:r w:rsidRPr="008D2916">
        <w:rPr>
          <w:rFonts w:ascii="Arial" w:hAnsi="Arial" w:cs="Arial"/>
        </w:rPr>
        <w:t xml:space="preserve"> </w:t>
      </w:r>
      <w:r w:rsidR="00842875">
        <w:rPr>
          <w:rFonts w:ascii="Arial" w:hAnsi="Arial" w:cs="Arial"/>
        </w:rPr>
        <w:t>i.</w:t>
      </w:r>
      <w:r w:rsidRPr="008D2916">
        <w:rPr>
          <w:rFonts w:ascii="Arial" w:hAnsi="Arial" w:cs="Arial"/>
        </w:rPr>
        <w:t xml:space="preserve"> – </w:t>
      </w:r>
      <w:r w:rsidR="00842875">
        <w:rPr>
          <w:rFonts w:ascii="Arial" w:hAnsi="Arial" w:cs="Arial"/>
        </w:rPr>
        <w:t>iv.</w:t>
      </w:r>
      <w:r w:rsidRPr="008D2916">
        <w:rPr>
          <w:rFonts w:ascii="Arial" w:hAnsi="Arial" w:cs="Arial"/>
        </w:rPr>
        <w:t xml:space="preserve"> z zastrzeżeniem punktu 11 podrozdziału 6.15 </w:t>
      </w:r>
      <w:r w:rsidRPr="00EC679F">
        <w:rPr>
          <w:rFonts w:ascii="Arial" w:hAnsi="Arial" w:cs="Arial"/>
          <w:i/>
        </w:rPr>
        <w:t>Wytycznych</w:t>
      </w:r>
      <w:r w:rsidRPr="008D2916">
        <w:rPr>
          <w:rFonts w:ascii="Arial" w:hAnsi="Arial" w:cs="Arial"/>
        </w:rPr>
        <w:t>,</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lastRenderedPageBreak/>
        <w:t xml:space="preserve">opłaty za energię elektryczną, cieplną, gazową i wodę, opłaty przesyłowe, opłaty </w:t>
      </w:r>
      <w:r w:rsidRPr="008D2916">
        <w:rPr>
          <w:rFonts w:ascii="Arial" w:hAnsi="Arial" w:cs="Arial"/>
        </w:rPr>
        <w:br/>
        <w:t>za odprowadzanie ścieków w zakresie związanym z obsługą administracyjną projektu,</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usług pocztowych, telefonicznych, internetowych, kurierskich związanych z obsługą projektu,</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usług powielania dokumentów związanych z obsługą projektu,</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materiałów biurowych i artykułów piśmienniczych związanych z obsługą projektu,</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ochrony,</w:t>
      </w:r>
    </w:p>
    <w:p w:rsidR="008D2916" w:rsidRPr="008D2916" w:rsidRDefault="008D2916" w:rsidP="00137BC9">
      <w:pPr>
        <w:numPr>
          <w:ilvl w:val="0"/>
          <w:numId w:val="100"/>
        </w:numPr>
        <w:spacing w:before="120" w:after="120" w:line="360" w:lineRule="auto"/>
        <w:jc w:val="both"/>
        <w:rPr>
          <w:rFonts w:ascii="Arial" w:hAnsi="Arial" w:cs="Arial"/>
        </w:rPr>
      </w:pPr>
      <w:r w:rsidRPr="008D2916">
        <w:rPr>
          <w:rFonts w:ascii="Arial" w:hAnsi="Arial" w:cs="Arial"/>
        </w:rPr>
        <w:t>wydatki na pokrycie kosztów sprzątania pomieszczeń związanych z obsługą projektu, w tym środków czystości, dezynsekcji, dezynfekcji, deratyzacji tych pomieszczeń.</w:t>
      </w:r>
    </w:p>
    <w:p w:rsidR="008D2916" w:rsidRPr="008D2916" w:rsidRDefault="008D2916" w:rsidP="00800CDA">
      <w:pPr>
        <w:pStyle w:val="Nagwek2"/>
        <w:numPr>
          <w:ilvl w:val="2"/>
          <w:numId w:val="102"/>
        </w:numPr>
        <w:spacing w:before="240" w:after="60" w:line="360" w:lineRule="auto"/>
        <w:jc w:val="center"/>
        <w:rPr>
          <w:rFonts w:ascii="Arial" w:hAnsi="Arial" w:cs="Arial"/>
          <w:b w:val="0"/>
          <w:i/>
          <w:color w:val="auto"/>
          <w:sz w:val="24"/>
          <w:szCs w:val="24"/>
        </w:rPr>
      </w:pPr>
      <w:bookmarkStart w:id="144" w:name="_Toc508630136"/>
      <w:r w:rsidRPr="008D2916">
        <w:rPr>
          <w:rFonts w:ascii="Arial" w:hAnsi="Arial" w:cs="Arial"/>
          <w:b w:val="0"/>
          <w:i/>
          <w:color w:val="auto"/>
          <w:sz w:val="24"/>
          <w:szCs w:val="24"/>
        </w:rPr>
        <w:t>Wydatki niekwalifikowalne</w:t>
      </w:r>
      <w:bookmarkEnd w:id="144"/>
      <w:r w:rsidRPr="008D2916">
        <w:rPr>
          <w:rFonts w:ascii="Arial" w:hAnsi="Arial" w:cs="Arial"/>
          <w:b w:val="0"/>
          <w:i/>
          <w:color w:val="auto"/>
          <w:sz w:val="24"/>
          <w:szCs w:val="24"/>
        </w:rPr>
        <w:t xml:space="preserve"> </w:t>
      </w:r>
    </w:p>
    <w:p w:rsidR="008D2916" w:rsidRPr="008D2916" w:rsidRDefault="008D2916" w:rsidP="00137BC9">
      <w:pPr>
        <w:numPr>
          <w:ilvl w:val="0"/>
          <w:numId w:val="101"/>
        </w:numPr>
        <w:spacing w:before="120" w:after="120" w:line="360" w:lineRule="auto"/>
        <w:jc w:val="both"/>
        <w:rPr>
          <w:rFonts w:ascii="Arial" w:hAnsi="Arial" w:cs="Arial"/>
        </w:rPr>
      </w:pPr>
      <w:r w:rsidRPr="008D2916">
        <w:rPr>
          <w:rFonts w:ascii="Arial" w:hAnsi="Arial" w:cs="Arial"/>
        </w:rPr>
        <w:t xml:space="preserve">Do współfinansowania nie kwalifikują się wszelkie wydatki niezgodne z </w:t>
      </w:r>
      <w:r w:rsidRPr="00EC679F">
        <w:rPr>
          <w:rFonts w:ascii="Arial" w:hAnsi="Arial" w:cs="Arial"/>
          <w:i/>
        </w:rPr>
        <w:t>Wytycznymi</w:t>
      </w:r>
      <w:r w:rsidRPr="008D2916">
        <w:rPr>
          <w:rFonts w:ascii="Arial" w:hAnsi="Arial" w:cs="Arial"/>
        </w:rPr>
        <w:t xml:space="preserve">, niniejszym </w:t>
      </w:r>
      <w:r w:rsidRPr="00EC679F">
        <w:rPr>
          <w:rFonts w:ascii="Arial" w:hAnsi="Arial" w:cs="Arial"/>
          <w:i/>
        </w:rPr>
        <w:t>Katalogiem</w:t>
      </w:r>
      <w:r w:rsidRPr="008D2916">
        <w:rPr>
          <w:rFonts w:ascii="Arial" w:hAnsi="Arial" w:cs="Arial"/>
        </w:rPr>
        <w:t xml:space="preserve"> oraz wydatki wyłączone z kwalifikowalności poprzez odpowiednie zapisy niniejszego </w:t>
      </w:r>
      <w:r w:rsidRPr="008A6F52">
        <w:rPr>
          <w:rFonts w:ascii="Arial" w:hAnsi="Arial" w:cs="Arial"/>
          <w:i/>
        </w:rPr>
        <w:t>Katalogu</w:t>
      </w:r>
      <w:r w:rsidRPr="008D2916">
        <w:rPr>
          <w:rFonts w:ascii="Arial" w:hAnsi="Arial" w:cs="Arial"/>
        </w:rPr>
        <w:t xml:space="preserve">, Regulaminu konkursu lub umowy o dofinansowanie projektu. </w:t>
      </w:r>
    </w:p>
    <w:p w:rsidR="008D2916" w:rsidRPr="008D2916" w:rsidRDefault="008D2916" w:rsidP="00137BC9">
      <w:pPr>
        <w:numPr>
          <w:ilvl w:val="0"/>
          <w:numId w:val="101"/>
        </w:numPr>
        <w:spacing w:before="120" w:after="120" w:line="360" w:lineRule="auto"/>
        <w:jc w:val="both"/>
        <w:rPr>
          <w:rFonts w:ascii="Arial" w:hAnsi="Arial" w:cs="Arial"/>
        </w:rPr>
      </w:pPr>
      <w:r w:rsidRPr="008D2916">
        <w:rPr>
          <w:rFonts w:ascii="Arial" w:hAnsi="Arial" w:cs="Arial"/>
        </w:rPr>
        <w:t>Do dofinansowania w ramach projektów OSE nie kwalifikują się wydatki poniesione na szkolenia.</w:t>
      </w:r>
    </w:p>
    <w:p w:rsidR="001B7151" w:rsidRPr="001B7151" w:rsidRDefault="001B7151" w:rsidP="008D2916">
      <w:pPr>
        <w:spacing w:before="120" w:after="120" w:line="360" w:lineRule="auto"/>
        <w:jc w:val="both"/>
        <w:rPr>
          <w:rFonts w:ascii="Arial" w:hAnsi="Arial" w:cs="Arial"/>
        </w:rPr>
      </w:pPr>
    </w:p>
    <w:p w:rsidR="008A559B" w:rsidRDefault="008A559B">
      <w:pPr>
        <w:rPr>
          <w:rFonts w:ascii="Arial" w:hAnsi="Arial" w:cs="Arial"/>
          <w:sz w:val="24"/>
          <w:szCs w:val="24"/>
        </w:rPr>
      </w:pPr>
      <w:r>
        <w:rPr>
          <w:rFonts w:ascii="Arial" w:hAnsi="Arial" w:cs="Arial"/>
          <w:sz w:val="24"/>
          <w:szCs w:val="24"/>
        </w:rPr>
        <w:br w:type="page"/>
      </w:r>
    </w:p>
    <w:p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145" w:name="_Toc508630137"/>
      <w:r w:rsidRPr="00B81671">
        <w:rPr>
          <w:rFonts w:ascii="Arial" w:eastAsia="Times New Roman" w:hAnsi="Arial" w:cs="Times New Roman"/>
          <w:b/>
          <w:bCs/>
          <w:sz w:val="24"/>
          <w:szCs w:val="20"/>
          <w:lang w:eastAsia="pl-PL"/>
        </w:rPr>
        <w:lastRenderedPageBreak/>
        <w:t xml:space="preserve">Załącznik nr </w:t>
      </w:r>
      <w:r w:rsidR="00423B97">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możliwych nieprawidłowości w obszarze </w:t>
      </w:r>
      <w:r w:rsidR="00305BD6" w:rsidRPr="00B81671">
        <w:rPr>
          <w:rFonts w:ascii="Arial" w:eastAsia="Times New Roman" w:hAnsi="Arial" w:cs="Times New Roman"/>
          <w:b/>
          <w:bCs/>
          <w:sz w:val="24"/>
          <w:szCs w:val="20"/>
          <w:lang w:eastAsia="pl-PL"/>
        </w:rPr>
        <w:t>zamówień publicznych</w:t>
      </w:r>
      <w:bookmarkEnd w:id="145"/>
    </w:p>
    <w:p w:rsidR="005530C1" w:rsidRPr="00B81671" w:rsidRDefault="005530C1" w:rsidP="005530C1">
      <w:pPr>
        <w:spacing w:after="0" w:line="360" w:lineRule="auto"/>
        <w:ind w:left="426"/>
        <w:jc w:val="both"/>
        <w:rPr>
          <w:rFonts w:ascii="Arial" w:eastAsia="Times New Roman" w:hAnsi="Arial" w:cs="Arial"/>
          <w:lang w:eastAsia="pl-PL"/>
        </w:rPr>
      </w:pP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3F366E">
        <w:rPr>
          <w:rFonts w:ascii="Arial" w:eastAsia="Times New Roman" w:hAnsi="Arial" w:cs="Arial"/>
          <w:lang w:eastAsia="pl-PL"/>
        </w:rPr>
        <w:t xml:space="preserve"> lub usługi równoważnej</w:t>
      </w:r>
      <w:r w:rsidRPr="00B81671">
        <w:rPr>
          <w:rFonts w:ascii="Arial" w:eastAsia="Times New Roman" w:hAnsi="Arial" w:cs="Arial"/>
          <w:lang w:eastAsia="pl-PL"/>
        </w:rPr>
        <w:t>, w przypadku opisania przedmiotu zamówienia publicznego poprzez wskazanie znaków towarowych, patentów</w:t>
      </w:r>
      <w:r w:rsidR="003F366E">
        <w:rPr>
          <w:rFonts w:ascii="Arial" w:eastAsia="Times New Roman" w:hAnsi="Arial" w:cs="Arial"/>
          <w:lang w:eastAsia="pl-PL"/>
        </w:rPr>
        <w:t>,</w:t>
      </w:r>
      <w:r w:rsidRPr="00B81671">
        <w:rPr>
          <w:rFonts w:ascii="Arial" w:eastAsia="Times New Roman" w:hAnsi="Arial" w:cs="Arial"/>
          <w:lang w:eastAsia="pl-PL"/>
        </w:rPr>
        <w:t xml:space="preserve"> pochodzenia</w:t>
      </w:r>
      <w:r w:rsidR="003F366E">
        <w:rPr>
          <w:rFonts w:ascii="Arial" w:eastAsia="Times New Roman" w:hAnsi="Arial" w:cs="Arial"/>
          <w:lang w:eastAsia="pl-PL"/>
        </w:rPr>
        <w:t>, źródła lub szczególnego procesu, który charakteryzuje produkty lub usługi dostarczane przez konkretnego wykonawcę</w:t>
      </w:r>
      <w:r w:rsidRPr="00B81671">
        <w:rPr>
          <w:rFonts w:ascii="Arial" w:eastAsia="Times New Roman" w:hAnsi="Arial" w:cs="Arial"/>
          <w:lang w:eastAsia="pl-PL"/>
        </w:rPr>
        <w:t>.</w:t>
      </w:r>
    </w:p>
    <w:p w:rsidR="005530C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rsidR="003F366E" w:rsidRPr="00B81671" w:rsidRDefault="003F366E"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Nieuprawnione łączenie zamówień publicznych, które odrębnie udzielane wymagają zastosowania różnych zasad udzielania.</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 publicznego).</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lastRenderedPageBreak/>
        <w:t>Uwzględnianie przez zamawiającego jedynie doświadczenia zdobytego po uzyskaniu przez wykonawcę stosownych polskich uprawnień budowlanych lub posiadania doświadczenia zdobytego w Polsce.</w:t>
      </w:r>
    </w:p>
    <w:p w:rsidR="005530C1" w:rsidRPr="00B81671" w:rsidRDefault="005530C1" w:rsidP="00137BC9">
      <w:pPr>
        <w:numPr>
          <w:ilvl w:val="0"/>
          <w:numId w:val="16"/>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3F366E">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 xml:space="preserve">lub jakimkolwiek innym podmiotem/jakąkolwiek inną osobą sposobu poprawienia omyłek, które pojawiły się w ofercie, a o których mowa w przepisie art.  87 ust. 2 ustawy </w:t>
      </w:r>
      <w:proofErr w:type="spellStart"/>
      <w:r w:rsidRPr="00B81671">
        <w:rPr>
          <w:rFonts w:ascii="Arial" w:eastAsia="Calibri" w:hAnsi="Arial" w:cs="Times New Roman"/>
          <w:szCs w:val="20"/>
        </w:rPr>
        <w:t>Pzp</w:t>
      </w:r>
      <w:proofErr w:type="spellEnd"/>
      <w:r w:rsidRPr="00B81671">
        <w:rPr>
          <w:rFonts w:ascii="Arial" w:eastAsia="Calibri" w:hAnsi="Arial" w:cs="Times New Roman"/>
          <w:szCs w:val="20"/>
        </w:rPr>
        <w:t>.</w:t>
      </w:r>
    </w:p>
    <w:p w:rsidR="005530C1" w:rsidRPr="00B81671" w:rsidRDefault="005530C1" w:rsidP="00137BC9">
      <w:pPr>
        <w:numPr>
          <w:ilvl w:val="0"/>
          <w:numId w:val="16"/>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rsidR="005530C1" w:rsidRPr="00B81671" w:rsidRDefault="005530C1" w:rsidP="00137BC9">
      <w:pPr>
        <w:numPr>
          <w:ilvl w:val="0"/>
          <w:numId w:val="16"/>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rsidR="005530C1" w:rsidRPr="00B81671" w:rsidRDefault="005530C1" w:rsidP="00137BC9">
      <w:pPr>
        <w:numPr>
          <w:ilvl w:val="0"/>
          <w:numId w:val="16"/>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rsidR="005530C1" w:rsidRPr="00B81671" w:rsidRDefault="005530C1" w:rsidP="00137BC9">
      <w:pPr>
        <w:numPr>
          <w:ilvl w:val="0"/>
          <w:numId w:val="16"/>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AA41C9" w:rsidRPr="00B81671" w:rsidRDefault="00AA41C9" w:rsidP="001B27A2">
      <w:pPr>
        <w:spacing w:after="0" w:line="360" w:lineRule="auto"/>
        <w:jc w:val="both"/>
        <w:rPr>
          <w:rFonts w:ascii="Arial" w:eastAsia="Calibri" w:hAnsi="Arial" w:cs="Times New Roman"/>
          <w:szCs w:val="20"/>
        </w:rPr>
      </w:pPr>
    </w:p>
    <w:p w:rsidR="00AA41C9" w:rsidRPr="00B81671" w:rsidRDefault="00AA41C9" w:rsidP="001B27A2">
      <w:pPr>
        <w:spacing w:after="0" w:line="360" w:lineRule="auto"/>
        <w:jc w:val="both"/>
      </w:pPr>
    </w:p>
    <w:p w:rsidR="007E0407" w:rsidRPr="00B81671" w:rsidRDefault="007E0407">
      <w:r w:rsidRPr="00B81671">
        <w:br w:type="page"/>
      </w:r>
    </w:p>
    <w:p w:rsidR="007E0407" w:rsidRPr="00B81671" w:rsidRDefault="007E0407" w:rsidP="007E0407">
      <w:pPr>
        <w:spacing w:after="0" w:line="360" w:lineRule="auto"/>
        <w:ind w:left="426"/>
        <w:jc w:val="both"/>
        <w:sectPr w:rsidR="007E0407" w:rsidRPr="00B81671" w:rsidSect="00316996">
          <w:footerReference w:type="default" r:id="rId11"/>
          <w:pgSz w:w="11906" w:h="16838" w:code="9"/>
          <w:pgMar w:top="1418" w:right="1418" w:bottom="1418" w:left="1418" w:header="709" w:footer="709" w:gutter="0"/>
          <w:cols w:space="708"/>
          <w:titlePg/>
          <w:docGrid w:linePitch="360"/>
        </w:sectPr>
      </w:pPr>
    </w:p>
    <w:p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146" w:name="_Toc508630138"/>
      <w:r w:rsidRPr="00B81671">
        <w:rPr>
          <w:rFonts w:ascii="Arial" w:eastAsia="Times New Roman" w:hAnsi="Arial" w:cs="Times New Roman"/>
          <w:b/>
          <w:bCs/>
          <w:sz w:val="24"/>
          <w:szCs w:val="20"/>
          <w:lang w:eastAsia="pl-PL"/>
        </w:rPr>
        <w:lastRenderedPageBreak/>
        <w:t xml:space="preserve">Załącznik nr </w:t>
      </w:r>
      <w:r w:rsidR="00423B97">
        <w:rPr>
          <w:rFonts w:ascii="Arial" w:eastAsia="Times New Roman" w:hAnsi="Arial" w:cs="Times New Roman"/>
          <w:b/>
          <w:bCs/>
          <w:sz w:val="24"/>
          <w:szCs w:val="20"/>
          <w:lang w:eastAsia="pl-PL"/>
        </w:rPr>
        <w:t>2</w:t>
      </w:r>
      <w:r w:rsidR="00423B97" w:rsidRPr="00B81671">
        <w:rPr>
          <w:rFonts w:ascii="Arial" w:eastAsia="Times New Roman" w:hAnsi="Arial" w:cs="Times New Roman"/>
          <w:b/>
          <w:bCs/>
          <w:sz w:val="24"/>
          <w:szCs w:val="20"/>
          <w:lang w:eastAsia="pl-PL"/>
        </w:rPr>
        <w:t xml:space="preserve"> </w:t>
      </w:r>
      <w:r w:rsidRPr="00B81671">
        <w:rPr>
          <w:rFonts w:ascii="Arial" w:eastAsia="Times New Roman" w:hAnsi="Arial" w:cs="Times New Roman"/>
          <w:b/>
          <w:bCs/>
          <w:sz w:val="24"/>
          <w:szCs w:val="20"/>
          <w:lang w:eastAsia="pl-PL"/>
        </w:rPr>
        <w:t>– Zestawienie regulacji w zakresie zasady uczciwej konkurencji, w odniesieniu do konieczności stosowania przez zamawiającego określonej ścieżki postępowania</w:t>
      </w:r>
      <w:bookmarkEnd w:id="146"/>
    </w:p>
    <w:p w:rsidR="0065055F" w:rsidRPr="00B81671" w:rsidRDefault="0065055F" w:rsidP="0065055F">
      <w:pPr>
        <w:spacing w:before="120" w:after="120" w:line="360" w:lineRule="auto"/>
        <w:jc w:val="both"/>
        <w:rPr>
          <w:rFonts w:ascii="Arial" w:eastAsia="MS Mincho" w:hAnsi="Arial" w:cs="Arial"/>
          <w:lang w:eastAsia="ja-JP"/>
        </w:rPr>
      </w:pPr>
    </w:p>
    <w:p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B179F">
        <w:rPr>
          <w:rFonts w:ascii="Arial" w:eastAsia="MS Mincho" w:hAnsi="Arial" w:cs="Arial"/>
          <w:lang w:eastAsia="ja-JP"/>
        </w:rPr>
        <w:t>3</w:t>
      </w:r>
      <w:r w:rsidRPr="00B81671">
        <w:rPr>
          <w:rFonts w:ascii="Arial" w:eastAsia="MS Mincho" w:hAnsi="Arial" w:cs="Arial"/>
          <w:lang w:eastAsia="ja-JP"/>
        </w:rPr>
        <w:t>.</w:t>
      </w:r>
      <w:r w:rsidR="004B179F">
        <w:rPr>
          <w:rFonts w:ascii="Arial" w:eastAsia="MS Mincho" w:hAnsi="Arial" w:cs="Arial"/>
          <w:lang w:eastAsia="ja-JP"/>
        </w:rPr>
        <w:t>5</w:t>
      </w:r>
      <w:r w:rsidRPr="00B81671">
        <w:rPr>
          <w:rFonts w:ascii="Arial" w:eastAsia="MS Mincho" w:hAnsi="Arial" w:cs="Arial"/>
          <w:lang w:eastAsia="ja-JP"/>
        </w:rPr>
        <w:t xml:space="preserve"> niniejsz</w:t>
      </w:r>
      <w:r w:rsidR="004B179F">
        <w:rPr>
          <w:rFonts w:ascii="Arial" w:eastAsia="MS Mincho" w:hAnsi="Arial" w:cs="Arial"/>
          <w:lang w:eastAsia="ja-JP"/>
        </w:rPr>
        <w:t xml:space="preserve">ego </w:t>
      </w:r>
      <w:r w:rsidRPr="00B81671">
        <w:rPr>
          <w:rFonts w:ascii="Arial" w:eastAsia="MS Mincho" w:hAnsi="Arial" w:cs="Arial"/>
          <w:lang w:eastAsia="ja-JP"/>
        </w:rPr>
        <w:t xml:space="preserve"> </w:t>
      </w:r>
      <w:r w:rsidR="004B179F">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rsidTr="00773FC4">
        <w:tc>
          <w:tcPr>
            <w:tcW w:w="2835" w:type="dxa"/>
            <w:vMerge w:val="restart"/>
            <w:vAlign w:val="center"/>
          </w:tcPr>
          <w:p w:rsidR="0065055F" w:rsidRPr="00B81671" w:rsidRDefault="0065055F" w:rsidP="00773FC4">
            <w:pPr>
              <w:jc w:val="center"/>
              <w:rPr>
                <w:rFonts w:ascii="Arial" w:eastAsia="MS Mincho" w:hAnsi="Arial" w:cs="Arial"/>
                <w:i/>
                <w:lang w:eastAsia="ja-JP"/>
              </w:rPr>
            </w:pPr>
            <w:r w:rsidRPr="00B81671">
              <w:rPr>
                <w:rFonts w:ascii="Arial" w:hAnsi="Arial" w:cs="Arial"/>
                <w:b/>
              </w:rPr>
              <w:t>Wartość zamówienia publicznego</w:t>
            </w:r>
          </w:p>
        </w:tc>
        <w:tc>
          <w:tcPr>
            <w:tcW w:w="11624" w:type="dxa"/>
            <w:gridSpan w:val="3"/>
            <w:vAlign w:val="center"/>
          </w:tcPr>
          <w:p w:rsidR="0065055F" w:rsidRPr="00B81671" w:rsidRDefault="0065055F" w:rsidP="00596030">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konkurenc</w:t>
            </w:r>
            <w:r w:rsidR="00596030">
              <w:rPr>
                <w:rFonts w:ascii="Arial" w:eastAsia="Times New Roman" w:hAnsi="Arial" w:cs="Times New Roman"/>
                <w:b/>
                <w:bCs/>
                <w:sz w:val="24"/>
                <w:szCs w:val="20"/>
                <w:lang w:eastAsia="pl-PL"/>
              </w:rPr>
              <w:t>yjności</w:t>
            </w:r>
          </w:p>
        </w:tc>
      </w:tr>
      <w:tr w:rsidR="0065055F" w:rsidRPr="00A96780" w:rsidTr="00773FC4">
        <w:tc>
          <w:tcPr>
            <w:tcW w:w="2835" w:type="dxa"/>
            <w:vMerge/>
            <w:vAlign w:val="center"/>
          </w:tcPr>
          <w:p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rsidR="0065055F" w:rsidRPr="00B81671" w:rsidRDefault="0065055F" w:rsidP="00773FC4">
            <w:pPr>
              <w:jc w:val="center"/>
              <w:rPr>
                <w:rFonts w:ascii="Arial" w:hAnsi="Arial" w:cs="Arial"/>
                <w:b/>
              </w:rPr>
            </w:pPr>
            <w:r w:rsidRPr="00B81671">
              <w:rPr>
                <w:rFonts w:ascii="Arial" w:hAnsi="Arial" w:cs="Arial"/>
                <w:b/>
              </w:rPr>
              <w:t xml:space="preserve">Zamawiający zobligowani do stosowania </w:t>
            </w:r>
            <w:proofErr w:type="spellStart"/>
            <w:r w:rsidRPr="00B81671">
              <w:rPr>
                <w:rFonts w:ascii="Arial" w:hAnsi="Arial" w:cs="Arial"/>
                <w:b/>
              </w:rPr>
              <w:t>Pzp</w:t>
            </w:r>
            <w:proofErr w:type="spellEnd"/>
            <w:r w:rsidRPr="00B81671">
              <w:rPr>
                <w:rFonts w:ascii="Arial" w:hAnsi="Arial" w:cs="Arial"/>
                <w:b/>
              </w:rPr>
              <w:t xml:space="preserve"> (zgodnie z art. 3 </w:t>
            </w:r>
            <w:proofErr w:type="spellStart"/>
            <w:r w:rsidRPr="00B81671">
              <w:rPr>
                <w:rFonts w:ascii="Arial" w:hAnsi="Arial" w:cs="Arial"/>
                <w:b/>
              </w:rPr>
              <w:t>Pzp</w:t>
            </w:r>
            <w:proofErr w:type="spellEnd"/>
            <w:r w:rsidRPr="00B81671">
              <w:rPr>
                <w:rFonts w:ascii="Arial" w:hAnsi="Arial" w:cs="Arial"/>
                <w:b/>
              </w:rPr>
              <w:t>)</w:t>
            </w:r>
          </w:p>
        </w:tc>
        <w:tc>
          <w:tcPr>
            <w:tcW w:w="3827" w:type="dxa"/>
            <w:vAlign w:val="center"/>
          </w:tcPr>
          <w:p w:rsidR="0065055F" w:rsidRPr="00B81671" w:rsidRDefault="0065055F" w:rsidP="00E01771">
            <w:pPr>
              <w:jc w:val="center"/>
              <w:rPr>
                <w:rFonts w:ascii="Arial" w:hAnsi="Arial" w:cs="Arial"/>
                <w:b/>
              </w:rPr>
            </w:pPr>
            <w:r w:rsidRPr="00B81671">
              <w:rPr>
                <w:rFonts w:ascii="Arial" w:hAnsi="Arial" w:cs="Arial"/>
                <w:b/>
              </w:rPr>
              <w:t>Zamawiający zobowiązani do przestrzegania zasady konkurencyjności, o której mowa w sekcji 6.5.</w:t>
            </w:r>
            <w:r w:rsidR="004B179F">
              <w:rPr>
                <w:rFonts w:ascii="Arial" w:hAnsi="Arial" w:cs="Arial"/>
                <w:b/>
              </w:rPr>
              <w:t>2</w:t>
            </w:r>
            <w:r w:rsidRPr="00B81671">
              <w:rPr>
                <w:rFonts w:ascii="Arial" w:hAnsi="Arial" w:cs="Arial"/>
                <w:b/>
              </w:rPr>
              <w:t xml:space="preserve"> </w:t>
            </w:r>
            <w:r w:rsidRPr="009C6AED">
              <w:rPr>
                <w:rFonts w:ascii="Arial" w:hAnsi="Arial" w:cs="Arial"/>
                <w:b/>
                <w:i/>
              </w:rPr>
              <w:t xml:space="preserve">Wytycznych </w:t>
            </w:r>
          </w:p>
        </w:tc>
        <w:tc>
          <w:tcPr>
            <w:tcW w:w="3969" w:type="dxa"/>
            <w:vAlign w:val="center"/>
          </w:tcPr>
          <w:p w:rsidR="0065055F" w:rsidRPr="00B81671" w:rsidRDefault="0065055F" w:rsidP="00773FC4">
            <w:pPr>
              <w:jc w:val="center"/>
              <w:rPr>
                <w:rFonts w:ascii="Arial" w:hAnsi="Arial" w:cs="Arial"/>
                <w:b/>
              </w:rPr>
            </w:pPr>
            <w:r w:rsidRPr="00B81671">
              <w:rPr>
                <w:rFonts w:ascii="Arial" w:hAnsi="Arial" w:cs="Arial"/>
                <w:b/>
              </w:rPr>
              <w:t xml:space="preserve">Zamawiający niezobowiązani do stosowania </w:t>
            </w:r>
            <w:proofErr w:type="spellStart"/>
            <w:r w:rsidRPr="00B81671">
              <w:rPr>
                <w:rFonts w:ascii="Arial" w:hAnsi="Arial" w:cs="Arial"/>
                <w:b/>
              </w:rPr>
              <w:t>Pzp</w:t>
            </w:r>
            <w:proofErr w:type="spellEnd"/>
            <w:r w:rsidRPr="00B81671">
              <w:rPr>
                <w:rFonts w:ascii="Arial" w:hAnsi="Arial" w:cs="Arial"/>
                <w:b/>
              </w:rPr>
              <w:t xml:space="preserve"> lub zasady konkurencyjności, o której mowa w sekcji 6.5.3 </w:t>
            </w:r>
            <w:r w:rsidRPr="006C0743">
              <w:rPr>
                <w:rFonts w:ascii="Arial" w:hAnsi="Arial" w:cs="Arial"/>
                <w:b/>
                <w:i/>
              </w:rPr>
              <w:t>Wytycznych</w:t>
            </w:r>
          </w:p>
        </w:tc>
      </w:tr>
      <w:tr w:rsidR="0065055F" w:rsidRPr="00A96780" w:rsidTr="00773FC4">
        <w:trPr>
          <w:trHeight w:val="383"/>
        </w:trPr>
        <w:tc>
          <w:tcPr>
            <w:tcW w:w="2835"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4B179F" w:rsidP="00773FC4">
            <w:pPr>
              <w:spacing w:before="120" w:after="120" w:line="360" w:lineRule="auto"/>
              <w:rPr>
                <w:rFonts w:ascii="Arial" w:eastAsia="MS Mincho" w:hAnsi="Arial" w:cs="Arial"/>
                <w:i/>
                <w:lang w:eastAsia="ja-JP"/>
              </w:rPr>
            </w:pPr>
            <w:r w:rsidRPr="004B179F">
              <w:rPr>
                <w:rFonts w:ascii="Arial" w:hAnsi="Arial" w:cs="Arial"/>
                <w:b/>
                <w:sz w:val="20"/>
                <w:szCs w:val="20"/>
              </w:rPr>
              <w:t xml:space="preserve">Rozeznanie rynku przeprowadzane zgodnie z zapisami sekcji 6.5.1 </w:t>
            </w:r>
            <w:r w:rsidRPr="009C6AED">
              <w:rPr>
                <w:rFonts w:ascii="Arial" w:hAnsi="Arial" w:cs="Arial"/>
                <w:b/>
                <w:i/>
                <w:sz w:val="20"/>
                <w:szCs w:val="20"/>
              </w:rPr>
              <w:t>Wytycznych</w:t>
            </w:r>
          </w:p>
        </w:tc>
        <w:tc>
          <w:tcPr>
            <w:tcW w:w="3827" w:type="dxa"/>
          </w:tcPr>
          <w:p w:rsidR="0065055F" w:rsidRPr="00B81671" w:rsidRDefault="004B179F" w:rsidP="00773FC4">
            <w:pPr>
              <w:spacing w:before="120" w:after="120" w:line="360" w:lineRule="auto"/>
              <w:rPr>
                <w:rFonts w:ascii="Arial" w:eastAsia="MS Mincho" w:hAnsi="Arial" w:cs="Arial"/>
                <w:i/>
                <w:lang w:eastAsia="ja-JP"/>
              </w:rPr>
            </w:pPr>
            <w:r w:rsidRPr="004B179F">
              <w:rPr>
                <w:rFonts w:ascii="Arial" w:hAnsi="Arial" w:cs="Arial"/>
                <w:b/>
                <w:sz w:val="20"/>
                <w:szCs w:val="20"/>
              </w:rPr>
              <w:t xml:space="preserve">Rozeznanie rynku przeprowadzane zgodnie z zapisami sekcji 6.5.1 </w:t>
            </w:r>
            <w:r w:rsidRPr="009C6AED">
              <w:rPr>
                <w:rFonts w:ascii="Arial" w:hAnsi="Arial" w:cs="Arial"/>
                <w:b/>
                <w:i/>
                <w:sz w:val="20"/>
                <w:szCs w:val="20"/>
              </w:rPr>
              <w:t>Wytycznych</w:t>
            </w:r>
          </w:p>
        </w:tc>
        <w:tc>
          <w:tcPr>
            <w:tcW w:w="3969" w:type="dxa"/>
          </w:tcPr>
          <w:p w:rsidR="0065055F" w:rsidRPr="00B81671" w:rsidRDefault="004B179F" w:rsidP="00773FC4">
            <w:pPr>
              <w:spacing w:before="120" w:after="120" w:line="360" w:lineRule="auto"/>
              <w:rPr>
                <w:rFonts w:ascii="Arial" w:eastAsia="MS Mincho" w:hAnsi="Arial" w:cs="Arial"/>
                <w:i/>
                <w:lang w:eastAsia="ja-JP"/>
              </w:rPr>
            </w:pPr>
            <w:r w:rsidRPr="004B179F">
              <w:rPr>
                <w:rFonts w:ascii="Arial" w:hAnsi="Arial" w:cs="Arial"/>
                <w:b/>
                <w:sz w:val="20"/>
                <w:szCs w:val="20"/>
              </w:rPr>
              <w:t xml:space="preserve">Rozeznanie rynku przeprowadzane zgodnie z zapisami sekcji 6.5.1 </w:t>
            </w:r>
            <w:r w:rsidRPr="009C6AED">
              <w:rPr>
                <w:rFonts w:ascii="Arial" w:hAnsi="Arial" w:cs="Arial"/>
                <w:b/>
                <w:i/>
                <w:sz w:val="20"/>
                <w:szCs w:val="20"/>
              </w:rPr>
              <w:t>Wytycznych</w:t>
            </w:r>
          </w:p>
        </w:tc>
      </w:tr>
      <w:tr w:rsidR="0065055F" w:rsidRPr="00A96780" w:rsidTr="00773FC4">
        <w:trPr>
          <w:trHeight w:val="1536"/>
        </w:trPr>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4B179F">
              <w:rPr>
                <w:rFonts w:ascii="Arial" w:hAnsi="Arial" w:cs="Arial"/>
                <w:b/>
                <w:sz w:val="20"/>
                <w:szCs w:val="20"/>
              </w:rPr>
              <w:t>s.</w:t>
            </w:r>
            <w:r w:rsidRPr="00B81671">
              <w:rPr>
                <w:rFonts w:ascii="Arial" w:hAnsi="Arial" w:cs="Arial"/>
                <w:b/>
                <w:sz w:val="20"/>
                <w:szCs w:val="20"/>
              </w:rPr>
              <w:t xml:space="preserve"> zł netto – do kwoty poniżej progu wynikającego z art. 4 ust 8 </w:t>
            </w:r>
            <w:proofErr w:type="spellStart"/>
            <w:r w:rsidRPr="00B81671">
              <w:rPr>
                <w:rFonts w:ascii="Arial" w:hAnsi="Arial" w:cs="Arial"/>
                <w:b/>
                <w:sz w:val="20"/>
                <w:szCs w:val="20"/>
              </w:rPr>
              <w:t>Pzp</w:t>
            </w:r>
            <w:proofErr w:type="spellEnd"/>
            <w:r w:rsidRPr="00B81671">
              <w:rPr>
                <w:rFonts w:ascii="Arial" w:hAnsi="Arial" w:cs="Arial"/>
                <w:b/>
                <w:sz w:val="20"/>
                <w:szCs w:val="20"/>
              </w:rPr>
              <w:t xml:space="preserve"> tj. 30 ty</w:t>
            </w:r>
            <w:r w:rsidR="004B179F">
              <w:rPr>
                <w:rFonts w:ascii="Arial" w:hAnsi="Arial" w:cs="Arial"/>
                <w:b/>
                <w:sz w:val="20"/>
                <w:szCs w:val="20"/>
              </w:rPr>
              <w:t>s.</w:t>
            </w:r>
            <w:r w:rsidRPr="00B81671">
              <w:rPr>
                <w:rFonts w:ascii="Arial" w:hAnsi="Arial" w:cs="Arial"/>
                <w:b/>
                <w:sz w:val="20"/>
                <w:szCs w:val="20"/>
              </w:rPr>
              <w:t xml:space="preserve"> euro netto</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4B179F">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B179F">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Wytycznych</w:t>
            </w:r>
          </w:p>
        </w:tc>
        <w:tc>
          <w:tcPr>
            <w:tcW w:w="3827" w:type="dxa"/>
          </w:tcPr>
          <w:p w:rsidR="0065055F" w:rsidRPr="00B81671" w:rsidRDefault="0065055F" w:rsidP="00773FC4">
            <w:pPr>
              <w:rPr>
                <w:rFonts w:ascii="Arial" w:hAnsi="Arial" w:cs="Arial"/>
                <w:b/>
                <w:sz w:val="20"/>
                <w:szCs w:val="20"/>
              </w:rPr>
            </w:pPr>
          </w:p>
          <w:p w:rsidR="0065055F" w:rsidRPr="00B81671" w:rsidRDefault="0065055F" w:rsidP="004B179F">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B179F">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Wytycznych</w:t>
            </w:r>
          </w:p>
        </w:tc>
        <w:tc>
          <w:tcPr>
            <w:tcW w:w="3969" w:type="dxa"/>
          </w:tcPr>
          <w:p w:rsidR="0065055F" w:rsidRPr="00B81671" w:rsidRDefault="0065055F" w:rsidP="00773FC4">
            <w:pPr>
              <w:rPr>
                <w:rFonts w:ascii="Arial" w:hAnsi="Arial" w:cs="Arial"/>
                <w:b/>
                <w:sz w:val="20"/>
                <w:szCs w:val="20"/>
              </w:rPr>
            </w:pPr>
          </w:p>
          <w:p w:rsidR="0065055F" w:rsidRPr="00B81671" w:rsidRDefault="004B179F" w:rsidP="00773FC4">
            <w:pPr>
              <w:spacing w:before="120" w:after="120" w:line="360" w:lineRule="auto"/>
              <w:rPr>
                <w:rFonts w:ascii="Arial" w:eastAsia="MS Mincho" w:hAnsi="Arial" w:cs="Arial"/>
                <w:i/>
                <w:lang w:eastAsia="ja-JP"/>
              </w:rPr>
            </w:pPr>
            <w:r w:rsidRPr="004B179F">
              <w:rPr>
                <w:rFonts w:ascii="Arial" w:hAnsi="Arial" w:cs="Arial"/>
                <w:b/>
                <w:sz w:val="20"/>
                <w:szCs w:val="20"/>
              </w:rPr>
              <w:t xml:space="preserve">Rozeznanie rynku przeprowadzane zgodnie z zapisami sekcji 6.5.1 </w:t>
            </w:r>
            <w:r w:rsidRPr="009C6AED">
              <w:rPr>
                <w:rFonts w:ascii="Arial" w:hAnsi="Arial" w:cs="Arial"/>
                <w:b/>
                <w:i/>
                <w:sz w:val="20"/>
                <w:szCs w:val="20"/>
              </w:rPr>
              <w:t>Wytycznych</w:t>
            </w:r>
          </w:p>
        </w:tc>
      </w:tr>
      <w:tr w:rsidR="0065055F"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30 ty</w:t>
            </w:r>
            <w:r w:rsidR="004B179F">
              <w:rPr>
                <w:rFonts w:ascii="Arial" w:hAnsi="Arial" w:cs="Arial"/>
                <w:b/>
                <w:sz w:val="20"/>
                <w:szCs w:val="20"/>
              </w:rPr>
              <w:t>s.</w:t>
            </w:r>
            <w:r w:rsidRPr="00B81671">
              <w:rPr>
                <w:rFonts w:ascii="Arial" w:hAnsi="Arial" w:cs="Arial"/>
                <w:b/>
                <w:sz w:val="20"/>
                <w:szCs w:val="20"/>
              </w:rPr>
              <w:t xml:space="preserve"> euro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773FC4">
            <w:pPr>
              <w:spacing w:before="120" w:after="120" w:line="360" w:lineRule="auto"/>
              <w:rPr>
                <w:rFonts w:ascii="Arial" w:eastAsia="MS Mincho" w:hAnsi="Arial" w:cs="Arial"/>
                <w:i/>
                <w:lang w:eastAsia="ja-JP"/>
              </w:rPr>
            </w:pPr>
            <w:proofErr w:type="spellStart"/>
            <w:r w:rsidRPr="00B81671">
              <w:rPr>
                <w:rFonts w:ascii="Arial" w:hAnsi="Arial" w:cs="Arial"/>
                <w:b/>
                <w:sz w:val="20"/>
                <w:szCs w:val="20"/>
              </w:rPr>
              <w:t>Pzp</w:t>
            </w:r>
            <w:proofErr w:type="spellEnd"/>
          </w:p>
        </w:tc>
        <w:tc>
          <w:tcPr>
            <w:tcW w:w="3827" w:type="dxa"/>
          </w:tcPr>
          <w:p w:rsidR="0065055F" w:rsidRPr="00B81671" w:rsidRDefault="0065055F" w:rsidP="00773FC4">
            <w:pPr>
              <w:rPr>
                <w:rFonts w:ascii="Arial" w:hAnsi="Arial" w:cs="Arial"/>
                <w:b/>
                <w:sz w:val="20"/>
                <w:szCs w:val="20"/>
              </w:rPr>
            </w:pPr>
          </w:p>
          <w:p w:rsidR="0065055F" w:rsidRPr="00B81671" w:rsidRDefault="0065055F" w:rsidP="004B179F">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B179F">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Wytycznych</w:t>
            </w:r>
          </w:p>
        </w:tc>
        <w:tc>
          <w:tcPr>
            <w:tcW w:w="3969" w:type="dxa"/>
          </w:tcPr>
          <w:p w:rsidR="0065055F" w:rsidRPr="00B81671" w:rsidRDefault="0065055F" w:rsidP="00773FC4">
            <w:pPr>
              <w:rPr>
                <w:rFonts w:ascii="Arial" w:hAnsi="Arial" w:cs="Arial"/>
                <w:b/>
                <w:sz w:val="20"/>
                <w:szCs w:val="20"/>
              </w:rPr>
            </w:pPr>
          </w:p>
          <w:p w:rsidR="0065055F" w:rsidRDefault="004B179F" w:rsidP="00997BCA">
            <w:pPr>
              <w:spacing w:before="120" w:after="120" w:line="360" w:lineRule="auto"/>
              <w:rPr>
                <w:rFonts w:ascii="Arial" w:eastAsia="MS Mincho" w:hAnsi="Arial" w:cs="Arial"/>
                <w:i/>
                <w:lang w:eastAsia="ja-JP"/>
              </w:rPr>
            </w:pPr>
            <w:r w:rsidRPr="004B179F">
              <w:rPr>
                <w:rFonts w:ascii="Arial" w:hAnsi="Arial" w:cs="Arial"/>
                <w:b/>
                <w:sz w:val="20"/>
                <w:szCs w:val="20"/>
              </w:rPr>
              <w:t xml:space="preserve">Rozeznanie rynku przeprowadzane zgodnie z zapisami sekcji 6.5.1 </w:t>
            </w:r>
            <w:r w:rsidRPr="009C6AED">
              <w:rPr>
                <w:rFonts w:ascii="Arial" w:hAnsi="Arial" w:cs="Arial"/>
                <w:b/>
                <w:i/>
                <w:sz w:val="20"/>
                <w:szCs w:val="20"/>
              </w:rPr>
              <w:t>Wytycznych</w:t>
            </w:r>
          </w:p>
        </w:tc>
      </w:tr>
    </w:tbl>
    <w:p w:rsidR="007E0407" w:rsidRPr="007E469E" w:rsidRDefault="007E0407" w:rsidP="007E0407">
      <w:pPr>
        <w:spacing w:after="0" w:line="240" w:lineRule="auto"/>
      </w:pPr>
    </w:p>
    <w:p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23" w:rsidRDefault="00A03923" w:rsidP="00045401">
      <w:pPr>
        <w:spacing w:after="0" w:line="240" w:lineRule="auto"/>
      </w:pPr>
      <w:r>
        <w:separator/>
      </w:r>
    </w:p>
  </w:endnote>
  <w:endnote w:type="continuationSeparator" w:id="0">
    <w:p w:rsidR="00A03923" w:rsidRDefault="00A03923"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19629"/>
      <w:docPartObj>
        <w:docPartGallery w:val="Page Numbers (Bottom of Page)"/>
        <w:docPartUnique/>
      </w:docPartObj>
    </w:sdtPr>
    <w:sdtEndPr/>
    <w:sdtContent>
      <w:p w:rsidR="00A03923" w:rsidRDefault="00A03923">
        <w:pPr>
          <w:pStyle w:val="Stopka"/>
          <w:jc w:val="right"/>
        </w:pPr>
        <w:r>
          <w:fldChar w:fldCharType="begin"/>
        </w:r>
        <w:r>
          <w:instrText>PAGE   \* MERGEFORMAT</w:instrText>
        </w:r>
        <w:r>
          <w:fldChar w:fldCharType="separate"/>
        </w:r>
        <w:r w:rsidR="00374A08">
          <w:rPr>
            <w:noProof/>
          </w:rPr>
          <w:t>71</w:t>
        </w:r>
        <w:r>
          <w:fldChar w:fldCharType="end"/>
        </w:r>
      </w:p>
    </w:sdtContent>
  </w:sdt>
  <w:p w:rsidR="00A03923" w:rsidRDefault="00A039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23" w:rsidRDefault="00A03923" w:rsidP="00045401">
      <w:pPr>
        <w:spacing w:after="0" w:line="240" w:lineRule="auto"/>
      </w:pPr>
      <w:r>
        <w:separator/>
      </w:r>
    </w:p>
  </w:footnote>
  <w:footnote w:type="continuationSeparator" w:id="0">
    <w:p w:rsidR="00A03923" w:rsidRDefault="00A03923" w:rsidP="00045401">
      <w:pPr>
        <w:spacing w:after="0" w:line="240" w:lineRule="auto"/>
      </w:pPr>
      <w:r>
        <w:continuationSeparator/>
      </w:r>
    </w:p>
  </w:footnote>
  <w:footnote w:id="1">
    <w:p w:rsidR="00A03923" w:rsidRPr="000E3E65" w:rsidRDefault="00A03923" w:rsidP="00395C47">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2">
    <w:p w:rsidR="00A03923" w:rsidRPr="00C55C98" w:rsidRDefault="00A03923"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3">
    <w:p w:rsidR="00A03923" w:rsidRPr="00C55C98" w:rsidRDefault="00A03923"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4">
    <w:p w:rsidR="00A03923" w:rsidRPr="00C55C98" w:rsidRDefault="00A03923"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F93F49">
        <w:rPr>
          <w:rFonts w:ascii="Arial" w:hAnsi="Arial" w:cs="Arial"/>
          <w:sz w:val="16"/>
          <w:szCs w:val="16"/>
          <w:lang w:val="pl-PL"/>
        </w:rPr>
        <w:t>w ust. 4  tego przepisu</w:t>
      </w:r>
      <w:r>
        <w:rPr>
          <w:rFonts w:ascii="Arial" w:hAnsi="Arial" w:cs="Arial"/>
          <w:color w:val="FF0000"/>
          <w:sz w:val="16"/>
          <w:szCs w:val="16"/>
          <w:lang w:val="pl-PL"/>
        </w:rPr>
        <w:t>.</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5">
    <w:p w:rsidR="00A03923" w:rsidRPr="00250FF7" w:rsidRDefault="00A03923"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6">
    <w:p w:rsidR="00A03923" w:rsidRPr="00F861DC" w:rsidRDefault="00A03923">
      <w:pPr>
        <w:pStyle w:val="Tekstprzypisudolnego"/>
        <w:rPr>
          <w:rFonts w:ascii="Arial" w:hAnsi="Arial" w:cs="Arial"/>
          <w:sz w:val="16"/>
          <w:szCs w:val="16"/>
          <w:lang w:val="pl-PL"/>
        </w:rPr>
      </w:pPr>
      <w:r w:rsidRPr="00F861DC">
        <w:rPr>
          <w:rStyle w:val="Odwoanieprzypisudolnego"/>
          <w:rFonts w:ascii="Arial" w:hAnsi="Arial" w:cs="Arial"/>
          <w:sz w:val="16"/>
          <w:szCs w:val="16"/>
        </w:rPr>
        <w:footnoteRef/>
      </w:r>
      <w:r w:rsidRPr="00F861DC">
        <w:rPr>
          <w:rFonts w:ascii="Arial" w:hAnsi="Arial" w:cs="Arial"/>
          <w:sz w:val="16"/>
          <w:szCs w:val="16"/>
        </w:rPr>
        <w:t xml:space="preserve"> </w:t>
      </w:r>
      <w:r w:rsidRPr="00F861DC">
        <w:rPr>
          <w:rFonts w:ascii="Arial" w:hAnsi="Arial" w:cs="Arial"/>
          <w:sz w:val="16"/>
          <w:szCs w:val="16"/>
          <w:lang w:val="pl-PL"/>
        </w:rPr>
        <w:t>Nie dotyczy osób będących personelem projektów w rozumieniu pkt 19</w:t>
      </w:r>
    </w:p>
  </w:footnote>
  <w:footnote w:id="7">
    <w:p w:rsidR="00A03923" w:rsidRPr="00CA1CDE" w:rsidRDefault="00A03923" w:rsidP="00395C47">
      <w:pPr>
        <w:pStyle w:val="Tekstprzypisudolnego"/>
        <w:ind w:left="142" w:hanging="142"/>
        <w:jc w:val="both"/>
        <w:rPr>
          <w:sz w:val="16"/>
          <w:szCs w:val="16"/>
          <w:lang w:val="pl-PL"/>
        </w:rPr>
      </w:pPr>
      <w:r w:rsidRPr="00CA1CDE">
        <w:rPr>
          <w:rStyle w:val="Odwoanieprzypisudolnego"/>
          <w:sz w:val="16"/>
          <w:szCs w:val="16"/>
        </w:rPr>
        <w:footnoteRef/>
      </w:r>
      <w:r w:rsidRPr="00CA1CDE">
        <w:rPr>
          <w:sz w:val="16"/>
          <w:szCs w:val="16"/>
        </w:rPr>
        <w:t xml:space="preserve"> </w:t>
      </w:r>
      <w:r w:rsidRPr="00CA1CDE">
        <w:rPr>
          <w:sz w:val="16"/>
          <w:szCs w:val="16"/>
          <w:lang w:val="pl-PL"/>
        </w:rPr>
        <w:t xml:space="preserve">Pod pojęciem odrębnego </w:t>
      </w:r>
      <w:r>
        <w:rPr>
          <w:sz w:val="16"/>
          <w:szCs w:val="16"/>
          <w:lang w:val="pl-PL"/>
        </w:rPr>
        <w:t xml:space="preserve">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8">
    <w:p w:rsidR="00A03923" w:rsidRPr="008246CF" w:rsidRDefault="00A03923" w:rsidP="005476DC">
      <w:pPr>
        <w:pStyle w:val="Tekstprzypisudolnego"/>
        <w:ind w:left="0" w:firstLine="0"/>
        <w:jc w:val="both"/>
        <w:rPr>
          <w:sz w:val="16"/>
          <w:szCs w:val="16"/>
        </w:rPr>
      </w:pPr>
      <w:r w:rsidRPr="009F76E2">
        <w:rPr>
          <w:rStyle w:val="Odwoanieprzypisudolnego"/>
          <w:rFonts w:ascii="Arial" w:hAnsi="Arial" w:cs="Arial"/>
          <w:sz w:val="18"/>
          <w:szCs w:val="18"/>
        </w:rPr>
        <w:footnoteRef/>
      </w:r>
      <w:r w:rsidRPr="009F76E2">
        <w:rPr>
          <w:rFonts w:ascii="Arial" w:hAnsi="Arial" w:cs="Arial"/>
          <w:sz w:val="18"/>
          <w:szCs w:val="18"/>
        </w:rPr>
        <w:t xml:space="preserve"> </w:t>
      </w:r>
      <w:r w:rsidRPr="008246CF">
        <w:rPr>
          <w:rFonts w:ascii="Arial" w:hAnsi="Arial" w:cs="Arial"/>
          <w:sz w:val="16"/>
          <w:szCs w:val="16"/>
        </w:rPr>
        <w:t xml:space="preserve">Program pomocowy opracowany na podstawie </w:t>
      </w:r>
      <w:r w:rsidRPr="008246CF">
        <w:rPr>
          <w:rFonts w:ascii="Arial" w:hAnsi="Arial" w:cs="Arial"/>
          <w:sz w:val="16"/>
          <w:szCs w:val="16"/>
          <w:lang w:val="pl-PL"/>
        </w:rPr>
        <w:t xml:space="preserve">rozporządzenia KE nr 651/2014 </w:t>
      </w:r>
      <w:r w:rsidRPr="008246CF">
        <w:rPr>
          <w:rFonts w:ascii="Arial" w:hAnsi="Arial" w:cs="Arial"/>
          <w:sz w:val="16"/>
          <w:szCs w:val="16"/>
        </w:rPr>
        <w:t xml:space="preserve">i spełniający wskazane w nim warunki – nie podlega obowiązkowi notyfikacji </w:t>
      </w:r>
      <w:r>
        <w:rPr>
          <w:rFonts w:ascii="Arial" w:hAnsi="Arial" w:cs="Arial"/>
          <w:sz w:val="16"/>
          <w:szCs w:val="16"/>
          <w:lang w:val="pl-PL"/>
        </w:rPr>
        <w:t>KE</w:t>
      </w:r>
      <w:r w:rsidRPr="008246CF">
        <w:rPr>
          <w:rFonts w:ascii="Arial" w:hAnsi="Arial" w:cs="Arial"/>
          <w:sz w:val="16"/>
          <w:szCs w:val="16"/>
        </w:rPr>
        <w:t>.</w:t>
      </w:r>
    </w:p>
  </w:footnote>
  <w:footnote w:id="9">
    <w:p w:rsidR="00A03923" w:rsidRPr="003217B9" w:rsidRDefault="00A03923"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ona efektu zachęty.</w:t>
      </w:r>
      <w:r>
        <w:rPr>
          <w:rFonts w:ascii="Arial" w:hAnsi="Arial" w:cs="Arial"/>
          <w:sz w:val="16"/>
          <w:szCs w:val="16"/>
          <w:lang w:val="pl-PL"/>
        </w:rPr>
        <w:t xml:space="preserve"> Może tak być na przykład w przypadku operatorów sieci ruchomej typu LTE (ang. </w:t>
      </w:r>
      <w:proofErr w:type="spellStart"/>
      <w:r>
        <w:rPr>
          <w:rFonts w:ascii="Arial" w:hAnsi="Arial" w:cs="Arial"/>
          <w:sz w:val="16"/>
          <w:szCs w:val="16"/>
          <w:lang w:val="pl-PL"/>
        </w:rPr>
        <w:t>long</w:t>
      </w:r>
      <w:proofErr w:type="spellEnd"/>
      <w:r>
        <w:rPr>
          <w:rFonts w:ascii="Arial" w:hAnsi="Arial" w:cs="Arial"/>
          <w:sz w:val="16"/>
          <w:szCs w:val="16"/>
          <w:lang w:val="pl-PL"/>
        </w:rPr>
        <w:t xml:space="preserve">-term </w:t>
      </w:r>
      <w:proofErr w:type="spellStart"/>
      <w:r>
        <w:rPr>
          <w:rFonts w:ascii="Arial" w:hAnsi="Arial" w:cs="Arial"/>
          <w:sz w:val="16"/>
          <w:szCs w:val="16"/>
          <w:lang w:val="pl-PL"/>
        </w:rPr>
        <w:t>evolution</w:t>
      </w:r>
      <w:proofErr w:type="spellEnd"/>
      <w:r>
        <w:rPr>
          <w:rFonts w:ascii="Arial" w:hAnsi="Arial" w:cs="Arial"/>
          <w:sz w:val="16"/>
          <w:szCs w:val="16"/>
          <w:lang w:val="pl-PL"/>
        </w:rPr>
        <w:t xml:space="preserve">) lub </w:t>
      </w:r>
      <w:proofErr w:type="spellStart"/>
      <w:r>
        <w:rPr>
          <w:rFonts w:ascii="Arial" w:hAnsi="Arial" w:cs="Arial"/>
          <w:sz w:val="16"/>
          <w:szCs w:val="16"/>
          <w:lang w:val="pl-PL"/>
        </w:rPr>
        <w:t>LTEAdvanced</w:t>
      </w:r>
      <w:proofErr w:type="spellEnd"/>
      <w:r>
        <w:rPr>
          <w:rFonts w:ascii="Arial" w:hAnsi="Arial" w:cs="Arial"/>
          <w:sz w:val="16"/>
          <w:szCs w:val="16"/>
          <w:lang w:val="pl-PL"/>
        </w:rPr>
        <w:t xml:space="preserve">, którzy w swoich warunkach licencji mają wyznaczone cele związane z zasięgiem na obszarze docelowym. Podobnie, jeżeli operator wyznaczony zgodnie z obowiązkiem w zakresie usługi publicznej otrzymuje rekompensatę z tytułu usługi publicznej, nie można udzielić żadnej dodatkowej pomocy państwa na finansowanie tej samej sieci. </w:t>
      </w:r>
    </w:p>
  </w:footnote>
  <w:footnote w:id="10">
    <w:p w:rsidR="00A03923" w:rsidRPr="00AA2E60" w:rsidRDefault="00A03923" w:rsidP="001C278F">
      <w:pPr>
        <w:pStyle w:val="Tekstprzypisudolnego"/>
        <w:ind w:left="0" w:firstLine="0"/>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1">
    <w:p w:rsidR="00A03923" w:rsidRPr="00F80636" w:rsidRDefault="00A03923"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w:t>
      </w:r>
      <w:proofErr w:type="spellStart"/>
      <w:r w:rsidRPr="00AA2E60">
        <w:rPr>
          <w:rFonts w:ascii="Arial" w:hAnsi="Arial" w:cs="Arial"/>
          <w:sz w:val="16"/>
          <w:szCs w:val="16"/>
        </w:rPr>
        <w:t>późn</w:t>
      </w:r>
      <w:proofErr w:type="spellEnd"/>
      <w:r w:rsidRPr="00AA2E60">
        <w:rPr>
          <w:rFonts w:ascii="Arial" w:hAnsi="Arial" w:cs="Arial"/>
          <w:sz w:val="16"/>
          <w:szCs w:val="16"/>
        </w:rPr>
        <w:t>. zm.</w:t>
      </w:r>
    </w:p>
  </w:footnote>
  <w:footnote w:id="12">
    <w:p w:rsidR="00A03923" w:rsidRPr="006803C1" w:rsidRDefault="00A03923"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w:t>
      </w:r>
      <w:proofErr w:type="spellStart"/>
      <w:r w:rsidRPr="006803C1">
        <w:rPr>
          <w:rFonts w:ascii="Arial" w:hAnsi="Arial" w:cs="Arial"/>
          <w:sz w:val="16"/>
          <w:szCs w:val="16"/>
          <w:lang w:val="pl-PL"/>
        </w:rPr>
        <w:t>MGr</w:t>
      </w:r>
      <w:proofErr w:type="spellEnd"/>
      <w:r>
        <w:rPr>
          <w:rFonts w:ascii="Arial" w:hAnsi="Arial" w:cs="Arial"/>
          <w:sz w:val="16"/>
          <w:szCs w:val="16"/>
          <w:lang w:val="pl-PL"/>
        </w:rPr>
        <w:t>.</w:t>
      </w:r>
      <w:r w:rsidRPr="006803C1">
        <w:rPr>
          <w:rFonts w:ascii="Arial" w:hAnsi="Arial" w:cs="Arial"/>
          <w:sz w:val="16"/>
          <w:szCs w:val="16"/>
          <w:lang w:val="pl-PL"/>
        </w:rPr>
        <w:t xml:space="preserve"> </w:t>
      </w:r>
    </w:p>
  </w:footnote>
  <w:footnote w:id="13">
    <w:p w:rsidR="00A03923" w:rsidRPr="00AA2E60" w:rsidRDefault="00A03923"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4">
    <w:p w:rsidR="00A03923" w:rsidRPr="00BD06F4" w:rsidRDefault="00A03923" w:rsidP="006101E2">
      <w:pPr>
        <w:tabs>
          <w:tab w:val="left" w:pos="0"/>
          <w:tab w:val="right" w:pos="284"/>
        </w:tabs>
        <w:spacing w:after="0" w:line="240" w:lineRule="auto"/>
        <w:ind w:left="284"/>
        <w:jc w:val="both"/>
        <w:rPr>
          <w:rFonts w:ascii="Arial" w:hAnsi="Arial" w:cs="Arial"/>
          <w:sz w:val="16"/>
          <w:szCs w:val="16"/>
        </w:rPr>
      </w:pPr>
      <w:r>
        <w:rPr>
          <w:rStyle w:val="Odwoanieprzypisudolnego"/>
        </w:rPr>
        <w:footnoteRef/>
      </w:r>
      <w:r>
        <w:t xml:space="preserve"> </w:t>
      </w:r>
      <w:r w:rsidRPr="00BD06F4">
        <w:rPr>
          <w:rFonts w:ascii="Arial" w:hAnsi="Arial" w:cs="Arial"/>
          <w:sz w:val="16"/>
          <w:szCs w:val="16"/>
        </w:rPr>
        <w:t xml:space="preserve">Pasywną infrastrukturą szerokopasmową </w:t>
      </w:r>
      <w:r>
        <w:rPr>
          <w:rFonts w:ascii="Arial" w:hAnsi="Arial" w:cs="Arial"/>
          <w:sz w:val="16"/>
          <w:szCs w:val="16"/>
        </w:rPr>
        <w:t xml:space="preserve">zgodnie z </w:t>
      </w:r>
      <w:r w:rsidRPr="00BD06F4">
        <w:rPr>
          <w:rFonts w:ascii="Arial" w:hAnsi="Arial" w:cs="Arial"/>
          <w:sz w:val="16"/>
          <w:szCs w:val="16"/>
        </w:rPr>
        <w:t xml:space="preserve"> rozporządzeni</w:t>
      </w:r>
      <w:r>
        <w:rPr>
          <w:rFonts w:ascii="Arial" w:hAnsi="Arial" w:cs="Arial"/>
          <w:sz w:val="16"/>
          <w:szCs w:val="16"/>
        </w:rPr>
        <w:t xml:space="preserve">em Komisji (UE) Nr 651/2014 z dnia 17 czerwca 2014 r. uznające niektóre rodzaje pomocy za zgodne z rynkiem wewnętrznym w zastosowaniu art. 107 i art. 108 Traktatu (dalej: GBER) </w:t>
      </w:r>
      <w:r w:rsidRPr="00BD06F4">
        <w:rPr>
          <w:rFonts w:ascii="Arial" w:hAnsi="Arial" w:cs="Arial"/>
          <w:sz w:val="16"/>
          <w:szCs w:val="16"/>
        </w:rPr>
        <w:t xml:space="preserve"> jest </w:t>
      </w:r>
      <w:r w:rsidRPr="00BD06F4">
        <w:rPr>
          <w:rFonts w:ascii="Arial" w:hAnsi="Arial" w:cs="Arial"/>
          <w:i/>
          <w:sz w:val="16"/>
          <w:szCs w:val="16"/>
        </w:rPr>
        <w:t>sieć szerokopasmowa bez żadnego aktywnego elementu. Zazwyczaj obejmuje ona infrastrukturę techniczną, kanały, światłowody ciemne oraz szafki uliczne</w:t>
      </w:r>
      <w:r w:rsidRPr="00BD06F4">
        <w:rPr>
          <w:rFonts w:ascii="Arial" w:hAnsi="Arial" w:cs="Arial"/>
          <w:sz w:val="16"/>
          <w:szCs w:val="16"/>
        </w:rPr>
        <w:t xml:space="preserve">. Wg GBER </w:t>
      </w:r>
      <w:r w:rsidRPr="00BD06F4">
        <w:rPr>
          <w:rFonts w:ascii="Arial" w:hAnsi="Arial" w:cs="Arial"/>
          <w:i/>
          <w:sz w:val="16"/>
          <w:szCs w:val="16"/>
        </w:rPr>
        <w:t>„kanały” oznaczają podziemne rury lub kanały kablowe, przez które biegną (światłowodowe, miedziane lub koncentryczne) przewody sieci szerokopasmowej</w:t>
      </w:r>
      <w:r w:rsidRPr="00BD06F4">
        <w:rPr>
          <w:rFonts w:ascii="Arial" w:hAnsi="Arial" w:cs="Arial"/>
          <w:sz w:val="16"/>
          <w:szCs w:val="16"/>
        </w:rPr>
        <w:t>.</w:t>
      </w:r>
    </w:p>
    <w:p w:rsidR="00A03923" w:rsidRPr="00BD06F4" w:rsidRDefault="00A03923" w:rsidP="006101E2">
      <w:pPr>
        <w:tabs>
          <w:tab w:val="left" w:pos="0"/>
          <w:tab w:val="right" w:pos="284"/>
        </w:tabs>
        <w:spacing w:after="0" w:line="240" w:lineRule="auto"/>
        <w:ind w:left="284"/>
        <w:jc w:val="both"/>
        <w:rPr>
          <w:rFonts w:ascii="Arial" w:hAnsi="Arial" w:cs="Arial"/>
          <w:sz w:val="16"/>
          <w:szCs w:val="16"/>
        </w:rPr>
      </w:pPr>
      <w:r w:rsidRPr="00BD06F4">
        <w:rPr>
          <w:rFonts w:ascii="Arial" w:hAnsi="Arial" w:cs="Arial"/>
          <w:sz w:val="16"/>
          <w:szCs w:val="16"/>
        </w:rPr>
        <w:t xml:space="preserve">Na gruncie polskich przepisów przez pojęcie pasywnej infrastruktury szerokopasmowej należy więc rozumieć w szczególności określone w rozporządzeniu Ministra Infrastruktury z dnia 26 października 2005 r. </w:t>
      </w:r>
      <w:r w:rsidRPr="00BD06F4">
        <w:rPr>
          <w:rFonts w:ascii="Arial" w:hAnsi="Arial" w:cs="Arial"/>
          <w:i/>
          <w:sz w:val="16"/>
          <w:szCs w:val="16"/>
        </w:rPr>
        <w:t>w sprawie warunków technicznych, jakim powinny odpowiadać telekomunikacyjne obiekty budowlane i ich usytuowanie</w:t>
      </w:r>
      <w:r w:rsidRPr="00BD06F4">
        <w:rPr>
          <w:rFonts w:ascii="Arial" w:hAnsi="Arial" w:cs="Arial"/>
          <w:sz w:val="16"/>
          <w:szCs w:val="16"/>
        </w:rPr>
        <w:t>:</w:t>
      </w:r>
    </w:p>
    <w:p w:rsidR="00A03923" w:rsidRPr="00BD06F4" w:rsidRDefault="00A03923" w:rsidP="00137BC9">
      <w:pPr>
        <w:pStyle w:val="Akapitzlist"/>
        <w:numPr>
          <w:ilvl w:val="0"/>
          <w:numId w:val="44"/>
        </w:numPr>
        <w:tabs>
          <w:tab w:val="left" w:pos="0"/>
          <w:tab w:val="right" w:pos="284"/>
        </w:tabs>
        <w:spacing w:after="0" w:line="240" w:lineRule="auto"/>
        <w:jc w:val="both"/>
        <w:rPr>
          <w:rFonts w:ascii="Arial" w:hAnsi="Arial" w:cs="Arial"/>
          <w:sz w:val="16"/>
          <w:szCs w:val="16"/>
        </w:rPr>
      </w:pPr>
      <w:r w:rsidRPr="00BD06F4">
        <w:rPr>
          <w:rFonts w:ascii="Arial" w:hAnsi="Arial" w:cs="Arial"/>
          <w:sz w:val="16"/>
          <w:szCs w:val="16"/>
        </w:rPr>
        <w:t xml:space="preserve">telekomunikacyjne obiekty budowlane tj. </w:t>
      </w:r>
      <w:r w:rsidRPr="00BD06F4">
        <w:rPr>
          <w:rFonts w:ascii="Arial" w:hAnsi="Arial" w:cs="Arial"/>
          <w:i/>
          <w:sz w:val="16"/>
          <w:szCs w:val="16"/>
        </w:rPr>
        <w:t>linię kablową podziemną, linię kablową nadziemną, kanalizację kablową, kontenery telekomunikacyjne, szafy kablowe oraz wolno stojące konstrukcje wsporcze anten i urządzeń radiowych, w tym wolno stojące maszty antenowe i wolno stojące wieże antenowe</w:t>
      </w:r>
      <w:r w:rsidRPr="00BD06F4">
        <w:rPr>
          <w:rFonts w:ascii="Arial" w:hAnsi="Arial" w:cs="Arial"/>
          <w:sz w:val="16"/>
          <w:szCs w:val="16"/>
        </w:rPr>
        <w:t>,</w:t>
      </w:r>
    </w:p>
    <w:p w:rsidR="00A03923" w:rsidRPr="00627D8F" w:rsidRDefault="00A03923" w:rsidP="00137BC9">
      <w:pPr>
        <w:pStyle w:val="Akapitzlist"/>
        <w:numPr>
          <w:ilvl w:val="0"/>
          <w:numId w:val="44"/>
        </w:numPr>
        <w:tabs>
          <w:tab w:val="left" w:pos="0"/>
          <w:tab w:val="right" w:pos="284"/>
        </w:tabs>
        <w:spacing w:after="0" w:line="240" w:lineRule="auto"/>
        <w:jc w:val="both"/>
      </w:pPr>
      <w:r w:rsidRPr="007F43F6">
        <w:rPr>
          <w:rFonts w:ascii="Arial" w:hAnsi="Arial" w:cs="Arial"/>
          <w:sz w:val="16"/>
          <w:szCs w:val="16"/>
        </w:rPr>
        <w:t>podbudowę nadziemną wykorzystywaną do realizacji linii kablowych nadziemnych.</w:t>
      </w:r>
    </w:p>
    <w:p w:rsidR="00A03923" w:rsidRPr="00790328" w:rsidRDefault="00A03923" w:rsidP="006101E2">
      <w:pPr>
        <w:pStyle w:val="Tekstprzypisudolnego"/>
        <w:rPr>
          <w:lang w:val="pl-PL"/>
        </w:rPr>
      </w:pPr>
    </w:p>
  </w:footnote>
  <w:footnote w:id="15">
    <w:p w:rsidR="00A03923" w:rsidRPr="004A6DED" w:rsidRDefault="00A03923" w:rsidP="006101E2">
      <w:pPr>
        <w:pStyle w:val="Tekstprzypisudolnego"/>
        <w:ind w:hanging="436"/>
        <w:jc w:val="both"/>
        <w:rPr>
          <w:rFonts w:ascii="Arial" w:eastAsiaTheme="minorHAnsi" w:hAnsi="Arial" w:cs="Arial"/>
          <w:sz w:val="16"/>
          <w:szCs w:val="16"/>
          <w:lang w:val="pl-PL"/>
        </w:rPr>
      </w:pPr>
      <w:r w:rsidRPr="004A6DED">
        <w:rPr>
          <w:rStyle w:val="Odwoanieprzypisudolnego"/>
          <w:rFonts w:asciiTheme="minorHAnsi" w:eastAsiaTheme="minorHAnsi" w:hAnsiTheme="minorHAnsi" w:cstheme="minorBidi"/>
          <w:sz w:val="22"/>
          <w:szCs w:val="22"/>
          <w:lang w:val="pl-PL"/>
        </w:rPr>
        <w:footnoteRef/>
      </w:r>
      <w:r w:rsidRPr="004A6DED">
        <w:rPr>
          <w:rStyle w:val="Odwoanieprzypisudolnego"/>
          <w:rFonts w:asciiTheme="minorHAnsi" w:eastAsiaTheme="minorHAnsi" w:hAnsiTheme="minorHAnsi" w:cstheme="minorBidi"/>
          <w:sz w:val="22"/>
          <w:szCs w:val="22"/>
          <w:lang w:val="pl-PL"/>
        </w:rPr>
        <w:t xml:space="preserve"> </w:t>
      </w:r>
      <w:r w:rsidRPr="004A6DED">
        <w:rPr>
          <w:rStyle w:val="Odwoanieprzypisudolnego"/>
          <w:rFonts w:asciiTheme="minorHAnsi" w:eastAsiaTheme="minorHAnsi" w:hAnsiTheme="minorHAnsi" w:cstheme="minorBidi"/>
          <w:sz w:val="22"/>
          <w:szCs w:val="22"/>
        </w:rPr>
        <w:t xml:space="preserve"> </w:t>
      </w:r>
      <w:r w:rsidRPr="004A6DED">
        <w:rPr>
          <w:rFonts w:ascii="Arial" w:eastAsiaTheme="minorHAnsi" w:hAnsi="Arial" w:cs="Arial"/>
          <w:sz w:val="16"/>
          <w:szCs w:val="16"/>
          <w:lang w:val="pl-PL"/>
        </w:rPr>
        <w:t>należy przez to rozumieć nabywanie rzeczy, praw oraz innych dóbr, w szczególności na podstawie umowy sprzedaży, dostawy, najmu, dzierżawy oraz leasingu</w:t>
      </w:r>
      <w:r w:rsidRPr="005321DB">
        <w:rPr>
          <w:rFonts w:ascii="Arial" w:eastAsiaTheme="minorHAnsi" w:hAnsi="Arial" w:cs="Arial"/>
          <w:sz w:val="16"/>
          <w:szCs w:val="16"/>
          <w:lang w:val="pl-PL"/>
        </w:rPr>
        <w:t>.</w:t>
      </w:r>
    </w:p>
  </w:footnote>
  <w:footnote w:id="16">
    <w:p w:rsidR="00A03923" w:rsidRPr="0011522A" w:rsidRDefault="00A03923" w:rsidP="006101E2">
      <w:pPr>
        <w:tabs>
          <w:tab w:val="left" w:pos="0"/>
          <w:tab w:val="left" w:pos="284"/>
        </w:tabs>
        <w:autoSpaceDE w:val="0"/>
        <w:autoSpaceDN w:val="0"/>
        <w:adjustRightInd w:val="0"/>
        <w:spacing w:after="0" w:line="240" w:lineRule="auto"/>
        <w:ind w:left="284"/>
        <w:jc w:val="both"/>
        <w:rPr>
          <w:rFonts w:ascii="Arial" w:hAnsi="Arial" w:cs="Arial"/>
          <w:sz w:val="16"/>
          <w:szCs w:val="16"/>
        </w:rPr>
      </w:pPr>
      <w:r w:rsidRPr="00966A4E">
        <w:rPr>
          <w:rStyle w:val="Odwoanieprzypisudolnego"/>
        </w:rPr>
        <w:footnoteRef/>
      </w:r>
      <w:r>
        <w:t xml:space="preserve"> </w:t>
      </w:r>
      <w:r w:rsidRPr="0011522A">
        <w:rPr>
          <w:rFonts w:ascii="Arial" w:hAnsi="Arial" w:cs="Arial"/>
          <w:sz w:val="16"/>
          <w:szCs w:val="16"/>
        </w:rPr>
        <w:t xml:space="preserve">Sieć szkieletowa i dystrybucyjna definiowana jest zgodnie z Rozporządzeniem Ministra Administracji i Cyfryzacji z dnia 24 lutego 2014 r. </w:t>
      </w:r>
      <w:r w:rsidRPr="0011522A">
        <w:rPr>
          <w:rFonts w:ascii="Arial" w:hAnsi="Arial" w:cs="Arial"/>
          <w:i/>
          <w:sz w:val="16"/>
          <w:szCs w:val="16"/>
        </w:rPr>
        <w:t>w sprawie inwentaryzacji infrastruktury i usług telekomunikacyjnych</w:t>
      </w:r>
      <w:r w:rsidRPr="0011522A">
        <w:rPr>
          <w:rFonts w:ascii="Arial" w:hAnsi="Arial" w:cs="Arial"/>
          <w:sz w:val="16"/>
          <w:szCs w:val="16"/>
        </w:rPr>
        <w:t xml:space="preserve"> tj.:</w:t>
      </w:r>
    </w:p>
    <w:p w:rsidR="00A03923" w:rsidRPr="0011522A" w:rsidRDefault="00A03923" w:rsidP="00137BC9">
      <w:pPr>
        <w:pStyle w:val="Akapitzlist"/>
        <w:numPr>
          <w:ilvl w:val="0"/>
          <w:numId w:val="34"/>
        </w:numPr>
        <w:tabs>
          <w:tab w:val="left" w:pos="0"/>
          <w:tab w:val="left" w:pos="284"/>
        </w:tabs>
        <w:autoSpaceDE w:val="0"/>
        <w:autoSpaceDN w:val="0"/>
        <w:adjustRightInd w:val="0"/>
        <w:spacing w:after="0" w:line="240" w:lineRule="auto"/>
        <w:contextualSpacing w:val="0"/>
        <w:jc w:val="both"/>
        <w:rPr>
          <w:rFonts w:ascii="Arial" w:hAnsi="Arial" w:cs="Arial"/>
          <w:sz w:val="16"/>
          <w:szCs w:val="16"/>
        </w:rPr>
      </w:pPr>
      <w:r w:rsidRPr="0011522A">
        <w:rPr>
          <w:rFonts w:ascii="Arial" w:hAnsi="Arial" w:cs="Arial"/>
          <w:sz w:val="16"/>
          <w:szCs w:val="16"/>
        </w:rPr>
        <w:t xml:space="preserve">szkieletowa sieć telekomunikacyjna - </w:t>
      </w:r>
      <w:r w:rsidRPr="0011522A">
        <w:rPr>
          <w:rFonts w:ascii="Arial" w:hAnsi="Arial" w:cs="Arial"/>
          <w:i/>
          <w:sz w:val="16"/>
          <w:szCs w:val="16"/>
        </w:rPr>
        <w:t>rozumie się przez to najwyższą warstwę publicznej sieci telekomunikacyjnej, agregującą ruch sieciowy z niższych warstw sieci</w:t>
      </w:r>
      <w:r w:rsidRPr="0011522A">
        <w:rPr>
          <w:rFonts w:ascii="Arial" w:hAnsi="Arial" w:cs="Arial"/>
          <w:sz w:val="16"/>
          <w:szCs w:val="16"/>
        </w:rPr>
        <w:t>;</w:t>
      </w:r>
    </w:p>
    <w:p w:rsidR="00A03923" w:rsidRPr="0011522A" w:rsidRDefault="00A03923" w:rsidP="00137BC9">
      <w:pPr>
        <w:pStyle w:val="Akapitzlist"/>
        <w:numPr>
          <w:ilvl w:val="0"/>
          <w:numId w:val="34"/>
        </w:numPr>
        <w:tabs>
          <w:tab w:val="left" w:pos="0"/>
          <w:tab w:val="left" w:pos="284"/>
        </w:tabs>
        <w:autoSpaceDE w:val="0"/>
        <w:autoSpaceDN w:val="0"/>
        <w:adjustRightInd w:val="0"/>
        <w:spacing w:after="0" w:line="240" w:lineRule="auto"/>
        <w:contextualSpacing w:val="0"/>
        <w:jc w:val="both"/>
        <w:rPr>
          <w:rFonts w:ascii="Arial" w:hAnsi="Arial" w:cs="Arial"/>
          <w:sz w:val="16"/>
          <w:szCs w:val="16"/>
        </w:rPr>
      </w:pPr>
      <w:r w:rsidRPr="0011522A">
        <w:rPr>
          <w:rFonts w:ascii="Arial" w:hAnsi="Arial" w:cs="Arial"/>
          <w:sz w:val="16"/>
          <w:szCs w:val="16"/>
        </w:rPr>
        <w:t xml:space="preserve">dystrybucyjna sieć telekomunikacyjna </w:t>
      </w:r>
      <w:r w:rsidRPr="0011522A">
        <w:rPr>
          <w:rFonts w:ascii="Arial" w:hAnsi="Arial" w:cs="Arial"/>
          <w:i/>
          <w:sz w:val="16"/>
          <w:szCs w:val="16"/>
        </w:rPr>
        <w:t>- rozumie się przez to warstwę publicznej sieci telekomunikacyjnej, łączącą węzły szkieletowej sieci telekomunikacyjnej z agregującymi ruch od użytkowników końcowych węzłami dostępowej sieci telekomunikacyjnej</w:t>
      </w:r>
      <w:r w:rsidRPr="0011522A">
        <w:rPr>
          <w:rFonts w:ascii="Arial" w:hAnsi="Arial" w:cs="Arial"/>
          <w:sz w:val="16"/>
          <w:szCs w:val="16"/>
        </w:rPr>
        <w:t>.</w:t>
      </w:r>
    </w:p>
    <w:p w:rsidR="00A03923" w:rsidRPr="00966A4E" w:rsidRDefault="00A03923" w:rsidP="006101E2">
      <w:pPr>
        <w:pStyle w:val="Tekstprzypisudolnego"/>
      </w:pPr>
    </w:p>
  </w:footnote>
  <w:footnote w:id="17">
    <w:p w:rsidR="00A03923" w:rsidRPr="00D34651" w:rsidRDefault="00A03923" w:rsidP="006101E2">
      <w:pPr>
        <w:pStyle w:val="Tekstprzypisudolnego"/>
        <w:rPr>
          <w:rFonts w:ascii="Arial" w:hAnsi="Arial" w:cs="Arial"/>
          <w:sz w:val="18"/>
          <w:szCs w:val="18"/>
          <w:lang w:val="pl-PL"/>
        </w:rPr>
      </w:pPr>
      <w:r w:rsidRPr="00D34651">
        <w:rPr>
          <w:rStyle w:val="Odwoanieprzypisudolnego"/>
          <w:rFonts w:ascii="Arial" w:hAnsi="Arial" w:cs="Arial"/>
          <w:sz w:val="18"/>
          <w:szCs w:val="18"/>
        </w:rPr>
        <w:footnoteRef/>
      </w:r>
      <w:r w:rsidRPr="00D34651">
        <w:rPr>
          <w:rFonts w:ascii="Arial" w:hAnsi="Arial" w:cs="Arial"/>
          <w:sz w:val="18"/>
          <w:szCs w:val="18"/>
        </w:rPr>
        <w:t xml:space="preserve"> </w:t>
      </w:r>
      <w:r w:rsidRPr="00D34651">
        <w:rPr>
          <w:rFonts w:ascii="Arial" w:hAnsi="Arial" w:cs="Arial"/>
          <w:sz w:val="18"/>
          <w:szCs w:val="18"/>
          <w:lang w:val="pl-PL"/>
        </w:rPr>
        <w:t>Umowa o udzielenie wsparcia – oznacza umowę o dofinansowanie projektu</w:t>
      </w:r>
    </w:p>
  </w:footnote>
  <w:footnote w:id="18">
    <w:p w:rsidR="00A03923" w:rsidRPr="00BD06F4" w:rsidRDefault="00A03923" w:rsidP="0036568A">
      <w:pPr>
        <w:tabs>
          <w:tab w:val="left" w:pos="0"/>
          <w:tab w:val="right" w:pos="284"/>
        </w:tabs>
        <w:spacing w:after="0" w:line="240" w:lineRule="auto"/>
        <w:ind w:left="284"/>
        <w:jc w:val="both"/>
        <w:rPr>
          <w:rFonts w:ascii="Arial" w:hAnsi="Arial" w:cs="Arial"/>
          <w:sz w:val="16"/>
          <w:szCs w:val="16"/>
        </w:rPr>
      </w:pPr>
      <w:r>
        <w:rPr>
          <w:rStyle w:val="Odwoanieprzypisudolnego"/>
        </w:rPr>
        <w:footnoteRef/>
      </w:r>
      <w:r>
        <w:t xml:space="preserve"> </w:t>
      </w:r>
      <w:r w:rsidRPr="00BD06F4">
        <w:rPr>
          <w:rFonts w:ascii="Arial" w:hAnsi="Arial" w:cs="Arial"/>
          <w:sz w:val="16"/>
          <w:szCs w:val="16"/>
        </w:rPr>
        <w:t xml:space="preserve">Pasywną infrastrukturą szerokopasmową </w:t>
      </w:r>
      <w:r>
        <w:rPr>
          <w:rFonts w:ascii="Arial" w:hAnsi="Arial" w:cs="Arial"/>
          <w:sz w:val="16"/>
          <w:szCs w:val="16"/>
        </w:rPr>
        <w:t xml:space="preserve">zgodnie z </w:t>
      </w:r>
      <w:r w:rsidRPr="00BD06F4">
        <w:rPr>
          <w:rFonts w:ascii="Arial" w:hAnsi="Arial" w:cs="Arial"/>
          <w:sz w:val="16"/>
          <w:szCs w:val="16"/>
        </w:rPr>
        <w:t xml:space="preserve"> rozporządzeni</w:t>
      </w:r>
      <w:r>
        <w:rPr>
          <w:rFonts w:ascii="Arial" w:hAnsi="Arial" w:cs="Arial"/>
          <w:sz w:val="16"/>
          <w:szCs w:val="16"/>
        </w:rPr>
        <w:t xml:space="preserve">em Komisji (UE) Nr 651/2014 z dnia 17 czerwca 2014 r. uznające niektóre rodzaje pomocy za zgodne z rynkiem wewnętrznym w zastosowaniu art. 107 i art. 108 Traktatu (dalej: GBER) </w:t>
      </w:r>
      <w:r w:rsidRPr="00BD06F4">
        <w:rPr>
          <w:rFonts w:ascii="Arial" w:hAnsi="Arial" w:cs="Arial"/>
          <w:sz w:val="16"/>
          <w:szCs w:val="16"/>
        </w:rPr>
        <w:t xml:space="preserve"> jest </w:t>
      </w:r>
      <w:r w:rsidRPr="00BD06F4">
        <w:rPr>
          <w:rFonts w:ascii="Arial" w:hAnsi="Arial" w:cs="Arial"/>
          <w:i/>
          <w:sz w:val="16"/>
          <w:szCs w:val="16"/>
        </w:rPr>
        <w:t>sieć szerokopasmowa bez żadnego aktywnego elementu. Zazwyczaj obejmuje ona infrastrukturę techniczną, kanały, światłowody ciemne oraz szafki uliczne</w:t>
      </w:r>
      <w:r w:rsidRPr="00BD06F4">
        <w:rPr>
          <w:rFonts w:ascii="Arial" w:hAnsi="Arial" w:cs="Arial"/>
          <w:sz w:val="16"/>
          <w:szCs w:val="16"/>
        </w:rPr>
        <w:t xml:space="preserve">. Wg GBER </w:t>
      </w:r>
      <w:r w:rsidRPr="00BD06F4">
        <w:rPr>
          <w:rFonts w:ascii="Arial" w:hAnsi="Arial" w:cs="Arial"/>
          <w:i/>
          <w:sz w:val="16"/>
          <w:szCs w:val="16"/>
        </w:rPr>
        <w:t>„kanały” oznaczają podziemne rury lub kanały kablowe, przez które biegną (światłowodowe, miedziane lub koncentryczne) przewody sieci szerokopasmowej</w:t>
      </w:r>
      <w:r w:rsidRPr="00BD06F4">
        <w:rPr>
          <w:rFonts w:ascii="Arial" w:hAnsi="Arial" w:cs="Arial"/>
          <w:sz w:val="16"/>
          <w:szCs w:val="16"/>
        </w:rPr>
        <w:t>.</w:t>
      </w:r>
    </w:p>
    <w:p w:rsidR="00A03923" w:rsidRPr="00BD06F4" w:rsidRDefault="00A03923" w:rsidP="0036568A">
      <w:pPr>
        <w:tabs>
          <w:tab w:val="left" w:pos="0"/>
          <w:tab w:val="right" w:pos="284"/>
        </w:tabs>
        <w:spacing w:after="0" w:line="240" w:lineRule="auto"/>
        <w:ind w:left="284"/>
        <w:jc w:val="both"/>
        <w:rPr>
          <w:rFonts w:ascii="Arial" w:hAnsi="Arial" w:cs="Arial"/>
          <w:sz w:val="16"/>
          <w:szCs w:val="16"/>
        </w:rPr>
      </w:pPr>
      <w:r w:rsidRPr="00BD06F4">
        <w:rPr>
          <w:rFonts w:ascii="Arial" w:hAnsi="Arial" w:cs="Arial"/>
          <w:sz w:val="16"/>
          <w:szCs w:val="16"/>
        </w:rPr>
        <w:t xml:space="preserve">Na gruncie polskich przepisów przez pojęcie pasywnej infrastruktury szerokopasmowej należy więc rozumieć w szczególności określone w rozporządzeniu Ministra Infrastruktury z dnia 26 października 2005 r. </w:t>
      </w:r>
      <w:r w:rsidRPr="00BD06F4">
        <w:rPr>
          <w:rFonts w:ascii="Arial" w:hAnsi="Arial" w:cs="Arial"/>
          <w:i/>
          <w:sz w:val="16"/>
          <w:szCs w:val="16"/>
        </w:rPr>
        <w:t>w sprawie warunków technicznych, jakim powinny odpowiadać telekomunikacyjne obiekty budowlane i ich usytuowanie</w:t>
      </w:r>
      <w:r w:rsidRPr="00BD06F4">
        <w:rPr>
          <w:rFonts w:ascii="Arial" w:hAnsi="Arial" w:cs="Arial"/>
          <w:sz w:val="16"/>
          <w:szCs w:val="16"/>
        </w:rPr>
        <w:t>:</w:t>
      </w:r>
    </w:p>
    <w:p w:rsidR="00A03923" w:rsidRPr="00BD06F4" w:rsidRDefault="00A03923" w:rsidP="00137BC9">
      <w:pPr>
        <w:pStyle w:val="Akapitzlist"/>
        <w:numPr>
          <w:ilvl w:val="0"/>
          <w:numId w:val="44"/>
        </w:numPr>
        <w:tabs>
          <w:tab w:val="left" w:pos="0"/>
          <w:tab w:val="right" w:pos="284"/>
        </w:tabs>
        <w:spacing w:after="0" w:line="240" w:lineRule="auto"/>
        <w:jc w:val="both"/>
        <w:rPr>
          <w:rFonts w:ascii="Arial" w:hAnsi="Arial" w:cs="Arial"/>
          <w:sz w:val="16"/>
          <w:szCs w:val="16"/>
        </w:rPr>
      </w:pPr>
      <w:r w:rsidRPr="00BD06F4">
        <w:rPr>
          <w:rFonts w:ascii="Arial" w:hAnsi="Arial" w:cs="Arial"/>
          <w:sz w:val="16"/>
          <w:szCs w:val="16"/>
        </w:rPr>
        <w:t xml:space="preserve">telekomunikacyjne obiekty budowlane tj. </w:t>
      </w:r>
      <w:r w:rsidRPr="00BD06F4">
        <w:rPr>
          <w:rFonts w:ascii="Arial" w:hAnsi="Arial" w:cs="Arial"/>
          <w:i/>
          <w:sz w:val="16"/>
          <w:szCs w:val="16"/>
        </w:rPr>
        <w:t>linię kablową podziemną, linię kablową nadziemną, kanalizację kablową, kontenery telekomunikacyjne, szafy kablowe oraz wolno stojące konstrukcje wsporcze anten i urządzeń radiowych, w tym wolno stojące maszty antenowe i wolno stojące wieże antenowe</w:t>
      </w:r>
      <w:r w:rsidRPr="00BD06F4">
        <w:rPr>
          <w:rFonts w:ascii="Arial" w:hAnsi="Arial" w:cs="Arial"/>
          <w:sz w:val="16"/>
          <w:szCs w:val="16"/>
        </w:rPr>
        <w:t>,</w:t>
      </w:r>
    </w:p>
    <w:p w:rsidR="00A03923" w:rsidRPr="00627D8F" w:rsidRDefault="00A03923" w:rsidP="00137BC9">
      <w:pPr>
        <w:pStyle w:val="Akapitzlist"/>
        <w:numPr>
          <w:ilvl w:val="0"/>
          <w:numId w:val="44"/>
        </w:numPr>
        <w:tabs>
          <w:tab w:val="left" w:pos="0"/>
          <w:tab w:val="right" w:pos="284"/>
        </w:tabs>
        <w:spacing w:after="0" w:line="240" w:lineRule="auto"/>
        <w:jc w:val="both"/>
      </w:pPr>
      <w:r w:rsidRPr="007F43F6">
        <w:rPr>
          <w:rFonts w:ascii="Arial" w:hAnsi="Arial" w:cs="Arial"/>
          <w:sz w:val="16"/>
          <w:szCs w:val="16"/>
        </w:rPr>
        <w:t>podbudowę nadziemną wykorzystywaną do realizacji linii kablowych nadziemnych.</w:t>
      </w:r>
    </w:p>
    <w:p w:rsidR="00A03923" w:rsidRPr="00790328" w:rsidRDefault="00A03923" w:rsidP="0036568A">
      <w:pPr>
        <w:pStyle w:val="Tekstprzypisudolnego"/>
        <w:rPr>
          <w:lang w:val="pl-PL"/>
        </w:rPr>
      </w:pPr>
    </w:p>
  </w:footnote>
  <w:footnote w:id="19">
    <w:p w:rsidR="00A03923" w:rsidRPr="004A6DED" w:rsidRDefault="00A03923" w:rsidP="00C632DB">
      <w:pPr>
        <w:pStyle w:val="Tekstprzypisudolnego"/>
        <w:ind w:hanging="436"/>
        <w:jc w:val="both"/>
        <w:rPr>
          <w:rFonts w:ascii="Arial" w:eastAsiaTheme="minorHAnsi" w:hAnsi="Arial" w:cs="Arial"/>
          <w:sz w:val="16"/>
          <w:szCs w:val="16"/>
          <w:lang w:val="pl-PL"/>
        </w:rPr>
      </w:pPr>
      <w:r w:rsidRPr="004A6DED">
        <w:rPr>
          <w:rStyle w:val="Odwoanieprzypisudolnego"/>
          <w:rFonts w:asciiTheme="minorHAnsi" w:eastAsiaTheme="minorHAnsi" w:hAnsiTheme="minorHAnsi" w:cstheme="minorBidi"/>
          <w:sz w:val="22"/>
          <w:szCs w:val="22"/>
          <w:lang w:val="pl-PL"/>
        </w:rPr>
        <w:footnoteRef/>
      </w:r>
      <w:r w:rsidRPr="004A6DED">
        <w:rPr>
          <w:rStyle w:val="Odwoanieprzypisudolnego"/>
          <w:rFonts w:asciiTheme="minorHAnsi" w:eastAsiaTheme="minorHAnsi" w:hAnsiTheme="minorHAnsi" w:cstheme="minorBidi"/>
          <w:sz w:val="22"/>
          <w:szCs w:val="22"/>
          <w:lang w:val="pl-PL"/>
        </w:rPr>
        <w:t xml:space="preserve"> </w:t>
      </w:r>
      <w:r w:rsidRPr="004A6DED">
        <w:rPr>
          <w:rStyle w:val="Odwoanieprzypisudolnego"/>
          <w:rFonts w:asciiTheme="minorHAnsi" w:eastAsiaTheme="minorHAnsi" w:hAnsiTheme="minorHAnsi" w:cstheme="minorBidi"/>
          <w:sz w:val="22"/>
          <w:szCs w:val="22"/>
        </w:rPr>
        <w:t xml:space="preserve"> </w:t>
      </w:r>
      <w:r w:rsidRPr="004A6DED">
        <w:rPr>
          <w:rFonts w:ascii="Arial" w:eastAsiaTheme="minorHAnsi" w:hAnsi="Arial" w:cs="Arial"/>
          <w:sz w:val="16"/>
          <w:szCs w:val="16"/>
          <w:lang w:val="pl-PL"/>
        </w:rPr>
        <w:t>należy przez to rozumieć nabywanie rzeczy, praw oraz innych dóbr, w szczególności na podstawie umowy sprzedaży, dostawy, najmu, dzierżawy oraz leasingu</w:t>
      </w:r>
      <w:r w:rsidRPr="005321DB">
        <w:rPr>
          <w:rFonts w:ascii="Arial" w:eastAsiaTheme="minorHAnsi" w:hAnsi="Arial" w:cs="Arial"/>
          <w:sz w:val="16"/>
          <w:szCs w:val="16"/>
          <w:lang w:val="pl-PL"/>
        </w:rPr>
        <w:t>.</w:t>
      </w:r>
    </w:p>
  </w:footnote>
  <w:footnote w:id="20">
    <w:p w:rsidR="00A03923" w:rsidRPr="0011522A" w:rsidRDefault="00A03923" w:rsidP="00C632DB">
      <w:pPr>
        <w:tabs>
          <w:tab w:val="left" w:pos="0"/>
          <w:tab w:val="left" w:pos="284"/>
        </w:tabs>
        <w:autoSpaceDE w:val="0"/>
        <w:autoSpaceDN w:val="0"/>
        <w:adjustRightInd w:val="0"/>
        <w:spacing w:after="0" w:line="240" w:lineRule="auto"/>
        <w:ind w:left="284"/>
        <w:jc w:val="both"/>
        <w:rPr>
          <w:rFonts w:ascii="Arial" w:hAnsi="Arial" w:cs="Arial"/>
          <w:sz w:val="16"/>
          <w:szCs w:val="16"/>
        </w:rPr>
      </w:pPr>
      <w:r w:rsidRPr="00966A4E">
        <w:rPr>
          <w:rStyle w:val="Odwoanieprzypisudolnego"/>
        </w:rPr>
        <w:footnoteRef/>
      </w:r>
      <w:r>
        <w:t xml:space="preserve"> </w:t>
      </w:r>
      <w:r w:rsidRPr="0011522A">
        <w:rPr>
          <w:rFonts w:ascii="Arial" w:hAnsi="Arial" w:cs="Arial"/>
          <w:sz w:val="16"/>
          <w:szCs w:val="16"/>
        </w:rPr>
        <w:t xml:space="preserve">Sieć szkieletowa i dystrybucyjna definiowana jest zgodnie z Rozporządzeniem Ministra Administracji i Cyfryzacji z dnia 24 lutego 2014 r. </w:t>
      </w:r>
      <w:r w:rsidRPr="0011522A">
        <w:rPr>
          <w:rFonts w:ascii="Arial" w:hAnsi="Arial" w:cs="Arial"/>
          <w:i/>
          <w:sz w:val="16"/>
          <w:szCs w:val="16"/>
        </w:rPr>
        <w:t>w sprawie inwentaryzacji infrastruktury i usług telekomunikacyjnych</w:t>
      </w:r>
      <w:r w:rsidRPr="0011522A">
        <w:rPr>
          <w:rFonts w:ascii="Arial" w:hAnsi="Arial" w:cs="Arial"/>
          <w:sz w:val="16"/>
          <w:szCs w:val="16"/>
        </w:rPr>
        <w:t xml:space="preserve"> tj.:</w:t>
      </w:r>
    </w:p>
    <w:p w:rsidR="00A03923" w:rsidRPr="0011522A" w:rsidRDefault="00A03923" w:rsidP="00137BC9">
      <w:pPr>
        <w:pStyle w:val="Akapitzlist"/>
        <w:numPr>
          <w:ilvl w:val="0"/>
          <w:numId w:val="34"/>
        </w:numPr>
        <w:tabs>
          <w:tab w:val="left" w:pos="0"/>
          <w:tab w:val="left" w:pos="284"/>
        </w:tabs>
        <w:autoSpaceDE w:val="0"/>
        <w:autoSpaceDN w:val="0"/>
        <w:adjustRightInd w:val="0"/>
        <w:spacing w:after="0" w:line="240" w:lineRule="auto"/>
        <w:contextualSpacing w:val="0"/>
        <w:jc w:val="both"/>
        <w:rPr>
          <w:rFonts w:ascii="Arial" w:hAnsi="Arial" w:cs="Arial"/>
          <w:sz w:val="16"/>
          <w:szCs w:val="16"/>
        </w:rPr>
      </w:pPr>
      <w:r w:rsidRPr="0011522A">
        <w:rPr>
          <w:rFonts w:ascii="Arial" w:hAnsi="Arial" w:cs="Arial"/>
          <w:sz w:val="16"/>
          <w:szCs w:val="16"/>
        </w:rPr>
        <w:t xml:space="preserve">szkieletowa sieć telekomunikacyjna - </w:t>
      </w:r>
      <w:r w:rsidRPr="0011522A">
        <w:rPr>
          <w:rFonts w:ascii="Arial" w:hAnsi="Arial" w:cs="Arial"/>
          <w:i/>
          <w:sz w:val="16"/>
          <w:szCs w:val="16"/>
        </w:rPr>
        <w:t>rozumie się przez to najwyższą warstwę publicznej sieci telekomunikacyjnej, agregującą ruch sieciowy z niższych warstw sieci</w:t>
      </w:r>
      <w:r w:rsidRPr="0011522A">
        <w:rPr>
          <w:rFonts w:ascii="Arial" w:hAnsi="Arial" w:cs="Arial"/>
          <w:sz w:val="16"/>
          <w:szCs w:val="16"/>
        </w:rPr>
        <w:t>;</w:t>
      </w:r>
    </w:p>
    <w:p w:rsidR="00A03923" w:rsidRPr="0011522A" w:rsidRDefault="00A03923" w:rsidP="00137BC9">
      <w:pPr>
        <w:pStyle w:val="Akapitzlist"/>
        <w:numPr>
          <w:ilvl w:val="0"/>
          <w:numId w:val="34"/>
        </w:numPr>
        <w:tabs>
          <w:tab w:val="left" w:pos="0"/>
          <w:tab w:val="left" w:pos="284"/>
        </w:tabs>
        <w:autoSpaceDE w:val="0"/>
        <w:autoSpaceDN w:val="0"/>
        <w:adjustRightInd w:val="0"/>
        <w:spacing w:after="0" w:line="240" w:lineRule="auto"/>
        <w:contextualSpacing w:val="0"/>
        <w:jc w:val="both"/>
        <w:rPr>
          <w:rFonts w:ascii="Arial" w:hAnsi="Arial" w:cs="Arial"/>
          <w:sz w:val="16"/>
          <w:szCs w:val="16"/>
        </w:rPr>
      </w:pPr>
      <w:r w:rsidRPr="0011522A">
        <w:rPr>
          <w:rFonts w:ascii="Arial" w:hAnsi="Arial" w:cs="Arial"/>
          <w:sz w:val="16"/>
          <w:szCs w:val="16"/>
        </w:rPr>
        <w:t xml:space="preserve">dystrybucyjna sieć telekomunikacyjna </w:t>
      </w:r>
      <w:r w:rsidRPr="0011522A">
        <w:rPr>
          <w:rFonts w:ascii="Arial" w:hAnsi="Arial" w:cs="Arial"/>
          <w:i/>
          <w:sz w:val="16"/>
          <w:szCs w:val="16"/>
        </w:rPr>
        <w:t>- rozumie się przez to warstwę publicznej sieci telekomunikacyjnej, łączącą węzły szkieletowej sieci telekomunikacyjnej z agregującymi ruch od użytkowników końcowych węzłami dostępowej sieci telekomunikacyjnej</w:t>
      </w:r>
      <w:r w:rsidRPr="0011522A">
        <w:rPr>
          <w:rFonts w:ascii="Arial" w:hAnsi="Arial" w:cs="Arial"/>
          <w:sz w:val="16"/>
          <w:szCs w:val="16"/>
        </w:rPr>
        <w:t>.</w:t>
      </w:r>
    </w:p>
    <w:p w:rsidR="00A03923" w:rsidRPr="00966A4E" w:rsidRDefault="00A03923" w:rsidP="00C632DB">
      <w:pPr>
        <w:pStyle w:val="Tekstprzypisudolnego"/>
      </w:pPr>
    </w:p>
  </w:footnote>
  <w:footnote w:id="21">
    <w:p w:rsidR="00A03923" w:rsidRPr="00D34651" w:rsidRDefault="00A03923" w:rsidP="00DF65A1">
      <w:pPr>
        <w:pStyle w:val="Tekstprzypisudolnego"/>
        <w:rPr>
          <w:rFonts w:ascii="Arial" w:hAnsi="Arial" w:cs="Arial"/>
          <w:sz w:val="18"/>
          <w:szCs w:val="18"/>
          <w:lang w:val="pl-PL"/>
        </w:rPr>
      </w:pPr>
      <w:r w:rsidRPr="00D34651">
        <w:rPr>
          <w:rStyle w:val="Odwoanieprzypisudolnego"/>
          <w:rFonts w:ascii="Arial" w:hAnsi="Arial" w:cs="Arial"/>
          <w:sz w:val="18"/>
          <w:szCs w:val="18"/>
        </w:rPr>
        <w:footnoteRef/>
      </w:r>
      <w:r w:rsidRPr="00D34651">
        <w:rPr>
          <w:rFonts w:ascii="Arial" w:hAnsi="Arial" w:cs="Arial"/>
          <w:sz w:val="18"/>
          <w:szCs w:val="18"/>
        </w:rPr>
        <w:t xml:space="preserve"> </w:t>
      </w:r>
      <w:r w:rsidRPr="00D34651">
        <w:rPr>
          <w:rFonts w:ascii="Arial" w:hAnsi="Arial" w:cs="Arial"/>
          <w:sz w:val="18"/>
          <w:szCs w:val="18"/>
          <w:lang w:val="pl-PL"/>
        </w:rPr>
        <w:t>Umowa o udzielenie wsparcia – oznacza umowę o dofinansowanie projektu</w:t>
      </w:r>
    </w:p>
  </w:footnote>
  <w:footnote w:id="22">
    <w:p w:rsidR="00A03923" w:rsidRPr="00BD06F4" w:rsidRDefault="00A03923" w:rsidP="00DD0F75">
      <w:pPr>
        <w:tabs>
          <w:tab w:val="left" w:pos="0"/>
          <w:tab w:val="right" w:pos="284"/>
        </w:tabs>
        <w:spacing w:after="0" w:line="240" w:lineRule="auto"/>
        <w:ind w:left="284"/>
        <w:jc w:val="both"/>
        <w:rPr>
          <w:rFonts w:ascii="Arial" w:hAnsi="Arial" w:cs="Arial"/>
          <w:sz w:val="16"/>
          <w:szCs w:val="16"/>
        </w:rPr>
      </w:pPr>
      <w:r>
        <w:rPr>
          <w:rStyle w:val="Odwoanieprzypisudolnego"/>
        </w:rPr>
        <w:footnoteRef/>
      </w:r>
      <w:r>
        <w:t xml:space="preserve"> </w:t>
      </w:r>
      <w:r w:rsidRPr="00BD06F4">
        <w:rPr>
          <w:rFonts w:ascii="Arial" w:hAnsi="Arial" w:cs="Arial"/>
          <w:sz w:val="16"/>
          <w:szCs w:val="16"/>
        </w:rPr>
        <w:t xml:space="preserve">Pasywną infrastrukturą szerokopasmową </w:t>
      </w:r>
      <w:r>
        <w:rPr>
          <w:rFonts w:ascii="Arial" w:hAnsi="Arial" w:cs="Arial"/>
          <w:sz w:val="16"/>
          <w:szCs w:val="16"/>
        </w:rPr>
        <w:t xml:space="preserve">zgodnie z </w:t>
      </w:r>
      <w:r w:rsidRPr="00BD06F4">
        <w:rPr>
          <w:rFonts w:ascii="Arial" w:hAnsi="Arial" w:cs="Arial"/>
          <w:sz w:val="16"/>
          <w:szCs w:val="16"/>
        </w:rPr>
        <w:t xml:space="preserve"> rozporządzeni</w:t>
      </w:r>
      <w:r>
        <w:rPr>
          <w:rFonts w:ascii="Arial" w:hAnsi="Arial" w:cs="Arial"/>
          <w:sz w:val="16"/>
          <w:szCs w:val="16"/>
        </w:rPr>
        <w:t xml:space="preserve">em Komisji (UE) Nr 651/2014 z dnia 17 czerwca 2014 r. uznające niektóre rodzaje pomocy za zgodne z rynkiem wewnętrznym w zastosowaniu art. 107 i art. 108 Traktatu (dalej: GBER) </w:t>
      </w:r>
      <w:r w:rsidRPr="00BD06F4">
        <w:rPr>
          <w:rFonts w:ascii="Arial" w:hAnsi="Arial" w:cs="Arial"/>
          <w:sz w:val="16"/>
          <w:szCs w:val="16"/>
        </w:rPr>
        <w:t xml:space="preserve"> jest </w:t>
      </w:r>
      <w:r w:rsidRPr="00BD06F4">
        <w:rPr>
          <w:rFonts w:ascii="Arial" w:hAnsi="Arial" w:cs="Arial"/>
          <w:i/>
          <w:sz w:val="16"/>
          <w:szCs w:val="16"/>
        </w:rPr>
        <w:t>sieć szerokopasmowa bez żadnego aktywnego elementu. Zazwyczaj obejmuje ona infrastrukturę techniczną, kanały, światłowody ciemne oraz szafki uliczne</w:t>
      </w:r>
      <w:r w:rsidRPr="00BD06F4">
        <w:rPr>
          <w:rFonts w:ascii="Arial" w:hAnsi="Arial" w:cs="Arial"/>
          <w:sz w:val="16"/>
          <w:szCs w:val="16"/>
        </w:rPr>
        <w:t xml:space="preserve">. Wg GBER </w:t>
      </w:r>
      <w:r w:rsidRPr="00BD06F4">
        <w:rPr>
          <w:rFonts w:ascii="Arial" w:hAnsi="Arial" w:cs="Arial"/>
          <w:i/>
          <w:sz w:val="16"/>
          <w:szCs w:val="16"/>
        </w:rPr>
        <w:t>„kanały” oznaczają podziemne rury lub kanały kablowe, przez które biegną (światłowodowe, miedziane lub koncentryczne) przewody sieci szerokopasmowej</w:t>
      </w:r>
      <w:r w:rsidRPr="00BD06F4">
        <w:rPr>
          <w:rFonts w:ascii="Arial" w:hAnsi="Arial" w:cs="Arial"/>
          <w:sz w:val="16"/>
          <w:szCs w:val="16"/>
        </w:rPr>
        <w:t>.</w:t>
      </w:r>
    </w:p>
    <w:p w:rsidR="00A03923" w:rsidRPr="00BD06F4" w:rsidRDefault="00A03923" w:rsidP="00DD0F75">
      <w:pPr>
        <w:tabs>
          <w:tab w:val="left" w:pos="0"/>
          <w:tab w:val="right" w:pos="284"/>
        </w:tabs>
        <w:spacing w:after="0" w:line="240" w:lineRule="auto"/>
        <w:ind w:left="284"/>
        <w:jc w:val="both"/>
        <w:rPr>
          <w:rFonts w:ascii="Arial" w:hAnsi="Arial" w:cs="Arial"/>
          <w:sz w:val="16"/>
          <w:szCs w:val="16"/>
        </w:rPr>
      </w:pPr>
      <w:r w:rsidRPr="00BD06F4">
        <w:rPr>
          <w:rFonts w:ascii="Arial" w:hAnsi="Arial" w:cs="Arial"/>
          <w:sz w:val="16"/>
          <w:szCs w:val="16"/>
        </w:rPr>
        <w:t xml:space="preserve">Na gruncie polskich przepisów przez pojęcie pasywnej infrastruktury szerokopasmowej należy więc rozumieć w szczególności określone w rozporządzeniu Ministra Infrastruktury z dnia 26 października 2005 r. </w:t>
      </w:r>
      <w:r w:rsidRPr="00BD06F4">
        <w:rPr>
          <w:rFonts w:ascii="Arial" w:hAnsi="Arial" w:cs="Arial"/>
          <w:i/>
          <w:sz w:val="16"/>
          <w:szCs w:val="16"/>
        </w:rPr>
        <w:t>w sprawie warunków technicznych, jakim powinny odpowiadać telekomunikacyjne obiekty budowlane i ich usytuowanie</w:t>
      </w:r>
      <w:r w:rsidRPr="00BD06F4">
        <w:rPr>
          <w:rFonts w:ascii="Arial" w:hAnsi="Arial" w:cs="Arial"/>
          <w:sz w:val="16"/>
          <w:szCs w:val="16"/>
        </w:rPr>
        <w:t>:</w:t>
      </w:r>
    </w:p>
    <w:p w:rsidR="00A03923" w:rsidRPr="00BD06F4" w:rsidRDefault="00A03923" w:rsidP="00137BC9">
      <w:pPr>
        <w:pStyle w:val="Akapitzlist"/>
        <w:numPr>
          <w:ilvl w:val="0"/>
          <w:numId w:val="44"/>
        </w:numPr>
        <w:tabs>
          <w:tab w:val="left" w:pos="0"/>
          <w:tab w:val="right" w:pos="284"/>
        </w:tabs>
        <w:spacing w:after="0" w:line="240" w:lineRule="auto"/>
        <w:jc w:val="both"/>
        <w:rPr>
          <w:rFonts w:ascii="Arial" w:hAnsi="Arial" w:cs="Arial"/>
          <w:sz w:val="16"/>
          <w:szCs w:val="16"/>
        </w:rPr>
      </w:pPr>
      <w:r w:rsidRPr="00BD06F4">
        <w:rPr>
          <w:rFonts w:ascii="Arial" w:hAnsi="Arial" w:cs="Arial"/>
          <w:sz w:val="16"/>
          <w:szCs w:val="16"/>
        </w:rPr>
        <w:t xml:space="preserve">telekomunikacyjne obiekty budowlane tj. </w:t>
      </w:r>
      <w:r w:rsidRPr="00BD06F4">
        <w:rPr>
          <w:rFonts w:ascii="Arial" w:hAnsi="Arial" w:cs="Arial"/>
          <w:i/>
          <w:sz w:val="16"/>
          <w:szCs w:val="16"/>
        </w:rPr>
        <w:t>linię kablową podziemną, linię kablową nadziemną, kanalizację kablową, kontenery telekomunikacyjne, szafy kablowe oraz wolno stojące konstrukcje wsporcze anten i urządzeń radiowych, w tym wolno stojące maszty antenowe i wolno stojące wieże antenowe</w:t>
      </w:r>
      <w:r w:rsidRPr="00BD06F4">
        <w:rPr>
          <w:rFonts w:ascii="Arial" w:hAnsi="Arial" w:cs="Arial"/>
          <w:sz w:val="16"/>
          <w:szCs w:val="16"/>
        </w:rPr>
        <w:t>,</w:t>
      </w:r>
    </w:p>
    <w:p w:rsidR="00A03923" w:rsidRPr="00627D8F" w:rsidRDefault="00A03923" w:rsidP="00137BC9">
      <w:pPr>
        <w:pStyle w:val="Akapitzlist"/>
        <w:numPr>
          <w:ilvl w:val="0"/>
          <w:numId w:val="44"/>
        </w:numPr>
        <w:tabs>
          <w:tab w:val="left" w:pos="0"/>
          <w:tab w:val="right" w:pos="284"/>
        </w:tabs>
        <w:spacing w:after="0" w:line="240" w:lineRule="auto"/>
        <w:jc w:val="both"/>
      </w:pPr>
      <w:r w:rsidRPr="007F43F6">
        <w:rPr>
          <w:rFonts w:ascii="Arial" w:hAnsi="Arial" w:cs="Arial"/>
          <w:sz w:val="16"/>
          <w:szCs w:val="16"/>
        </w:rPr>
        <w:t>podbudowę nadziemną wykorzystywaną do realizacji linii kablowych nadziemnych.</w:t>
      </w:r>
    </w:p>
    <w:p w:rsidR="00A03923" w:rsidRPr="00790328" w:rsidRDefault="00A03923" w:rsidP="00DD0F75">
      <w:pPr>
        <w:pStyle w:val="Tekstprzypisudolnego"/>
        <w:rPr>
          <w:lang w:val="pl-PL"/>
        </w:rPr>
      </w:pPr>
    </w:p>
  </w:footnote>
  <w:footnote w:id="23">
    <w:p w:rsidR="00A03923" w:rsidRPr="004A6DED" w:rsidRDefault="00A03923" w:rsidP="00DD0F75">
      <w:pPr>
        <w:pStyle w:val="Tekstprzypisudolnego"/>
        <w:ind w:hanging="436"/>
        <w:jc w:val="both"/>
        <w:rPr>
          <w:rFonts w:ascii="Arial" w:eastAsiaTheme="minorHAnsi" w:hAnsi="Arial" w:cs="Arial"/>
          <w:sz w:val="16"/>
          <w:szCs w:val="16"/>
          <w:lang w:val="pl-PL"/>
        </w:rPr>
      </w:pPr>
      <w:r w:rsidRPr="004A6DED">
        <w:rPr>
          <w:rStyle w:val="Odwoanieprzypisudolnego"/>
          <w:rFonts w:asciiTheme="minorHAnsi" w:eastAsiaTheme="minorHAnsi" w:hAnsiTheme="minorHAnsi" w:cstheme="minorBidi"/>
          <w:sz w:val="22"/>
          <w:szCs w:val="22"/>
          <w:lang w:val="pl-PL"/>
        </w:rPr>
        <w:footnoteRef/>
      </w:r>
      <w:r w:rsidRPr="004A6DED">
        <w:rPr>
          <w:rStyle w:val="Odwoanieprzypisudolnego"/>
          <w:rFonts w:asciiTheme="minorHAnsi" w:eastAsiaTheme="minorHAnsi" w:hAnsiTheme="minorHAnsi" w:cstheme="minorBidi"/>
          <w:sz w:val="22"/>
          <w:szCs w:val="22"/>
          <w:lang w:val="pl-PL"/>
        </w:rPr>
        <w:t xml:space="preserve"> </w:t>
      </w:r>
      <w:r w:rsidRPr="004A6DED">
        <w:rPr>
          <w:rStyle w:val="Odwoanieprzypisudolnego"/>
          <w:rFonts w:asciiTheme="minorHAnsi" w:eastAsiaTheme="minorHAnsi" w:hAnsiTheme="minorHAnsi" w:cstheme="minorBidi"/>
          <w:sz w:val="22"/>
          <w:szCs w:val="22"/>
        </w:rPr>
        <w:t xml:space="preserve"> </w:t>
      </w:r>
      <w:r w:rsidRPr="004A6DED">
        <w:rPr>
          <w:rFonts w:ascii="Arial" w:eastAsiaTheme="minorHAnsi" w:hAnsi="Arial" w:cs="Arial"/>
          <w:sz w:val="16"/>
          <w:szCs w:val="16"/>
          <w:lang w:val="pl-PL"/>
        </w:rPr>
        <w:t>należy przez to rozumieć nabywanie rzeczy, praw oraz innych dóbr, w szczególności na podstawie umowy sprzedaży, dostawy, najmu, dzierżawy oraz leasingu</w:t>
      </w:r>
      <w:r w:rsidRPr="005321DB">
        <w:rPr>
          <w:rFonts w:ascii="Arial" w:eastAsiaTheme="minorHAnsi" w:hAnsi="Arial" w:cs="Arial"/>
          <w:sz w:val="16"/>
          <w:szCs w:val="16"/>
          <w:lang w:val="pl-PL"/>
        </w:rPr>
        <w:t>.</w:t>
      </w:r>
    </w:p>
  </w:footnote>
  <w:footnote w:id="24">
    <w:p w:rsidR="00A03923" w:rsidRPr="0011522A" w:rsidRDefault="00A03923" w:rsidP="00DD0F75">
      <w:pPr>
        <w:tabs>
          <w:tab w:val="left" w:pos="0"/>
          <w:tab w:val="left" w:pos="284"/>
        </w:tabs>
        <w:autoSpaceDE w:val="0"/>
        <w:autoSpaceDN w:val="0"/>
        <w:adjustRightInd w:val="0"/>
        <w:spacing w:after="0" w:line="240" w:lineRule="auto"/>
        <w:ind w:left="284"/>
        <w:jc w:val="both"/>
        <w:rPr>
          <w:rFonts w:ascii="Arial" w:hAnsi="Arial" w:cs="Arial"/>
          <w:sz w:val="16"/>
          <w:szCs w:val="16"/>
        </w:rPr>
      </w:pPr>
      <w:r w:rsidRPr="00966A4E">
        <w:rPr>
          <w:rStyle w:val="Odwoanieprzypisudolnego"/>
        </w:rPr>
        <w:footnoteRef/>
      </w:r>
      <w:r>
        <w:t xml:space="preserve"> </w:t>
      </w:r>
      <w:r w:rsidRPr="0011522A">
        <w:rPr>
          <w:rFonts w:ascii="Arial" w:hAnsi="Arial" w:cs="Arial"/>
          <w:sz w:val="16"/>
          <w:szCs w:val="16"/>
        </w:rPr>
        <w:t xml:space="preserve">Sieć szkieletowa i dystrybucyjna definiowana jest zgodnie z Rozporządzeniem Ministra Administracji i Cyfryzacji z dnia 24 lutego 2014 r. </w:t>
      </w:r>
      <w:r w:rsidRPr="0011522A">
        <w:rPr>
          <w:rFonts w:ascii="Arial" w:hAnsi="Arial" w:cs="Arial"/>
          <w:i/>
          <w:sz w:val="16"/>
          <w:szCs w:val="16"/>
        </w:rPr>
        <w:t>w sprawie inwentaryzacji infrastruktury i usług telekomunikacyjnych</w:t>
      </w:r>
      <w:r w:rsidRPr="0011522A">
        <w:rPr>
          <w:rFonts w:ascii="Arial" w:hAnsi="Arial" w:cs="Arial"/>
          <w:sz w:val="16"/>
          <w:szCs w:val="16"/>
        </w:rPr>
        <w:t xml:space="preserve"> tj.:</w:t>
      </w:r>
    </w:p>
    <w:p w:rsidR="00A03923" w:rsidRPr="0011522A" w:rsidRDefault="00A03923" w:rsidP="00137BC9">
      <w:pPr>
        <w:pStyle w:val="Akapitzlist"/>
        <w:numPr>
          <w:ilvl w:val="0"/>
          <w:numId w:val="34"/>
        </w:numPr>
        <w:tabs>
          <w:tab w:val="left" w:pos="0"/>
          <w:tab w:val="left" w:pos="284"/>
        </w:tabs>
        <w:autoSpaceDE w:val="0"/>
        <w:autoSpaceDN w:val="0"/>
        <w:adjustRightInd w:val="0"/>
        <w:spacing w:after="0" w:line="240" w:lineRule="auto"/>
        <w:contextualSpacing w:val="0"/>
        <w:jc w:val="both"/>
        <w:rPr>
          <w:rFonts w:ascii="Arial" w:hAnsi="Arial" w:cs="Arial"/>
          <w:sz w:val="16"/>
          <w:szCs w:val="16"/>
        </w:rPr>
      </w:pPr>
      <w:r w:rsidRPr="0011522A">
        <w:rPr>
          <w:rFonts w:ascii="Arial" w:hAnsi="Arial" w:cs="Arial"/>
          <w:sz w:val="16"/>
          <w:szCs w:val="16"/>
        </w:rPr>
        <w:t xml:space="preserve">szkieletowa sieć telekomunikacyjna - </w:t>
      </w:r>
      <w:r w:rsidRPr="0011522A">
        <w:rPr>
          <w:rFonts w:ascii="Arial" w:hAnsi="Arial" w:cs="Arial"/>
          <w:i/>
          <w:sz w:val="16"/>
          <w:szCs w:val="16"/>
        </w:rPr>
        <w:t>rozumie się przez to najwyższą warstwę publicznej sieci telekomunikacyjnej, agregującą ruch sieciowy z niższych warstw sieci</w:t>
      </w:r>
      <w:r w:rsidRPr="0011522A">
        <w:rPr>
          <w:rFonts w:ascii="Arial" w:hAnsi="Arial" w:cs="Arial"/>
          <w:sz w:val="16"/>
          <w:szCs w:val="16"/>
        </w:rPr>
        <w:t>;</w:t>
      </w:r>
    </w:p>
    <w:p w:rsidR="00A03923" w:rsidRPr="0011522A" w:rsidRDefault="00A03923" w:rsidP="00137BC9">
      <w:pPr>
        <w:pStyle w:val="Akapitzlist"/>
        <w:numPr>
          <w:ilvl w:val="0"/>
          <w:numId w:val="34"/>
        </w:numPr>
        <w:tabs>
          <w:tab w:val="left" w:pos="0"/>
          <w:tab w:val="left" w:pos="284"/>
        </w:tabs>
        <w:autoSpaceDE w:val="0"/>
        <w:autoSpaceDN w:val="0"/>
        <w:adjustRightInd w:val="0"/>
        <w:spacing w:after="0" w:line="240" w:lineRule="auto"/>
        <w:contextualSpacing w:val="0"/>
        <w:jc w:val="both"/>
        <w:rPr>
          <w:rFonts w:ascii="Arial" w:hAnsi="Arial" w:cs="Arial"/>
          <w:sz w:val="16"/>
          <w:szCs w:val="16"/>
        </w:rPr>
      </w:pPr>
      <w:r w:rsidRPr="0011522A">
        <w:rPr>
          <w:rFonts w:ascii="Arial" w:hAnsi="Arial" w:cs="Arial"/>
          <w:sz w:val="16"/>
          <w:szCs w:val="16"/>
        </w:rPr>
        <w:t xml:space="preserve">dystrybucyjna sieć telekomunikacyjna </w:t>
      </w:r>
      <w:r w:rsidRPr="0011522A">
        <w:rPr>
          <w:rFonts w:ascii="Arial" w:hAnsi="Arial" w:cs="Arial"/>
          <w:i/>
          <w:sz w:val="16"/>
          <w:szCs w:val="16"/>
        </w:rPr>
        <w:t>- rozumie się przez to warstwę publicznej sieci telekomunikacyjnej, łączącą węzły szkieletowej sieci telekomunikacyjnej z agregującymi ruch od użytkowników końcowych węzłami dostępowej sieci telekomunikacyjnej</w:t>
      </w:r>
      <w:r w:rsidRPr="0011522A">
        <w:rPr>
          <w:rFonts w:ascii="Arial" w:hAnsi="Arial" w:cs="Arial"/>
          <w:sz w:val="16"/>
          <w:szCs w:val="16"/>
        </w:rPr>
        <w:t>.</w:t>
      </w:r>
    </w:p>
    <w:p w:rsidR="00A03923" w:rsidRPr="00966A4E" w:rsidRDefault="00A03923" w:rsidP="00DD0F75">
      <w:pPr>
        <w:pStyle w:val="Tekstprzypisudolnego"/>
      </w:pPr>
    </w:p>
  </w:footnote>
  <w:footnote w:id="25">
    <w:p w:rsidR="00A03923" w:rsidRPr="00D34651" w:rsidRDefault="00A03923" w:rsidP="00DD0F75">
      <w:pPr>
        <w:pStyle w:val="Tekstprzypisudolnego"/>
        <w:rPr>
          <w:rFonts w:ascii="Arial" w:hAnsi="Arial" w:cs="Arial"/>
          <w:sz w:val="18"/>
          <w:szCs w:val="18"/>
          <w:lang w:val="pl-PL"/>
        </w:rPr>
      </w:pPr>
      <w:r w:rsidRPr="00D34651">
        <w:rPr>
          <w:rStyle w:val="Odwoanieprzypisudolnego"/>
          <w:rFonts w:ascii="Arial" w:hAnsi="Arial" w:cs="Arial"/>
          <w:sz w:val="18"/>
          <w:szCs w:val="18"/>
        </w:rPr>
        <w:footnoteRef/>
      </w:r>
      <w:r w:rsidRPr="00D34651">
        <w:rPr>
          <w:rFonts w:ascii="Arial" w:hAnsi="Arial" w:cs="Arial"/>
          <w:sz w:val="18"/>
          <w:szCs w:val="18"/>
        </w:rPr>
        <w:t xml:space="preserve"> </w:t>
      </w:r>
      <w:r w:rsidRPr="00D34651">
        <w:rPr>
          <w:rFonts w:ascii="Arial" w:hAnsi="Arial" w:cs="Arial"/>
          <w:sz w:val="18"/>
          <w:szCs w:val="18"/>
          <w:lang w:val="pl-PL"/>
        </w:rPr>
        <w:t>Umowa o udzielenie wsparcia – oznacza umowę o dofinansowanie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049"/>
    <w:multiLevelType w:val="hybridMultilevel"/>
    <w:tmpl w:val="C4207C0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611533"/>
    <w:multiLevelType w:val="hybridMultilevel"/>
    <w:tmpl w:val="C4207C0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38178D"/>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E6406C"/>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4EB5C55"/>
    <w:multiLevelType w:val="hybridMultilevel"/>
    <w:tmpl w:val="BCF6C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B5FFC"/>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9C66EA"/>
    <w:multiLevelType w:val="hybridMultilevel"/>
    <w:tmpl w:val="BCF6C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B45CCC"/>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nsid w:val="0F7411F3"/>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D92CF0"/>
    <w:multiLevelType w:val="hybridMultilevel"/>
    <w:tmpl w:val="C9EA9F20"/>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DA3210"/>
    <w:multiLevelType w:val="hybridMultilevel"/>
    <w:tmpl w:val="C9EA9F20"/>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3F5B3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4506975"/>
    <w:multiLevelType w:val="hybridMultilevel"/>
    <w:tmpl w:val="C9EA9F20"/>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1B80279C"/>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EBB26D1"/>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443C6C"/>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24">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2D63590"/>
    <w:multiLevelType w:val="hybridMultilevel"/>
    <w:tmpl w:val="C4207C06"/>
    <w:lvl w:ilvl="0" w:tplc="0415001B">
      <w:start w:val="1"/>
      <w:numFmt w:val="lowerRoman"/>
      <w:lvlText w:val="%1."/>
      <w:lvlJc w:val="righ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DF3462"/>
    <w:multiLevelType w:val="hybridMultilevel"/>
    <w:tmpl w:val="ADC26E60"/>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9">
    <w:nsid w:val="29C11BC9"/>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F7594F"/>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BF2132"/>
    <w:multiLevelType w:val="hybridMultilevel"/>
    <w:tmpl w:val="BCF6C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34">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30B5D61"/>
    <w:multiLevelType w:val="hybridMultilevel"/>
    <w:tmpl w:val="C9EA9F20"/>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8D6369E"/>
    <w:multiLevelType w:val="singleLevel"/>
    <w:tmpl w:val="95708AFE"/>
    <w:lvl w:ilvl="0">
      <w:start w:val="1"/>
      <w:numFmt w:val="decimal"/>
      <w:lvlText w:val="%1)"/>
      <w:lvlJc w:val="left"/>
      <w:pPr>
        <w:ind w:left="720" w:hanging="360"/>
      </w:pPr>
      <w:rPr>
        <w:rFonts w:hint="default"/>
        <w:b w:val="0"/>
        <w:i w:val="0"/>
        <w:sz w:val="22"/>
        <w:szCs w:val="22"/>
      </w:rPr>
    </w:lvl>
  </w:abstractNum>
  <w:abstractNum w:abstractNumId="39">
    <w:nsid w:val="3C40280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3BE7FD0"/>
    <w:multiLevelType w:val="hybridMultilevel"/>
    <w:tmpl w:val="C9EA9F20"/>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45853345"/>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58E24DC"/>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7206B3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E000EC5"/>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600D0A"/>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CB0B9C"/>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01801C8"/>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0662173"/>
    <w:multiLevelType w:val="hybridMultilevel"/>
    <w:tmpl w:val="CE0C455E"/>
    <w:lvl w:ilvl="0" w:tplc="BE623D7A">
      <w:start w:val="1"/>
      <w:numFmt w:val="decimal"/>
      <w:lvlText w:val="%1)"/>
      <w:lvlJc w:val="left"/>
      <w:pPr>
        <w:ind w:left="360" w:hanging="360"/>
      </w:pPr>
      <w:rPr>
        <w:rFonts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0C84D0C"/>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299737E"/>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61">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5AB777F6"/>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5EF6555B"/>
    <w:multiLevelType w:val="hybridMultilevel"/>
    <w:tmpl w:val="9156F3FA"/>
    <w:lvl w:ilvl="0" w:tplc="852A32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2F5A5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0D522DD"/>
    <w:multiLevelType w:val="hybridMultilevel"/>
    <w:tmpl w:val="C9EA9F20"/>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1">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287"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6767398C"/>
    <w:multiLevelType w:val="hybridMultilevel"/>
    <w:tmpl w:val="E8F6DF8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683169F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E83133"/>
    <w:multiLevelType w:val="multilevel"/>
    <w:tmpl w:val="D2BC3306"/>
    <w:lvl w:ilvl="0">
      <w:start w:val="4"/>
      <w:numFmt w:val="decimal"/>
      <w:lvlText w:val="%1."/>
      <w:lvlJc w:val="left"/>
      <w:pPr>
        <w:ind w:left="720" w:hanging="360"/>
      </w:pPr>
      <w:rPr>
        <w:rFonts w:hint="default"/>
      </w:rPr>
    </w:lvl>
    <w:lvl w:ilvl="1">
      <w:start w:val="4"/>
      <w:numFmt w:val="decimal"/>
      <w:isLgl/>
      <w:lvlText w:val="%1.%2"/>
      <w:lvlJc w:val="left"/>
      <w:pPr>
        <w:ind w:left="1004" w:hanging="720"/>
      </w:pPr>
      <w:rPr>
        <w:rFonts w:hint="default"/>
        <w:color w:val="auto"/>
      </w:rPr>
    </w:lvl>
    <w:lvl w:ilvl="2">
      <w:start w:val="1"/>
      <w:numFmt w:val="decimal"/>
      <w:isLgl/>
      <w:lvlText w:val="%1.%2.%3"/>
      <w:lvlJc w:val="left"/>
      <w:pPr>
        <w:ind w:left="1287"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B987E75"/>
    <w:multiLevelType w:val="hybridMultilevel"/>
    <w:tmpl w:val="235CFED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BB966F7"/>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nsid w:val="6CB11F59"/>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89">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9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72E91D11"/>
    <w:multiLevelType w:val="hybridMultilevel"/>
    <w:tmpl w:val="9156F3FA"/>
    <w:lvl w:ilvl="0" w:tplc="852A32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45B232E"/>
    <w:multiLevelType w:val="hybridMultilevel"/>
    <w:tmpl w:val="B9ACA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9F91A27"/>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ABD06A6"/>
    <w:multiLevelType w:val="hybridMultilevel"/>
    <w:tmpl w:val="666E0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AF556C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C407D96"/>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00">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01">
    <w:nsid w:val="7D213BAA"/>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7D6E38AC"/>
    <w:multiLevelType w:val="hybridMultilevel"/>
    <w:tmpl w:val="C4207C06"/>
    <w:lvl w:ilvl="0" w:tplc="0415001B">
      <w:start w:val="1"/>
      <w:numFmt w:val="lowerRoman"/>
      <w:lvlText w:val="%1."/>
      <w:lvlJc w:val="righ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1"/>
  </w:num>
  <w:num w:numId="2">
    <w:abstractNumId w:val="48"/>
  </w:num>
  <w:num w:numId="3">
    <w:abstractNumId w:val="90"/>
  </w:num>
  <w:num w:numId="4">
    <w:abstractNumId w:val="89"/>
  </w:num>
  <w:num w:numId="5">
    <w:abstractNumId w:val="73"/>
  </w:num>
  <w:num w:numId="6">
    <w:abstractNumId w:val="94"/>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8"/>
  </w:num>
  <w:num w:numId="11">
    <w:abstractNumId w:val="66"/>
  </w:num>
  <w:num w:numId="12">
    <w:abstractNumId w:val="86"/>
  </w:num>
  <w:num w:numId="13">
    <w:abstractNumId w:val="65"/>
  </w:num>
  <w:num w:numId="14">
    <w:abstractNumId w:val="61"/>
  </w:num>
  <w:num w:numId="15">
    <w:abstractNumId w:val="103"/>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84"/>
  </w:num>
  <w:num w:numId="19">
    <w:abstractNumId w:val="63"/>
  </w:num>
  <w:num w:numId="20">
    <w:abstractNumId w:val="37"/>
  </w:num>
  <w:num w:numId="21">
    <w:abstractNumId w:val="72"/>
  </w:num>
  <w:num w:numId="22">
    <w:abstractNumId w:val="18"/>
  </w:num>
  <w:num w:numId="23">
    <w:abstractNumId w:val="44"/>
  </w:num>
  <w:num w:numId="24">
    <w:abstractNumId w:val="79"/>
  </w:num>
  <w:num w:numId="25">
    <w:abstractNumId w:val="60"/>
  </w:num>
  <w:num w:numId="26">
    <w:abstractNumId w:val="23"/>
  </w:num>
  <w:num w:numId="27">
    <w:abstractNumId w:val="95"/>
  </w:num>
  <w:num w:numId="28">
    <w:abstractNumId w:val="4"/>
  </w:num>
  <w:num w:numId="29">
    <w:abstractNumId w:val="25"/>
  </w:num>
  <w:num w:numId="30">
    <w:abstractNumId w:val="58"/>
  </w:num>
  <w:num w:numId="31">
    <w:abstractNumId w:val="53"/>
  </w:num>
  <w:num w:numId="32">
    <w:abstractNumId w:val="92"/>
  </w:num>
  <w:num w:numId="33">
    <w:abstractNumId w:val="15"/>
  </w:num>
  <w:num w:numId="34">
    <w:abstractNumId w:val="19"/>
  </w:num>
  <w:num w:numId="35">
    <w:abstractNumId w:val="59"/>
  </w:num>
  <w:num w:numId="36">
    <w:abstractNumId w:val="77"/>
  </w:num>
  <w:num w:numId="37">
    <w:abstractNumId w:val="34"/>
  </w:num>
  <w:num w:numId="38">
    <w:abstractNumId w:val="7"/>
  </w:num>
  <w:num w:numId="39">
    <w:abstractNumId w:val="32"/>
  </w:num>
  <w:num w:numId="40">
    <w:abstractNumId w:val="64"/>
  </w:num>
  <w:num w:numId="41">
    <w:abstractNumId w:val="40"/>
  </w:num>
  <w:num w:numId="42">
    <w:abstractNumId w:val="13"/>
  </w:num>
  <w:num w:numId="43">
    <w:abstractNumId w:val="27"/>
  </w:num>
  <w:num w:numId="44">
    <w:abstractNumId w:val="9"/>
  </w:num>
  <w:num w:numId="45">
    <w:abstractNumId w:val="70"/>
  </w:num>
  <w:num w:numId="46">
    <w:abstractNumId w:val="35"/>
  </w:num>
  <w:num w:numId="47">
    <w:abstractNumId w:val="43"/>
  </w:num>
  <w:num w:numId="48">
    <w:abstractNumId w:val="33"/>
  </w:num>
  <w:num w:numId="49">
    <w:abstractNumId w:val="41"/>
  </w:num>
  <w:num w:numId="50">
    <w:abstractNumId w:val="81"/>
  </w:num>
  <w:num w:numId="51">
    <w:abstractNumId w:val="100"/>
  </w:num>
  <w:num w:numId="52">
    <w:abstractNumId w:val="80"/>
  </w:num>
  <w:num w:numId="53">
    <w:abstractNumId w:val="24"/>
  </w:num>
  <w:num w:numId="54">
    <w:abstractNumId w:val="31"/>
  </w:num>
  <w:num w:numId="55">
    <w:abstractNumId w:val="67"/>
  </w:num>
  <w:num w:numId="56">
    <w:abstractNumId w:val="99"/>
  </w:num>
  <w:num w:numId="57">
    <w:abstractNumId w:val="51"/>
  </w:num>
  <w:num w:numId="58">
    <w:abstractNumId w:val="6"/>
  </w:num>
  <w:num w:numId="59">
    <w:abstractNumId w:val="30"/>
  </w:num>
  <w:num w:numId="60">
    <w:abstractNumId w:val="20"/>
  </w:num>
  <w:num w:numId="61">
    <w:abstractNumId w:val="101"/>
  </w:num>
  <w:num w:numId="62">
    <w:abstractNumId w:val="98"/>
  </w:num>
  <w:num w:numId="63">
    <w:abstractNumId w:val="22"/>
  </w:num>
  <w:num w:numId="64">
    <w:abstractNumId w:val="83"/>
  </w:num>
  <w:num w:numId="65">
    <w:abstractNumId w:val="47"/>
  </w:num>
  <w:num w:numId="66">
    <w:abstractNumId w:val="8"/>
  </w:num>
  <w:num w:numId="67">
    <w:abstractNumId w:val="2"/>
  </w:num>
  <w:num w:numId="68">
    <w:abstractNumId w:val="54"/>
  </w:num>
  <w:num w:numId="69">
    <w:abstractNumId w:val="11"/>
  </w:num>
  <w:num w:numId="70">
    <w:abstractNumId w:val="16"/>
  </w:num>
  <w:num w:numId="71">
    <w:abstractNumId w:val="36"/>
  </w:num>
  <w:num w:numId="72">
    <w:abstractNumId w:val="10"/>
  </w:num>
  <w:num w:numId="73">
    <w:abstractNumId w:val="5"/>
  </w:num>
  <w:num w:numId="74">
    <w:abstractNumId w:val="91"/>
  </w:num>
  <w:num w:numId="75">
    <w:abstractNumId w:val="28"/>
  </w:num>
  <w:num w:numId="76">
    <w:abstractNumId w:val="29"/>
  </w:num>
  <w:num w:numId="77">
    <w:abstractNumId w:val="21"/>
  </w:num>
  <w:num w:numId="78">
    <w:abstractNumId w:val="93"/>
  </w:num>
  <w:num w:numId="79">
    <w:abstractNumId w:val="17"/>
  </w:num>
  <w:num w:numId="80">
    <w:abstractNumId w:val="68"/>
  </w:num>
  <w:num w:numId="81">
    <w:abstractNumId w:val="45"/>
  </w:num>
  <w:num w:numId="82">
    <w:abstractNumId w:val="57"/>
  </w:num>
  <w:num w:numId="83">
    <w:abstractNumId w:val="50"/>
  </w:num>
  <w:num w:numId="84">
    <w:abstractNumId w:val="46"/>
  </w:num>
  <w:num w:numId="85">
    <w:abstractNumId w:val="62"/>
  </w:num>
  <w:num w:numId="86">
    <w:abstractNumId w:val="52"/>
  </w:num>
  <w:num w:numId="87">
    <w:abstractNumId w:val="74"/>
  </w:num>
  <w:num w:numId="88">
    <w:abstractNumId w:val="97"/>
  </w:num>
  <w:num w:numId="89">
    <w:abstractNumId w:val="55"/>
  </w:num>
  <w:num w:numId="90">
    <w:abstractNumId w:val="82"/>
  </w:num>
  <w:num w:numId="91">
    <w:abstractNumId w:val="12"/>
  </w:num>
  <w:num w:numId="92">
    <w:abstractNumId w:val="3"/>
  </w:num>
  <w:num w:numId="93">
    <w:abstractNumId w:val="56"/>
  </w:num>
  <w:num w:numId="94">
    <w:abstractNumId w:val="0"/>
  </w:num>
  <w:num w:numId="95">
    <w:abstractNumId w:val="1"/>
  </w:num>
  <w:num w:numId="96">
    <w:abstractNumId w:val="26"/>
  </w:num>
  <w:num w:numId="97">
    <w:abstractNumId w:val="39"/>
  </w:num>
  <w:num w:numId="98">
    <w:abstractNumId w:val="96"/>
  </w:num>
  <w:num w:numId="99">
    <w:abstractNumId w:val="75"/>
  </w:num>
  <w:num w:numId="100">
    <w:abstractNumId w:val="102"/>
  </w:num>
  <w:num w:numId="101">
    <w:abstractNumId w:val="69"/>
  </w:num>
  <w:num w:numId="102">
    <w:abstractNumId w:val="78"/>
  </w:num>
  <w:num w:numId="103">
    <w:abstractNumId w:val="85"/>
  </w:num>
  <w:num w:numId="104">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94F"/>
    <w:rsid w:val="00037054"/>
    <w:rsid w:val="000379CA"/>
    <w:rsid w:val="00037A99"/>
    <w:rsid w:val="00037BC9"/>
    <w:rsid w:val="00040C25"/>
    <w:rsid w:val="000410BF"/>
    <w:rsid w:val="00042EE0"/>
    <w:rsid w:val="00043E8A"/>
    <w:rsid w:val="00044603"/>
    <w:rsid w:val="00045401"/>
    <w:rsid w:val="000456F0"/>
    <w:rsid w:val="00045D7E"/>
    <w:rsid w:val="000475A0"/>
    <w:rsid w:val="0004784F"/>
    <w:rsid w:val="00050247"/>
    <w:rsid w:val="000509B4"/>
    <w:rsid w:val="000521D0"/>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13B9"/>
    <w:rsid w:val="00071740"/>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3F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EEF"/>
    <w:rsid w:val="00097B59"/>
    <w:rsid w:val="000A0499"/>
    <w:rsid w:val="000A0535"/>
    <w:rsid w:val="000A2712"/>
    <w:rsid w:val="000A2A22"/>
    <w:rsid w:val="000A2EED"/>
    <w:rsid w:val="000A3879"/>
    <w:rsid w:val="000A3D3D"/>
    <w:rsid w:val="000A3FAE"/>
    <w:rsid w:val="000A5790"/>
    <w:rsid w:val="000A6538"/>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B76BC"/>
    <w:rsid w:val="000C0132"/>
    <w:rsid w:val="000C0EAB"/>
    <w:rsid w:val="000C13DB"/>
    <w:rsid w:val="000C19C0"/>
    <w:rsid w:val="000C1A98"/>
    <w:rsid w:val="000C2827"/>
    <w:rsid w:val="000C2C01"/>
    <w:rsid w:val="000C3534"/>
    <w:rsid w:val="000C4F74"/>
    <w:rsid w:val="000C548C"/>
    <w:rsid w:val="000C6255"/>
    <w:rsid w:val="000C73CA"/>
    <w:rsid w:val="000D0034"/>
    <w:rsid w:val="000D0300"/>
    <w:rsid w:val="000D066D"/>
    <w:rsid w:val="000D08A5"/>
    <w:rsid w:val="000D1C63"/>
    <w:rsid w:val="000D1E84"/>
    <w:rsid w:val="000D28C8"/>
    <w:rsid w:val="000D309A"/>
    <w:rsid w:val="000D406D"/>
    <w:rsid w:val="000D419C"/>
    <w:rsid w:val="000D4B02"/>
    <w:rsid w:val="000D5644"/>
    <w:rsid w:val="000D5876"/>
    <w:rsid w:val="000D7515"/>
    <w:rsid w:val="000D79AE"/>
    <w:rsid w:val="000D7FC0"/>
    <w:rsid w:val="000E0615"/>
    <w:rsid w:val="000E1269"/>
    <w:rsid w:val="000E1626"/>
    <w:rsid w:val="000E16BE"/>
    <w:rsid w:val="000E3421"/>
    <w:rsid w:val="000E3AAB"/>
    <w:rsid w:val="000E3FA5"/>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059"/>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74B"/>
    <w:rsid w:val="00132869"/>
    <w:rsid w:val="00132BE3"/>
    <w:rsid w:val="00134061"/>
    <w:rsid w:val="00135077"/>
    <w:rsid w:val="001359B7"/>
    <w:rsid w:val="00136638"/>
    <w:rsid w:val="00136A4C"/>
    <w:rsid w:val="00137BBF"/>
    <w:rsid w:val="00137BC9"/>
    <w:rsid w:val="00140537"/>
    <w:rsid w:val="00140E9C"/>
    <w:rsid w:val="0014122D"/>
    <w:rsid w:val="001424A1"/>
    <w:rsid w:val="00142D92"/>
    <w:rsid w:val="00142E02"/>
    <w:rsid w:val="001430DE"/>
    <w:rsid w:val="001439C2"/>
    <w:rsid w:val="00146312"/>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1E7C"/>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32A9"/>
    <w:rsid w:val="00173EDE"/>
    <w:rsid w:val="00174638"/>
    <w:rsid w:val="001747C0"/>
    <w:rsid w:val="00175527"/>
    <w:rsid w:val="00176626"/>
    <w:rsid w:val="00176DC9"/>
    <w:rsid w:val="00176E4C"/>
    <w:rsid w:val="00176EE6"/>
    <w:rsid w:val="00176FE7"/>
    <w:rsid w:val="00177350"/>
    <w:rsid w:val="001773D8"/>
    <w:rsid w:val="00180CF6"/>
    <w:rsid w:val="00181391"/>
    <w:rsid w:val="00181F03"/>
    <w:rsid w:val="0018204E"/>
    <w:rsid w:val="001823B0"/>
    <w:rsid w:val="00182454"/>
    <w:rsid w:val="001829DF"/>
    <w:rsid w:val="00182A7C"/>
    <w:rsid w:val="0018384D"/>
    <w:rsid w:val="00183A6B"/>
    <w:rsid w:val="0018452E"/>
    <w:rsid w:val="00184C34"/>
    <w:rsid w:val="00184E6E"/>
    <w:rsid w:val="0018519F"/>
    <w:rsid w:val="001853E1"/>
    <w:rsid w:val="00185B94"/>
    <w:rsid w:val="00187C2C"/>
    <w:rsid w:val="00191704"/>
    <w:rsid w:val="001917FD"/>
    <w:rsid w:val="00191D8F"/>
    <w:rsid w:val="00192F06"/>
    <w:rsid w:val="00193059"/>
    <w:rsid w:val="0019369D"/>
    <w:rsid w:val="001936FF"/>
    <w:rsid w:val="0019373C"/>
    <w:rsid w:val="00193874"/>
    <w:rsid w:val="00195512"/>
    <w:rsid w:val="001957C2"/>
    <w:rsid w:val="00196134"/>
    <w:rsid w:val="00196A2F"/>
    <w:rsid w:val="00197016"/>
    <w:rsid w:val="00197515"/>
    <w:rsid w:val="00197752"/>
    <w:rsid w:val="001A038A"/>
    <w:rsid w:val="001A0724"/>
    <w:rsid w:val="001A0739"/>
    <w:rsid w:val="001A10AC"/>
    <w:rsid w:val="001A1EA4"/>
    <w:rsid w:val="001A2F4F"/>
    <w:rsid w:val="001A3DB1"/>
    <w:rsid w:val="001A58B3"/>
    <w:rsid w:val="001A61B7"/>
    <w:rsid w:val="001A6A6C"/>
    <w:rsid w:val="001A6D76"/>
    <w:rsid w:val="001A714B"/>
    <w:rsid w:val="001A794E"/>
    <w:rsid w:val="001B051A"/>
    <w:rsid w:val="001B213A"/>
    <w:rsid w:val="001B27A2"/>
    <w:rsid w:val="001B2E78"/>
    <w:rsid w:val="001B330C"/>
    <w:rsid w:val="001B345A"/>
    <w:rsid w:val="001B34E4"/>
    <w:rsid w:val="001B5166"/>
    <w:rsid w:val="001B5E60"/>
    <w:rsid w:val="001B5F57"/>
    <w:rsid w:val="001B6400"/>
    <w:rsid w:val="001B7151"/>
    <w:rsid w:val="001B77C5"/>
    <w:rsid w:val="001B7EDD"/>
    <w:rsid w:val="001B7EFE"/>
    <w:rsid w:val="001C0046"/>
    <w:rsid w:val="001C041B"/>
    <w:rsid w:val="001C0494"/>
    <w:rsid w:val="001C052F"/>
    <w:rsid w:val="001C278F"/>
    <w:rsid w:val="001C2814"/>
    <w:rsid w:val="001C3CAC"/>
    <w:rsid w:val="001C4734"/>
    <w:rsid w:val="001C60ED"/>
    <w:rsid w:val="001C6FB3"/>
    <w:rsid w:val="001D0403"/>
    <w:rsid w:val="001D1819"/>
    <w:rsid w:val="001D1B9C"/>
    <w:rsid w:val="001D21C2"/>
    <w:rsid w:val="001D23A5"/>
    <w:rsid w:val="001D2B1F"/>
    <w:rsid w:val="001D5656"/>
    <w:rsid w:val="001D5F3D"/>
    <w:rsid w:val="001D661D"/>
    <w:rsid w:val="001D6B0E"/>
    <w:rsid w:val="001E005E"/>
    <w:rsid w:val="001E08C8"/>
    <w:rsid w:val="001E09CA"/>
    <w:rsid w:val="001E0A6B"/>
    <w:rsid w:val="001E0F48"/>
    <w:rsid w:val="001E0F55"/>
    <w:rsid w:val="001E0FE8"/>
    <w:rsid w:val="001E114F"/>
    <w:rsid w:val="001E1312"/>
    <w:rsid w:val="001E18D1"/>
    <w:rsid w:val="001E26B3"/>
    <w:rsid w:val="001E2C53"/>
    <w:rsid w:val="001E51CF"/>
    <w:rsid w:val="001E5333"/>
    <w:rsid w:val="001E5C6D"/>
    <w:rsid w:val="001E60F3"/>
    <w:rsid w:val="001F0117"/>
    <w:rsid w:val="001F29FF"/>
    <w:rsid w:val="001F3497"/>
    <w:rsid w:val="001F3B76"/>
    <w:rsid w:val="001F5562"/>
    <w:rsid w:val="001F68FA"/>
    <w:rsid w:val="001F7640"/>
    <w:rsid w:val="001F767B"/>
    <w:rsid w:val="001F7DCC"/>
    <w:rsid w:val="0020010F"/>
    <w:rsid w:val="00200D32"/>
    <w:rsid w:val="0020122A"/>
    <w:rsid w:val="002016D6"/>
    <w:rsid w:val="002021EC"/>
    <w:rsid w:val="00202F2E"/>
    <w:rsid w:val="00203F6D"/>
    <w:rsid w:val="002041C0"/>
    <w:rsid w:val="00204465"/>
    <w:rsid w:val="0020460E"/>
    <w:rsid w:val="00205028"/>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62FD"/>
    <w:rsid w:val="00217B78"/>
    <w:rsid w:val="00217D31"/>
    <w:rsid w:val="0022179D"/>
    <w:rsid w:val="00222F1A"/>
    <w:rsid w:val="00224492"/>
    <w:rsid w:val="0022645F"/>
    <w:rsid w:val="00226AF8"/>
    <w:rsid w:val="00227576"/>
    <w:rsid w:val="00230A42"/>
    <w:rsid w:val="00230FA5"/>
    <w:rsid w:val="00231213"/>
    <w:rsid w:val="00232666"/>
    <w:rsid w:val="00232DB4"/>
    <w:rsid w:val="0023368C"/>
    <w:rsid w:val="00233738"/>
    <w:rsid w:val="00233EAE"/>
    <w:rsid w:val="0023410C"/>
    <w:rsid w:val="00234DA2"/>
    <w:rsid w:val="0023639C"/>
    <w:rsid w:val="00236B9B"/>
    <w:rsid w:val="00236BE8"/>
    <w:rsid w:val="00237081"/>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EE3"/>
    <w:rsid w:val="002674E4"/>
    <w:rsid w:val="00267A3D"/>
    <w:rsid w:val="00267AA8"/>
    <w:rsid w:val="00270406"/>
    <w:rsid w:val="00270841"/>
    <w:rsid w:val="002718F5"/>
    <w:rsid w:val="00271B47"/>
    <w:rsid w:val="00271BFC"/>
    <w:rsid w:val="00272054"/>
    <w:rsid w:val="00273A60"/>
    <w:rsid w:val="00273CCA"/>
    <w:rsid w:val="00276018"/>
    <w:rsid w:val="002764D4"/>
    <w:rsid w:val="002765E2"/>
    <w:rsid w:val="002771CE"/>
    <w:rsid w:val="00280D01"/>
    <w:rsid w:val="002814CF"/>
    <w:rsid w:val="002826DB"/>
    <w:rsid w:val="00283A1A"/>
    <w:rsid w:val="00284CBD"/>
    <w:rsid w:val="00284F54"/>
    <w:rsid w:val="00287148"/>
    <w:rsid w:val="0028755F"/>
    <w:rsid w:val="002877CA"/>
    <w:rsid w:val="002914FC"/>
    <w:rsid w:val="00292675"/>
    <w:rsid w:val="00292945"/>
    <w:rsid w:val="00292C6D"/>
    <w:rsid w:val="002947A2"/>
    <w:rsid w:val="00294BC8"/>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0FB6"/>
    <w:rsid w:val="002C1433"/>
    <w:rsid w:val="002C2953"/>
    <w:rsid w:val="002C2A58"/>
    <w:rsid w:val="002C2CBC"/>
    <w:rsid w:val="002C3E06"/>
    <w:rsid w:val="002C3FF2"/>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E1205"/>
    <w:rsid w:val="002E2572"/>
    <w:rsid w:val="002E435F"/>
    <w:rsid w:val="002E473C"/>
    <w:rsid w:val="002E5D71"/>
    <w:rsid w:val="002E5E51"/>
    <w:rsid w:val="002E5ECE"/>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6996"/>
    <w:rsid w:val="0031738E"/>
    <w:rsid w:val="0032038A"/>
    <w:rsid w:val="003217B9"/>
    <w:rsid w:val="0032220C"/>
    <w:rsid w:val="00322968"/>
    <w:rsid w:val="00323871"/>
    <w:rsid w:val="00323F82"/>
    <w:rsid w:val="00326CA3"/>
    <w:rsid w:val="0032782F"/>
    <w:rsid w:val="00330101"/>
    <w:rsid w:val="003314BD"/>
    <w:rsid w:val="00332032"/>
    <w:rsid w:val="003326A1"/>
    <w:rsid w:val="003327DE"/>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68A"/>
    <w:rsid w:val="00365CD1"/>
    <w:rsid w:val="00365EB7"/>
    <w:rsid w:val="003670A0"/>
    <w:rsid w:val="0036761B"/>
    <w:rsid w:val="0037088B"/>
    <w:rsid w:val="00371298"/>
    <w:rsid w:val="00371ABE"/>
    <w:rsid w:val="00371BC2"/>
    <w:rsid w:val="00371EBC"/>
    <w:rsid w:val="0037324D"/>
    <w:rsid w:val="00374A08"/>
    <w:rsid w:val="0037616C"/>
    <w:rsid w:val="00377263"/>
    <w:rsid w:val="00380304"/>
    <w:rsid w:val="00380698"/>
    <w:rsid w:val="003808DB"/>
    <w:rsid w:val="00380E1F"/>
    <w:rsid w:val="0038235F"/>
    <w:rsid w:val="0038246E"/>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F082D"/>
    <w:rsid w:val="003F176F"/>
    <w:rsid w:val="003F27C2"/>
    <w:rsid w:val="003F2DD1"/>
    <w:rsid w:val="003F35CE"/>
    <w:rsid w:val="003F366E"/>
    <w:rsid w:val="003F3B6E"/>
    <w:rsid w:val="003F48FE"/>
    <w:rsid w:val="003F493B"/>
    <w:rsid w:val="003F55CE"/>
    <w:rsid w:val="003F5665"/>
    <w:rsid w:val="003F5CBF"/>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07B"/>
    <w:rsid w:val="0041158C"/>
    <w:rsid w:val="00411AD5"/>
    <w:rsid w:val="00412198"/>
    <w:rsid w:val="00413609"/>
    <w:rsid w:val="0041403F"/>
    <w:rsid w:val="004160CD"/>
    <w:rsid w:val="00416358"/>
    <w:rsid w:val="00416A9A"/>
    <w:rsid w:val="00416C45"/>
    <w:rsid w:val="0042031F"/>
    <w:rsid w:val="00420972"/>
    <w:rsid w:val="004213A3"/>
    <w:rsid w:val="00421A95"/>
    <w:rsid w:val="004228A6"/>
    <w:rsid w:val="00423158"/>
    <w:rsid w:val="00423B97"/>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341"/>
    <w:rsid w:val="004356C2"/>
    <w:rsid w:val="004359A3"/>
    <w:rsid w:val="00435F34"/>
    <w:rsid w:val="004362EC"/>
    <w:rsid w:val="00437088"/>
    <w:rsid w:val="0043774B"/>
    <w:rsid w:val="00437B78"/>
    <w:rsid w:val="00440BAD"/>
    <w:rsid w:val="00440DCF"/>
    <w:rsid w:val="004416A0"/>
    <w:rsid w:val="004417C3"/>
    <w:rsid w:val="00441E3D"/>
    <w:rsid w:val="004425CF"/>
    <w:rsid w:val="004430FD"/>
    <w:rsid w:val="00443B3F"/>
    <w:rsid w:val="00444840"/>
    <w:rsid w:val="0044490D"/>
    <w:rsid w:val="00445172"/>
    <w:rsid w:val="00445249"/>
    <w:rsid w:val="00445481"/>
    <w:rsid w:val="00445897"/>
    <w:rsid w:val="00445DBF"/>
    <w:rsid w:val="00445ECC"/>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AF1"/>
    <w:rsid w:val="00460CEC"/>
    <w:rsid w:val="0046139E"/>
    <w:rsid w:val="00463A68"/>
    <w:rsid w:val="00463D32"/>
    <w:rsid w:val="00464F3C"/>
    <w:rsid w:val="00465050"/>
    <w:rsid w:val="004654FE"/>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38F3"/>
    <w:rsid w:val="004A3B82"/>
    <w:rsid w:val="004A3D48"/>
    <w:rsid w:val="004A3FDC"/>
    <w:rsid w:val="004A4567"/>
    <w:rsid w:val="004A4CEB"/>
    <w:rsid w:val="004A544F"/>
    <w:rsid w:val="004A5AC6"/>
    <w:rsid w:val="004A6420"/>
    <w:rsid w:val="004B0C3C"/>
    <w:rsid w:val="004B15BF"/>
    <w:rsid w:val="004B1759"/>
    <w:rsid w:val="004B179F"/>
    <w:rsid w:val="004B1D5F"/>
    <w:rsid w:val="004B2034"/>
    <w:rsid w:val="004B3C6C"/>
    <w:rsid w:val="004B3E3D"/>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30FE"/>
    <w:rsid w:val="004C3EFC"/>
    <w:rsid w:val="004C3F4C"/>
    <w:rsid w:val="004C4D46"/>
    <w:rsid w:val="004C5596"/>
    <w:rsid w:val="004C56FD"/>
    <w:rsid w:val="004C623E"/>
    <w:rsid w:val="004C6619"/>
    <w:rsid w:val="004C6A44"/>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758B"/>
    <w:rsid w:val="00507DF5"/>
    <w:rsid w:val="0051003C"/>
    <w:rsid w:val="00510B88"/>
    <w:rsid w:val="0051208E"/>
    <w:rsid w:val="005123D7"/>
    <w:rsid w:val="00512781"/>
    <w:rsid w:val="00513299"/>
    <w:rsid w:val="0051401B"/>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344"/>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586F"/>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F3A"/>
    <w:rsid w:val="00581342"/>
    <w:rsid w:val="00583AEB"/>
    <w:rsid w:val="005867C3"/>
    <w:rsid w:val="00586934"/>
    <w:rsid w:val="00586C58"/>
    <w:rsid w:val="00586E3D"/>
    <w:rsid w:val="00587EF1"/>
    <w:rsid w:val="00590467"/>
    <w:rsid w:val="00590F25"/>
    <w:rsid w:val="00591009"/>
    <w:rsid w:val="00592A28"/>
    <w:rsid w:val="00593439"/>
    <w:rsid w:val="00596030"/>
    <w:rsid w:val="00596857"/>
    <w:rsid w:val="005977B2"/>
    <w:rsid w:val="005A0649"/>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149"/>
    <w:rsid w:val="005B7385"/>
    <w:rsid w:val="005B7B23"/>
    <w:rsid w:val="005C07DC"/>
    <w:rsid w:val="005C087A"/>
    <w:rsid w:val="005C1AAC"/>
    <w:rsid w:val="005C24D4"/>
    <w:rsid w:val="005C28C5"/>
    <w:rsid w:val="005C3D69"/>
    <w:rsid w:val="005C4465"/>
    <w:rsid w:val="005C46A3"/>
    <w:rsid w:val="005C49B2"/>
    <w:rsid w:val="005C4D88"/>
    <w:rsid w:val="005C6A62"/>
    <w:rsid w:val="005C74BF"/>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2DF9"/>
    <w:rsid w:val="00603092"/>
    <w:rsid w:val="0060328C"/>
    <w:rsid w:val="00603CF8"/>
    <w:rsid w:val="006056AC"/>
    <w:rsid w:val="00607056"/>
    <w:rsid w:val="006101E2"/>
    <w:rsid w:val="006111C6"/>
    <w:rsid w:val="0061122E"/>
    <w:rsid w:val="006112EF"/>
    <w:rsid w:val="00611732"/>
    <w:rsid w:val="006121CB"/>
    <w:rsid w:val="00612300"/>
    <w:rsid w:val="00612801"/>
    <w:rsid w:val="00612AE4"/>
    <w:rsid w:val="00612E33"/>
    <w:rsid w:val="00613F08"/>
    <w:rsid w:val="0061474F"/>
    <w:rsid w:val="00614ECB"/>
    <w:rsid w:val="00615E65"/>
    <w:rsid w:val="00616390"/>
    <w:rsid w:val="00616598"/>
    <w:rsid w:val="00616629"/>
    <w:rsid w:val="00616A7E"/>
    <w:rsid w:val="00617929"/>
    <w:rsid w:val="00617E3C"/>
    <w:rsid w:val="00620109"/>
    <w:rsid w:val="0062043B"/>
    <w:rsid w:val="00620724"/>
    <w:rsid w:val="006222DB"/>
    <w:rsid w:val="00622FA1"/>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18C3"/>
    <w:rsid w:val="00652CEA"/>
    <w:rsid w:val="006550EE"/>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40BF"/>
    <w:rsid w:val="0069513E"/>
    <w:rsid w:val="0069576C"/>
    <w:rsid w:val="00695F36"/>
    <w:rsid w:val="0069677D"/>
    <w:rsid w:val="00696FF1"/>
    <w:rsid w:val="00697284"/>
    <w:rsid w:val="0069794E"/>
    <w:rsid w:val="006A017C"/>
    <w:rsid w:val="006A0C29"/>
    <w:rsid w:val="006A2267"/>
    <w:rsid w:val="006A276C"/>
    <w:rsid w:val="006A27E1"/>
    <w:rsid w:val="006A305E"/>
    <w:rsid w:val="006A3152"/>
    <w:rsid w:val="006A31C4"/>
    <w:rsid w:val="006A35D5"/>
    <w:rsid w:val="006A47EB"/>
    <w:rsid w:val="006A4932"/>
    <w:rsid w:val="006A566B"/>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743"/>
    <w:rsid w:val="006C0D6A"/>
    <w:rsid w:val="006C0F55"/>
    <w:rsid w:val="006C1F29"/>
    <w:rsid w:val="006C1F92"/>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B6"/>
    <w:rsid w:val="00707D92"/>
    <w:rsid w:val="00707DFF"/>
    <w:rsid w:val="00707EC4"/>
    <w:rsid w:val="00710FCA"/>
    <w:rsid w:val="00711909"/>
    <w:rsid w:val="00711BFC"/>
    <w:rsid w:val="0071356B"/>
    <w:rsid w:val="00714036"/>
    <w:rsid w:val="007142F7"/>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6B21"/>
    <w:rsid w:val="00726C7A"/>
    <w:rsid w:val="007317B3"/>
    <w:rsid w:val="00731E46"/>
    <w:rsid w:val="00731FAC"/>
    <w:rsid w:val="00732114"/>
    <w:rsid w:val="00732F27"/>
    <w:rsid w:val="00733293"/>
    <w:rsid w:val="00734B08"/>
    <w:rsid w:val="00735DB3"/>
    <w:rsid w:val="00735E7B"/>
    <w:rsid w:val="007362D8"/>
    <w:rsid w:val="007363B8"/>
    <w:rsid w:val="0073770B"/>
    <w:rsid w:val="00737A23"/>
    <w:rsid w:val="00740643"/>
    <w:rsid w:val="007406F4"/>
    <w:rsid w:val="007409A4"/>
    <w:rsid w:val="00740FCE"/>
    <w:rsid w:val="00741C01"/>
    <w:rsid w:val="00741F7C"/>
    <w:rsid w:val="007420C5"/>
    <w:rsid w:val="0074275F"/>
    <w:rsid w:val="007432B9"/>
    <w:rsid w:val="00743ED5"/>
    <w:rsid w:val="007449F1"/>
    <w:rsid w:val="00745CC5"/>
    <w:rsid w:val="00745E68"/>
    <w:rsid w:val="00746597"/>
    <w:rsid w:val="00746794"/>
    <w:rsid w:val="00747310"/>
    <w:rsid w:val="00747696"/>
    <w:rsid w:val="0075001C"/>
    <w:rsid w:val="00751D63"/>
    <w:rsid w:val="00752051"/>
    <w:rsid w:val="00752484"/>
    <w:rsid w:val="00752D90"/>
    <w:rsid w:val="00753271"/>
    <w:rsid w:val="00753E41"/>
    <w:rsid w:val="007548E0"/>
    <w:rsid w:val="00754A91"/>
    <w:rsid w:val="00754C5A"/>
    <w:rsid w:val="00755982"/>
    <w:rsid w:val="00755AAD"/>
    <w:rsid w:val="0075727D"/>
    <w:rsid w:val="00760ED7"/>
    <w:rsid w:val="00761B36"/>
    <w:rsid w:val="00761D8B"/>
    <w:rsid w:val="0076246C"/>
    <w:rsid w:val="007626FB"/>
    <w:rsid w:val="007642B8"/>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658"/>
    <w:rsid w:val="007A7DA4"/>
    <w:rsid w:val="007B1575"/>
    <w:rsid w:val="007B1CD7"/>
    <w:rsid w:val="007B2578"/>
    <w:rsid w:val="007B2AA6"/>
    <w:rsid w:val="007B2B6F"/>
    <w:rsid w:val="007B309E"/>
    <w:rsid w:val="007B34B6"/>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138"/>
    <w:rsid w:val="007F6385"/>
    <w:rsid w:val="00800CDA"/>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875"/>
    <w:rsid w:val="00842FFD"/>
    <w:rsid w:val="008432BC"/>
    <w:rsid w:val="00843429"/>
    <w:rsid w:val="008434A1"/>
    <w:rsid w:val="00843986"/>
    <w:rsid w:val="008439EE"/>
    <w:rsid w:val="00843BE2"/>
    <w:rsid w:val="00843FEA"/>
    <w:rsid w:val="00844067"/>
    <w:rsid w:val="0084413D"/>
    <w:rsid w:val="00844BB3"/>
    <w:rsid w:val="00845064"/>
    <w:rsid w:val="00845218"/>
    <w:rsid w:val="008455ED"/>
    <w:rsid w:val="00846494"/>
    <w:rsid w:val="00846ADE"/>
    <w:rsid w:val="00846EB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E25"/>
    <w:rsid w:val="00860A90"/>
    <w:rsid w:val="008628B6"/>
    <w:rsid w:val="00862A3F"/>
    <w:rsid w:val="008630DD"/>
    <w:rsid w:val="0086362C"/>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E1A"/>
    <w:rsid w:val="00893F87"/>
    <w:rsid w:val="008940CA"/>
    <w:rsid w:val="00894245"/>
    <w:rsid w:val="0089452A"/>
    <w:rsid w:val="00894CF5"/>
    <w:rsid w:val="00895592"/>
    <w:rsid w:val="008955A6"/>
    <w:rsid w:val="00897517"/>
    <w:rsid w:val="00897C38"/>
    <w:rsid w:val="008A0460"/>
    <w:rsid w:val="008A0D8A"/>
    <w:rsid w:val="008A1080"/>
    <w:rsid w:val="008A222B"/>
    <w:rsid w:val="008A2CD9"/>
    <w:rsid w:val="008A2EC6"/>
    <w:rsid w:val="008A3CBE"/>
    <w:rsid w:val="008A451F"/>
    <w:rsid w:val="008A467D"/>
    <w:rsid w:val="008A559B"/>
    <w:rsid w:val="008A5E3D"/>
    <w:rsid w:val="008A603E"/>
    <w:rsid w:val="008A62BA"/>
    <w:rsid w:val="008A69F7"/>
    <w:rsid w:val="008A6F52"/>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916"/>
    <w:rsid w:val="008D2BC6"/>
    <w:rsid w:val="008D2E9C"/>
    <w:rsid w:val="008D36C8"/>
    <w:rsid w:val="008D3E9B"/>
    <w:rsid w:val="008D3EB2"/>
    <w:rsid w:val="008D3EC8"/>
    <w:rsid w:val="008D4965"/>
    <w:rsid w:val="008D62A2"/>
    <w:rsid w:val="008E0D33"/>
    <w:rsid w:val="008E1144"/>
    <w:rsid w:val="008E14C5"/>
    <w:rsid w:val="008E284D"/>
    <w:rsid w:val="008E32BD"/>
    <w:rsid w:val="008E35A2"/>
    <w:rsid w:val="008E3DD4"/>
    <w:rsid w:val="008E41CC"/>
    <w:rsid w:val="008E4288"/>
    <w:rsid w:val="008E473B"/>
    <w:rsid w:val="008E50AF"/>
    <w:rsid w:val="008E56D1"/>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8F7E83"/>
    <w:rsid w:val="0090047B"/>
    <w:rsid w:val="00900D7B"/>
    <w:rsid w:val="00900F16"/>
    <w:rsid w:val="00901595"/>
    <w:rsid w:val="0090199E"/>
    <w:rsid w:val="00903FFD"/>
    <w:rsid w:val="009043DA"/>
    <w:rsid w:val="009050F9"/>
    <w:rsid w:val="00905201"/>
    <w:rsid w:val="00905C43"/>
    <w:rsid w:val="009061D9"/>
    <w:rsid w:val="00906D5B"/>
    <w:rsid w:val="009074FA"/>
    <w:rsid w:val="00907742"/>
    <w:rsid w:val="00907C5A"/>
    <w:rsid w:val="0091013E"/>
    <w:rsid w:val="009106B7"/>
    <w:rsid w:val="00910ED9"/>
    <w:rsid w:val="0091113D"/>
    <w:rsid w:val="00911686"/>
    <w:rsid w:val="00911B95"/>
    <w:rsid w:val="00912CD0"/>
    <w:rsid w:val="009131EA"/>
    <w:rsid w:val="009135E8"/>
    <w:rsid w:val="00913D5A"/>
    <w:rsid w:val="00914E1F"/>
    <w:rsid w:val="00914E6F"/>
    <w:rsid w:val="009159EF"/>
    <w:rsid w:val="00915E0C"/>
    <w:rsid w:val="00916C8C"/>
    <w:rsid w:val="00916FBA"/>
    <w:rsid w:val="009177D2"/>
    <w:rsid w:val="00917B6E"/>
    <w:rsid w:val="00920595"/>
    <w:rsid w:val="00920ACF"/>
    <w:rsid w:val="00921EB1"/>
    <w:rsid w:val="00923253"/>
    <w:rsid w:val="00924329"/>
    <w:rsid w:val="009247F9"/>
    <w:rsid w:val="009256FD"/>
    <w:rsid w:val="00925C53"/>
    <w:rsid w:val="00926019"/>
    <w:rsid w:val="0092685C"/>
    <w:rsid w:val="009269AD"/>
    <w:rsid w:val="00930479"/>
    <w:rsid w:val="00930B7C"/>
    <w:rsid w:val="00930F57"/>
    <w:rsid w:val="009319B4"/>
    <w:rsid w:val="00932425"/>
    <w:rsid w:val="00933963"/>
    <w:rsid w:val="00933C1D"/>
    <w:rsid w:val="00934BE5"/>
    <w:rsid w:val="00934DDF"/>
    <w:rsid w:val="009356A3"/>
    <w:rsid w:val="00935D74"/>
    <w:rsid w:val="009366C8"/>
    <w:rsid w:val="00936EB3"/>
    <w:rsid w:val="00940789"/>
    <w:rsid w:val="009409C3"/>
    <w:rsid w:val="0094107D"/>
    <w:rsid w:val="009416AF"/>
    <w:rsid w:val="0094393F"/>
    <w:rsid w:val="00943F83"/>
    <w:rsid w:val="00944E2A"/>
    <w:rsid w:val="00945271"/>
    <w:rsid w:val="00945960"/>
    <w:rsid w:val="00946EF0"/>
    <w:rsid w:val="00946F3B"/>
    <w:rsid w:val="00947609"/>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67E6"/>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ADD"/>
    <w:rsid w:val="009C4CCC"/>
    <w:rsid w:val="009C4F73"/>
    <w:rsid w:val="009C4FF9"/>
    <w:rsid w:val="009C60C6"/>
    <w:rsid w:val="009C6A2B"/>
    <w:rsid w:val="009C6AED"/>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2E12"/>
    <w:rsid w:val="009E4CA1"/>
    <w:rsid w:val="009E4E0D"/>
    <w:rsid w:val="009E54D8"/>
    <w:rsid w:val="009E55CD"/>
    <w:rsid w:val="009E6BEC"/>
    <w:rsid w:val="009E6E9E"/>
    <w:rsid w:val="009E7747"/>
    <w:rsid w:val="009E7AB2"/>
    <w:rsid w:val="009E7E72"/>
    <w:rsid w:val="009F04C7"/>
    <w:rsid w:val="009F07ED"/>
    <w:rsid w:val="009F10D5"/>
    <w:rsid w:val="009F398B"/>
    <w:rsid w:val="009F5B56"/>
    <w:rsid w:val="009F6909"/>
    <w:rsid w:val="009F7050"/>
    <w:rsid w:val="009F73B5"/>
    <w:rsid w:val="009F76D8"/>
    <w:rsid w:val="009F76E2"/>
    <w:rsid w:val="009F7715"/>
    <w:rsid w:val="009F7F36"/>
    <w:rsid w:val="00A01186"/>
    <w:rsid w:val="00A011A3"/>
    <w:rsid w:val="00A01606"/>
    <w:rsid w:val="00A01612"/>
    <w:rsid w:val="00A01CC1"/>
    <w:rsid w:val="00A03923"/>
    <w:rsid w:val="00A03D0C"/>
    <w:rsid w:val="00A04115"/>
    <w:rsid w:val="00A0475E"/>
    <w:rsid w:val="00A04A1C"/>
    <w:rsid w:val="00A04CB6"/>
    <w:rsid w:val="00A06EE2"/>
    <w:rsid w:val="00A0723C"/>
    <w:rsid w:val="00A102BE"/>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E1B"/>
    <w:rsid w:val="00A265AD"/>
    <w:rsid w:val="00A2693A"/>
    <w:rsid w:val="00A2722D"/>
    <w:rsid w:val="00A27606"/>
    <w:rsid w:val="00A27714"/>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51CE"/>
    <w:rsid w:val="00A453AA"/>
    <w:rsid w:val="00A46441"/>
    <w:rsid w:val="00A4723B"/>
    <w:rsid w:val="00A50440"/>
    <w:rsid w:val="00A50959"/>
    <w:rsid w:val="00A5133D"/>
    <w:rsid w:val="00A5183F"/>
    <w:rsid w:val="00A51E38"/>
    <w:rsid w:val="00A52331"/>
    <w:rsid w:val="00A532C5"/>
    <w:rsid w:val="00A555CE"/>
    <w:rsid w:val="00A55CF2"/>
    <w:rsid w:val="00A55FB8"/>
    <w:rsid w:val="00A5669F"/>
    <w:rsid w:val="00A56A08"/>
    <w:rsid w:val="00A577B3"/>
    <w:rsid w:val="00A57AB6"/>
    <w:rsid w:val="00A57EE2"/>
    <w:rsid w:val="00A623A1"/>
    <w:rsid w:val="00A62BB8"/>
    <w:rsid w:val="00A644A7"/>
    <w:rsid w:val="00A64D34"/>
    <w:rsid w:val="00A65C92"/>
    <w:rsid w:val="00A66503"/>
    <w:rsid w:val="00A665FA"/>
    <w:rsid w:val="00A66BCE"/>
    <w:rsid w:val="00A6757F"/>
    <w:rsid w:val="00A707BD"/>
    <w:rsid w:val="00A70827"/>
    <w:rsid w:val="00A70C6F"/>
    <w:rsid w:val="00A7124A"/>
    <w:rsid w:val="00A71256"/>
    <w:rsid w:val="00A7128C"/>
    <w:rsid w:val="00A7373A"/>
    <w:rsid w:val="00A74492"/>
    <w:rsid w:val="00A7452F"/>
    <w:rsid w:val="00A75577"/>
    <w:rsid w:val="00A75B72"/>
    <w:rsid w:val="00A762AA"/>
    <w:rsid w:val="00A764F2"/>
    <w:rsid w:val="00A77C3B"/>
    <w:rsid w:val="00A80B06"/>
    <w:rsid w:val="00A80E1D"/>
    <w:rsid w:val="00A80FE8"/>
    <w:rsid w:val="00A81271"/>
    <w:rsid w:val="00A81790"/>
    <w:rsid w:val="00A82255"/>
    <w:rsid w:val="00A829EE"/>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DA9"/>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84F"/>
    <w:rsid w:val="00AE7230"/>
    <w:rsid w:val="00AE7E27"/>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308B"/>
    <w:rsid w:val="00B1311E"/>
    <w:rsid w:val="00B142DE"/>
    <w:rsid w:val="00B14D05"/>
    <w:rsid w:val="00B153B2"/>
    <w:rsid w:val="00B156D9"/>
    <w:rsid w:val="00B17419"/>
    <w:rsid w:val="00B176BD"/>
    <w:rsid w:val="00B1775E"/>
    <w:rsid w:val="00B20486"/>
    <w:rsid w:val="00B21BAE"/>
    <w:rsid w:val="00B23AE2"/>
    <w:rsid w:val="00B23AF1"/>
    <w:rsid w:val="00B2526D"/>
    <w:rsid w:val="00B262C9"/>
    <w:rsid w:val="00B27B20"/>
    <w:rsid w:val="00B3047E"/>
    <w:rsid w:val="00B31278"/>
    <w:rsid w:val="00B3281F"/>
    <w:rsid w:val="00B32D0A"/>
    <w:rsid w:val="00B32EA7"/>
    <w:rsid w:val="00B33733"/>
    <w:rsid w:val="00B337EA"/>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705C5"/>
    <w:rsid w:val="00B70720"/>
    <w:rsid w:val="00B70925"/>
    <w:rsid w:val="00B70DD8"/>
    <w:rsid w:val="00B721B1"/>
    <w:rsid w:val="00B72AA2"/>
    <w:rsid w:val="00B739D6"/>
    <w:rsid w:val="00B744BA"/>
    <w:rsid w:val="00B7472D"/>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6EE"/>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4F12"/>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6F2D"/>
    <w:rsid w:val="00BD7178"/>
    <w:rsid w:val="00BD724E"/>
    <w:rsid w:val="00BD72B1"/>
    <w:rsid w:val="00BD7CB4"/>
    <w:rsid w:val="00BE05CC"/>
    <w:rsid w:val="00BE0D43"/>
    <w:rsid w:val="00BE0DAA"/>
    <w:rsid w:val="00BE13F2"/>
    <w:rsid w:val="00BE1CF0"/>
    <w:rsid w:val="00BE2A81"/>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6178"/>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2DB"/>
    <w:rsid w:val="00C633C9"/>
    <w:rsid w:val="00C63F33"/>
    <w:rsid w:val="00C64403"/>
    <w:rsid w:val="00C64931"/>
    <w:rsid w:val="00C653DF"/>
    <w:rsid w:val="00C65CDF"/>
    <w:rsid w:val="00C66350"/>
    <w:rsid w:val="00C67492"/>
    <w:rsid w:val="00C67786"/>
    <w:rsid w:val="00C70B34"/>
    <w:rsid w:val="00C70C13"/>
    <w:rsid w:val="00C72302"/>
    <w:rsid w:val="00C729FB"/>
    <w:rsid w:val="00C738B9"/>
    <w:rsid w:val="00C73969"/>
    <w:rsid w:val="00C748ED"/>
    <w:rsid w:val="00C75FF8"/>
    <w:rsid w:val="00C76BC9"/>
    <w:rsid w:val="00C771B1"/>
    <w:rsid w:val="00C772D6"/>
    <w:rsid w:val="00C7760B"/>
    <w:rsid w:val="00C776AC"/>
    <w:rsid w:val="00C81DF5"/>
    <w:rsid w:val="00C824B5"/>
    <w:rsid w:val="00C82A02"/>
    <w:rsid w:val="00C82C49"/>
    <w:rsid w:val="00C837C2"/>
    <w:rsid w:val="00C84327"/>
    <w:rsid w:val="00C84BE0"/>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3BB"/>
    <w:rsid w:val="00CB7B49"/>
    <w:rsid w:val="00CC0114"/>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3E7C"/>
    <w:rsid w:val="00CD40DC"/>
    <w:rsid w:val="00CD465E"/>
    <w:rsid w:val="00CD60F5"/>
    <w:rsid w:val="00CD6B47"/>
    <w:rsid w:val="00CD7A71"/>
    <w:rsid w:val="00CE07AA"/>
    <w:rsid w:val="00CE23A6"/>
    <w:rsid w:val="00CE4030"/>
    <w:rsid w:val="00CE4756"/>
    <w:rsid w:val="00CE520A"/>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03D8"/>
    <w:rsid w:val="00D1145E"/>
    <w:rsid w:val="00D11897"/>
    <w:rsid w:val="00D11C3F"/>
    <w:rsid w:val="00D122D1"/>
    <w:rsid w:val="00D1313C"/>
    <w:rsid w:val="00D13888"/>
    <w:rsid w:val="00D13B2A"/>
    <w:rsid w:val="00D13EF6"/>
    <w:rsid w:val="00D145C0"/>
    <w:rsid w:val="00D152B5"/>
    <w:rsid w:val="00D16B4E"/>
    <w:rsid w:val="00D16DE9"/>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F38"/>
    <w:rsid w:val="00D31F4D"/>
    <w:rsid w:val="00D321CD"/>
    <w:rsid w:val="00D326EB"/>
    <w:rsid w:val="00D32C34"/>
    <w:rsid w:val="00D32D03"/>
    <w:rsid w:val="00D33EBF"/>
    <w:rsid w:val="00D34651"/>
    <w:rsid w:val="00D349EB"/>
    <w:rsid w:val="00D34A00"/>
    <w:rsid w:val="00D35CCC"/>
    <w:rsid w:val="00D36BB6"/>
    <w:rsid w:val="00D36DF6"/>
    <w:rsid w:val="00D36F23"/>
    <w:rsid w:val="00D36FA3"/>
    <w:rsid w:val="00D40A00"/>
    <w:rsid w:val="00D413AC"/>
    <w:rsid w:val="00D41963"/>
    <w:rsid w:val="00D41B32"/>
    <w:rsid w:val="00D42900"/>
    <w:rsid w:val="00D4331B"/>
    <w:rsid w:val="00D4352C"/>
    <w:rsid w:val="00D442E9"/>
    <w:rsid w:val="00D45AEE"/>
    <w:rsid w:val="00D46B2C"/>
    <w:rsid w:val="00D470B9"/>
    <w:rsid w:val="00D50053"/>
    <w:rsid w:val="00D50079"/>
    <w:rsid w:val="00D508CB"/>
    <w:rsid w:val="00D51C72"/>
    <w:rsid w:val="00D52C11"/>
    <w:rsid w:val="00D52D9B"/>
    <w:rsid w:val="00D537E5"/>
    <w:rsid w:val="00D53CA4"/>
    <w:rsid w:val="00D543B5"/>
    <w:rsid w:val="00D5659B"/>
    <w:rsid w:val="00D57065"/>
    <w:rsid w:val="00D575CF"/>
    <w:rsid w:val="00D576C6"/>
    <w:rsid w:val="00D576D5"/>
    <w:rsid w:val="00D57C28"/>
    <w:rsid w:val="00D607C2"/>
    <w:rsid w:val="00D62061"/>
    <w:rsid w:val="00D62C38"/>
    <w:rsid w:val="00D62EAE"/>
    <w:rsid w:val="00D6331F"/>
    <w:rsid w:val="00D63BA6"/>
    <w:rsid w:val="00D6436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F07"/>
    <w:rsid w:val="00D91A66"/>
    <w:rsid w:val="00D91AFA"/>
    <w:rsid w:val="00D92028"/>
    <w:rsid w:val="00D9225F"/>
    <w:rsid w:val="00D92FE0"/>
    <w:rsid w:val="00D9435B"/>
    <w:rsid w:val="00D944FA"/>
    <w:rsid w:val="00D94A8B"/>
    <w:rsid w:val="00D94F26"/>
    <w:rsid w:val="00D95735"/>
    <w:rsid w:val="00D96718"/>
    <w:rsid w:val="00D97006"/>
    <w:rsid w:val="00D9767A"/>
    <w:rsid w:val="00DA1357"/>
    <w:rsid w:val="00DA2A78"/>
    <w:rsid w:val="00DA3246"/>
    <w:rsid w:val="00DA326F"/>
    <w:rsid w:val="00DA4361"/>
    <w:rsid w:val="00DA4775"/>
    <w:rsid w:val="00DA47C3"/>
    <w:rsid w:val="00DA486C"/>
    <w:rsid w:val="00DA53E2"/>
    <w:rsid w:val="00DA5A59"/>
    <w:rsid w:val="00DA626A"/>
    <w:rsid w:val="00DA6F73"/>
    <w:rsid w:val="00DA7EEE"/>
    <w:rsid w:val="00DB008D"/>
    <w:rsid w:val="00DB0835"/>
    <w:rsid w:val="00DB0A7D"/>
    <w:rsid w:val="00DB1147"/>
    <w:rsid w:val="00DB2391"/>
    <w:rsid w:val="00DB42EB"/>
    <w:rsid w:val="00DB4451"/>
    <w:rsid w:val="00DB48A2"/>
    <w:rsid w:val="00DB5AD0"/>
    <w:rsid w:val="00DB5FC3"/>
    <w:rsid w:val="00DB7BDD"/>
    <w:rsid w:val="00DC0DBD"/>
    <w:rsid w:val="00DC1407"/>
    <w:rsid w:val="00DC1597"/>
    <w:rsid w:val="00DC1E2E"/>
    <w:rsid w:val="00DC332E"/>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0F75"/>
    <w:rsid w:val="00DD1033"/>
    <w:rsid w:val="00DD270F"/>
    <w:rsid w:val="00DD32F1"/>
    <w:rsid w:val="00DD3D1E"/>
    <w:rsid w:val="00DD3FA5"/>
    <w:rsid w:val="00DD4011"/>
    <w:rsid w:val="00DD5C59"/>
    <w:rsid w:val="00DD5D8C"/>
    <w:rsid w:val="00DD625F"/>
    <w:rsid w:val="00DD6A15"/>
    <w:rsid w:val="00DD6A85"/>
    <w:rsid w:val="00DD79AE"/>
    <w:rsid w:val="00DE048C"/>
    <w:rsid w:val="00DE2731"/>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5977"/>
    <w:rsid w:val="00DF61D4"/>
    <w:rsid w:val="00DF65A1"/>
    <w:rsid w:val="00DF6954"/>
    <w:rsid w:val="00DF69F1"/>
    <w:rsid w:val="00DF7A30"/>
    <w:rsid w:val="00DF7A6E"/>
    <w:rsid w:val="00DF7B4F"/>
    <w:rsid w:val="00E00B0B"/>
    <w:rsid w:val="00E00B2F"/>
    <w:rsid w:val="00E00BFC"/>
    <w:rsid w:val="00E012EE"/>
    <w:rsid w:val="00E01771"/>
    <w:rsid w:val="00E02F39"/>
    <w:rsid w:val="00E02FBD"/>
    <w:rsid w:val="00E03004"/>
    <w:rsid w:val="00E035C0"/>
    <w:rsid w:val="00E045EC"/>
    <w:rsid w:val="00E050EF"/>
    <w:rsid w:val="00E0589A"/>
    <w:rsid w:val="00E07473"/>
    <w:rsid w:val="00E07509"/>
    <w:rsid w:val="00E07B51"/>
    <w:rsid w:val="00E07C9A"/>
    <w:rsid w:val="00E107B5"/>
    <w:rsid w:val="00E1174F"/>
    <w:rsid w:val="00E11D51"/>
    <w:rsid w:val="00E11F62"/>
    <w:rsid w:val="00E12176"/>
    <w:rsid w:val="00E1233F"/>
    <w:rsid w:val="00E12972"/>
    <w:rsid w:val="00E13049"/>
    <w:rsid w:val="00E150F1"/>
    <w:rsid w:val="00E162C7"/>
    <w:rsid w:val="00E1742E"/>
    <w:rsid w:val="00E200CF"/>
    <w:rsid w:val="00E200DF"/>
    <w:rsid w:val="00E20860"/>
    <w:rsid w:val="00E2113F"/>
    <w:rsid w:val="00E22797"/>
    <w:rsid w:val="00E22971"/>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D75"/>
    <w:rsid w:val="00E43E31"/>
    <w:rsid w:val="00E47DC3"/>
    <w:rsid w:val="00E50DDC"/>
    <w:rsid w:val="00E51A53"/>
    <w:rsid w:val="00E51A62"/>
    <w:rsid w:val="00E520FB"/>
    <w:rsid w:val="00E5236F"/>
    <w:rsid w:val="00E53586"/>
    <w:rsid w:val="00E537D4"/>
    <w:rsid w:val="00E538D7"/>
    <w:rsid w:val="00E54207"/>
    <w:rsid w:val="00E5432A"/>
    <w:rsid w:val="00E54E1F"/>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1E68"/>
    <w:rsid w:val="00E72277"/>
    <w:rsid w:val="00E72463"/>
    <w:rsid w:val="00E735CD"/>
    <w:rsid w:val="00E740C1"/>
    <w:rsid w:val="00E74897"/>
    <w:rsid w:val="00E75E2B"/>
    <w:rsid w:val="00E76EB5"/>
    <w:rsid w:val="00E7708A"/>
    <w:rsid w:val="00E779F1"/>
    <w:rsid w:val="00E77C54"/>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2E7B"/>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6255"/>
    <w:rsid w:val="00EC679F"/>
    <w:rsid w:val="00EC72A1"/>
    <w:rsid w:val="00EC7E67"/>
    <w:rsid w:val="00ED1EF5"/>
    <w:rsid w:val="00ED2B08"/>
    <w:rsid w:val="00ED2C6D"/>
    <w:rsid w:val="00ED2E4E"/>
    <w:rsid w:val="00ED378A"/>
    <w:rsid w:val="00ED5095"/>
    <w:rsid w:val="00ED6A08"/>
    <w:rsid w:val="00ED70A6"/>
    <w:rsid w:val="00ED73E2"/>
    <w:rsid w:val="00ED74FF"/>
    <w:rsid w:val="00ED7982"/>
    <w:rsid w:val="00EE0AC6"/>
    <w:rsid w:val="00EE0AE6"/>
    <w:rsid w:val="00EE40E0"/>
    <w:rsid w:val="00EE4A1F"/>
    <w:rsid w:val="00EE72B0"/>
    <w:rsid w:val="00EE76DB"/>
    <w:rsid w:val="00EE7DEE"/>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16D9"/>
    <w:rsid w:val="00F133D8"/>
    <w:rsid w:val="00F133ED"/>
    <w:rsid w:val="00F13F71"/>
    <w:rsid w:val="00F14286"/>
    <w:rsid w:val="00F155A0"/>
    <w:rsid w:val="00F16248"/>
    <w:rsid w:val="00F16827"/>
    <w:rsid w:val="00F178EE"/>
    <w:rsid w:val="00F20645"/>
    <w:rsid w:val="00F20870"/>
    <w:rsid w:val="00F215D0"/>
    <w:rsid w:val="00F21869"/>
    <w:rsid w:val="00F22583"/>
    <w:rsid w:val="00F22B56"/>
    <w:rsid w:val="00F236D8"/>
    <w:rsid w:val="00F23948"/>
    <w:rsid w:val="00F24101"/>
    <w:rsid w:val="00F24C3C"/>
    <w:rsid w:val="00F260AC"/>
    <w:rsid w:val="00F261F7"/>
    <w:rsid w:val="00F261FC"/>
    <w:rsid w:val="00F27327"/>
    <w:rsid w:val="00F2779B"/>
    <w:rsid w:val="00F27859"/>
    <w:rsid w:val="00F27D09"/>
    <w:rsid w:val="00F30BDB"/>
    <w:rsid w:val="00F3155E"/>
    <w:rsid w:val="00F328F4"/>
    <w:rsid w:val="00F33CCF"/>
    <w:rsid w:val="00F341B3"/>
    <w:rsid w:val="00F34341"/>
    <w:rsid w:val="00F3497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434"/>
    <w:rsid w:val="00F55644"/>
    <w:rsid w:val="00F55A14"/>
    <w:rsid w:val="00F56343"/>
    <w:rsid w:val="00F56D59"/>
    <w:rsid w:val="00F56EC7"/>
    <w:rsid w:val="00F572E5"/>
    <w:rsid w:val="00F606BF"/>
    <w:rsid w:val="00F6099D"/>
    <w:rsid w:val="00F6104C"/>
    <w:rsid w:val="00F615BE"/>
    <w:rsid w:val="00F623F7"/>
    <w:rsid w:val="00F62487"/>
    <w:rsid w:val="00F63950"/>
    <w:rsid w:val="00F649C6"/>
    <w:rsid w:val="00F665EF"/>
    <w:rsid w:val="00F66AB8"/>
    <w:rsid w:val="00F66CE2"/>
    <w:rsid w:val="00F71A5D"/>
    <w:rsid w:val="00F734A9"/>
    <w:rsid w:val="00F73C28"/>
    <w:rsid w:val="00F744C6"/>
    <w:rsid w:val="00F74A2A"/>
    <w:rsid w:val="00F752E8"/>
    <w:rsid w:val="00F7567E"/>
    <w:rsid w:val="00F7657F"/>
    <w:rsid w:val="00F766A3"/>
    <w:rsid w:val="00F77074"/>
    <w:rsid w:val="00F77A93"/>
    <w:rsid w:val="00F77AC3"/>
    <w:rsid w:val="00F77FDE"/>
    <w:rsid w:val="00F80636"/>
    <w:rsid w:val="00F818DF"/>
    <w:rsid w:val="00F81D5B"/>
    <w:rsid w:val="00F82476"/>
    <w:rsid w:val="00F835BC"/>
    <w:rsid w:val="00F838AB"/>
    <w:rsid w:val="00F838CC"/>
    <w:rsid w:val="00F839C1"/>
    <w:rsid w:val="00F846B0"/>
    <w:rsid w:val="00F84B19"/>
    <w:rsid w:val="00F85169"/>
    <w:rsid w:val="00F861DC"/>
    <w:rsid w:val="00F86FA6"/>
    <w:rsid w:val="00F86FBF"/>
    <w:rsid w:val="00F87DEC"/>
    <w:rsid w:val="00F9170D"/>
    <w:rsid w:val="00F9200B"/>
    <w:rsid w:val="00F92714"/>
    <w:rsid w:val="00F93F49"/>
    <w:rsid w:val="00F96897"/>
    <w:rsid w:val="00F97FA1"/>
    <w:rsid w:val="00FA05B2"/>
    <w:rsid w:val="00FA125F"/>
    <w:rsid w:val="00FA152D"/>
    <w:rsid w:val="00FA1603"/>
    <w:rsid w:val="00FA167A"/>
    <w:rsid w:val="00FA2310"/>
    <w:rsid w:val="00FA2351"/>
    <w:rsid w:val="00FA2B0E"/>
    <w:rsid w:val="00FA408A"/>
    <w:rsid w:val="00FA5E88"/>
    <w:rsid w:val="00FA7BF4"/>
    <w:rsid w:val="00FB04C2"/>
    <w:rsid w:val="00FB0BAB"/>
    <w:rsid w:val="00FB2061"/>
    <w:rsid w:val="00FB2AC3"/>
    <w:rsid w:val="00FB3050"/>
    <w:rsid w:val="00FB3C94"/>
    <w:rsid w:val="00FB4329"/>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5C7E"/>
    <w:rsid w:val="00FC6059"/>
    <w:rsid w:val="00FC691C"/>
    <w:rsid w:val="00FC6CA9"/>
    <w:rsid w:val="00FC7DC3"/>
    <w:rsid w:val="00FD0FB3"/>
    <w:rsid w:val="00FD117F"/>
    <w:rsid w:val="00FD182C"/>
    <w:rsid w:val="00FD1C7C"/>
    <w:rsid w:val="00FD1D9B"/>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6D5"/>
    <w:rsid w:val="00FE780F"/>
    <w:rsid w:val="00FE7B9B"/>
    <w:rsid w:val="00FF1AB4"/>
    <w:rsid w:val="00FF1CDD"/>
    <w:rsid w:val="00FF281B"/>
    <w:rsid w:val="00FF2954"/>
    <w:rsid w:val="00FF2999"/>
    <w:rsid w:val="00FF2E8F"/>
    <w:rsid w:val="00FF40FA"/>
    <w:rsid w:val="00FF5A15"/>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599"/>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okik.gov.pl/download.php?plik=1442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9240-6107-4264-A45F-484EC630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72</Pages>
  <Words>20111</Words>
  <Characters>120670</Characters>
  <Application>Microsoft Office Word</Application>
  <DocSecurity>0</DocSecurity>
  <Lines>1005</Lines>
  <Paragraphs>280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Rudalska</cp:lastModifiedBy>
  <cp:revision>10</cp:revision>
  <cp:lastPrinted>2017-11-20T12:50:00Z</cp:lastPrinted>
  <dcterms:created xsi:type="dcterms:W3CDTF">2018-02-08T10:37:00Z</dcterms:created>
  <dcterms:modified xsi:type="dcterms:W3CDTF">2018-03-12T14:03:00Z</dcterms:modified>
</cp:coreProperties>
</file>