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4DD2D4" w14:textId="02662984" w:rsidR="0088418E" w:rsidRPr="008F589B" w:rsidRDefault="0088418E" w:rsidP="008F589B">
      <w:pPr>
        <w:spacing w:line="360" w:lineRule="auto"/>
        <w:jc w:val="right"/>
        <w:rPr>
          <w:rFonts w:ascii="Verdana" w:hAnsi="Verdana"/>
          <w:szCs w:val="24"/>
        </w:rPr>
      </w:pPr>
      <w:r w:rsidRPr="008F589B">
        <w:rPr>
          <w:rFonts w:ascii="Verdana" w:hAnsi="Verdana"/>
          <w:szCs w:val="24"/>
        </w:rPr>
        <w:t xml:space="preserve">Załącznik nr 1 do Uchwały nr </w:t>
      </w:r>
      <w:r w:rsidR="00C62A41" w:rsidRPr="008F589B">
        <w:rPr>
          <w:rFonts w:ascii="Verdana" w:hAnsi="Verdana"/>
          <w:szCs w:val="24"/>
        </w:rPr>
        <w:t>170</w:t>
      </w:r>
      <w:r w:rsidRPr="008F589B">
        <w:rPr>
          <w:rFonts w:ascii="Verdana" w:hAnsi="Verdana"/>
          <w:szCs w:val="24"/>
        </w:rPr>
        <w:t xml:space="preserve"> </w:t>
      </w:r>
    </w:p>
    <w:p w14:paraId="3966DFD1" w14:textId="4F7037A9" w:rsidR="0088418E" w:rsidRPr="008F589B" w:rsidRDefault="0088418E" w:rsidP="008F589B">
      <w:pPr>
        <w:spacing w:line="360" w:lineRule="auto"/>
        <w:jc w:val="right"/>
        <w:rPr>
          <w:rFonts w:ascii="Verdana" w:hAnsi="Verdana"/>
          <w:szCs w:val="24"/>
        </w:rPr>
      </w:pPr>
      <w:r w:rsidRPr="008F589B">
        <w:rPr>
          <w:rFonts w:ascii="Verdana" w:hAnsi="Verdana"/>
          <w:szCs w:val="24"/>
        </w:rPr>
        <w:t xml:space="preserve">Rady Działalności Pożytku Publicznego z dnia </w:t>
      </w:r>
      <w:r w:rsidR="00C62A41" w:rsidRPr="008F589B">
        <w:rPr>
          <w:rFonts w:ascii="Verdana" w:hAnsi="Verdana"/>
          <w:szCs w:val="24"/>
        </w:rPr>
        <w:t>9 kwietnia</w:t>
      </w:r>
      <w:r w:rsidR="00B048CD" w:rsidRPr="008F589B">
        <w:rPr>
          <w:rFonts w:ascii="Verdana" w:hAnsi="Verdana"/>
          <w:szCs w:val="24"/>
        </w:rPr>
        <w:t xml:space="preserve"> 2021 r.</w:t>
      </w:r>
    </w:p>
    <w:p w14:paraId="2A16F281" w14:textId="44652001" w:rsidR="00E13817" w:rsidRPr="008F589B" w:rsidRDefault="0088418E" w:rsidP="008F589B">
      <w:pPr>
        <w:spacing w:line="360" w:lineRule="auto"/>
        <w:jc w:val="right"/>
        <w:rPr>
          <w:rFonts w:ascii="Verdana" w:hAnsi="Verdana"/>
          <w:szCs w:val="24"/>
        </w:rPr>
      </w:pPr>
      <w:r w:rsidRPr="008F589B">
        <w:rPr>
          <w:rFonts w:ascii="Verdana" w:hAnsi="Verdana"/>
          <w:szCs w:val="24"/>
        </w:rPr>
        <w:t>Uwagi do projektu Krajowego Planu Odbudowy i Zwiększania Odporności</w:t>
      </w:r>
    </w:p>
    <w:p w14:paraId="0EDADA3B" w14:textId="27D19C04" w:rsidR="00E13817" w:rsidRPr="008F589B" w:rsidRDefault="00E13817" w:rsidP="008F589B">
      <w:pPr>
        <w:spacing w:line="360" w:lineRule="auto"/>
        <w:jc w:val="center"/>
        <w:rPr>
          <w:rFonts w:ascii="Verdana" w:eastAsia="Times New Roman" w:hAnsi="Verdana"/>
          <w:szCs w:val="24"/>
        </w:rPr>
      </w:pPr>
    </w:p>
    <w:p w14:paraId="7CF2BFE7" w14:textId="77777777" w:rsidR="00E13817" w:rsidRPr="008F589B" w:rsidRDefault="00E13817" w:rsidP="008F589B">
      <w:pPr>
        <w:spacing w:line="360" w:lineRule="auto"/>
        <w:ind w:left="4536"/>
        <w:jc w:val="both"/>
        <w:rPr>
          <w:rFonts w:ascii="Verdana" w:eastAsia="Times New Roman" w:hAnsi="Verdana"/>
          <w:szCs w:val="24"/>
        </w:rPr>
      </w:pPr>
    </w:p>
    <w:p w14:paraId="07EF1444" w14:textId="0F311895" w:rsidR="00E13817" w:rsidRPr="008F589B" w:rsidRDefault="00E13817" w:rsidP="008F589B">
      <w:pPr>
        <w:spacing w:line="360" w:lineRule="auto"/>
        <w:jc w:val="both"/>
        <w:rPr>
          <w:rFonts w:ascii="Verdana" w:eastAsia="Times New Roman" w:hAnsi="Verdana"/>
          <w:b/>
          <w:bCs/>
          <w:color w:val="000000"/>
          <w:szCs w:val="24"/>
          <w:u w:val="single"/>
        </w:rPr>
      </w:pPr>
      <w:r w:rsidRPr="008F589B">
        <w:rPr>
          <w:rFonts w:ascii="Verdana" w:eastAsia="Times New Roman" w:hAnsi="Verdana"/>
          <w:b/>
          <w:bCs/>
          <w:color w:val="000000"/>
          <w:szCs w:val="24"/>
          <w:u w:val="single"/>
        </w:rPr>
        <w:t>GŁÓWNE POSTULATY:</w:t>
      </w:r>
    </w:p>
    <w:p w14:paraId="022871BE" w14:textId="77777777" w:rsidR="00744FDF" w:rsidRPr="008F589B" w:rsidRDefault="00744FDF" w:rsidP="008F589B">
      <w:pPr>
        <w:spacing w:line="360" w:lineRule="auto"/>
        <w:jc w:val="both"/>
        <w:rPr>
          <w:rFonts w:ascii="Verdana" w:hAnsi="Verdana"/>
          <w:b/>
          <w:bCs/>
          <w:szCs w:val="24"/>
        </w:rPr>
      </w:pPr>
    </w:p>
    <w:p w14:paraId="1728D242" w14:textId="77777777" w:rsidR="00432546" w:rsidRPr="008F589B" w:rsidRDefault="00432546" w:rsidP="008F589B">
      <w:pPr>
        <w:pStyle w:val="Akapitzlist"/>
        <w:numPr>
          <w:ilvl w:val="0"/>
          <w:numId w:val="17"/>
        </w:numPr>
        <w:spacing w:after="0" w:line="360" w:lineRule="auto"/>
        <w:ind w:left="426"/>
        <w:jc w:val="both"/>
        <w:rPr>
          <w:rFonts w:ascii="Verdana" w:eastAsia="Times New Roman" w:hAnsi="Verdana"/>
          <w:color w:val="000000"/>
          <w:sz w:val="24"/>
          <w:szCs w:val="24"/>
        </w:rPr>
      </w:pPr>
      <w:r w:rsidRPr="008F589B">
        <w:rPr>
          <w:rFonts w:ascii="Verdana" w:eastAsia="Times New Roman" w:hAnsi="Verdana"/>
          <w:color w:val="000000"/>
          <w:sz w:val="24"/>
          <w:szCs w:val="24"/>
        </w:rPr>
        <w:t>Przeznaczenie 1 % alokacji ze środków bezzwrotnych na rozwój i budowę odporności organizacji pozarządowych.</w:t>
      </w:r>
    </w:p>
    <w:p w14:paraId="1416FE01" w14:textId="77777777" w:rsidR="00432546" w:rsidRPr="008F589B" w:rsidRDefault="00432546" w:rsidP="008F589B">
      <w:pPr>
        <w:pStyle w:val="Akapitzlist"/>
        <w:numPr>
          <w:ilvl w:val="0"/>
          <w:numId w:val="17"/>
        </w:numPr>
        <w:spacing w:after="0" w:line="360" w:lineRule="auto"/>
        <w:ind w:left="426"/>
        <w:jc w:val="both"/>
        <w:rPr>
          <w:rFonts w:ascii="Verdana" w:eastAsia="Times New Roman" w:hAnsi="Verdana"/>
          <w:color w:val="000000"/>
          <w:sz w:val="24"/>
          <w:szCs w:val="24"/>
        </w:rPr>
      </w:pPr>
      <w:r w:rsidRPr="008F589B">
        <w:rPr>
          <w:rFonts w:ascii="Verdana" w:eastAsia="Times New Roman" w:hAnsi="Verdana"/>
          <w:color w:val="000000"/>
          <w:sz w:val="24"/>
          <w:szCs w:val="24"/>
        </w:rPr>
        <w:t>Właściwa realizacja zasady partnerstwa na wszystkich etapach wdrażania programu. Udział organizacji społeczeństwa obywatelskiego w Komitecie Monitorującym KPO.</w:t>
      </w:r>
    </w:p>
    <w:p w14:paraId="511B1F8A" w14:textId="77777777" w:rsidR="00432546" w:rsidRPr="008F589B" w:rsidRDefault="00432546" w:rsidP="008F589B">
      <w:pPr>
        <w:pStyle w:val="Akapitzlist"/>
        <w:numPr>
          <w:ilvl w:val="0"/>
          <w:numId w:val="17"/>
        </w:numPr>
        <w:spacing w:after="0" w:line="360" w:lineRule="auto"/>
        <w:ind w:left="426"/>
        <w:jc w:val="both"/>
        <w:rPr>
          <w:rFonts w:ascii="Verdana" w:eastAsia="Times New Roman" w:hAnsi="Verdana"/>
          <w:color w:val="000000"/>
          <w:sz w:val="24"/>
          <w:szCs w:val="24"/>
        </w:rPr>
      </w:pPr>
      <w:r w:rsidRPr="008F589B">
        <w:rPr>
          <w:rFonts w:ascii="Verdana" w:eastAsia="Times New Roman" w:hAnsi="Verdana"/>
          <w:color w:val="000000"/>
          <w:sz w:val="24"/>
          <w:szCs w:val="24"/>
        </w:rPr>
        <w:t>Dostępność finansowa środków w KPO dla organizacji pozarządowych.</w:t>
      </w:r>
    </w:p>
    <w:p w14:paraId="1895CD4C" w14:textId="068E23B5" w:rsidR="00432546" w:rsidRPr="008F589B" w:rsidRDefault="00432546" w:rsidP="008F589B">
      <w:pPr>
        <w:pStyle w:val="Akapitzlist"/>
        <w:numPr>
          <w:ilvl w:val="0"/>
          <w:numId w:val="17"/>
        </w:numPr>
        <w:spacing w:after="0" w:line="360" w:lineRule="auto"/>
        <w:ind w:left="426"/>
        <w:jc w:val="both"/>
        <w:rPr>
          <w:rFonts w:ascii="Verdana" w:eastAsia="Times New Roman" w:hAnsi="Verdana"/>
          <w:color w:val="000000"/>
          <w:sz w:val="24"/>
          <w:szCs w:val="24"/>
        </w:rPr>
      </w:pPr>
      <w:r w:rsidRPr="008F589B">
        <w:rPr>
          <w:rFonts w:ascii="Verdana" w:eastAsia="Times New Roman" w:hAnsi="Verdana"/>
          <w:color w:val="000000"/>
          <w:sz w:val="24"/>
          <w:szCs w:val="24"/>
        </w:rPr>
        <w:t xml:space="preserve">Rozbudowanie komponentu A o elementy społeczno-obywatelskie lub stworzenie dodatkowego  komponentu: “Rozwój oraz odporność społeczna i obywatelska” </w:t>
      </w:r>
      <w:r w:rsidR="009445CF" w:rsidRPr="008F589B">
        <w:rPr>
          <w:rFonts w:ascii="Verdana" w:eastAsia="Times New Roman" w:hAnsi="Verdana"/>
          <w:color w:val="000000"/>
          <w:sz w:val="24"/>
          <w:szCs w:val="24"/>
        </w:rPr>
        <w:t>–</w:t>
      </w:r>
      <w:r w:rsidRPr="008F589B">
        <w:rPr>
          <w:rFonts w:ascii="Verdana" w:eastAsia="Times New Roman" w:hAnsi="Verdana"/>
          <w:color w:val="000000"/>
          <w:sz w:val="24"/>
          <w:szCs w:val="24"/>
        </w:rPr>
        <w:t xml:space="preserve"> centra aktywności społeczno-obywatelskiej wzmacniające odporność i spójność społeczną.</w:t>
      </w:r>
    </w:p>
    <w:p w14:paraId="45F1A01F" w14:textId="77777777" w:rsidR="00432546" w:rsidRPr="008F589B" w:rsidRDefault="00432546" w:rsidP="008F589B">
      <w:pPr>
        <w:pStyle w:val="Akapitzlist"/>
        <w:numPr>
          <w:ilvl w:val="0"/>
          <w:numId w:val="17"/>
        </w:numPr>
        <w:spacing w:after="0" w:line="360" w:lineRule="auto"/>
        <w:ind w:left="426"/>
        <w:jc w:val="both"/>
        <w:rPr>
          <w:rFonts w:ascii="Verdana" w:eastAsia="Times New Roman" w:hAnsi="Verdana"/>
          <w:color w:val="000000"/>
          <w:sz w:val="24"/>
          <w:szCs w:val="24"/>
        </w:rPr>
      </w:pPr>
      <w:r w:rsidRPr="008F589B">
        <w:rPr>
          <w:rFonts w:ascii="Verdana" w:eastAsia="Times New Roman" w:hAnsi="Verdana"/>
          <w:color w:val="000000"/>
          <w:sz w:val="24"/>
          <w:szCs w:val="24"/>
        </w:rPr>
        <w:t>Uwzględnienie zasad horyzontalnych, w tym zasady dostępności dla osób z niepełnosprawnościami w krajowym programie odbudowy.</w:t>
      </w:r>
    </w:p>
    <w:p w14:paraId="619891FD" w14:textId="45CE7C83" w:rsidR="00432546" w:rsidRPr="008F589B" w:rsidRDefault="00432546" w:rsidP="008F589B">
      <w:pPr>
        <w:pStyle w:val="Akapitzlist"/>
        <w:numPr>
          <w:ilvl w:val="0"/>
          <w:numId w:val="17"/>
        </w:numPr>
        <w:spacing w:after="0" w:line="360" w:lineRule="auto"/>
        <w:ind w:left="426"/>
        <w:jc w:val="both"/>
        <w:rPr>
          <w:rFonts w:ascii="Verdana" w:eastAsia="Times New Roman" w:hAnsi="Verdana"/>
          <w:color w:val="000000"/>
          <w:sz w:val="24"/>
          <w:szCs w:val="24"/>
        </w:rPr>
      </w:pPr>
      <w:r w:rsidRPr="008F589B">
        <w:rPr>
          <w:rFonts w:ascii="Verdana" w:eastAsia="Times New Roman" w:hAnsi="Verdana"/>
          <w:color w:val="000000"/>
          <w:sz w:val="24"/>
          <w:szCs w:val="24"/>
        </w:rPr>
        <w:t>Dodanie reformy A5 wzmocnienie kobi</w:t>
      </w:r>
      <w:r w:rsidR="009445CF" w:rsidRPr="008F589B">
        <w:rPr>
          <w:rFonts w:ascii="Verdana" w:eastAsia="Times New Roman" w:hAnsi="Verdana"/>
          <w:color w:val="000000"/>
          <w:sz w:val="24"/>
          <w:szCs w:val="24"/>
        </w:rPr>
        <w:t>et w pełnieniu ról zawodowych i </w:t>
      </w:r>
      <w:r w:rsidRPr="008F589B">
        <w:rPr>
          <w:rFonts w:ascii="Verdana" w:eastAsia="Times New Roman" w:hAnsi="Verdana"/>
          <w:color w:val="000000"/>
          <w:sz w:val="24"/>
          <w:szCs w:val="24"/>
        </w:rPr>
        <w:t>społecznych w komponencie a (r</w:t>
      </w:r>
      <w:r w:rsidR="009445CF" w:rsidRPr="008F589B">
        <w:rPr>
          <w:rFonts w:ascii="Verdana" w:eastAsia="Times New Roman" w:hAnsi="Verdana"/>
          <w:color w:val="000000"/>
          <w:sz w:val="24"/>
          <w:szCs w:val="24"/>
        </w:rPr>
        <w:t>eforma: A5 wzmocnienie kobiet w </w:t>
      </w:r>
      <w:r w:rsidRPr="008F589B">
        <w:rPr>
          <w:rFonts w:ascii="Verdana" w:eastAsia="Times New Roman" w:hAnsi="Verdana"/>
          <w:color w:val="000000"/>
          <w:sz w:val="24"/>
          <w:szCs w:val="24"/>
        </w:rPr>
        <w:t>pełnieniu ról zawodowych i społecznych;  inwestycja: A5.1 rozwój siatki usług społecznych pozwalających na powrót na rynek pracy i utrzymanie się na nim).</w:t>
      </w:r>
    </w:p>
    <w:p w14:paraId="352570C0" w14:textId="3FACF4D2" w:rsidR="00432546" w:rsidRPr="008F589B" w:rsidRDefault="00432546" w:rsidP="008F589B">
      <w:pPr>
        <w:pStyle w:val="Akapitzlist"/>
        <w:numPr>
          <w:ilvl w:val="0"/>
          <w:numId w:val="17"/>
        </w:numPr>
        <w:spacing w:after="0" w:line="360" w:lineRule="auto"/>
        <w:ind w:left="426"/>
        <w:jc w:val="both"/>
        <w:rPr>
          <w:rFonts w:ascii="Verdana" w:eastAsia="Times New Roman" w:hAnsi="Verdana"/>
          <w:color w:val="000000"/>
          <w:sz w:val="24"/>
          <w:szCs w:val="24"/>
        </w:rPr>
      </w:pPr>
      <w:r w:rsidRPr="008F589B">
        <w:rPr>
          <w:rFonts w:ascii="Verdana" w:eastAsia="Times New Roman" w:hAnsi="Verdana"/>
          <w:color w:val="000000"/>
          <w:sz w:val="24"/>
          <w:szCs w:val="24"/>
        </w:rPr>
        <w:t>Efektywność, dostępność i jakość systemu ochrony zdrowia i usług społecznych. Wdrożenie deinstytucjonalizac</w:t>
      </w:r>
      <w:r w:rsidR="009445CF" w:rsidRPr="008F589B">
        <w:rPr>
          <w:rFonts w:ascii="Verdana" w:eastAsia="Times New Roman" w:hAnsi="Verdana"/>
          <w:color w:val="000000"/>
          <w:sz w:val="24"/>
          <w:szCs w:val="24"/>
        </w:rPr>
        <w:t>ji usług zdrowotnych i </w:t>
      </w:r>
      <w:r w:rsidRPr="008F589B">
        <w:rPr>
          <w:rFonts w:ascii="Verdana" w:eastAsia="Times New Roman" w:hAnsi="Verdana"/>
          <w:color w:val="000000"/>
          <w:sz w:val="24"/>
          <w:szCs w:val="24"/>
        </w:rPr>
        <w:t>społecznych</w:t>
      </w:r>
    </w:p>
    <w:p w14:paraId="7863476B" w14:textId="77777777" w:rsidR="00432546" w:rsidRPr="008F589B" w:rsidRDefault="00432546" w:rsidP="008F589B">
      <w:pPr>
        <w:pStyle w:val="Akapitzlist"/>
        <w:numPr>
          <w:ilvl w:val="0"/>
          <w:numId w:val="17"/>
        </w:numPr>
        <w:spacing w:after="0" w:line="360" w:lineRule="auto"/>
        <w:ind w:left="426"/>
        <w:jc w:val="both"/>
        <w:rPr>
          <w:rFonts w:ascii="Verdana" w:eastAsia="Times New Roman" w:hAnsi="Verdana"/>
          <w:color w:val="000000"/>
          <w:sz w:val="24"/>
          <w:szCs w:val="24"/>
        </w:rPr>
      </w:pPr>
      <w:r w:rsidRPr="008F589B">
        <w:rPr>
          <w:rFonts w:ascii="Verdana" w:eastAsia="Times New Roman" w:hAnsi="Verdana"/>
          <w:color w:val="000000"/>
          <w:sz w:val="24"/>
          <w:szCs w:val="24"/>
        </w:rPr>
        <w:t>Dodanie celu szczegółowego: D5 Usługi społeczne z inwestycyjną D5.1. Mieszkalnictwo wspomagane.</w:t>
      </w:r>
    </w:p>
    <w:p w14:paraId="0C457B52" w14:textId="3C06BACE" w:rsidR="00432546" w:rsidRPr="008F589B" w:rsidRDefault="00432546" w:rsidP="008F589B">
      <w:pPr>
        <w:pStyle w:val="Akapitzlist"/>
        <w:numPr>
          <w:ilvl w:val="0"/>
          <w:numId w:val="17"/>
        </w:numPr>
        <w:spacing w:after="0" w:line="360" w:lineRule="auto"/>
        <w:ind w:left="426"/>
        <w:jc w:val="both"/>
        <w:rPr>
          <w:rFonts w:ascii="Verdana" w:eastAsia="Times New Roman" w:hAnsi="Verdana"/>
          <w:color w:val="000000"/>
          <w:sz w:val="24"/>
          <w:szCs w:val="24"/>
        </w:rPr>
      </w:pPr>
      <w:r w:rsidRPr="008F589B">
        <w:rPr>
          <w:rFonts w:ascii="Verdana" w:eastAsia="Times New Roman" w:hAnsi="Verdana"/>
          <w:color w:val="000000"/>
          <w:sz w:val="24"/>
          <w:szCs w:val="24"/>
        </w:rPr>
        <w:t>Wzmocnienie działań na rzecz Zielonej Transformacji w KPO.</w:t>
      </w:r>
    </w:p>
    <w:p w14:paraId="159B62DE" w14:textId="77777777" w:rsidR="009445CF" w:rsidRPr="008F589B" w:rsidRDefault="009445CF" w:rsidP="008F589B">
      <w:pPr>
        <w:spacing w:line="360" w:lineRule="auto"/>
        <w:rPr>
          <w:rFonts w:ascii="Verdana" w:eastAsia="Times New Roman" w:hAnsi="Verdana"/>
          <w:b/>
          <w:bCs/>
          <w:color w:val="000000"/>
          <w:szCs w:val="24"/>
          <w:u w:val="single"/>
        </w:rPr>
      </w:pPr>
      <w:r w:rsidRPr="008F589B">
        <w:rPr>
          <w:rFonts w:ascii="Verdana" w:eastAsia="Times New Roman" w:hAnsi="Verdana"/>
          <w:b/>
          <w:bCs/>
          <w:color w:val="000000"/>
          <w:szCs w:val="24"/>
          <w:u w:val="single"/>
        </w:rPr>
        <w:br w:type="page"/>
      </w:r>
    </w:p>
    <w:p w14:paraId="415507D4" w14:textId="0B389AE8" w:rsidR="00E13817" w:rsidRPr="008F589B" w:rsidRDefault="0088418E" w:rsidP="008F589B">
      <w:pPr>
        <w:spacing w:line="360" w:lineRule="auto"/>
        <w:jc w:val="both"/>
        <w:rPr>
          <w:rFonts w:ascii="Verdana" w:eastAsia="Times New Roman" w:hAnsi="Verdana"/>
          <w:b/>
          <w:bCs/>
          <w:color w:val="000000"/>
          <w:szCs w:val="24"/>
          <w:u w:val="single"/>
        </w:rPr>
      </w:pPr>
      <w:r w:rsidRPr="008F589B">
        <w:rPr>
          <w:rFonts w:ascii="Verdana" w:eastAsia="Times New Roman" w:hAnsi="Verdana"/>
          <w:b/>
          <w:bCs/>
          <w:color w:val="000000"/>
          <w:szCs w:val="24"/>
          <w:u w:val="single"/>
        </w:rPr>
        <w:lastRenderedPageBreak/>
        <w:t>UWAGI</w:t>
      </w:r>
      <w:r w:rsidR="00084D42" w:rsidRPr="008F589B">
        <w:rPr>
          <w:rFonts w:ascii="Verdana" w:eastAsia="Times New Roman" w:hAnsi="Verdana"/>
          <w:b/>
          <w:bCs/>
          <w:color w:val="000000"/>
          <w:szCs w:val="24"/>
          <w:u w:val="single"/>
        </w:rPr>
        <w:t>:</w:t>
      </w:r>
    </w:p>
    <w:p w14:paraId="761A1B17" w14:textId="77777777" w:rsidR="00E13817" w:rsidRPr="008F589B" w:rsidRDefault="00E13817" w:rsidP="008F589B">
      <w:pPr>
        <w:spacing w:line="360" w:lineRule="auto"/>
        <w:jc w:val="both"/>
        <w:rPr>
          <w:rFonts w:ascii="Verdana" w:eastAsia="Times New Roman" w:hAnsi="Verdana"/>
          <w:b/>
          <w:bCs/>
          <w:color w:val="000000"/>
          <w:szCs w:val="24"/>
        </w:rPr>
      </w:pPr>
    </w:p>
    <w:p w14:paraId="628E41B5" w14:textId="77777777" w:rsidR="00E13817" w:rsidRPr="008F589B" w:rsidRDefault="00E13817" w:rsidP="008F589B">
      <w:pPr>
        <w:spacing w:line="360" w:lineRule="auto"/>
        <w:jc w:val="both"/>
        <w:rPr>
          <w:rFonts w:ascii="Verdana" w:eastAsia="Times New Roman" w:hAnsi="Verdana"/>
          <w:b/>
          <w:bCs/>
          <w:color w:val="000000"/>
          <w:szCs w:val="24"/>
        </w:rPr>
      </w:pPr>
      <w:r w:rsidRPr="008F589B">
        <w:rPr>
          <w:rFonts w:ascii="Verdana" w:eastAsia="Times New Roman" w:hAnsi="Verdana"/>
          <w:b/>
          <w:bCs/>
          <w:color w:val="000000"/>
          <w:szCs w:val="24"/>
        </w:rPr>
        <w:t>A/ ZASADY PODSTAWOWE I HORYZONTALNE</w:t>
      </w:r>
    </w:p>
    <w:p w14:paraId="067B9C71" w14:textId="77777777" w:rsidR="00E13817" w:rsidRPr="008F589B" w:rsidRDefault="00E13817" w:rsidP="008F589B">
      <w:pPr>
        <w:spacing w:line="360" w:lineRule="auto"/>
        <w:jc w:val="both"/>
        <w:rPr>
          <w:rFonts w:ascii="Verdana" w:eastAsia="Times New Roman" w:hAnsi="Verdana"/>
          <w:color w:val="000000"/>
          <w:szCs w:val="24"/>
        </w:rPr>
      </w:pPr>
    </w:p>
    <w:p w14:paraId="4F2D4CCD" w14:textId="77777777" w:rsidR="00E13817" w:rsidRPr="008F589B" w:rsidRDefault="00E13817" w:rsidP="008F589B">
      <w:pPr>
        <w:spacing w:line="360" w:lineRule="auto"/>
        <w:jc w:val="both"/>
        <w:rPr>
          <w:rFonts w:ascii="Verdana" w:eastAsia="Times New Roman" w:hAnsi="Verdana"/>
          <w:b/>
          <w:bCs/>
          <w:color w:val="000000"/>
          <w:szCs w:val="24"/>
        </w:rPr>
      </w:pPr>
      <w:r w:rsidRPr="008F589B">
        <w:rPr>
          <w:rFonts w:ascii="Verdana" w:eastAsia="Times New Roman" w:hAnsi="Verdana"/>
          <w:b/>
          <w:bCs/>
          <w:color w:val="000000"/>
          <w:szCs w:val="24"/>
        </w:rPr>
        <w:t>I. PRZEZNACZENIE 1 % ALOKACJI ZE ŚRODKÓW BEZZWROTNYCH NA ROZWÓJ I BUDOWĘ ODPORNOŚCI ORGANIZACJI POZARZĄDOWYCH.</w:t>
      </w:r>
    </w:p>
    <w:p w14:paraId="17E845B1" w14:textId="77777777" w:rsidR="00E13817" w:rsidRPr="008F589B" w:rsidRDefault="00E13817" w:rsidP="008F589B">
      <w:pPr>
        <w:spacing w:line="360" w:lineRule="auto"/>
        <w:jc w:val="both"/>
        <w:rPr>
          <w:rFonts w:ascii="Verdana" w:eastAsia="Times New Roman" w:hAnsi="Verdana"/>
          <w:color w:val="000000"/>
          <w:szCs w:val="24"/>
        </w:rPr>
      </w:pPr>
    </w:p>
    <w:p w14:paraId="44C65C62" w14:textId="7C5C39A8" w:rsidR="00E13817" w:rsidRPr="008F589B" w:rsidRDefault="00E13817" w:rsidP="008F589B">
      <w:pPr>
        <w:spacing w:line="360" w:lineRule="auto"/>
        <w:jc w:val="both"/>
        <w:rPr>
          <w:rFonts w:ascii="Verdana" w:eastAsia="Times New Roman" w:hAnsi="Verdana"/>
          <w:color w:val="000000"/>
          <w:szCs w:val="24"/>
        </w:rPr>
      </w:pPr>
      <w:r w:rsidRPr="008F589B">
        <w:rPr>
          <w:rFonts w:ascii="Verdana" w:eastAsia="Times New Roman" w:hAnsi="Verdana"/>
          <w:color w:val="000000"/>
          <w:szCs w:val="24"/>
        </w:rPr>
        <w:t>Alokacja odpowiedniej kwoty środków KPO ze środków bezzwrotnych analogicznie  na budowanie zdolności partnerów społecznych i organizacji społeczeństwa obywatelskiego tak bardzo</w:t>
      </w:r>
      <w:r w:rsidR="009445CF" w:rsidRPr="008F589B">
        <w:rPr>
          <w:rFonts w:ascii="Verdana" w:eastAsia="Times New Roman" w:hAnsi="Verdana"/>
          <w:color w:val="000000"/>
          <w:szCs w:val="24"/>
        </w:rPr>
        <w:t xml:space="preserve"> dotkniętych pandemią. Należy w </w:t>
      </w:r>
      <w:r w:rsidRPr="008F589B">
        <w:rPr>
          <w:rFonts w:ascii="Verdana" w:eastAsia="Times New Roman" w:hAnsi="Verdana"/>
          <w:color w:val="000000"/>
          <w:szCs w:val="24"/>
        </w:rPr>
        <w:t>tym miejscu podkreślić, że to organizacje obywatelskie jako pierwsze odpowiedziały na potrzeby wynikające z sytuacji epidemicznej (szycie maseczek, pomoc żywnościowa, pomoc osobom starszym, samotnym czy wykluczonym). Można tutaj również przywołać dwa obszary interwencji wskazane w Rozporządzeniu Parlamentu Europejskiego i Rady (UE) 2021/241 z dnia 12 lutego 2021 r. ustanawiające</w:t>
      </w:r>
      <w:r w:rsidR="00B048CD" w:rsidRPr="008F589B">
        <w:rPr>
          <w:rFonts w:ascii="Verdana" w:eastAsia="Times New Roman" w:hAnsi="Verdana"/>
          <w:color w:val="000000"/>
          <w:szCs w:val="24"/>
        </w:rPr>
        <w:t xml:space="preserve"> Instrument na rzecz Odbudowy </w:t>
      </w:r>
      <w:r w:rsidR="00B048CD" w:rsidRPr="008F589B">
        <w:rPr>
          <w:rFonts w:ascii="Verdana" w:hAnsi="Verdana"/>
          <w:szCs w:val="24"/>
        </w:rPr>
        <w:t>i </w:t>
      </w:r>
      <w:r w:rsidRPr="008F589B">
        <w:rPr>
          <w:rFonts w:ascii="Verdana" w:hAnsi="Verdana"/>
          <w:szCs w:val="24"/>
        </w:rPr>
        <w:t>Zwiększania</w:t>
      </w:r>
      <w:r w:rsidRPr="008F589B">
        <w:rPr>
          <w:rFonts w:ascii="Verdana" w:eastAsia="Times New Roman" w:hAnsi="Verdana"/>
          <w:color w:val="000000"/>
          <w:szCs w:val="24"/>
        </w:rPr>
        <w:t xml:space="preserve"> Odporności”, obszar nr 143 “Wzmocnienie potencjału organów państwa członkowskiego, beneficjentów i odpowiednich partnerów” oraz obszar nr 133 “Poprawa współpracy z partnerami w ramach danego państwa członkowskiego i poza nim”.</w:t>
      </w:r>
    </w:p>
    <w:p w14:paraId="08D30794" w14:textId="77777777" w:rsidR="00E13817" w:rsidRPr="008F589B" w:rsidRDefault="00E13817" w:rsidP="008F589B">
      <w:pPr>
        <w:spacing w:line="360" w:lineRule="auto"/>
        <w:jc w:val="both"/>
        <w:rPr>
          <w:rFonts w:ascii="Verdana" w:eastAsia="Times New Roman" w:hAnsi="Verdana"/>
          <w:color w:val="000000"/>
          <w:szCs w:val="24"/>
        </w:rPr>
      </w:pPr>
    </w:p>
    <w:p w14:paraId="22D6626E" w14:textId="77777777" w:rsidR="00E13817" w:rsidRPr="008F589B" w:rsidRDefault="00E13817" w:rsidP="008F589B">
      <w:pPr>
        <w:spacing w:line="360" w:lineRule="auto"/>
        <w:jc w:val="both"/>
        <w:rPr>
          <w:rFonts w:ascii="Verdana" w:eastAsia="Times New Roman" w:hAnsi="Verdana"/>
          <w:b/>
          <w:bCs/>
          <w:color w:val="000000"/>
          <w:szCs w:val="24"/>
        </w:rPr>
      </w:pPr>
      <w:r w:rsidRPr="008F589B">
        <w:rPr>
          <w:rFonts w:ascii="Verdana" w:eastAsia="Times New Roman" w:hAnsi="Verdana"/>
          <w:b/>
          <w:bCs/>
          <w:color w:val="000000"/>
          <w:szCs w:val="24"/>
        </w:rPr>
        <w:t>II. REALIZACJA ZASADY PARTNERSTWA:</w:t>
      </w:r>
    </w:p>
    <w:p w14:paraId="645CB486" w14:textId="77777777" w:rsidR="009445CF" w:rsidRPr="008F589B" w:rsidRDefault="009445CF" w:rsidP="008F589B">
      <w:pPr>
        <w:spacing w:line="360" w:lineRule="auto"/>
        <w:jc w:val="both"/>
        <w:rPr>
          <w:rFonts w:ascii="Verdana" w:eastAsia="Times New Roman" w:hAnsi="Verdana"/>
          <w:szCs w:val="24"/>
        </w:rPr>
      </w:pPr>
    </w:p>
    <w:p w14:paraId="158AC924" w14:textId="5CD14BFB" w:rsidR="00E13817" w:rsidRPr="008F589B" w:rsidRDefault="00E13817" w:rsidP="008F589B">
      <w:pPr>
        <w:spacing w:line="360" w:lineRule="auto"/>
        <w:jc w:val="both"/>
        <w:rPr>
          <w:rFonts w:ascii="Verdana" w:hAnsi="Verdana"/>
          <w:szCs w:val="24"/>
        </w:rPr>
      </w:pPr>
      <w:r w:rsidRPr="008F589B">
        <w:rPr>
          <w:rFonts w:ascii="Verdana" w:eastAsia="Times New Roman" w:hAnsi="Verdana"/>
          <w:szCs w:val="24"/>
        </w:rPr>
        <w:t>Dla zachowania demokratycznych zasad również w procesie wdrażania Krajowego Planu Odbudowy i Zwiększania Odporności, bardzo ważnym jest zaangażowanie wszystkich właściwych partnerów w tym organizacji społeczeństwa obywatelskiego.</w:t>
      </w:r>
    </w:p>
    <w:p w14:paraId="08531FE1" w14:textId="77777777" w:rsidR="00E13817" w:rsidRPr="008F589B" w:rsidRDefault="00E13817" w:rsidP="008F589B">
      <w:pPr>
        <w:numPr>
          <w:ilvl w:val="0"/>
          <w:numId w:val="2"/>
        </w:numPr>
        <w:suppressAutoHyphens/>
        <w:autoSpaceDN w:val="0"/>
        <w:spacing w:line="360" w:lineRule="auto"/>
        <w:jc w:val="both"/>
        <w:textAlignment w:val="baseline"/>
        <w:rPr>
          <w:rFonts w:ascii="Verdana" w:eastAsia="Times New Roman" w:hAnsi="Verdana"/>
          <w:color w:val="000000"/>
          <w:szCs w:val="24"/>
        </w:rPr>
      </w:pPr>
      <w:r w:rsidRPr="008F589B">
        <w:rPr>
          <w:rFonts w:ascii="Verdana" w:eastAsia="Times New Roman" w:hAnsi="Verdana"/>
          <w:color w:val="000000"/>
          <w:szCs w:val="24"/>
        </w:rPr>
        <w:t>Udział partnerów reprezentujących społeczeństwo obywatelskie na każdym etapie (programowanie, realizacja, monitoring, ewaluacja).</w:t>
      </w:r>
    </w:p>
    <w:p w14:paraId="77FABE3F" w14:textId="77777777" w:rsidR="00E13817" w:rsidRPr="008F589B" w:rsidRDefault="00E13817" w:rsidP="008F589B">
      <w:pPr>
        <w:numPr>
          <w:ilvl w:val="0"/>
          <w:numId w:val="2"/>
        </w:numPr>
        <w:suppressAutoHyphens/>
        <w:autoSpaceDN w:val="0"/>
        <w:spacing w:line="360" w:lineRule="auto"/>
        <w:jc w:val="both"/>
        <w:textAlignment w:val="baseline"/>
        <w:rPr>
          <w:rFonts w:ascii="Verdana" w:eastAsia="Times New Roman" w:hAnsi="Verdana"/>
          <w:color w:val="000000"/>
          <w:szCs w:val="24"/>
        </w:rPr>
      </w:pPr>
      <w:r w:rsidRPr="008F589B">
        <w:rPr>
          <w:rFonts w:ascii="Verdana" w:eastAsia="Times New Roman" w:hAnsi="Verdana"/>
          <w:color w:val="000000"/>
          <w:szCs w:val="24"/>
        </w:rPr>
        <w:t>Właściwa reprezentatywność partnerów.</w:t>
      </w:r>
    </w:p>
    <w:p w14:paraId="592B75A8" w14:textId="6B291159" w:rsidR="00E13817" w:rsidRPr="008F589B" w:rsidRDefault="00E13817" w:rsidP="008F589B">
      <w:pPr>
        <w:numPr>
          <w:ilvl w:val="0"/>
          <w:numId w:val="2"/>
        </w:numPr>
        <w:suppressAutoHyphens/>
        <w:autoSpaceDN w:val="0"/>
        <w:spacing w:line="360" w:lineRule="auto"/>
        <w:jc w:val="both"/>
        <w:textAlignment w:val="baseline"/>
        <w:rPr>
          <w:rFonts w:ascii="Verdana" w:eastAsia="Times New Roman" w:hAnsi="Verdana"/>
          <w:color w:val="000000"/>
          <w:szCs w:val="24"/>
        </w:rPr>
      </w:pPr>
      <w:r w:rsidRPr="008F589B">
        <w:rPr>
          <w:rFonts w:ascii="Verdana" w:eastAsia="Times New Roman" w:hAnsi="Verdana"/>
          <w:color w:val="000000"/>
          <w:szCs w:val="24"/>
        </w:rPr>
        <w:t>Transparentne zasady udziału naszych przedstawicieli w Komitecie Monitorującym KPO.</w:t>
      </w:r>
    </w:p>
    <w:p w14:paraId="734DA610" w14:textId="77777777" w:rsidR="00E13817" w:rsidRPr="008F589B" w:rsidRDefault="00E13817" w:rsidP="008F589B">
      <w:pPr>
        <w:spacing w:line="360" w:lineRule="auto"/>
        <w:jc w:val="both"/>
        <w:rPr>
          <w:rFonts w:ascii="Verdana" w:eastAsia="Times New Roman" w:hAnsi="Verdana"/>
          <w:color w:val="000000"/>
          <w:szCs w:val="24"/>
        </w:rPr>
      </w:pPr>
      <w:r w:rsidRPr="008F589B">
        <w:rPr>
          <w:rFonts w:ascii="Verdana" w:eastAsia="Times New Roman" w:hAnsi="Verdana"/>
          <w:b/>
          <w:bCs/>
          <w:color w:val="000000"/>
          <w:szCs w:val="24"/>
        </w:rPr>
        <w:lastRenderedPageBreak/>
        <w:t>III. DOSTĘPNOŚĆ FINANSOWA ŚRODKÓW W KPO DLA ORGANIZACJI POZARZĄDOWYCH</w:t>
      </w:r>
      <w:r w:rsidRPr="008F589B">
        <w:rPr>
          <w:rFonts w:ascii="Verdana" w:eastAsia="Times New Roman" w:hAnsi="Verdana"/>
          <w:color w:val="000000"/>
          <w:szCs w:val="24"/>
        </w:rPr>
        <w:t>:</w:t>
      </w:r>
    </w:p>
    <w:p w14:paraId="6E3D8FF9" w14:textId="544E072D" w:rsidR="00E13817" w:rsidRPr="008F589B" w:rsidRDefault="00E13817" w:rsidP="008F589B">
      <w:pPr>
        <w:spacing w:line="360" w:lineRule="auto"/>
        <w:jc w:val="both"/>
        <w:rPr>
          <w:rFonts w:ascii="Verdana" w:eastAsia="Times New Roman" w:hAnsi="Verdana"/>
          <w:color w:val="000000"/>
          <w:szCs w:val="24"/>
        </w:rPr>
      </w:pPr>
    </w:p>
    <w:p w14:paraId="4AC93C8A" w14:textId="18A8D794" w:rsidR="00E13817" w:rsidRPr="008F589B" w:rsidRDefault="00E13817" w:rsidP="008F589B">
      <w:pPr>
        <w:pStyle w:val="Akapitzlist"/>
        <w:numPr>
          <w:ilvl w:val="0"/>
          <w:numId w:val="18"/>
        </w:numPr>
        <w:spacing w:after="0" w:line="360" w:lineRule="auto"/>
        <w:jc w:val="both"/>
        <w:rPr>
          <w:rFonts w:ascii="Verdana" w:eastAsia="Times New Roman" w:hAnsi="Verdana"/>
          <w:color w:val="000000"/>
          <w:sz w:val="24"/>
          <w:szCs w:val="24"/>
        </w:rPr>
      </w:pPr>
      <w:r w:rsidRPr="008F589B">
        <w:rPr>
          <w:rFonts w:ascii="Verdana" w:eastAsia="Times New Roman" w:hAnsi="Verdana"/>
          <w:color w:val="000000"/>
          <w:sz w:val="24"/>
          <w:szCs w:val="24"/>
        </w:rPr>
        <w:t>Partycypacja w dostępie do środków organizacji pozarządowych na zasadach wskazanych dla przedsiębiorstw oraz na zasadach wsparcia MŚP.</w:t>
      </w:r>
    </w:p>
    <w:p w14:paraId="2524685B" w14:textId="1CD4B9FC" w:rsidR="00E13817" w:rsidRPr="008F589B" w:rsidRDefault="00E13817" w:rsidP="008F589B">
      <w:pPr>
        <w:spacing w:line="360" w:lineRule="auto"/>
        <w:jc w:val="both"/>
        <w:rPr>
          <w:rFonts w:ascii="Verdana" w:eastAsia="Times New Roman" w:hAnsi="Verdana"/>
          <w:color w:val="000000"/>
          <w:szCs w:val="24"/>
        </w:rPr>
      </w:pPr>
      <w:r w:rsidRPr="008F589B">
        <w:rPr>
          <w:rFonts w:ascii="Verdana" w:eastAsia="Times New Roman" w:hAnsi="Verdana"/>
          <w:color w:val="000000"/>
          <w:szCs w:val="24"/>
        </w:rPr>
        <w:t>Polska definicja przedsiębiorcy oraz małego i średniego przedsiębiorcy odwołuje się do prowadzonych przez te podmioty działalności gospodarczej, co powoduje że jest ona węższa niż definicja wskazana w przepisach UE. Specyfiką polskiego systemu prawnego</w:t>
      </w:r>
      <w:r w:rsidR="00B048CD" w:rsidRPr="008F589B">
        <w:rPr>
          <w:rFonts w:ascii="Verdana" w:eastAsia="Times New Roman" w:hAnsi="Verdana"/>
          <w:color w:val="000000"/>
          <w:szCs w:val="24"/>
        </w:rPr>
        <w:t xml:space="preserve"> jest wyodrębnienie w ustawie o </w:t>
      </w:r>
      <w:r w:rsidRPr="008F589B">
        <w:rPr>
          <w:rFonts w:ascii="Verdana" w:eastAsia="Times New Roman" w:hAnsi="Verdana"/>
          <w:color w:val="000000"/>
          <w:szCs w:val="24"/>
        </w:rPr>
        <w:t>działalności pożytku publicznego działalności odpłatnej i nieodpłatnej pożytku publicznego. Powoduje to, że przy zachowaniu w KPO dotychczasowych definicji przedsiębiorcy i MŚP znaczna część interwencji będzie niedostępna dla większości NGO.</w:t>
      </w:r>
    </w:p>
    <w:p w14:paraId="7FF0D2A2" w14:textId="44456118" w:rsidR="00E13817" w:rsidRPr="008F589B" w:rsidRDefault="00E13817" w:rsidP="008F589B">
      <w:pPr>
        <w:spacing w:line="360" w:lineRule="auto"/>
        <w:jc w:val="both"/>
        <w:rPr>
          <w:rFonts w:ascii="Verdana" w:eastAsia="Times New Roman" w:hAnsi="Verdana"/>
          <w:color w:val="000000"/>
          <w:szCs w:val="24"/>
        </w:rPr>
      </w:pPr>
    </w:p>
    <w:p w14:paraId="54CD9E9E" w14:textId="7823D9D4" w:rsidR="00E13817" w:rsidRPr="008F589B" w:rsidRDefault="00E13817" w:rsidP="008F589B">
      <w:pPr>
        <w:pStyle w:val="Akapitzlist"/>
        <w:numPr>
          <w:ilvl w:val="0"/>
          <w:numId w:val="18"/>
        </w:numPr>
        <w:spacing w:after="0" w:line="360" w:lineRule="auto"/>
        <w:jc w:val="both"/>
        <w:rPr>
          <w:rFonts w:ascii="Verdana" w:eastAsia="Times New Roman" w:hAnsi="Verdana"/>
          <w:color w:val="000000"/>
          <w:sz w:val="24"/>
          <w:szCs w:val="24"/>
        </w:rPr>
      </w:pPr>
      <w:r w:rsidRPr="008F589B">
        <w:rPr>
          <w:rFonts w:ascii="Verdana" w:eastAsia="Times New Roman" w:hAnsi="Verdana"/>
          <w:color w:val="000000"/>
          <w:sz w:val="24"/>
          <w:szCs w:val="24"/>
        </w:rPr>
        <w:t>Utworzenie funduszu pożyczkowego lub zaliczkowanie umożliwiają absor</w:t>
      </w:r>
      <w:r w:rsidR="00B048CD" w:rsidRPr="008F589B">
        <w:rPr>
          <w:rFonts w:ascii="Verdana" w:eastAsia="Times New Roman" w:hAnsi="Verdana"/>
          <w:color w:val="000000"/>
          <w:sz w:val="24"/>
          <w:szCs w:val="24"/>
        </w:rPr>
        <w:t>pcję środków z KPO.</w:t>
      </w:r>
    </w:p>
    <w:p w14:paraId="6F4AEBE3" w14:textId="7BC4F2D1" w:rsidR="00E13817" w:rsidRPr="008F589B" w:rsidRDefault="00E13817" w:rsidP="008F589B">
      <w:pPr>
        <w:spacing w:line="360" w:lineRule="auto"/>
        <w:jc w:val="both"/>
        <w:rPr>
          <w:rFonts w:ascii="Verdana" w:eastAsia="Times New Roman" w:hAnsi="Verdana"/>
          <w:color w:val="000000"/>
          <w:szCs w:val="24"/>
        </w:rPr>
      </w:pPr>
      <w:r w:rsidRPr="008F589B">
        <w:rPr>
          <w:rFonts w:ascii="Verdana" w:eastAsia="Times New Roman" w:hAnsi="Verdana"/>
          <w:color w:val="000000"/>
          <w:szCs w:val="24"/>
        </w:rPr>
        <w:t>Organizacje pozarządowe nie prowadzą większości działalności gospodarczej, nie generują również zysku, który mogłyby przeznaczyć na zabezpieczenie środków niezbędnych do realizacji projektów w systemie refundacyjnym. Dla większości NGO nie dostępne są również komercyjne kredyty bankowe. Dlatego niezbędnym jest zapewnienie środków</w:t>
      </w:r>
      <w:r w:rsidR="00B048CD" w:rsidRPr="008F589B">
        <w:rPr>
          <w:rFonts w:ascii="Verdana" w:eastAsia="Times New Roman" w:hAnsi="Verdana"/>
          <w:color w:val="000000"/>
          <w:szCs w:val="24"/>
        </w:rPr>
        <w:t xml:space="preserve"> na realizację tych projektów w </w:t>
      </w:r>
      <w:r w:rsidRPr="008F589B">
        <w:rPr>
          <w:rFonts w:ascii="Verdana" w:eastAsia="Times New Roman" w:hAnsi="Verdana"/>
          <w:color w:val="000000"/>
          <w:szCs w:val="24"/>
        </w:rPr>
        <w:t xml:space="preserve">formie zaliczek lub uruchomienie specjalnej linii pożyczkowej. </w:t>
      </w:r>
    </w:p>
    <w:p w14:paraId="28485129" w14:textId="77777777" w:rsidR="00E13817" w:rsidRPr="008F589B" w:rsidRDefault="00E13817" w:rsidP="008F589B">
      <w:pPr>
        <w:spacing w:line="360" w:lineRule="auto"/>
        <w:jc w:val="both"/>
        <w:rPr>
          <w:rFonts w:ascii="Verdana" w:eastAsia="Times New Roman" w:hAnsi="Verdana"/>
          <w:color w:val="000000"/>
          <w:szCs w:val="24"/>
        </w:rPr>
      </w:pPr>
    </w:p>
    <w:p w14:paraId="28C46402" w14:textId="6BF309AB" w:rsidR="00E13817" w:rsidRPr="008F589B" w:rsidRDefault="00E13817" w:rsidP="008F589B">
      <w:pPr>
        <w:pStyle w:val="Akapitzlist"/>
        <w:numPr>
          <w:ilvl w:val="0"/>
          <w:numId w:val="18"/>
        </w:numPr>
        <w:spacing w:after="0" w:line="360" w:lineRule="auto"/>
        <w:jc w:val="both"/>
        <w:rPr>
          <w:rFonts w:ascii="Verdana" w:eastAsia="Times New Roman" w:hAnsi="Verdana"/>
          <w:color w:val="000000"/>
          <w:sz w:val="24"/>
          <w:szCs w:val="24"/>
        </w:rPr>
      </w:pPr>
      <w:r w:rsidRPr="008F589B">
        <w:rPr>
          <w:rFonts w:ascii="Verdana" w:eastAsia="Times New Roman" w:hAnsi="Verdana"/>
          <w:color w:val="000000"/>
          <w:sz w:val="24"/>
          <w:szCs w:val="24"/>
        </w:rPr>
        <w:t>Wyodrębnienie w KPO dodatkowej inwestycji umożliwiającej realizację wymogów wynikających z ustawy o zapewnianiu dostępności osobom ze szczególnymi potrzebami, dedykowanej organizacjom pozarządowym.</w:t>
      </w:r>
    </w:p>
    <w:p w14:paraId="1A419274" w14:textId="77777777" w:rsidR="008F589B" w:rsidRDefault="008F589B" w:rsidP="008F589B">
      <w:pPr>
        <w:spacing w:line="360" w:lineRule="auto"/>
        <w:rPr>
          <w:rFonts w:ascii="Verdana" w:eastAsia="Times New Roman" w:hAnsi="Verdana"/>
          <w:b/>
          <w:bCs/>
          <w:color w:val="000000"/>
          <w:szCs w:val="24"/>
        </w:rPr>
      </w:pPr>
    </w:p>
    <w:p w14:paraId="113D6DE8" w14:textId="72AE0D4F" w:rsidR="00E13817" w:rsidRPr="008F589B" w:rsidRDefault="00E13817" w:rsidP="008F589B">
      <w:pPr>
        <w:spacing w:line="360" w:lineRule="auto"/>
        <w:rPr>
          <w:rFonts w:ascii="Verdana" w:eastAsia="Times New Roman" w:hAnsi="Verdana"/>
          <w:b/>
          <w:bCs/>
          <w:color w:val="000000"/>
          <w:szCs w:val="24"/>
        </w:rPr>
      </w:pPr>
      <w:r w:rsidRPr="008F589B">
        <w:rPr>
          <w:rFonts w:ascii="Verdana" w:eastAsia="Times New Roman" w:hAnsi="Verdana"/>
          <w:b/>
          <w:bCs/>
          <w:color w:val="000000"/>
          <w:szCs w:val="24"/>
        </w:rPr>
        <w:t>B/ UWZGLĘDNIENIE ZASAD HORYZONTALNYCH, W TYM ZASADY DOSTĘPNOŚCI DLA</w:t>
      </w:r>
      <w:r w:rsidR="00B048CD" w:rsidRPr="008F589B">
        <w:rPr>
          <w:rFonts w:ascii="Verdana" w:eastAsia="Times New Roman" w:hAnsi="Verdana"/>
          <w:b/>
          <w:bCs/>
          <w:color w:val="000000"/>
          <w:szCs w:val="24"/>
        </w:rPr>
        <w:t xml:space="preserve"> OSÓB Z NIEPEŁNOSPRAWNOŚCIAMI W </w:t>
      </w:r>
      <w:r w:rsidRPr="008F589B">
        <w:rPr>
          <w:rFonts w:ascii="Verdana" w:eastAsia="Times New Roman" w:hAnsi="Verdana"/>
          <w:b/>
          <w:bCs/>
          <w:color w:val="000000"/>
          <w:szCs w:val="24"/>
        </w:rPr>
        <w:t xml:space="preserve">KRAJOWYM PROGRAMIE ODBUDOWY </w:t>
      </w:r>
      <w:r w:rsidR="00B048CD" w:rsidRPr="008F589B">
        <w:rPr>
          <w:rFonts w:ascii="Verdana" w:eastAsia="Times New Roman" w:hAnsi="Verdana"/>
          <w:color w:val="000000"/>
          <w:szCs w:val="24"/>
        </w:rPr>
        <w:t>(dotyczy generalnej reguły i </w:t>
      </w:r>
      <w:r w:rsidRPr="008F589B">
        <w:rPr>
          <w:rFonts w:ascii="Verdana" w:eastAsia="Times New Roman" w:hAnsi="Verdana"/>
          <w:color w:val="000000"/>
          <w:szCs w:val="24"/>
        </w:rPr>
        <w:t>wszystkich komponentów)</w:t>
      </w:r>
    </w:p>
    <w:p w14:paraId="4D29D06A" w14:textId="5BF96DF6" w:rsidR="00084D42" w:rsidRPr="008F589B" w:rsidRDefault="00084D42" w:rsidP="008F589B">
      <w:pPr>
        <w:spacing w:line="360" w:lineRule="auto"/>
        <w:jc w:val="both"/>
        <w:rPr>
          <w:rFonts w:ascii="Verdana" w:hAnsi="Verdana"/>
          <w:szCs w:val="24"/>
        </w:rPr>
      </w:pPr>
    </w:p>
    <w:p w14:paraId="0B367CCD" w14:textId="0CA3831E" w:rsidR="00B048CD" w:rsidRPr="008F589B" w:rsidRDefault="00E13817" w:rsidP="008F589B">
      <w:pPr>
        <w:pStyle w:val="Akapitzlist"/>
        <w:numPr>
          <w:ilvl w:val="0"/>
          <w:numId w:val="19"/>
        </w:numPr>
        <w:spacing w:after="0" w:line="360" w:lineRule="auto"/>
        <w:jc w:val="both"/>
        <w:rPr>
          <w:rFonts w:ascii="Verdana" w:hAnsi="Verdana"/>
          <w:sz w:val="24"/>
          <w:szCs w:val="24"/>
        </w:rPr>
      </w:pPr>
      <w:r w:rsidRPr="008F589B">
        <w:rPr>
          <w:rFonts w:ascii="Verdana" w:eastAsia="Times New Roman" w:hAnsi="Verdana"/>
          <w:color w:val="000000"/>
          <w:sz w:val="24"/>
          <w:szCs w:val="24"/>
        </w:rPr>
        <w:t>KPO posługuje się inną terminologią niż w przypadków zasad horyzontalnych dotyczących umo</w:t>
      </w:r>
      <w:r w:rsidR="00B048CD" w:rsidRPr="008F589B">
        <w:rPr>
          <w:rFonts w:ascii="Verdana" w:eastAsia="Times New Roman" w:hAnsi="Verdana"/>
          <w:color w:val="000000"/>
          <w:sz w:val="24"/>
          <w:szCs w:val="24"/>
        </w:rPr>
        <w:t>wy partnerstwa. Tam jest mowa o </w:t>
      </w:r>
      <w:r w:rsidRPr="008F589B">
        <w:rPr>
          <w:rFonts w:ascii="Verdana" w:eastAsia="Times New Roman" w:hAnsi="Verdana"/>
          <w:color w:val="000000"/>
          <w:sz w:val="24"/>
          <w:szCs w:val="24"/>
        </w:rPr>
        <w:t>“zasadzie równości szan</w:t>
      </w:r>
      <w:r w:rsidR="00B048CD" w:rsidRPr="008F589B">
        <w:rPr>
          <w:rFonts w:ascii="Verdana" w:eastAsia="Times New Roman" w:hAnsi="Verdana"/>
          <w:color w:val="000000"/>
          <w:sz w:val="24"/>
          <w:szCs w:val="24"/>
        </w:rPr>
        <w:t>s, w tym dostępności dla osób z </w:t>
      </w:r>
      <w:r w:rsidRPr="008F589B">
        <w:rPr>
          <w:rFonts w:ascii="Verdana" w:eastAsia="Times New Roman" w:hAnsi="Verdana"/>
          <w:color w:val="000000"/>
          <w:sz w:val="24"/>
          <w:szCs w:val="24"/>
        </w:rPr>
        <w:t>niepełnosprawnościami oraz z</w:t>
      </w:r>
      <w:r w:rsidR="00B048CD" w:rsidRPr="008F589B">
        <w:rPr>
          <w:rFonts w:ascii="Verdana" w:eastAsia="Times New Roman" w:hAnsi="Verdana"/>
          <w:color w:val="000000"/>
          <w:sz w:val="24"/>
          <w:szCs w:val="24"/>
        </w:rPr>
        <w:t>asadzie równości szans kobiet i </w:t>
      </w:r>
      <w:r w:rsidRPr="008F589B">
        <w:rPr>
          <w:rFonts w:ascii="Verdana" w:eastAsia="Times New Roman" w:hAnsi="Verdana"/>
          <w:color w:val="000000"/>
          <w:sz w:val="24"/>
          <w:szCs w:val="24"/>
        </w:rPr>
        <w:t>mężczyzn”. Z tekstu rozdziału I.3 nie wynika (bezpośrednio), że dostępność dla osób z niepełnosprawnościami jest częścią zasady równości szans. Należy to poprawić.</w:t>
      </w:r>
    </w:p>
    <w:p w14:paraId="47DDEA18" w14:textId="77777777" w:rsidR="00B048CD" w:rsidRPr="008F589B" w:rsidRDefault="00E13817" w:rsidP="008F589B">
      <w:pPr>
        <w:pStyle w:val="Akapitzlist"/>
        <w:numPr>
          <w:ilvl w:val="0"/>
          <w:numId w:val="19"/>
        </w:numPr>
        <w:spacing w:after="0" w:line="360" w:lineRule="auto"/>
        <w:jc w:val="both"/>
        <w:rPr>
          <w:rFonts w:ascii="Verdana" w:hAnsi="Verdana"/>
          <w:sz w:val="24"/>
          <w:szCs w:val="24"/>
        </w:rPr>
      </w:pPr>
      <w:r w:rsidRPr="008F589B">
        <w:rPr>
          <w:rFonts w:ascii="Verdana" w:eastAsia="Times New Roman" w:hAnsi="Verdana"/>
          <w:color w:val="000000"/>
          <w:sz w:val="24"/>
          <w:szCs w:val="24"/>
        </w:rPr>
        <w:t>Zasady horyzontalne jak zasada równych szans są zaznaczone w KPO, ale jest to wprowadzone na “miękko”. Zasady mają “przyświecać”, działania mają “dążyć” do ich zapewnienia itp.</w:t>
      </w:r>
    </w:p>
    <w:p w14:paraId="165BA92E" w14:textId="654861D2" w:rsidR="00B048CD" w:rsidRPr="008F589B" w:rsidRDefault="00E13817" w:rsidP="008F589B">
      <w:pPr>
        <w:pStyle w:val="Akapitzlist"/>
        <w:numPr>
          <w:ilvl w:val="0"/>
          <w:numId w:val="19"/>
        </w:numPr>
        <w:spacing w:after="0" w:line="360" w:lineRule="auto"/>
        <w:jc w:val="both"/>
        <w:rPr>
          <w:rFonts w:ascii="Verdana" w:hAnsi="Verdana"/>
          <w:sz w:val="24"/>
          <w:szCs w:val="24"/>
        </w:rPr>
      </w:pPr>
      <w:r w:rsidRPr="008F589B">
        <w:rPr>
          <w:rFonts w:ascii="Verdana" w:eastAsia="Times New Roman" w:hAnsi="Verdana"/>
          <w:color w:val="000000"/>
          <w:sz w:val="24"/>
          <w:szCs w:val="24"/>
        </w:rPr>
        <w:t>Ze względu na Konstytucję (między innymi art. 32), unijne i krajowe przepisy antydyskryminacy</w:t>
      </w:r>
      <w:r w:rsidR="00B048CD" w:rsidRPr="008F589B">
        <w:rPr>
          <w:rFonts w:ascii="Verdana" w:eastAsia="Times New Roman" w:hAnsi="Verdana"/>
          <w:color w:val="000000"/>
          <w:sz w:val="24"/>
          <w:szCs w:val="24"/>
        </w:rPr>
        <w:t>jne, Konwencję o prawach osób z </w:t>
      </w:r>
      <w:r w:rsidRPr="008F589B">
        <w:rPr>
          <w:rFonts w:ascii="Verdana" w:eastAsia="Times New Roman" w:hAnsi="Verdana"/>
          <w:color w:val="000000"/>
          <w:sz w:val="24"/>
          <w:szCs w:val="24"/>
        </w:rPr>
        <w:t>niepełnosprawnościami, ustawę o zapewnianiu dostępności osobom ze szczególnymi potrzebami itp. zasady horyzontalne muszą być bezwzględnie uwzględniane w KPO</w:t>
      </w:r>
      <w:r w:rsidR="00B048CD" w:rsidRPr="008F589B">
        <w:rPr>
          <w:rFonts w:ascii="Verdana" w:eastAsia="Times New Roman" w:hAnsi="Verdana"/>
          <w:color w:val="000000"/>
          <w:sz w:val="24"/>
          <w:szCs w:val="24"/>
        </w:rPr>
        <w:t xml:space="preserve"> i bezwzględnie przestrzegane w </w:t>
      </w:r>
      <w:r w:rsidRPr="008F589B">
        <w:rPr>
          <w:rFonts w:ascii="Verdana" w:eastAsia="Times New Roman" w:hAnsi="Verdana"/>
          <w:color w:val="000000"/>
          <w:sz w:val="24"/>
          <w:szCs w:val="24"/>
        </w:rPr>
        <w:t>ramach jego realizacji. Na to wszystko nakłada się perspektywa społeczna i demograficzna Polski, w tym starzejące się społeczeństwo.</w:t>
      </w:r>
    </w:p>
    <w:p w14:paraId="31B49AD3" w14:textId="3C5F8F3E" w:rsidR="00B048CD" w:rsidRPr="008F589B" w:rsidRDefault="00E13817" w:rsidP="008F589B">
      <w:pPr>
        <w:pStyle w:val="Akapitzlist"/>
        <w:numPr>
          <w:ilvl w:val="0"/>
          <w:numId w:val="19"/>
        </w:numPr>
        <w:spacing w:after="0" w:line="360" w:lineRule="auto"/>
        <w:jc w:val="both"/>
        <w:rPr>
          <w:rFonts w:ascii="Verdana" w:hAnsi="Verdana"/>
          <w:sz w:val="24"/>
          <w:szCs w:val="24"/>
        </w:rPr>
      </w:pPr>
      <w:r w:rsidRPr="008F589B">
        <w:rPr>
          <w:rFonts w:ascii="Verdana" w:eastAsia="Times New Roman" w:hAnsi="Verdana"/>
          <w:color w:val="000000"/>
          <w:sz w:val="24"/>
          <w:szCs w:val="24"/>
        </w:rPr>
        <w:t xml:space="preserve">Nie możemy sobie pozwolić na finansowanie niedostępnych produktów projektów czy projektów niezapewniających równych szans. Mamy negatywne doświadczenia z PO KL, gdzie dopiero działania w ramach POWER-a poprawiały niedostępność </w:t>
      </w:r>
      <w:r w:rsidR="00B048CD" w:rsidRPr="008F589B">
        <w:rPr>
          <w:rFonts w:ascii="Verdana" w:eastAsia="Times New Roman" w:hAnsi="Verdana"/>
          <w:color w:val="000000"/>
          <w:sz w:val="24"/>
          <w:szCs w:val="24"/>
        </w:rPr>
        <w:t>produktów współfinansowanych ze </w:t>
      </w:r>
      <w:r w:rsidRPr="008F589B">
        <w:rPr>
          <w:rFonts w:ascii="Verdana" w:eastAsia="Times New Roman" w:hAnsi="Verdana"/>
          <w:color w:val="000000"/>
          <w:sz w:val="24"/>
          <w:szCs w:val="24"/>
        </w:rPr>
        <w:t xml:space="preserve">środków europejskich. Zapewne Komisja Europejska nie zgodzi się po raz kolejny, żebyśmy w kolejnych perspektywa poprawiali błędy </w:t>
      </w:r>
      <w:proofErr w:type="spellStart"/>
      <w:r w:rsidRPr="008F589B">
        <w:rPr>
          <w:rFonts w:ascii="Verdana" w:eastAsia="Times New Roman" w:hAnsi="Verdana"/>
          <w:color w:val="000000"/>
          <w:sz w:val="24"/>
          <w:szCs w:val="24"/>
        </w:rPr>
        <w:t>dostępnościowe</w:t>
      </w:r>
      <w:proofErr w:type="spellEnd"/>
      <w:r w:rsidRPr="008F589B">
        <w:rPr>
          <w:rFonts w:ascii="Verdana" w:eastAsia="Times New Roman" w:hAnsi="Verdana"/>
          <w:color w:val="000000"/>
          <w:sz w:val="24"/>
          <w:szCs w:val="24"/>
        </w:rPr>
        <w:t xml:space="preserve"> z poprzednich. Nawet niedawno wytworzona infrastruktura (jak publiczne systemy IT) - nawet jeśli była finansowana ze środków europejskich - często bywa niedostępna (na przykład publiczne e-usługi jak: ZUS PUE </w:t>
      </w:r>
      <w:r w:rsidR="008F589B">
        <w:rPr>
          <w:rFonts w:ascii="Verdana" w:eastAsia="Times New Roman" w:hAnsi="Verdana"/>
          <w:color w:val="000000"/>
          <w:sz w:val="24"/>
          <w:szCs w:val="24"/>
        </w:rPr>
        <w:t>–</w:t>
      </w:r>
      <w:r w:rsidRPr="008F589B">
        <w:rPr>
          <w:rFonts w:ascii="Verdana" w:eastAsia="Times New Roman" w:hAnsi="Verdana"/>
          <w:color w:val="000000"/>
          <w:sz w:val="24"/>
          <w:szCs w:val="24"/>
        </w:rPr>
        <w:t xml:space="preserve"> Platfor</w:t>
      </w:r>
      <w:r w:rsidR="008F589B">
        <w:rPr>
          <w:rFonts w:ascii="Verdana" w:eastAsia="Times New Roman" w:hAnsi="Verdana"/>
          <w:color w:val="000000"/>
          <w:sz w:val="24"/>
          <w:szCs w:val="24"/>
        </w:rPr>
        <w:t xml:space="preserve">ma Usług Elektronicznych </w:t>
      </w:r>
      <w:r w:rsidR="008F589B">
        <w:rPr>
          <w:rFonts w:ascii="Verdana" w:eastAsia="Times New Roman" w:hAnsi="Verdana"/>
          <w:color w:val="000000"/>
          <w:sz w:val="24"/>
          <w:szCs w:val="24"/>
        </w:rPr>
        <w:br/>
        <w:t>ZUS-u, </w:t>
      </w:r>
      <w:r w:rsidRPr="008F589B">
        <w:rPr>
          <w:rFonts w:ascii="Verdana" w:eastAsia="Times New Roman" w:hAnsi="Verdana"/>
          <w:color w:val="000000"/>
          <w:sz w:val="24"/>
          <w:szCs w:val="24"/>
        </w:rPr>
        <w:t>e-Zamówienia czy SL2014). Nie wolno nam powtórzy tych drogich błędów w KPO.</w:t>
      </w:r>
    </w:p>
    <w:p w14:paraId="098475B2" w14:textId="5711BE18" w:rsidR="00B048CD" w:rsidRPr="008F589B" w:rsidRDefault="00E13817" w:rsidP="008F589B">
      <w:pPr>
        <w:pStyle w:val="Akapitzlist"/>
        <w:numPr>
          <w:ilvl w:val="0"/>
          <w:numId w:val="19"/>
        </w:numPr>
        <w:spacing w:after="0" w:line="360" w:lineRule="auto"/>
        <w:jc w:val="both"/>
        <w:rPr>
          <w:rFonts w:ascii="Verdana" w:hAnsi="Verdana"/>
          <w:sz w:val="24"/>
          <w:szCs w:val="24"/>
        </w:rPr>
      </w:pPr>
      <w:r w:rsidRPr="008F589B">
        <w:rPr>
          <w:rFonts w:ascii="Verdana" w:eastAsia="Times New Roman" w:hAnsi="Verdana"/>
          <w:color w:val="000000"/>
          <w:sz w:val="24"/>
          <w:szCs w:val="24"/>
        </w:rPr>
        <w:t>Konwencja o prawach osób z niepeł</w:t>
      </w:r>
      <w:r w:rsidR="00B048CD" w:rsidRPr="008F589B">
        <w:rPr>
          <w:rFonts w:ascii="Verdana" w:eastAsia="Times New Roman" w:hAnsi="Verdana"/>
          <w:color w:val="000000"/>
          <w:sz w:val="24"/>
          <w:szCs w:val="24"/>
        </w:rPr>
        <w:t>nosprawnościami, jak i ustawa o </w:t>
      </w:r>
      <w:r w:rsidRPr="008F589B">
        <w:rPr>
          <w:rFonts w:ascii="Verdana" w:eastAsia="Times New Roman" w:hAnsi="Verdana"/>
          <w:color w:val="000000"/>
          <w:sz w:val="24"/>
          <w:szCs w:val="24"/>
        </w:rPr>
        <w:t xml:space="preserve">zapewnianiu dostępności osobom ze szczególnymi potrzebami </w:t>
      </w:r>
      <w:r w:rsidRPr="008F589B">
        <w:rPr>
          <w:rFonts w:ascii="Verdana" w:eastAsia="Times New Roman" w:hAnsi="Verdana"/>
          <w:color w:val="000000"/>
          <w:sz w:val="24"/>
          <w:szCs w:val="24"/>
        </w:rPr>
        <w:lastRenderedPageBreak/>
        <w:t xml:space="preserve">nakazują uwzględnianie dostępności </w:t>
      </w:r>
      <w:r w:rsidR="00B048CD" w:rsidRPr="008F589B">
        <w:rPr>
          <w:rFonts w:ascii="Verdana" w:eastAsia="Times New Roman" w:hAnsi="Verdana"/>
          <w:color w:val="000000"/>
          <w:sz w:val="24"/>
          <w:szCs w:val="24"/>
        </w:rPr>
        <w:t>i projektowania uniwersalnego w </w:t>
      </w:r>
      <w:r w:rsidRPr="008F589B">
        <w:rPr>
          <w:rFonts w:ascii="Verdana" w:eastAsia="Times New Roman" w:hAnsi="Verdana"/>
          <w:color w:val="000000"/>
          <w:sz w:val="24"/>
          <w:szCs w:val="24"/>
        </w:rPr>
        <w:t>każdej działalności podmiotu publ</w:t>
      </w:r>
      <w:r w:rsidR="00B048CD" w:rsidRPr="008F589B">
        <w:rPr>
          <w:rFonts w:ascii="Verdana" w:eastAsia="Times New Roman" w:hAnsi="Verdana"/>
          <w:color w:val="000000"/>
          <w:sz w:val="24"/>
          <w:szCs w:val="24"/>
        </w:rPr>
        <w:t>icznego. Tego również brakuje w </w:t>
      </w:r>
      <w:r w:rsidRPr="008F589B">
        <w:rPr>
          <w:rFonts w:ascii="Verdana" w:eastAsia="Times New Roman" w:hAnsi="Verdana"/>
          <w:color w:val="000000"/>
          <w:sz w:val="24"/>
          <w:szCs w:val="24"/>
        </w:rPr>
        <w:t>KPO.</w:t>
      </w:r>
    </w:p>
    <w:p w14:paraId="6AFAABA6" w14:textId="382D5B24" w:rsidR="00E3772D" w:rsidRPr="008F589B" w:rsidRDefault="00E13817" w:rsidP="008F589B">
      <w:pPr>
        <w:pStyle w:val="Akapitzlist"/>
        <w:numPr>
          <w:ilvl w:val="0"/>
          <w:numId w:val="19"/>
        </w:numPr>
        <w:spacing w:after="0" w:line="360" w:lineRule="auto"/>
        <w:jc w:val="both"/>
        <w:rPr>
          <w:rFonts w:ascii="Verdana" w:hAnsi="Verdana"/>
          <w:sz w:val="24"/>
          <w:szCs w:val="24"/>
        </w:rPr>
      </w:pPr>
      <w:r w:rsidRPr="008F589B">
        <w:rPr>
          <w:rFonts w:ascii="Verdana" w:eastAsia="Times New Roman" w:hAnsi="Verdana"/>
          <w:color w:val="000000"/>
          <w:sz w:val="24"/>
          <w:szCs w:val="24"/>
        </w:rPr>
        <w:t xml:space="preserve">Kolejnym elementem jest wdrażana w Polsce tak zwana dyrektywa </w:t>
      </w:r>
      <w:proofErr w:type="spellStart"/>
      <w:r w:rsidRPr="008F589B">
        <w:rPr>
          <w:rFonts w:ascii="Verdana" w:eastAsia="Times New Roman" w:hAnsi="Verdana"/>
          <w:color w:val="000000"/>
          <w:sz w:val="24"/>
          <w:szCs w:val="24"/>
        </w:rPr>
        <w:t>dostępnościową</w:t>
      </w:r>
      <w:proofErr w:type="spellEnd"/>
      <w:r w:rsidRPr="008F589B">
        <w:rPr>
          <w:rFonts w:ascii="Verdana" w:eastAsia="Times New Roman" w:hAnsi="Verdana"/>
          <w:color w:val="000000"/>
          <w:sz w:val="24"/>
          <w:szCs w:val="24"/>
        </w:rPr>
        <w:t xml:space="preserve"> (dyrektywa z dnia 17 kwietnia 2019 r. w sprawie wymogów dostępności produktów i us</w:t>
      </w:r>
      <w:r w:rsidR="00B048CD" w:rsidRPr="008F589B">
        <w:rPr>
          <w:rFonts w:ascii="Verdana" w:eastAsia="Times New Roman" w:hAnsi="Verdana"/>
          <w:color w:val="000000"/>
          <w:sz w:val="24"/>
          <w:szCs w:val="24"/>
        </w:rPr>
        <w:t>ług). Rozszerza ona obowiązki w </w:t>
      </w:r>
      <w:r w:rsidRPr="008F589B">
        <w:rPr>
          <w:rFonts w:ascii="Verdana" w:eastAsia="Times New Roman" w:hAnsi="Verdana"/>
          <w:color w:val="000000"/>
          <w:sz w:val="24"/>
          <w:szCs w:val="24"/>
        </w:rPr>
        <w:t>zakresie zapewniania dostępności także na podmioty prywatne. Powinno to znaleźć odbicie w inwestycjach skierowanych do sektora komercyjnego.</w:t>
      </w:r>
    </w:p>
    <w:p w14:paraId="2DEF0F23" w14:textId="77777777" w:rsidR="00B048CD" w:rsidRPr="008F589B" w:rsidRDefault="00B048CD" w:rsidP="008F589B">
      <w:pPr>
        <w:spacing w:line="360" w:lineRule="auto"/>
        <w:rPr>
          <w:rFonts w:ascii="Verdana" w:eastAsia="Times New Roman" w:hAnsi="Verdana"/>
          <w:b/>
          <w:bCs/>
          <w:color w:val="000000"/>
          <w:szCs w:val="24"/>
        </w:rPr>
      </w:pPr>
      <w:r w:rsidRPr="008F589B">
        <w:rPr>
          <w:rFonts w:ascii="Verdana" w:eastAsia="Times New Roman" w:hAnsi="Verdana"/>
          <w:b/>
          <w:bCs/>
          <w:color w:val="000000"/>
          <w:szCs w:val="24"/>
        </w:rPr>
        <w:br w:type="page"/>
      </w:r>
    </w:p>
    <w:p w14:paraId="30F4D24C" w14:textId="61AFBCE9" w:rsidR="00E13817" w:rsidRPr="008F589B" w:rsidRDefault="00E13817" w:rsidP="008F589B">
      <w:pPr>
        <w:spacing w:line="360" w:lineRule="auto"/>
        <w:jc w:val="both"/>
        <w:rPr>
          <w:rFonts w:ascii="Verdana" w:eastAsia="Times New Roman" w:hAnsi="Verdana"/>
          <w:b/>
          <w:bCs/>
          <w:color w:val="000000"/>
          <w:szCs w:val="24"/>
        </w:rPr>
      </w:pPr>
      <w:r w:rsidRPr="008F589B">
        <w:rPr>
          <w:rFonts w:ascii="Verdana" w:eastAsia="Times New Roman" w:hAnsi="Verdana"/>
          <w:b/>
          <w:bCs/>
          <w:color w:val="000000"/>
          <w:szCs w:val="24"/>
        </w:rPr>
        <w:lastRenderedPageBreak/>
        <w:t>Postulaty szczegółowe:</w:t>
      </w:r>
    </w:p>
    <w:p w14:paraId="0430F313" w14:textId="77777777" w:rsidR="00E3772D" w:rsidRPr="008F589B" w:rsidRDefault="00E3772D" w:rsidP="008F589B">
      <w:pPr>
        <w:spacing w:line="360" w:lineRule="auto"/>
        <w:jc w:val="both"/>
        <w:rPr>
          <w:rFonts w:ascii="Verdana" w:hAnsi="Verdana"/>
          <w:szCs w:val="24"/>
        </w:rPr>
      </w:pPr>
    </w:p>
    <w:p w14:paraId="3B347DC9" w14:textId="0B08F0AF" w:rsidR="00E13817" w:rsidRPr="008F589B" w:rsidRDefault="00E13817" w:rsidP="008F589B">
      <w:pPr>
        <w:numPr>
          <w:ilvl w:val="0"/>
          <w:numId w:val="3"/>
        </w:numPr>
        <w:suppressAutoHyphens/>
        <w:autoSpaceDN w:val="0"/>
        <w:spacing w:line="360" w:lineRule="auto"/>
        <w:jc w:val="both"/>
        <w:textAlignment w:val="baseline"/>
        <w:rPr>
          <w:rFonts w:ascii="Verdana" w:eastAsia="Times New Roman" w:hAnsi="Verdana"/>
          <w:color w:val="000000"/>
          <w:szCs w:val="24"/>
        </w:rPr>
      </w:pPr>
      <w:r w:rsidRPr="008F589B">
        <w:rPr>
          <w:rFonts w:ascii="Verdana" w:eastAsia="Times New Roman" w:hAnsi="Verdana"/>
          <w:color w:val="000000"/>
          <w:szCs w:val="24"/>
        </w:rPr>
        <w:t>Bezwzględne, “twarde” wpisanie zasad horyzontalnych, w tym zasady równości szans,  w tym dostępności dla osób ze szczególnymi potrzebami w KPO, w tym w rozdziale I.3 “Realizacja zasady dotyczącej równości płci i zapewnienia równych szans dla wszystkich”. Należy wprost zaznaczyć, że zasada równości szans polega, w szczególności, na dostępności dla osób z niepełnosprawnościami (osób ze szczególnymi potrzebami). Najlepszym rozwiązaniem jest stosowanie terminologii znanej i upowszechnionej w Polsce przy okazji realizacji umowy partnerstwa, czyli “zasada równości szans, w tym dostępności dla osób z niepełnosprawnościami oraz</w:t>
      </w:r>
      <w:r w:rsidR="00B048CD" w:rsidRPr="008F589B">
        <w:rPr>
          <w:rFonts w:ascii="Verdana" w:eastAsia="Times New Roman" w:hAnsi="Verdana"/>
          <w:color w:val="000000"/>
          <w:szCs w:val="24"/>
        </w:rPr>
        <w:t xml:space="preserve"> zasada równości szans kobiet i </w:t>
      </w:r>
      <w:r w:rsidRPr="008F589B">
        <w:rPr>
          <w:rFonts w:ascii="Verdana" w:eastAsia="Times New Roman" w:hAnsi="Verdana"/>
          <w:color w:val="000000"/>
          <w:szCs w:val="24"/>
        </w:rPr>
        <w:t>mężczyzn”.</w:t>
      </w:r>
    </w:p>
    <w:p w14:paraId="67CA4921" w14:textId="249F2EA4" w:rsidR="00E13817" w:rsidRPr="008F589B" w:rsidRDefault="00E13817" w:rsidP="008F589B">
      <w:pPr>
        <w:numPr>
          <w:ilvl w:val="0"/>
          <w:numId w:val="3"/>
        </w:numPr>
        <w:suppressAutoHyphens/>
        <w:autoSpaceDN w:val="0"/>
        <w:spacing w:line="360" w:lineRule="auto"/>
        <w:jc w:val="both"/>
        <w:textAlignment w:val="baseline"/>
        <w:rPr>
          <w:rFonts w:ascii="Verdana" w:eastAsia="Times New Roman" w:hAnsi="Verdana"/>
          <w:color w:val="000000"/>
          <w:szCs w:val="24"/>
        </w:rPr>
      </w:pPr>
      <w:r w:rsidRPr="008F589B">
        <w:rPr>
          <w:rFonts w:ascii="Verdana" w:eastAsia="Times New Roman" w:hAnsi="Verdana"/>
          <w:color w:val="000000"/>
          <w:szCs w:val="24"/>
        </w:rPr>
        <w:t>Wskazanie wprost wymogu</w:t>
      </w:r>
      <w:r w:rsidR="00B048CD" w:rsidRPr="008F589B">
        <w:rPr>
          <w:rFonts w:ascii="Verdana" w:eastAsia="Times New Roman" w:hAnsi="Verdana"/>
          <w:color w:val="000000"/>
          <w:szCs w:val="24"/>
        </w:rPr>
        <w:t xml:space="preserve"> dostępności dla produktów w 19 </w:t>
      </w:r>
      <w:r w:rsidRPr="008F589B">
        <w:rPr>
          <w:rFonts w:ascii="Verdana" w:eastAsia="Times New Roman" w:hAnsi="Verdana"/>
          <w:color w:val="000000"/>
          <w:szCs w:val="24"/>
        </w:rPr>
        <w:t>inwestycjach szczególnie wrażliwych na dostępność jak:</w:t>
      </w:r>
    </w:p>
    <w:p w14:paraId="56647145" w14:textId="77777777" w:rsidR="00E13817" w:rsidRPr="008F589B" w:rsidRDefault="00E13817" w:rsidP="008F589B">
      <w:pPr>
        <w:pStyle w:val="Akapitzlist"/>
        <w:numPr>
          <w:ilvl w:val="0"/>
          <w:numId w:val="20"/>
        </w:numPr>
        <w:suppressAutoHyphens/>
        <w:autoSpaceDN w:val="0"/>
        <w:spacing w:after="0" w:line="360" w:lineRule="auto"/>
        <w:jc w:val="both"/>
        <w:textAlignment w:val="baseline"/>
        <w:rPr>
          <w:rFonts w:ascii="Verdana" w:eastAsia="Times New Roman" w:hAnsi="Verdana"/>
          <w:color w:val="000000"/>
          <w:sz w:val="24"/>
          <w:szCs w:val="24"/>
        </w:rPr>
      </w:pPr>
      <w:r w:rsidRPr="008F589B">
        <w:rPr>
          <w:rFonts w:ascii="Verdana" w:eastAsia="Times New Roman" w:hAnsi="Verdana"/>
          <w:color w:val="000000"/>
          <w:sz w:val="24"/>
          <w:szCs w:val="24"/>
        </w:rPr>
        <w:t>A1.1.4. Przygotowanie terenów inwestycyjnych w Polsce</w:t>
      </w:r>
    </w:p>
    <w:p w14:paraId="665A4EB0" w14:textId="77777777" w:rsidR="00E13817" w:rsidRPr="008F589B" w:rsidRDefault="00E13817" w:rsidP="008F589B">
      <w:pPr>
        <w:pStyle w:val="Akapitzlist"/>
        <w:numPr>
          <w:ilvl w:val="0"/>
          <w:numId w:val="20"/>
        </w:numPr>
        <w:suppressAutoHyphens/>
        <w:autoSpaceDN w:val="0"/>
        <w:spacing w:after="0" w:line="360" w:lineRule="auto"/>
        <w:jc w:val="both"/>
        <w:textAlignment w:val="baseline"/>
        <w:rPr>
          <w:rFonts w:ascii="Verdana" w:eastAsia="Times New Roman" w:hAnsi="Verdana"/>
          <w:color w:val="000000"/>
          <w:sz w:val="24"/>
          <w:szCs w:val="24"/>
        </w:rPr>
      </w:pPr>
      <w:r w:rsidRPr="008F589B">
        <w:rPr>
          <w:rFonts w:ascii="Verdana" w:eastAsia="Times New Roman" w:hAnsi="Verdana"/>
          <w:color w:val="000000"/>
          <w:sz w:val="24"/>
          <w:szCs w:val="24"/>
        </w:rPr>
        <w:t>A1.1.5. Wdrożenie reformy planowania i zagospodarowania przestrzennego</w:t>
      </w:r>
    </w:p>
    <w:p w14:paraId="3189A1FC" w14:textId="77777777" w:rsidR="00E13817" w:rsidRPr="008F589B" w:rsidRDefault="00E13817" w:rsidP="008F589B">
      <w:pPr>
        <w:pStyle w:val="Akapitzlist"/>
        <w:numPr>
          <w:ilvl w:val="0"/>
          <w:numId w:val="20"/>
        </w:numPr>
        <w:suppressAutoHyphens/>
        <w:autoSpaceDN w:val="0"/>
        <w:spacing w:after="0" w:line="360" w:lineRule="auto"/>
        <w:jc w:val="both"/>
        <w:textAlignment w:val="baseline"/>
        <w:rPr>
          <w:rFonts w:ascii="Verdana" w:eastAsia="Times New Roman" w:hAnsi="Verdana"/>
          <w:color w:val="000000"/>
          <w:sz w:val="24"/>
          <w:szCs w:val="24"/>
        </w:rPr>
      </w:pPr>
      <w:r w:rsidRPr="008F589B">
        <w:rPr>
          <w:rFonts w:ascii="Verdana" w:eastAsia="Times New Roman" w:hAnsi="Verdana"/>
          <w:color w:val="000000"/>
          <w:sz w:val="24"/>
          <w:szCs w:val="24"/>
        </w:rPr>
        <w:t>A2.2.1. Program wsparcia rozwoju nowych technologii na potrzeby gospodarki</w:t>
      </w:r>
    </w:p>
    <w:p w14:paraId="0818178B" w14:textId="77777777" w:rsidR="00E13817" w:rsidRPr="008F589B" w:rsidRDefault="00E13817" w:rsidP="008F589B">
      <w:pPr>
        <w:pStyle w:val="Akapitzlist"/>
        <w:numPr>
          <w:ilvl w:val="0"/>
          <w:numId w:val="20"/>
        </w:numPr>
        <w:suppressAutoHyphens/>
        <w:autoSpaceDN w:val="0"/>
        <w:spacing w:after="0" w:line="360" w:lineRule="auto"/>
        <w:jc w:val="both"/>
        <w:textAlignment w:val="baseline"/>
        <w:rPr>
          <w:rFonts w:ascii="Verdana" w:eastAsia="Times New Roman" w:hAnsi="Verdana"/>
          <w:color w:val="000000"/>
          <w:sz w:val="24"/>
          <w:szCs w:val="24"/>
        </w:rPr>
      </w:pPr>
      <w:r w:rsidRPr="008F589B">
        <w:rPr>
          <w:rFonts w:ascii="Verdana" w:eastAsia="Times New Roman" w:hAnsi="Verdana"/>
          <w:color w:val="000000"/>
          <w:sz w:val="24"/>
          <w:szCs w:val="24"/>
        </w:rPr>
        <w:t>A2.1.3. Innowacyjne rozwiązania w kulturze (przemysły kreatywne)</w:t>
      </w:r>
    </w:p>
    <w:p w14:paraId="1F4BDE8E" w14:textId="77777777" w:rsidR="00E13817" w:rsidRPr="008F589B" w:rsidRDefault="00E13817" w:rsidP="008F589B">
      <w:pPr>
        <w:pStyle w:val="Akapitzlist"/>
        <w:numPr>
          <w:ilvl w:val="0"/>
          <w:numId w:val="20"/>
        </w:numPr>
        <w:suppressAutoHyphens/>
        <w:autoSpaceDN w:val="0"/>
        <w:spacing w:after="0" w:line="360" w:lineRule="auto"/>
        <w:jc w:val="both"/>
        <w:textAlignment w:val="baseline"/>
        <w:rPr>
          <w:rFonts w:ascii="Verdana" w:eastAsia="Times New Roman" w:hAnsi="Verdana"/>
          <w:color w:val="000000"/>
          <w:sz w:val="24"/>
          <w:szCs w:val="24"/>
        </w:rPr>
      </w:pPr>
      <w:r w:rsidRPr="008F589B">
        <w:rPr>
          <w:rFonts w:ascii="Verdana" w:eastAsia="Times New Roman" w:hAnsi="Verdana"/>
          <w:color w:val="000000"/>
          <w:sz w:val="24"/>
          <w:szCs w:val="24"/>
        </w:rPr>
        <w:t>A3.1.1. Wsparcie rozwoju nowoczesnego kształcenia zawodowego, szkolnictwa wyższego oraz uczenia się przez całe życie</w:t>
      </w:r>
    </w:p>
    <w:p w14:paraId="3CA5A3C2" w14:textId="77777777" w:rsidR="00E13817" w:rsidRPr="008F589B" w:rsidRDefault="00E13817" w:rsidP="008F589B">
      <w:pPr>
        <w:pStyle w:val="Akapitzlist"/>
        <w:numPr>
          <w:ilvl w:val="0"/>
          <w:numId w:val="20"/>
        </w:numPr>
        <w:suppressAutoHyphens/>
        <w:autoSpaceDN w:val="0"/>
        <w:spacing w:after="0" w:line="360" w:lineRule="auto"/>
        <w:jc w:val="both"/>
        <w:textAlignment w:val="baseline"/>
        <w:rPr>
          <w:rFonts w:ascii="Verdana" w:eastAsia="Times New Roman" w:hAnsi="Verdana"/>
          <w:color w:val="000000"/>
          <w:sz w:val="24"/>
          <w:szCs w:val="24"/>
        </w:rPr>
      </w:pPr>
      <w:r w:rsidRPr="008F589B">
        <w:rPr>
          <w:rFonts w:ascii="Verdana" w:eastAsia="Times New Roman" w:hAnsi="Verdana"/>
          <w:color w:val="000000"/>
          <w:sz w:val="24"/>
          <w:szCs w:val="24"/>
        </w:rPr>
        <w:t>A3.1.2. Doposażenie pracowników/przedsiębiorstw umożliwiające pracę zdalną</w:t>
      </w:r>
    </w:p>
    <w:p w14:paraId="39882FD4" w14:textId="77777777" w:rsidR="00E13817" w:rsidRPr="008F589B" w:rsidRDefault="00E13817" w:rsidP="008F589B">
      <w:pPr>
        <w:pStyle w:val="Akapitzlist"/>
        <w:numPr>
          <w:ilvl w:val="0"/>
          <w:numId w:val="20"/>
        </w:numPr>
        <w:suppressAutoHyphens/>
        <w:autoSpaceDN w:val="0"/>
        <w:spacing w:after="0" w:line="360" w:lineRule="auto"/>
        <w:jc w:val="both"/>
        <w:textAlignment w:val="baseline"/>
        <w:rPr>
          <w:rFonts w:ascii="Verdana" w:eastAsia="Times New Roman" w:hAnsi="Verdana"/>
          <w:color w:val="000000"/>
          <w:sz w:val="24"/>
          <w:szCs w:val="24"/>
        </w:rPr>
      </w:pPr>
      <w:r w:rsidRPr="008F589B">
        <w:rPr>
          <w:rFonts w:ascii="Verdana" w:eastAsia="Times New Roman" w:hAnsi="Verdana"/>
          <w:color w:val="000000"/>
          <w:sz w:val="24"/>
          <w:szCs w:val="24"/>
        </w:rPr>
        <w:t>B1.1.2. Efektywność budynków mieszkalnych</w:t>
      </w:r>
    </w:p>
    <w:p w14:paraId="389FB680" w14:textId="77777777" w:rsidR="00E13817" w:rsidRPr="008F589B" w:rsidRDefault="00E13817" w:rsidP="008F589B">
      <w:pPr>
        <w:pStyle w:val="Akapitzlist"/>
        <w:numPr>
          <w:ilvl w:val="0"/>
          <w:numId w:val="20"/>
        </w:numPr>
        <w:suppressAutoHyphens/>
        <w:autoSpaceDN w:val="0"/>
        <w:spacing w:after="0" w:line="360" w:lineRule="auto"/>
        <w:jc w:val="both"/>
        <w:textAlignment w:val="baseline"/>
        <w:rPr>
          <w:rFonts w:ascii="Verdana" w:eastAsia="Times New Roman" w:hAnsi="Verdana"/>
          <w:color w:val="000000"/>
          <w:sz w:val="24"/>
          <w:szCs w:val="24"/>
        </w:rPr>
      </w:pPr>
      <w:r w:rsidRPr="008F589B">
        <w:rPr>
          <w:rFonts w:ascii="Verdana" w:eastAsia="Times New Roman" w:hAnsi="Verdana"/>
          <w:color w:val="000000"/>
          <w:sz w:val="24"/>
          <w:szCs w:val="24"/>
        </w:rPr>
        <w:t>B1.1.3. Termomodernizacja szkół</w:t>
      </w:r>
    </w:p>
    <w:p w14:paraId="62292836" w14:textId="77777777" w:rsidR="00E13817" w:rsidRPr="008F589B" w:rsidRDefault="00E13817" w:rsidP="008F589B">
      <w:pPr>
        <w:pStyle w:val="Akapitzlist"/>
        <w:numPr>
          <w:ilvl w:val="0"/>
          <w:numId w:val="20"/>
        </w:numPr>
        <w:suppressAutoHyphens/>
        <w:autoSpaceDN w:val="0"/>
        <w:spacing w:after="0" w:line="360" w:lineRule="auto"/>
        <w:jc w:val="both"/>
        <w:textAlignment w:val="baseline"/>
        <w:rPr>
          <w:rFonts w:ascii="Verdana" w:eastAsia="Times New Roman" w:hAnsi="Verdana"/>
          <w:color w:val="000000"/>
          <w:sz w:val="24"/>
          <w:szCs w:val="24"/>
        </w:rPr>
      </w:pPr>
      <w:r w:rsidRPr="008F589B">
        <w:rPr>
          <w:rFonts w:ascii="Verdana" w:eastAsia="Times New Roman" w:hAnsi="Verdana"/>
          <w:color w:val="000000"/>
          <w:sz w:val="24"/>
          <w:szCs w:val="24"/>
        </w:rPr>
        <w:t>B3.1.3. Zielona transformacja miast i obszarów funkcjonalnych,</w:t>
      </w:r>
    </w:p>
    <w:p w14:paraId="5FF8860B" w14:textId="77777777" w:rsidR="00E13817" w:rsidRPr="008F589B" w:rsidRDefault="00E13817" w:rsidP="008F589B">
      <w:pPr>
        <w:pStyle w:val="Akapitzlist"/>
        <w:numPr>
          <w:ilvl w:val="0"/>
          <w:numId w:val="20"/>
        </w:numPr>
        <w:suppressAutoHyphens/>
        <w:autoSpaceDN w:val="0"/>
        <w:spacing w:after="0" w:line="360" w:lineRule="auto"/>
        <w:jc w:val="both"/>
        <w:textAlignment w:val="baseline"/>
        <w:rPr>
          <w:rFonts w:ascii="Verdana" w:eastAsia="Times New Roman" w:hAnsi="Verdana"/>
          <w:color w:val="000000"/>
          <w:sz w:val="24"/>
          <w:szCs w:val="24"/>
        </w:rPr>
      </w:pPr>
      <w:r w:rsidRPr="008F589B">
        <w:rPr>
          <w:rFonts w:ascii="Verdana" w:eastAsia="Times New Roman" w:hAnsi="Verdana"/>
          <w:color w:val="000000"/>
          <w:sz w:val="24"/>
          <w:szCs w:val="24"/>
        </w:rPr>
        <w:t>B3.1.4 Pasywne obiekty lokalnej aktywności społecznej</w:t>
      </w:r>
    </w:p>
    <w:p w14:paraId="5C3B3973" w14:textId="77777777" w:rsidR="00E13817" w:rsidRPr="008F589B" w:rsidRDefault="00E13817" w:rsidP="008F589B">
      <w:pPr>
        <w:pStyle w:val="Akapitzlist"/>
        <w:numPr>
          <w:ilvl w:val="0"/>
          <w:numId w:val="20"/>
        </w:numPr>
        <w:suppressAutoHyphens/>
        <w:autoSpaceDN w:val="0"/>
        <w:spacing w:after="0" w:line="360" w:lineRule="auto"/>
        <w:jc w:val="both"/>
        <w:textAlignment w:val="baseline"/>
        <w:rPr>
          <w:rFonts w:ascii="Verdana" w:eastAsia="Times New Roman" w:hAnsi="Verdana"/>
          <w:color w:val="000000"/>
          <w:sz w:val="24"/>
          <w:szCs w:val="24"/>
        </w:rPr>
      </w:pPr>
      <w:r w:rsidRPr="008F589B">
        <w:rPr>
          <w:rFonts w:ascii="Verdana" w:eastAsia="Times New Roman" w:hAnsi="Verdana"/>
          <w:color w:val="000000"/>
          <w:sz w:val="24"/>
          <w:szCs w:val="24"/>
        </w:rPr>
        <w:t>C2.1.1. E-usługi publiczne, rozwiązania IT usprawniające funkcjonowanie administracji i sektorów gospodarki oraz technologie przełomowe w sektorze publicznym, gospodarce, społeczeństwie</w:t>
      </w:r>
    </w:p>
    <w:p w14:paraId="6717C85E" w14:textId="77777777" w:rsidR="00E13817" w:rsidRPr="008F589B" w:rsidRDefault="00E13817" w:rsidP="008F589B">
      <w:pPr>
        <w:pStyle w:val="Akapitzlist"/>
        <w:numPr>
          <w:ilvl w:val="0"/>
          <w:numId w:val="20"/>
        </w:numPr>
        <w:suppressAutoHyphens/>
        <w:autoSpaceDN w:val="0"/>
        <w:spacing w:after="0" w:line="360" w:lineRule="auto"/>
        <w:jc w:val="both"/>
        <w:textAlignment w:val="baseline"/>
        <w:rPr>
          <w:rFonts w:ascii="Verdana" w:eastAsia="Times New Roman" w:hAnsi="Verdana"/>
          <w:color w:val="000000"/>
          <w:sz w:val="24"/>
          <w:szCs w:val="24"/>
        </w:rPr>
      </w:pPr>
      <w:r w:rsidRPr="008F589B">
        <w:rPr>
          <w:rFonts w:ascii="Verdana" w:eastAsia="Times New Roman" w:hAnsi="Verdana"/>
          <w:color w:val="000000"/>
          <w:sz w:val="24"/>
          <w:szCs w:val="24"/>
        </w:rPr>
        <w:lastRenderedPageBreak/>
        <w:t>C2.1.2. Cyfrowa infrastruktura szkół</w:t>
      </w:r>
    </w:p>
    <w:p w14:paraId="166EA4F4" w14:textId="77777777" w:rsidR="00E13817" w:rsidRPr="008F589B" w:rsidRDefault="00E13817" w:rsidP="008F589B">
      <w:pPr>
        <w:pStyle w:val="Akapitzlist"/>
        <w:numPr>
          <w:ilvl w:val="0"/>
          <w:numId w:val="20"/>
        </w:numPr>
        <w:suppressAutoHyphens/>
        <w:autoSpaceDN w:val="0"/>
        <w:spacing w:after="0" w:line="360" w:lineRule="auto"/>
        <w:jc w:val="both"/>
        <w:textAlignment w:val="baseline"/>
        <w:rPr>
          <w:rFonts w:ascii="Verdana" w:eastAsia="Times New Roman" w:hAnsi="Verdana"/>
          <w:color w:val="000000"/>
          <w:sz w:val="24"/>
          <w:szCs w:val="24"/>
        </w:rPr>
      </w:pPr>
      <w:r w:rsidRPr="008F589B">
        <w:rPr>
          <w:rFonts w:ascii="Verdana" w:eastAsia="Times New Roman" w:hAnsi="Verdana"/>
          <w:color w:val="000000"/>
          <w:sz w:val="24"/>
          <w:szCs w:val="24"/>
        </w:rPr>
        <w:t>C2.1.3. E-kompetencje</w:t>
      </w:r>
    </w:p>
    <w:p w14:paraId="2DBAE036" w14:textId="77777777" w:rsidR="00E13817" w:rsidRPr="008F589B" w:rsidRDefault="00E13817" w:rsidP="008F589B">
      <w:pPr>
        <w:pStyle w:val="Akapitzlist"/>
        <w:numPr>
          <w:ilvl w:val="0"/>
          <w:numId w:val="20"/>
        </w:numPr>
        <w:suppressAutoHyphens/>
        <w:autoSpaceDN w:val="0"/>
        <w:spacing w:after="0" w:line="360" w:lineRule="auto"/>
        <w:jc w:val="both"/>
        <w:textAlignment w:val="baseline"/>
        <w:rPr>
          <w:rFonts w:ascii="Verdana" w:eastAsia="Times New Roman" w:hAnsi="Verdana"/>
          <w:color w:val="000000"/>
          <w:sz w:val="24"/>
          <w:szCs w:val="24"/>
        </w:rPr>
      </w:pPr>
      <w:r w:rsidRPr="008F589B">
        <w:rPr>
          <w:rFonts w:ascii="Verdana" w:eastAsia="Times New Roman" w:hAnsi="Verdana"/>
          <w:color w:val="000000"/>
          <w:sz w:val="24"/>
          <w:szCs w:val="24"/>
        </w:rPr>
        <w:t>D1.1.1. Rozwój i modernizacja infrastruktury podmiotów leczniczych</w:t>
      </w:r>
    </w:p>
    <w:p w14:paraId="75383A9A" w14:textId="79FDFC1A" w:rsidR="00E13817" w:rsidRPr="008F589B" w:rsidRDefault="00E13817" w:rsidP="008F589B">
      <w:pPr>
        <w:pStyle w:val="Akapitzlist"/>
        <w:numPr>
          <w:ilvl w:val="0"/>
          <w:numId w:val="20"/>
        </w:numPr>
        <w:suppressAutoHyphens/>
        <w:autoSpaceDN w:val="0"/>
        <w:spacing w:after="0" w:line="360" w:lineRule="auto"/>
        <w:jc w:val="both"/>
        <w:textAlignment w:val="baseline"/>
        <w:rPr>
          <w:rFonts w:ascii="Verdana" w:eastAsia="Times New Roman" w:hAnsi="Verdana"/>
          <w:color w:val="000000"/>
          <w:sz w:val="24"/>
          <w:szCs w:val="24"/>
        </w:rPr>
      </w:pPr>
      <w:r w:rsidRPr="008F589B">
        <w:rPr>
          <w:rFonts w:ascii="Verdana" w:eastAsia="Times New Roman" w:hAnsi="Verdana"/>
          <w:color w:val="000000"/>
          <w:sz w:val="24"/>
          <w:szCs w:val="24"/>
        </w:rPr>
        <w:t>D1.1.3. Zwiększenie wykorzystania nowoczes</w:t>
      </w:r>
      <w:r w:rsidR="00B048CD" w:rsidRPr="008F589B">
        <w:rPr>
          <w:rFonts w:ascii="Verdana" w:eastAsia="Times New Roman" w:hAnsi="Verdana"/>
          <w:color w:val="000000"/>
          <w:sz w:val="24"/>
          <w:szCs w:val="24"/>
        </w:rPr>
        <w:t>nych technologii i </w:t>
      </w:r>
      <w:r w:rsidRPr="008F589B">
        <w:rPr>
          <w:rFonts w:ascii="Verdana" w:eastAsia="Times New Roman" w:hAnsi="Verdana"/>
          <w:color w:val="000000"/>
          <w:sz w:val="24"/>
          <w:szCs w:val="24"/>
        </w:rPr>
        <w:t>dalszy rozwój e-zdrowia</w:t>
      </w:r>
    </w:p>
    <w:p w14:paraId="092D0EA0" w14:textId="77777777" w:rsidR="00E13817" w:rsidRPr="008F589B" w:rsidRDefault="00E13817" w:rsidP="008F589B">
      <w:pPr>
        <w:pStyle w:val="Akapitzlist"/>
        <w:numPr>
          <w:ilvl w:val="0"/>
          <w:numId w:val="20"/>
        </w:numPr>
        <w:suppressAutoHyphens/>
        <w:autoSpaceDN w:val="0"/>
        <w:spacing w:after="0" w:line="360" w:lineRule="auto"/>
        <w:jc w:val="both"/>
        <w:textAlignment w:val="baseline"/>
        <w:rPr>
          <w:rFonts w:ascii="Verdana" w:eastAsia="Times New Roman" w:hAnsi="Verdana"/>
          <w:color w:val="000000"/>
          <w:sz w:val="24"/>
          <w:szCs w:val="24"/>
        </w:rPr>
      </w:pPr>
      <w:r w:rsidRPr="008F589B">
        <w:rPr>
          <w:rFonts w:ascii="Verdana" w:eastAsia="Times New Roman" w:hAnsi="Verdana"/>
          <w:color w:val="000000"/>
          <w:sz w:val="24"/>
          <w:szCs w:val="24"/>
        </w:rPr>
        <w:t>D2.1.1. Wsparcie rozwoju potencjału uczelni medycznych</w:t>
      </w:r>
    </w:p>
    <w:p w14:paraId="2096BA29" w14:textId="77777777" w:rsidR="00E13817" w:rsidRPr="008F589B" w:rsidRDefault="00E13817" w:rsidP="008F589B">
      <w:pPr>
        <w:pStyle w:val="Akapitzlist"/>
        <w:numPr>
          <w:ilvl w:val="0"/>
          <w:numId w:val="20"/>
        </w:numPr>
        <w:suppressAutoHyphens/>
        <w:autoSpaceDN w:val="0"/>
        <w:spacing w:after="0" w:line="360" w:lineRule="auto"/>
        <w:jc w:val="both"/>
        <w:textAlignment w:val="baseline"/>
        <w:rPr>
          <w:rFonts w:ascii="Verdana" w:eastAsia="Times New Roman" w:hAnsi="Verdana"/>
          <w:color w:val="000000"/>
          <w:sz w:val="24"/>
          <w:szCs w:val="24"/>
        </w:rPr>
      </w:pPr>
      <w:r w:rsidRPr="008F589B">
        <w:rPr>
          <w:rFonts w:ascii="Verdana" w:eastAsia="Times New Roman" w:hAnsi="Verdana"/>
          <w:color w:val="000000"/>
          <w:sz w:val="24"/>
          <w:szCs w:val="24"/>
        </w:rPr>
        <w:t>E1.1.1. Wsparcie przemysłu dla gospodarki niskoemisyjnej</w:t>
      </w:r>
    </w:p>
    <w:p w14:paraId="51708CE9" w14:textId="77777777" w:rsidR="00E13817" w:rsidRPr="008F589B" w:rsidRDefault="00E13817" w:rsidP="008F589B">
      <w:pPr>
        <w:pStyle w:val="Akapitzlist"/>
        <w:numPr>
          <w:ilvl w:val="0"/>
          <w:numId w:val="20"/>
        </w:numPr>
        <w:suppressAutoHyphens/>
        <w:autoSpaceDN w:val="0"/>
        <w:spacing w:after="0" w:line="360" w:lineRule="auto"/>
        <w:jc w:val="both"/>
        <w:textAlignment w:val="baseline"/>
        <w:rPr>
          <w:rFonts w:ascii="Verdana" w:eastAsia="Times New Roman" w:hAnsi="Verdana"/>
          <w:color w:val="000000"/>
          <w:sz w:val="24"/>
          <w:szCs w:val="24"/>
        </w:rPr>
      </w:pPr>
      <w:r w:rsidRPr="008F589B">
        <w:rPr>
          <w:rFonts w:ascii="Verdana" w:eastAsia="Times New Roman" w:hAnsi="Verdana"/>
          <w:color w:val="000000"/>
          <w:sz w:val="24"/>
          <w:szCs w:val="24"/>
        </w:rPr>
        <w:t>E1.1.2. Zeroemisyjny transport zbiorowy</w:t>
      </w:r>
    </w:p>
    <w:p w14:paraId="65DAB490" w14:textId="77777777" w:rsidR="00E13817" w:rsidRPr="008F589B" w:rsidRDefault="00E13817" w:rsidP="008F589B">
      <w:pPr>
        <w:pStyle w:val="Akapitzlist"/>
        <w:numPr>
          <w:ilvl w:val="0"/>
          <w:numId w:val="20"/>
        </w:numPr>
        <w:suppressAutoHyphens/>
        <w:autoSpaceDN w:val="0"/>
        <w:spacing w:after="0" w:line="360" w:lineRule="auto"/>
        <w:jc w:val="both"/>
        <w:textAlignment w:val="baseline"/>
        <w:rPr>
          <w:rFonts w:ascii="Verdana" w:eastAsia="Times New Roman" w:hAnsi="Verdana"/>
          <w:color w:val="000000"/>
          <w:sz w:val="24"/>
          <w:szCs w:val="24"/>
        </w:rPr>
      </w:pPr>
      <w:r w:rsidRPr="008F589B">
        <w:rPr>
          <w:rFonts w:ascii="Verdana" w:eastAsia="Times New Roman" w:hAnsi="Verdana"/>
          <w:color w:val="000000"/>
          <w:sz w:val="24"/>
          <w:szCs w:val="24"/>
        </w:rPr>
        <w:t>E2.1.2. Pasażerski tabor kolejowy</w:t>
      </w:r>
    </w:p>
    <w:p w14:paraId="124DE410" w14:textId="77777777" w:rsidR="00E13817" w:rsidRPr="008F589B" w:rsidRDefault="00E13817" w:rsidP="008F589B">
      <w:pPr>
        <w:pStyle w:val="Akapitzlist"/>
        <w:numPr>
          <w:ilvl w:val="0"/>
          <w:numId w:val="20"/>
        </w:numPr>
        <w:suppressAutoHyphens/>
        <w:autoSpaceDN w:val="0"/>
        <w:spacing w:after="0" w:line="360" w:lineRule="auto"/>
        <w:jc w:val="both"/>
        <w:textAlignment w:val="baseline"/>
        <w:rPr>
          <w:rFonts w:ascii="Verdana" w:eastAsia="Times New Roman" w:hAnsi="Verdana"/>
          <w:color w:val="000000"/>
          <w:sz w:val="24"/>
          <w:szCs w:val="24"/>
        </w:rPr>
      </w:pPr>
      <w:r w:rsidRPr="008F589B">
        <w:rPr>
          <w:rFonts w:ascii="Verdana" w:eastAsia="Times New Roman" w:hAnsi="Verdana"/>
          <w:color w:val="000000"/>
          <w:sz w:val="24"/>
          <w:szCs w:val="24"/>
        </w:rPr>
        <w:t>E2.2.2. Cyfryzacja transportu</w:t>
      </w:r>
    </w:p>
    <w:p w14:paraId="4027B0CC" w14:textId="77777777" w:rsidR="002B2525" w:rsidRPr="008F589B" w:rsidRDefault="00E13817" w:rsidP="008F589B">
      <w:pPr>
        <w:pStyle w:val="Akapitzlist"/>
        <w:numPr>
          <w:ilvl w:val="0"/>
          <w:numId w:val="22"/>
        </w:numPr>
        <w:suppressAutoHyphens/>
        <w:autoSpaceDN w:val="0"/>
        <w:spacing w:after="0" w:line="360" w:lineRule="auto"/>
        <w:jc w:val="both"/>
        <w:textAlignment w:val="baseline"/>
        <w:rPr>
          <w:rFonts w:ascii="Verdana" w:eastAsia="Times New Roman" w:hAnsi="Verdana"/>
          <w:color w:val="000000"/>
          <w:sz w:val="24"/>
          <w:szCs w:val="24"/>
        </w:rPr>
      </w:pPr>
      <w:r w:rsidRPr="008F589B">
        <w:rPr>
          <w:rFonts w:ascii="Verdana" w:eastAsia="Times New Roman" w:hAnsi="Verdana"/>
          <w:color w:val="000000"/>
          <w:sz w:val="24"/>
          <w:szCs w:val="24"/>
        </w:rPr>
        <w:t>Uwzględnienie w opisach inwestycji projektowania uniwersalnego jako obowiązkowej metody realizacji 12 inwestycji szczególnie podatnych na projektowanie uniwersalne:</w:t>
      </w:r>
    </w:p>
    <w:p w14:paraId="2AEB345D" w14:textId="799765C2" w:rsidR="00E13817" w:rsidRPr="008F589B" w:rsidRDefault="00E13817" w:rsidP="008F589B">
      <w:pPr>
        <w:pStyle w:val="Akapitzlist"/>
        <w:numPr>
          <w:ilvl w:val="0"/>
          <w:numId w:val="23"/>
        </w:numPr>
        <w:suppressAutoHyphens/>
        <w:autoSpaceDN w:val="0"/>
        <w:spacing w:after="0" w:line="360" w:lineRule="auto"/>
        <w:jc w:val="both"/>
        <w:textAlignment w:val="baseline"/>
        <w:rPr>
          <w:rFonts w:ascii="Verdana" w:eastAsia="Times New Roman" w:hAnsi="Verdana"/>
          <w:color w:val="000000"/>
          <w:sz w:val="24"/>
          <w:szCs w:val="24"/>
        </w:rPr>
      </w:pPr>
      <w:r w:rsidRPr="008F589B">
        <w:rPr>
          <w:rFonts w:ascii="Verdana" w:eastAsia="Times New Roman" w:hAnsi="Verdana"/>
          <w:color w:val="000000"/>
          <w:sz w:val="24"/>
          <w:szCs w:val="24"/>
        </w:rPr>
        <w:t>A1.1.4. Przygotowanie terenów inwestycyjnych w Polsce [projektowanie uniwersalne przestrzeni publicznej]</w:t>
      </w:r>
    </w:p>
    <w:p w14:paraId="1C44AED3" w14:textId="77777777" w:rsidR="00E13817" w:rsidRPr="008F589B" w:rsidRDefault="00E13817" w:rsidP="008F589B">
      <w:pPr>
        <w:pStyle w:val="Akapitzlist"/>
        <w:numPr>
          <w:ilvl w:val="0"/>
          <w:numId w:val="23"/>
        </w:numPr>
        <w:suppressAutoHyphens/>
        <w:autoSpaceDN w:val="0"/>
        <w:spacing w:after="0" w:line="360" w:lineRule="auto"/>
        <w:jc w:val="both"/>
        <w:textAlignment w:val="baseline"/>
        <w:rPr>
          <w:rFonts w:ascii="Verdana" w:eastAsia="Times New Roman" w:hAnsi="Verdana"/>
          <w:color w:val="000000"/>
          <w:sz w:val="24"/>
          <w:szCs w:val="24"/>
        </w:rPr>
      </w:pPr>
      <w:r w:rsidRPr="008F589B">
        <w:rPr>
          <w:rFonts w:ascii="Verdana" w:eastAsia="Times New Roman" w:hAnsi="Verdana"/>
          <w:color w:val="000000"/>
          <w:sz w:val="24"/>
          <w:szCs w:val="24"/>
        </w:rPr>
        <w:t>A1.1.5. Wdrożenie reformy planowania i zagospodarowania przestrzennego</w:t>
      </w:r>
    </w:p>
    <w:p w14:paraId="11F3A2BB" w14:textId="77777777" w:rsidR="00E13817" w:rsidRPr="008F589B" w:rsidRDefault="00E13817" w:rsidP="008F589B">
      <w:pPr>
        <w:pStyle w:val="Akapitzlist"/>
        <w:numPr>
          <w:ilvl w:val="0"/>
          <w:numId w:val="23"/>
        </w:numPr>
        <w:suppressAutoHyphens/>
        <w:autoSpaceDN w:val="0"/>
        <w:spacing w:after="0" w:line="360" w:lineRule="auto"/>
        <w:jc w:val="both"/>
        <w:textAlignment w:val="baseline"/>
        <w:rPr>
          <w:rFonts w:ascii="Verdana" w:eastAsia="Times New Roman" w:hAnsi="Verdana"/>
          <w:color w:val="000000"/>
          <w:sz w:val="24"/>
          <w:szCs w:val="24"/>
        </w:rPr>
      </w:pPr>
      <w:r w:rsidRPr="008F589B">
        <w:rPr>
          <w:rFonts w:ascii="Verdana" w:eastAsia="Times New Roman" w:hAnsi="Verdana"/>
          <w:color w:val="000000"/>
          <w:sz w:val="24"/>
          <w:szCs w:val="24"/>
        </w:rPr>
        <w:t>A2.2.1. Program wsparcia rozwoju nowych technologii na potrzeby gospodarki</w:t>
      </w:r>
    </w:p>
    <w:p w14:paraId="4AB69DC0" w14:textId="77777777" w:rsidR="00E13817" w:rsidRPr="008F589B" w:rsidRDefault="00E13817" w:rsidP="008F589B">
      <w:pPr>
        <w:pStyle w:val="Akapitzlist"/>
        <w:numPr>
          <w:ilvl w:val="0"/>
          <w:numId w:val="23"/>
        </w:numPr>
        <w:suppressAutoHyphens/>
        <w:autoSpaceDN w:val="0"/>
        <w:spacing w:after="0" w:line="360" w:lineRule="auto"/>
        <w:jc w:val="both"/>
        <w:textAlignment w:val="baseline"/>
        <w:rPr>
          <w:rFonts w:ascii="Verdana" w:eastAsia="Times New Roman" w:hAnsi="Verdana"/>
          <w:color w:val="000000"/>
          <w:sz w:val="24"/>
          <w:szCs w:val="24"/>
        </w:rPr>
      </w:pPr>
      <w:r w:rsidRPr="008F589B">
        <w:rPr>
          <w:rFonts w:ascii="Verdana" w:eastAsia="Times New Roman" w:hAnsi="Verdana"/>
          <w:color w:val="000000"/>
          <w:sz w:val="24"/>
          <w:szCs w:val="24"/>
        </w:rPr>
        <w:t>A2.1.3. Innowacyjne rozwiązania w kulturze (przemysły kreatywne)</w:t>
      </w:r>
    </w:p>
    <w:p w14:paraId="5ACEA2F8" w14:textId="77777777" w:rsidR="00E13817" w:rsidRPr="008F589B" w:rsidRDefault="00E13817" w:rsidP="008F589B">
      <w:pPr>
        <w:pStyle w:val="Akapitzlist"/>
        <w:numPr>
          <w:ilvl w:val="0"/>
          <w:numId w:val="23"/>
        </w:numPr>
        <w:suppressAutoHyphens/>
        <w:autoSpaceDN w:val="0"/>
        <w:spacing w:after="0" w:line="360" w:lineRule="auto"/>
        <w:jc w:val="both"/>
        <w:textAlignment w:val="baseline"/>
        <w:rPr>
          <w:rFonts w:ascii="Verdana" w:eastAsia="Times New Roman" w:hAnsi="Verdana"/>
          <w:color w:val="000000"/>
          <w:sz w:val="24"/>
          <w:szCs w:val="24"/>
        </w:rPr>
      </w:pPr>
      <w:r w:rsidRPr="008F589B">
        <w:rPr>
          <w:rFonts w:ascii="Verdana" w:eastAsia="Times New Roman" w:hAnsi="Verdana"/>
          <w:color w:val="000000"/>
          <w:sz w:val="24"/>
          <w:szCs w:val="24"/>
        </w:rPr>
        <w:t>A3.1.1. Wsparcie rozwoju nowoczesnego kształcenia zawodowego, szkolnictwa wyższego oraz uczenia się przez całe życie [uniwersalne projektowania jako przedmiot i metoda kształcenia]</w:t>
      </w:r>
    </w:p>
    <w:p w14:paraId="444EE43A" w14:textId="77777777" w:rsidR="00E13817" w:rsidRPr="008F589B" w:rsidRDefault="00E13817" w:rsidP="008F589B">
      <w:pPr>
        <w:pStyle w:val="Akapitzlist"/>
        <w:numPr>
          <w:ilvl w:val="0"/>
          <w:numId w:val="23"/>
        </w:numPr>
        <w:suppressAutoHyphens/>
        <w:autoSpaceDN w:val="0"/>
        <w:spacing w:after="0" w:line="360" w:lineRule="auto"/>
        <w:jc w:val="both"/>
        <w:textAlignment w:val="baseline"/>
        <w:rPr>
          <w:rFonts w:ascii="Verdana" w:eastAsia="Times New Roman" w:hAnsi="Verdana"/>
          <w:color w:val="000000"/>
          <w:sz w:val="24"/>
          <w:szCs w:val="24"/>
        </w:rPr>
      </w:pPr>
      <w:r w:rsidRPr="008F589B">
        <w:rPr>
          <w:rFonts w:ascii="Verdana" w:eastAsia="Times New Roman" w:hAnsi="Verdana"/>
          <w:color w:val="000000"/>
          <w:sz w:val="24"/>
          <w:szCs w:val="24"/>
        </w:rPr>
        <w:t>B3.1.3. Zielona transformacja miast i obszarów funkcjonalnych</w:t>
      </w:r>
    </w:p>
    <w:p w14:paraId="219660A3" w14:textId="77777777" w:rsidR="00E13817" w:rsidRPr="008F589B" w:rsidRDefault="00E13817" w:rsidP="008F589B">
      <w:pPr>
        <w:pStyle w:val="Akapitzlist"/>
        <w:numPr>
          <w:ilvl w:val="0"/>
          <w:numId w:val="23"/>
        </w:numPr>
        <w:suppressAutoHyphens/>
        <w:autoSpaceDN w:val="0"/>
        <w:spacing w:after="0" w:line="360" w:lineRule="auto"/>
        <w:jc w:val="both"/>
        <w:textAlignment w:val="baseline"/>
        <w:rPr>
          <w:rFonts w:ascii="Verdana" w:eastAsia="Times New Roman" w:hAnsi="Verdana"/>
          <w:color w:val="000000"/>
          <w:sz w:val="24"/>
          <w:szCs w:val="24"/>
        </w:rPr>
      </w:pPr>
      <w:r w:rsidRPr="008F589B">
        <w:rPr>
          <w:rFonts w:ascii="Verdana" w:eastAsia="Times New Roman" w:hAnsi="Verdana"/>
          <w:color w:val="000000"/>
          <w:sz w:val="24"/>
          <w:szCs w:val="24"/>
        </w:rPr>
        <w:t>C2.1.1. E-usługi publiczne, rozwiązania IT usprawniające funkcjonowanie administracji i sektorów gospodarki oraz technologie przełomowe w sektorze publicznym, gospodarce, społeczeństwie</w:t>
      </w:r>
    </w:p>
    <w:p w14:paraId="2105FF58" w14:textId="77777777" w:rsidR="00E13817" w:rsidRPr="008F589B" w:rsidRDefault="00E13817" w:rsidP="008F589B">
      <w:pPr>
        <w:pStyle w:val="Akapitzlist"/>
        <w:numPr>
          <w:ilvl w:val="0"/>
          <w:numId w:val="23"/>
        </w:numPr>
        <w:suppressAutoHyphens/>
        <w:autoSpaceDN w:val="0"/>
        <w:spacing w:after="0" w:line="360" w:lineRule="auto"/>
        <w:jc w:val="both"/>
        <w:textAlignment w:val="baseline"/>
        <w:rPr>
          <w:rFonts w:ascii="Verdana" w:eastAsia="Times New Roman" w:hAnsi="Verdana"/>
          <w:color w:val="000000"/>
          <w:sz w:val="24"/>
          <w:szCs w:val="24"/>
        </w:rPr>
      </w:pPr>
      <w:r w:rsidRPr="008F589B">
        <w:rPr>
          <w:rFonts w:ascii="Verdana" w:eastAsia="Times New Roman" w:hAnsi="Verdana"/>
          <w:color w:val="000000"/>
          <w:sz w:val="24"/>
          <w:szCs w:val="24"/>
        </w:rPr>
        <w:t>D1.1.1. Rozwój i modernizacja infrastruktury podmiotów leczniczych</w:t>
      </w:r>
    </w:p>
    <w:p w14:paraId="7E219A4C" w14:textId="77777777" w:rsidR="00E13817" w:rsidRPr="008F589B" w:rsidRDefault="00E13817" w:rsidP="008F589B">
      <w:pPr>
        <w:pStyle w:val="Akapitzlist"/>
        <w:numPr>
          <w:ilvl w:val="0"/>
          <w:numId w:val="23"/>
        </w:numPr>
        <w:suppressAutoHyphens/>
        <w:autoSpaceDN w:val="0"/>
        <w:spacing w:after="0" w:line="360" w:lineRule="auto"/>
        <w:jc w:val="both"/>
        <w:textAlignment w:val="baseline"/>
        <w:rPr>
          <w:rFonts w:ascii="Verdana" w:eastAsia="Times New Roman" w:hAnsi="Verdana"/>
          <w:color w:val="000000"/>
          <w:sz w:val="24"/>
          <w:szCs w:val="24"/>
        </w:rPr>
      </w:pPr>
      <w:r w:rsidRPr="008F589B">
        <w:rPr>
          <w:rFonts w:ascii="Verdana" w:eastAsia="Times New Roman" w:hAnsi="Verdana"/>
          <w:color w:val="000000"/>
          <w:sz w:val="24"/>
          <w:szCs w:val="24"/>
        </w:rPr>
        <w:t>C2.1.2. Cyfrowa infrastruktura szkół</w:t>
      </w:r>
    </w:p>
    <w:p w14:paraId="6A2952D0" w14:textId="3A458866" w:rsidR="00E13817" w:rsidRPr="008F589B" w:rsidRDefault="00E13817" w:rsidP="008F589B">
      <w:pPr>
        <w:pStyle w:val="Akapitzlist"/>
        <w:numPr>
          <w:ilvl w:val="0"/>
          <w:numId w:val="23"/>
        </w:numPr>
        <w:suppressAutoHyphens/>
        <w:autoSpaceDN w:val="0"/>
        <w:spacing w:after="0" w:line="360" w:lineRule="auto"/>
        <w:jc w:val="both"/>
        <w:textAlignment w:val="baseline"/>
        <w:rPr>
          <w:rFonts w:ascii="Verdana" w:eastAsia="Times New Roman" w:hAnsi="Verdana"/>
          <w:color w:val="000000"/>
          <w:sz w:val="24"/>
          <w:szCs w:val="24"/>
        </w:rPr>
      </w:pPr>
      <w:r w:rsidRPr="008F589B">
        <w:rPr>
          <w:rFonts w:ascii="Verdana" w:eastAsia="Times New Roman" w:hAnsi="Verdana"/>
          <w:color w:val="000000"/>
          <w:sz w:val="24"/>
          <w:szCs w:val="24"/>
        </w:rPr>
        <w:t>D1.1.3. Zwiększenie wykorzyst</w:t>
      </w:r>
      <w:r w:rsidR="002B2525" w:rsidRPr="008F589B">
        <w:rPr>
          <w:rFonts w:ascii="Verdana" w:eastAsia="Times New Roman" w:hAnsi="Verdana"/>
          <w:color w:val="000000"/>
          <w:sz w:val="24"/>
          <w:szCs w:val="24"/>
        </w:rPr>
        <w:t>ania nowoczesnych technologii i </w:t>
      </w:r>
      <w:r w:rsidRPr="008F589B">
        <w:rPr>
          <w:rFonts w:ascii="Verdana" w:eastAsia="Times New Roman" w:hAnsi="Verdana"/>
          <w:color w:val="000000"/>
          <w:sz w:val="24"/>
          <w:szCs w:val="24"/>
        </w:rPr>
        <w:t>dalszy rozwój e-zdrowia</w:t>
      </w:r>
    </w:p>
    <w:p w14:paraId="4E5AE37B" w14:textId="77777777" w:rsidR="00E13817" w:rsidRPr="008F589B" w:rsidRDefault="00E13817" w:rsidP="008F589B">
      <w:pPr>
        <w:pStyle w:val="Akapitzlist"/>
        <w:numPr>
          <w:ilvl w:val="0"/>
          <w:numId w:val="23"/>
        </w:numPr>
        <w:suppressAutoHyphens/>
        <w:autoSpaceDN w:val="0"/>
        <w:spacing w:after="0" w:line="360" w:lineRule="auto"/>
        <w:jc w:val="both"/>
        <w:textAlignment w:val="baseline"/>
        <w:rPr>
          <w:rFonts w:ascii="Verdana" w:eastAsia="Times New Roman" w:hAnsi="Verdana"/>
          <w:color w:val="000000"/>
          <w:sz w:val="24"/>
          <w:szCs w:val="24"/>
        </w:rPr>
      </w:pPr>
      <w:r w:rsidRPr="008F589B">
        <w:rPr>
          <w:rFonts w:ascii="Verdana" w:eastAsia="Times New Roman" w:hAnsi="Verdana"/>
          <w:color w:val="000000"/>
          <w:sz w:val="24"/>
          <w:szCs w:val="24"/>
        </w:rPr>
        <w:t>E1.1.2. Zeroemisyjny transport zbiorowy</w:t>
      </w:r>
    </w:p>
    <w:p w14:paraId="0FD5D16F" w14:textId="77777777" w:rsidR="00E13817" w:rsidRPr="008F589B" w:rsidRDefault="00E13817" w:rsidP="008F589B">
      <w:pPr>
        <w:pStyle w:val="Akapitzlist"/>
        <w:numPr>
          <w:ilvl w:val="0"/>
          <w:numId w:val="23"/>
        </w:numPr>
        <w:suppressAutoHyphens/>
        <w:autoSpaceDN w:val="0"/>
        <w:spacing w:after="0" w:line="360" w:lineRule="auto"/>
        <w:jc w:val="both"/>
        <w:textAlignment w:val="baseline"/>
        <w:rPr>
          <w:rFonts w:ascii="Verdana" w:eastAsia="Times New Roman" w:hAnsi="Verdana"/>
          <w:color w:val="000000"/>
          <w:sz w:val="24"/>
          <w:szCs w:val="24"/>
        </w:rPr>
      </w:pPr>
      <w:r w:rsidRPr="008F589B">
        <w:rPr>
          <w:rFonts w:ascii="Verdana" w:eastAsia="Times New Roman" w:hAnsi="Verdana"/>
          <w:color w:val="000000"/>
          <w:sz w:val="24"/>
          <w:szCs w:val="24"/>
        </w:rPr>
        <w:lastRenderedPageBreak/>
        <w:t>E2.1.2. Pasażerski tabor kolejowy</w:t>
      </w:r>
    </w:p>
    <w:p w14:paraId="18D04A72" w14:textId="7CC9B142" w:rsidR="00E13817" w:rsidRPr="008F589B" w:rsidRDefault="00E13817" w:rsidP="008F589B">
      <w:pPr>
        <w:pStyle w:val="Akapitzlist"/>
        <w:numPr>
          <w:ilvl w:val="0"/>
          <w:numId w:val="24"/>
        </w:numPr>
        <w:suppressAutoHyphens/>
        <w:autoSpaceDN w:val="0"/>
        <w:spacing w:after="0" w:line="360" w:lineRule="auto"/>
        <w:jc w:val="both"/>
        <w:textAlignment w:val="baseline"/>
        <w:rPr>
          <w:rFonts w:ascii="Verdana" w:eastAsia="Times New Roman" w:hAnsi="Verdana"/>
          <w:color w:val="000000"/>
          <w:sz w:val="24"/>
          <w:szCs w:val="24"/>
        </w:rPr>
      </w:pPr>
      <w:r w:rsidRPr="008F589B">
        <w:rPr>
          <w:rFonts w:ascii="Verdana" w:eastAsia="Times New Roman" w:hAnsi="Verdana"/>
          <w:color w:val="000000"/>
          <w:sz w:val="24"/>
          <w:szCs w:val="24"/>
        </w:rPr>
        <w:t>Uwzględnienie wymogów dyrekt</w:t>
      </w:r>
      <w:r w:rsidR="002B2525" w:rsidRPr="008F589B">
        <w:rPr>
          <w:rFonts w:ascii="Verdana" w:eastAsia="Times New Roman" w:hAnsi="Verdana"/>
          <w:color w:val="000000"/>
          <w:sz w:val="24"/>
          <w:szCs w:val="24"/>
        </w:rPr>
        <w:t xml:space="preserve">ywy </w:t>
      </w:r>
      <w:proofErr w:type="spellStart"/>
      <w:r w:rsidR="002B2525" w:rsidRPr="008F589B">
        <w:rPr>
          <w:rFonts w:ascii="Verdana" w:eastAsia="Times New Roman" w:hAnsi="Verdana"/>
          <w:color w:val="000000"/>
          <w:sz w:val="24"/>
          <w:szCs w:val="24"/>
        </w:rPr>
        <w:t>dostępnościowej</w:t>
      </w:r>
      <w:proofErr w:type="spellEnd"/>
      <w:r w:rsidR="002B2525" w:rsidRPr="008F589B">
        <w:rPr>
          <w:rFonts w:ascii="Verdana" w:eastAsia="Times New Roman" w:hAnsi="Verdana"/>
          <w:color w:val="000000"/>
          <w:sz w:val="24"/>
          <w:szCs w:val="24"/>
        </w:rPr>
        <w:t xml:space="preserve"> w opisach 7 </w:t>
      </w:r>
      <w:r w:rsidRPr="008F589B">
        <w:rPr>
          <w:rFonts w:ascii="Verdana" w:eastAsia="Times New Roman" w:hAnsi="Verdana"/>
          <w:color w:val="000000"/>
          <w:sz w:val="24"/>
          <w:szCs w:val="24"/>
        </w:rPr>
        <w:t>inwestycji realizowanych przez podmioty prywatne jak: Program wsparcia rozwoju nowych technologii na potrzeby gospodarki</w:t>
      </w:r>
    </w:p>
    <w:p w14:paraId="09C4B6F5" w14:textId="77777777" w:rsidR="00E13817" w:rsidRPr="008F589B" w:rsidRDefault="00E13817" w:rsidP="008F589B">
      <w:pPr>
        <w:pStyle w:val="Akapitzlist"/>
        <w:numPr>
          <w:ilvl w:val="0"/>
          <w:numId w:val="25"/>
        </w:numPr>
        <w:suppressAutoHyphens/>
        <w:autoSpaceDN w:val="0"/>
        <w:spacing w:after="0" w:line="360" w:lineRule="auto"/>
        <w:jc w:val="both"/>
        <w:textAlignment w:val="baseline"/>
        <w:rPr>
          <w:rFonts w:ascii="Verdana" w:eastAsia="Times New Roman" w:hAnsi="Verdana"/>
          <w:color w:val="000000"/>
          <w:sz w:val="24"/>
          <w:szCs w:val="24"/>
        </w:rPr>
      </w:pPr>
      <w:r w:rsidRPr="008F589B">
        <w:rPr>
          <w:rFonts w:ascii="Verdana" w:eastAsia="Times New Roman" w:hAnsi="Verdana"/>
          <w:color w:val="000000"/>
          <w:sz w:val="24"/>
          <w:szCs w:val="24"/>
        </w:rPr>
        <w:t>A1.1.1. Wsparcie inwestycji w przedsiębiorstwach</w:t>
      </w:r>
    </w:p>
    <w:p w14:paraId="5AAB89AD" w14:textId="77777777" w:rsidR="00E13817" w:rsidRPr="008F589B" w:rsidRDefault="00E13817" w:rsidP="008F589B">
      <w:pPr>
        <w:pStyle w:val="Akapitzlist"/>
        <w:numPr>
          <w:ilvl w:val="0"/>
          <w:numId w:val="25"/>
        </w:numPr>
        <w:suppressAutoHyphens/>
        <w:autoSpaceDN w:val="0"/>
        <w:spacing w:after="0" w:line="360" w:lineRule="auto"/>
        <w:jc w:val="both"/>
        <w:textAlignment w:val="baseline"/>
        <w:rPr>
          <w:rFonts w:ascii="Verdana" w:eastAsia="Times New Roman" w:hAnsi="Verdana"/>
          <w:color w:val="000000"/>
          <w:sz w:val="24"/>
          <w:szCs w:val="24"/>
        </w:rPr>
      </w:pPr>
      <w:r w:rsidRPr="008F589B">
        <w:rPr>
          <w:rFonts w:ascii="Verdana" w:eastAsia="Times New Roman" w:hAnsi="Verdana"/>
          <w:color w:val="000000"/>
          <w:sz w:val="24"/>
          <w:szCs w:val="24"/>
        </w:rPr>
        <w:t>A2.1.1. Duże projekty innowacyjne</w:t>
      </w:r>
    </w:p>
    <w:p w14:paraId="01CDA64A" w14:textId="77777777" w:rsidR="00E13817" w:rsidRPr="008F589B" w:rsidRDefault="00E13817" w:rsidP="008F589B">
      <w:pPr>
        <w:pStyle w:val="Akapitzlist"/>
        <w:numPr>
          <w:ilvl w:val="0"/>
          <w:numId w:val="25"/>
        </w:numPr>
        <w:suppressAutoHyphens/>
        <w:autoSpaceDN w:val="0"/>
        <w:spacing w:after="0" w:line="360" w:lineRule="auto"/>
        <w:jc w:val="both"/>
        <w:textAlignment w:val="baseline"/>
        <w:rPr>
          <w:rFonts w:ascii="Verdana" w:eastAsia="Times New Roman" w:hAnsi="Verdana"/>
          <w:color w:val="000000"/>
          <w:sz w:val="24"/>
          <w:szCs w:val="24"/>
        </w:rPr>
      </w:pPr>
      <w:r w:rsidRPr="008F589B">
        <w:rPr>
          <w:rFonts w:ascii="Verdana" w:eastAsia="Times New Roman" w:hAnsi="Verdana"/>
          <w:color w:val="000000"/>
          <w:sz w:val="24"/>
          <w:szCs w:val="24"/>
        </w:rPr>
        <w:t>A2.2.1. Program wsparcia rozwoju nowych technologii na potrzeby gospodarki</w:t>
      </w:r>
    </w:p>
    <w:p w14:paraId="497122B3" w14:textId="77777777" w:rsidR="00E13817" w:rsidRPr="008F589B" w:rsidRDefault="00E13817" w:rsidP="008F589B">
      <w:pPr>
        <w:pStyle w:val="Akapitzlist"/>
        <w:numPr>
          <w:ilvl w:val="0"/>
          <w:numId w:val="25"/>
        </w:numPr>
        <w:suppressAutoHyphens/>
        <w:autoSpaceDN w:val="0"/>
        <w:spacing w:after="0" w:line="360" w:lineRule="auto"/>
        <w:jc w:val="both"/>
        <w:textAlignment w:val="baseline"/>
        <w:rPr>
          <w:rFonts w:ascii="Verdana" w:eastAsia="Times New Roman" w:hAnsi="Verdana"/>
          <w:color w:val="000000"/>
          <w:sz w:val="24"/>
          <w:szCs w:val="24"/>
        </w:rPr>
      </w:pPr>
      <w:r w:rsidRPr="008F589B">
        <w:rPr>
          <w:rFonts w:ascii="Verdana" w:eastAsia="Times New Roman" w:hAnsi="Verdana"/>
          <w:color w:val="000000"/>
          <w:sz w:val="24"/>
          <w:szCs w:val="24"/>
        </w:rPr>
        <w:t>E1.1.1. Wsparcie przemysłu dla gospodarki niskoemisyjnej</w:t>
      </w:r>
    </w:p>
    <w:p w14:paraId="144D0141" w14:textId="77777777" w:rsidR="00E13817" w:rsidRPr="008F589B" w:rsidRDefault="00E13817" w:rsidP="008F589B">
      <w:pPr>
        <w:pStyle w:val="Akapitzlist"/>
        <w:numPr>
          <w:ilvl w:val="0"/>
          <w:numId w:val="25"/>
        </w:numPr>
        <w:suppressAutoHyphens/>
        <w:autoSpaceDN w:val="0"/>
        <w:spacing w:after="0" w:line="360" w:lineRule="auto"/>
        <w:jc w:val="both"/>
        <w:textAlignment w:val="baseline"/>
        <w:rPr>
          <w:rFonts w:ascii="Verdana" w:eastAsia="Times New Roman" w:hAnsi="Verdana"/>
          <w:color w:val="000000"/>
          <w:sz w:val="24"/>
          <w:szCs w:val="24"/>
        </w:rPr>
      </w:pPr>
      <w:r w:rsidRPr="008F589B">
        <w:rPr>
          <w:rFonts w:ascii="Verdana" w:eastAsia="Times New Roman" w:hAnsi="Verdana"/>
          <w:color w:val="000000"/>
          <w:sz w:val="24"/>
          <w:szCs w:val="24"/>
        </w:rPr>
        <w:t>E1.1.2. Zeroemisyjny transport zbiorowy</w:t>
      </w:r>
    </w:p>
    <w:p w14:paraId="6935C505" w14:textId="77777777" w:rsidR="00E13817" w:rsidRPr="008F589B" w:rsidRDefault="00E13817" w:rsidP="008F589B">
      <w:pPr>
        <w:pStyle w:val="Akapitzlist"/>
        <w:numPr>
          <w:ilvl w:val="0"/>
          <w:numId w:val="25"/>
        </w:numPr>
        <w:suppressAutoHyphens/>
        <w:autoSpaceDN w:val="0"/>
        <w:spacing w:after="0" w:line="360" w:lineRule="auto"/>
        <w:jc w:val="both"/>
        <w:textAlignment w:val="baseline"/>
        <w:rPr>
          <w:rFonts w:ascii="Verdana" w:eastAsia="Times New Roman" w:hAnsi="Verdana"/>
          <w:color w:val="000000"/>
          <w:sz w:val="24"/>
          <w:szCs w:val="24"/>
        </w:rPr>
      </w:pPr>
      <w:r w:rsidRPr="008F589B">
        <w:rPr>
          <w:rFonts w:ascii="Verdana" w:eastAsia="Times New Roman" w:hAnsi="Verdana"/>
          <w:color w:val="000000"/>
          <w:sz w:val="24"/>
          <w:szCs w:val="24"/>
        </w:rPr>
        <w:t>E2.1.2. Pasażerski tabor kolejowy</w:t>
      </w:r>
    </w:p>
    <w:p w14:paraId="106C91FD" w14:textId="034AEDE5" w:rsidR="00084D42" w:rsidRPr="008F589B" w:rsidRDefault="00E13817" w:rsidP="008F589B">
      <w:pPr>
        <w:pStyle w:val="Akapitzlist"/>
        <w:numPr>
          <w:ilvl w:val="0"/>
          <w:numId w:val="25"/>
        </w:numPr>
        <w:suppressAutoHyphens/>
        <w:autoSpaceDN w:val="0"/>
        <w:spacing w:after="0" w:line="360" w:lineRule="auto"/>
        <w:jc w:val="both"/>
        <w:textAlignment w:val="baseline"/>
        <w:rPr>
          <w:rFonts w:ascii="Verdana" w:eastAsia="Times New Roman" w:hAnsi="Verdana"/>
          <w:color w:val="000000"/>
          <w:sz w:val="24"/>
          <w:szCs w:val="24"/>
        </w:rPr>
      </w:pPr>
      <w:r w:rsidRPr="008F589B">
        <w:rPr>
          <w:rFonts w:ascii="Verdana" w:eastAsia="Times New Roman" w:hAnsi="Verdana"/>
          <w:color w:val="000000"/>
          <w:sz w:val="24"/>
          <w:szCs w:val="24"/>
        </w:rPr>
        <w:t>E2.2.2. Cyfryzacja transportu</w:t>
      </w:r>
    </w:p>
    <w:p w14:paraId="1C143609" w14:textId="77777777" w:rsidR="002B2525" w:rsidRPr="008F589B" w:rsidRDefault="002B2525" w:rsidP="008F589B">
      <w:pPr>
        <w:spacing w:line="360" w:lineRule="auto"/>
        <w:rPr>
          <w:rFonts w:ascii="Verdana" w:eastAsia="Times New Roman" w:hAnsi="Verdana"/>
          <w:b/>
          <w:bCs/>
          <w:color w:val="000000"/>
          <w:szCs w:val="24"/>
        </w:rPr>
      </w:pPr>
      <w:r w:rsidRPr="008F589B">
        <w:rPr>
          <w:rFonts w:ascii="Verdana" w:eastAsia="Times New Roman" w:hAnsi="Verdana"/>
          <w:b/>
          <w:bCs/>
          <w:color w:val="000000"/>
          <w:szCs w:val="24"/>
        </w:rPr>
        <w:br w:type="page"/>
      </w:r>
    </w:p>
    <w:p w14:paraId="7F8704D3" w14:textId="2F38F39B" w:rsidR="00E13817" w:rsidRPr="008F589B" w:rsidRDefault="00E13817" w:rsidP="008F589B">
      <w:pPr>
        <w:spacing w:line="360" w:lineRule="auto"/>
        <w:jc w:val="both"/>
        <w:rPr>
          <w:rFonts w:ascii="Verdana" w:eastAsia="Times New Roman" w:hAnsi="Verdana"/>
          <w:b/>
          <w:bCs/>
          <w:color w:val="000000"/>
          <w:szCs w:val="24"/>
        </w:rPr>
      </w:pPr>
      <w:r w:rsidRPr="008F589B">
        <w:rPr>
          <w:rFonts w:ascii="Verdana" w:eastAsia="Times New Roman" w:hAnsi="Verdana"/>
          <w:b/>
          <w:bCs/>
          <w:color w:val="000000"/>
          <w:szCs w:val="24"/>
        </w:rPr>
        <w:lastRenderedPageBreak/>
        <w:t>C/ PROPO</w:t>
      </w:r>
      <w:r w:rsidR="008F589B">
        <w:rPr>
          <w:rFonts w:ascii="Verdana" w:eastAsia="Times New Roman" w:hAnsi="Verdana"/>
          <w:b/>
          <w:bCs/>
          <w:color w:val="000000"/>
          <w:szCs w:val="24"/>
        </w:rPr>
        <w:t>ZYCJA DODATOWYCH ZAPISÓW DO KPO</w:t>
      </w:r>
    </w:p>
    <w:p w14:paraId="79D1049D" w14:textId="77777777" w:rsidR="00E13817" w:rsidRPr="008F589B" w:rsidRDefault="00E13817" w:rsidP="008F589B">
      <w:pPr>
        <w:spacing w:line="360" w:lineRule="auto"/>
        <w:jc w:val="both"/>
        <w:rPr>
          <w:rFonts w:ascii="Verdana" w:eastAsia="Times New Roman" w:hAnsi="Verdana"/>
          <w:szCs w:val="24"/>
        </w:rPr>
      </w:pPr>
    </w:p>
    <w:p w14:paraId="62AB05E0" w14:textId="262A7387" w:rsidR="00E13817" w:rsidRPr="008F589B" w:rsidRDefault="00E13817" w:rsidP="008F589B">
      <w:pPr>
        <w:spacing w:line="360" w:lineRule="auto"/>
        <w:jc w:val="both"/>
        <w:rPr>
          <w:rFonts w:ascii="Verdana" w:eastAsia="Times New Roman" w:hAnsi="Verdana"/>
          <w:b/>
          <w:bCs/>
          <w:szCs w:val="24"/>
        </w:rPr>
      </w:pPr>
      <w:r w:rsidRPr="008F589B">
        <w:rPr>
          <w:rFonts w:ascii="Verdana" w:eastAsia="Times New Roman" w:hAnsi="Verdana"/>
          <w:b/>
          <w:bCs/>
          <w:szCs w:val="24"/>
        </w:rPr>
        <w:t>I.</w:t>
      </w:r>
      <w:r w:rsidRPr="008F589B">
        <w:rPr>
          <w:rFonts w:ascii="Verdana" w:eastAsia="Times New Roman" w:hAnsi="Verdana"/>
          <w:b/>
          <w:bCs/>
          <w:szCs w:val="24"/>
        </w:rPr>
        <w:tab/>
        <w:t>ROZBUDOWANIE KOMPONENTU A O ELEMENTY SPOŁECZNO-OBYWATELS</w:t>
      </w:r>
      <w:r w:rsidR="008F589B">
        <w:rPr>
          <w:rFonts w:ascii="Verdana" w:eastAsia="Times New Roman" w:hAnsi="Verdana"/>
          <w:b/>
          <w:bCs/>
          <w:szCs w:val="24"/>
        </w:rPr>
        <w:t xml:space="preserve">KIE LUB STWORZENIE DODATKOWEGO </w:t>
      </w:r>
      <w:r w:rsidRPr="008F589B">
        <w:rPr>
          <w:rFonts w:ascii="Verdana" w:eastAsia="Times New Roman" w:hAnsi="Verdana"/>
          <w:b/>
          <w:bCs/>
          <w:szCs w:val="24"/>
        </w:rPr>
        <w:t>KOMPONENTU: “ROZWÓJ ORAZ ODPORNOŚĆ SPOŁECZNA I OBYWATELSKA”.</w:t>
      </w:r>
    </w:p>
    <w:p w14:paraId="560D528B" w14:textId="77777777" w:rsidR="00E13817" w:rsidRPr="008F589B" w:rsidRDefault="00E13817" w:rsidP="008F589B">
      <w:pPr>
        <w:spacing w:line="360" w:lineRule="auto"/>
        <w:jc w:val="both"/>
        <w:rPr>
          <w:rFonts w:ascii="Verdana" w:eastAsia="Times New Roman" w:hAnsi="Verdana"/>
          <w:szCs w:val="24"/>
        </w:rPr>
      </w:pPr>
    </w:p>
    <w:p w14:paraId="5824751D" w14:textId="33080CCA" w:rsidR="00E13817" w:rsidRPr="008F589B" w:rsidRDefault="00E13817" w:rsidP="008F589B">
      <w:pPr>
        <w:spacing w:line="360" w:lineRule="auto"/>
        <w:jc w:val="both"/>
        <w:rPr>
          <w:rFonts w:ascii="Verdana" w:eastAsia="Times New Roman" w:hAnsi="Verdana"/>
          <w:szCs w:val="24"/>
        </w:rPr>
      </w:pPr>
      <w:r w:rsidRPr="008F589B">
        <w:rPr>
          <w:rFonts w:ascii="Verdana" w:eastAsia="Times New Roman" w:hAnsi="Verdana"/>
          <w:color w:val="000000"/>
          <w:szCs w:val="24"/>
        </w:rPr>
        <w:t>Postulujemy wprowadzeni</w:t>
      </w:r>
      <w:r w:rsidR="008F589B">
        <w:rPr>
          <w:rFonts w:ascii="Verdana" w:eastAsia="Times New Roman" w:hAnsi="Verdana"/>
          <w:color w:val="000000"/>
          <w:szCs w:val="24"/>
        </w:rPr>
        <w:t>e osobnej reformy i inwestycji:</w:t>
      </w:r>
    </w:p>
    <w:p w14:paraId="09ADB27B" w14:textId="77777777" w:rsidR="00E13817" w:rsidRPr="008F589B" w:rsidRDefault="00E13817" w:rsidP="008F589B">
      <w:pPr>
        <w:spacing w:line="360" w:lineRule="auto"/>
        <w:jc w:val="both"/>
        <w:rPr>
          <w:rFonts w:ascii="Verdana" w:eastAsia="Times New Roman" w:hAnsi="Verdana"/>
          <w:color w:val="000000"/>
          <w:szCs w:val="24"/>
        </w:rPr>
      </w:pPr>
      <w:r w:rsidRPr="008F589B">
        <w:rPr>
          <w:rFonts w:ascii="Verdana" w:eastAsia="Times New Roman" w:hAnsi="Verdana"/>
          <w:b/>
          <w:bCs/>
          <w:color w:val="000000"/>
          <w:szCs w:val="24"/>
        </w:rPr>
        <w:t>REFORMA:</w:t>
      </w:r>
      <w:r w:rsidRPr="008F589B">
        <w:rPr>
          <w:rFonts w:ascii="Verdana" w:eastAsia="Times New Roman" w:hAnsi="Verdana"/>
          <w:color w:val="000000"/>
          <w:szCs w:val="24"/>
        </w:rPr>
        <w:t xml:space="preserve"> SPOŁECZEŃSTWO ODPORNE NA KRYZYS I SPÓJNE SPOŁECZNIE </w:t>
      </w:r>
    </w:p>
    <w:p w14:paraId="67A4BD19" w14:textId="6A876796" w:rsidR="00E13817" w:rsidRDefault="00E13817" w:rsidP="008F589B">
      <w:pPr>
        <w:spacing w:line="360" w:lineRule="auto"/>
        <w:jc w:val="both"/>
        <w:rPr>
          <w:rFonts w:ascii="Verdana" w:eastAsia="Times New Roman" w:hAnsi="Verdana"/>
          <w:color w:val="000000"/>
          <w:szCs w:val="24"/>
        </w:rPr>
      </w:pPr>
      <w:r w:rsidRPr="008F589B">
        <w:rPr>
          <w:rFonts w:ascii="Verdana" w:eastAsia="Times New Roman" w:hAnsi="Verdana"/>
          <w:b/>
          <w:bCs/>
          <w:color w:val="000000"/>
          <w:szCs w:val="24"/>
        </w:rPr>
        <w:t>INWESTYCJA:</w:t>
      </w:r>
      <w:r w:rsidRPr="008F589B">
        <w:rPr>
          <w:rFonts w:ascii="Verdana" w:eastAsia="Times New Roman" w:hAnsi="Verdana"/>
          <w:color w:val="000000"/>
          <w:szCs w:val="24"/>
        </w:rPr>
        <w:t xml:space="preserve"> CENTRA AKTYWNOŚCI SPOŁECZNO-OBYWATELSKIEJ WZMACNIAJĄCE</w:t>
      </w:r>
      <w:r w:rsidR="008F589B">
        <w:rPr>
          <w:rFonts w:ascii="Verdana" w:eastAsia="Times New Roman" w:hAnsi="Verdana"/>
          <w:color w:val="000000"/>
          <w:szCs w:val="24"/>
        </w:rPr>
        <w:t xml:space="preserve"> ODPORNOŚĆ I SPÓJNOŚĆ SPOŁECZNĄ</w:t>
      </w:r>
    </w:p>
    <w:p w14:paraId="149F5367" w14:textId="77777777" w:rsidR="008F589B" w:rsidRPr="008F589B" w:rsidRDefault="008F589B" w:rsidP="008F589B">
      <w:pPr>
        <w:spacing w:line="360" w:lineRule="auto"/>
        <w:jc w:val="both"/>
        <w:rPr>
          <w:rFonts w:ascii="Verdana" w:eastAsia="Times New Roman" w:hAnsi="Verdana"/>
          <w:color w:val="000000"/>
          <w:szCs w:val="24"/>
        </w:rPr>
      </w:pPr>
    </w:p>
    <w:p w14:paraId="35F74C90" w14:textId="77777777" w:rsidR="00E13817" w:rsidRPr="008F589B" w:rsidRDefault="00E13817" w:rsidP="008F589B">
      <w:pPr>
        <w:spacing w:line="360" w:lineRule="auto"/>
        <w:jc w:val="both"/>
        <w:rPr>
          <w:rFonts w:ascii="Verdana" w:hAnsi="Verdana"/>
          <w:szCs w:val="24"/>
        </w:rPr>
      </w:pPr>
      <w:r w:rsidRPr="008F589B">
        <w:rPr>
          <w:rFonts w:ascii="Verdana" w:eastAsia="Times New Roman" w:hAnsi="Verdana"/>
          <w:color w:val="000000"/>
          <w:szCs w:val="24"/>
        </w:rPr>
        <w:t>Wolontariusze i organizacje pozarządowe jako pierwsi zaczęli docierać do potrzebujących i do dziś pełnią funkcję uzupełniającą względem wsparcia kierowanego przez państwo (pomoc żywnościowa, społeczne szycie maseczek, pomoc sąsiedzka/seniorom/kom, pomoc dla szpitali i inne) </w:t>
      </w:r>
    </w:p>
    <w:p w14:paraId="6B40FA0A" w14:textId="77777777" w:rsidR="00E13817" w:rsidRPr="008F589B" w:rsidRDefault="00E13817" w:rsidP="008F589B">
      <w:pPr>
        <w:spacing w:line="360" w:lineRule="auto"/>
        <w:jc w:val="both"/>
        <w:rPr>
          <w:rFonts w:ascii="Verdana" w:hAnsi="Verdana"/>
          <w:szCs w:val="24"/>
        </w:rPr>
      </w:pPr>
      <w:r w:rsidRPr="008F589B">
        <w:rPr>
          <w:rFonts w:ascii="Verdana" w:eastAsia="Times New Roman" w:hAnsi="Verdana"/>
          <w:color w:val="000000"/>
          <w:szCs w:val="24"/>
        </w:rPr>
        <w:t>Centra aktywności społeczno-obywatelskiej prowadzone przez organizacje pozarządowe, to:</w:t>
      </w:r>
    </w:p>
    <w:p w14:paraId="3D68A950" w14:textId="77777777" w:rsidR="002B2525" w:rsidRPr="008F589B" w:rsidRDefault="00E13817" w:rsidP="008F589B">
      <w:pPr>
        <w:pStyle w:val="Akapitzlist"/>
        <w:numPr>
          <w:ilvl w:val="0"/>
          <w:numId w:val="26"/>
        </w:numPr>
        <w:spacing w:after="0" w:line="360" w:lineRule="auto"/>
        <w:jc w:val="both"/>
        <w:rPr>
          <w:rFonts w:ascii="Verdana" w:hAnsi="Verdana"/>
          <w:sz w:val="24"/>
          <w:szCs w:val="24"/>
        </w:rPr>
      </w:pPr>
      <w:r w:rsidRPr="008F589B">
        <w:rPr>
          <w:rFonts w:ascii="Verdana" w:eastAsia="Times New Roman" w:hAnsi="Verdana"/>
          <w:color w:val="000000"/>
          <w:sz w:val="24"/>
          <w:szCs w:val="24"/>
        </w:rPr>
        <w:t>gwarancja spójności i odporności społecznej; </w:t>
      </w:r>
    </w:p>
    <w:p w14:paraId="07EF7E38" w14:textId="77777777" w:rsidR="002B2525" w:rsidRPr="008F589B" w:rsidRDefault="00E13817" w:rsidP="008F589B">
      <w:pPr>
        <w:pStyle w:val="Akapitzlist"/>
        <w:numPr>
          <w:ilvl w:val="0"/>
          <w:numId w:val="26"/>
        </w:numPr>
        <w:spacing w:after="0" w:line="360" w:lineRule="auto"/>
        <w:jc w:val="both"/>
        <w:rPr>
          <w:rFonts w:ascii="Verdana" w:hAnsi="Verdana"/>
          <w:sz w:val="24"/>
          <w:szCs w:val="24"/>
        </w:rPr>
      </w:pPr>
      <w:r w:rsidRPr="008F589B">
        <w:rPr>
          <w:rFonts w:ascii="Verdana" w:eastAsia="Times New Roman" w:hAnsi="Verdana"/>
          <w:color w:val="000000"/>
          <w:sz w:val="24"/>
          <w:szCs w:val="24"/>
        </w:rPr>
        <w:t>niezależne ośrodki diagnozy społecznej, mediacji, negocjacji, rzecznictwa, dialogu obywatelskiego; </w:t>
      </w:r>
    </w:p>
    <w:p w14:paraId="09B1CB59" w14:textId="77777777" w:rsidR="002B2525" w:rsidRPr="008F589B" w:rsidRDefault="00E13817" w:rsidP="008F589B">
      <w:pPr>
        <w:pStyle w:val="Akapitzlist"/>
        <w:numPr>
          <w:ilvl w:val="0"/>
          <w:numId w:val="26"/>
        </w:numPr>
        <w:spacing w:after="0" w:line="360" w:lineRule="auto"/>
        <w:jc w:val="both"/>
        <w:rPr>
          <w:rFonts w:ascii="Verdana" w:hAnsi="Verdana"/>
          <w:sz w:val="24"/>
          <w:szCs w:val="24"/>
        </w:rPr>
      </w:pPr>
      <w:r w:rsidRPr="008F589B">
        <w:rPr>
          <w:rFonts w:ascii="Verdana" w:eastAsia="Times New Roman" w:hAnsi="Verdana"/>
          <w:color w:val="000000"/>
          <w:sz w:val="24"/>
          <w:szCs w:val="24"/>
        </w:rPr>
        <w:t>miejsca mobilizacji potencjału ludzkiego i wolontariatu wokół lokalnych, ponadlokalnych, regionalnych, krajowych i globalnych wyzwań;</w:t>
      </w:r>
    </w:p>
    <w:p w14:paraId="3914D318" w14:textId="181E2A36" w:rsidR="00E13817" w:rsidRPr="008F589B" w:rsidRDefault="00E13817" w:rsidP="008F589B">
      <w:pPr>
        <w:pStyle w:val="Akapitzlist"/>
        <w:numPr>
          <w:ilvl w:val="0"/>
          <w:numId w:val="26"/>
        </w:numPr>
        <w:spacing w:after="0" w:line="360" w:lineRule="auto"/>
        <w:jc w:val="both"/>
        <w:rPr>
          <w:rFonts w:ascii="Verdana" w:hAnsi="Verdana"/>
          <w:sz w:val="24"/>
          <w:szCs w:val="24"/>
        </w:rPr>
      </w:pPr>
      <w:r w:rsidRPr="008F589B">
        <w:rPr>
          <w:rFonts w:ascii="Verdana" w:eastAsia="Times New Roman" w:hAnsi="Verdana"/>
          <w:color w:val="000000"/>
          <w:sz w:val="24"/>
          <w:szCs w:val="24"/>
        </w:rPr>
        <w:t>ośrodki reagowania i interwencji oraz eduk</w:t>
      </w:r>
      <w:r w:rsidR="008F589B">
        <w:rPr>
          <w:rFonts w:ascii="Verdana" w:eastAsia="Times New Roman" w:hAnsi="Verdana"/>
          <w:color w:val="000000"/>
          <w:sz w:val="24"/>
          <w:szCs w:val="24"/>
        </w:rPr>
        <w:t>acji społeczności do aktywności;</w:t>
      </w:r>
    </w:p>
    <w:p w14:paraId="6EF31E6D" w14:textId="21C246E1" w:rsidR="00E13817" w:rsidRPr="008F589B" w:rsidRDefault="00E13817" w:rsidP="008F589B">
      <w:pPr>
        <w:pStyle w:val="Akapitzlist"/>
        <w:numPr>
          <w:ilvl w:val="0"/>
          <w:numId w:val="26"/>
        </w:numPr>
        <w:spacing w:after="0" w:line="360" w:lineRule="auto"/>
        <w:jc w:val="both"/>
        <w:rPr>
          <w:rFonts w:ascii="Verdana" w:hAnsi="Verdana"/>
          <w:sz w:val="24"/>
          <w:szCs w:val="24"/>
        </w:rPr>
      </w:pPr>
      <w:r w:rsidRPr="008F589B">
        <w:rPr>
          <w:rFonts w:ascii="Verdana" w:eastAsia="Times New Roman" w:hAnsi="Verdana"/>
          <w:color w:val="000000"/>
          <w:sz w:val="24"/>
          <w:szCs w:val="24"/>
        </w:rPr>
        <w:t>źródło informacji i kontaktów dla obywateli/lek;</w:t>
      </w:r>
    </w:p>
    <w:p w14:paraId="7FE32C36" w14:textId="36A16CB2" w:rsidR="00E13817" w:rsidRPr="008F589B" w:rsidRDefault="00E13817" w:rsidP="008F589B">
      <w:pPr>
        <w:pStyle w:val="Akapitzlist"/>
        <w:numPr>
          <w:ilvl w:val="0"/>
          <w:numId w:val="26"/>
        </w:numPr>
        <w:spacing w:after="0" w:line="360" w:lineRule="auto"/>
        <w:jc w:val="both"/>
        <w:rPr>
          <w:rFonts w:ascii="Verdana" w:hAnsi="Verdana"/>
          <w:sz w:val="24"/>
          <w:szCs w:val="24"/>
        </w:rPr>
      </w:pPr>
      <w:r w:rsidRPr="008F589B">
        <w:rPr>
          <w:rFonts w:ascii="Verdana" w:eastAsia="Times New Roman" w:hAnsi="Verdana"/>
          <w:color w:val="000000"/>
          <w:sz w:val="24"/>
          <w:szCs w:val="24"/>
        </w:rPr>
        <w:t>źródło więzi społecznych.</w:t>
      </w:r>
    </w:p>
    <w:p w14:paraId="4924141E" w14:textId="77777777" w:rsidR="00E13817" w:rsidRPr="008F589B" w:rsidRDefault="00E13817" w:rsidP="008F589B">
      <w:pPr>
        <w:spacing w:line="360" w:lineRule="auto"/>
        <w:jc w:val="both"/>
        <w:rPr>
          <w:rFonts w:ascii="Verdana" w:hAnsi="Verdana"/>
          <w:szCs w:val="24"/>
        </w:rPr>
      </w:pPr>
      <w:r w:rsidRPr="008F589B">
        <w:rPr>
          <w:rFonts w:ascii="Verdana" w:eastAsia="Times New Roman" w:hAnsi="Verdana"/>
          <w:color w:val="000000"/>
          <w:szCs w:val="24"/>
        </w:rPr>
        <w:t>Realizacja zasady partnerstwa:</w:t>
      </w:r>
    </w:p>
    <w:p w14:paraId="0824B086" w14:textId="6D135345" w:rsidR="00E13817" w:rsidRPr="008F589B" w:rsidRDefault="00E13817" w:rsidP="008F589B">
      <w:pPr>
        <w:pStyle w:val="Akapitzlist"/>
        <w:numPr>
          <w:ilvl w:val="0"/>
          <w:numId w:val="28"/>
        </w:numPr>
        <w:spacing w:after="0" w:line="360" w:lineRule="auto"/>
        <w:jc w:val="both"/>
        <w:rPr>
          <w:rFonts w:ascii="Verdana" w:hAnsi="Verdana"/>
          <w:sz w:val="24"/>
          <w:szCs w:val="24"/>
        </w:rPr>
      </w:pPr>
      <w:r w:rsidRPr="008F589B">
        <w:rPr>
          <w:rFonts w:ascii="Verdana" w:eastAsia="Times New Roman" w:hAnsi="Verdana"/>
          <w:color w:val="000000"/>
          <w:sz w:val="24"/>
          <w:szCs w:val="24"/>
        </w:rPr>
        <w:t>udział partnerów reprezentujących społeczeństwo obywatelskie na każdym etapie (programowanie, realizacja, ewalu</w:t>
      </w:r>
      <w:r w:rsidR="008F589B">
        <w:rPr>
          <w:rFonts w:ascii="Verdana" w:eastAsia="Times New Roman" w:hAnsi="Verdana"/>
          <w:color w:val="000000"/>
          <w:sz w:val="24"/>
          <w:szCs w:val="24"/>
        </w:rPr>
        <w:t>acja);</w:t>
      </w:r>
    </w:p>
    <w:p w14:paraId="0294AE32" w14:textId="14506A1F" w:rsidR="00E13817" w:rsidRPr="008F589B" w:rsidRDefault="00E13817" w:rsidP="008F589B">
      <w:pPr>
        <w:pStyle w:val="Akapitzlist"/>
        <w:numPr>
          <w:ilvl w:val="0"/>
          <w:numId w:val="28"/>
        </w:numPr>
        <w:spacing w:after="0" w:line="360" w:lineRule="auto"/>
        <w:jc w:val="both"/>
        <w:rPr>
          <w:rFonts w:ascii="Verdana" w:hAnsi="Verdana"/>
          <w:sz w:val="24"/>
          <w:szCs w:val="24"/>
        </w:rPr>
      </w:pPr>
      <w:r w:rsidRPr="008F589B">
        <w:rPr>
          <w:rFonts w:ascii="Verdana" w:eastAsia="Times New Roman" w:hAnsi="Verdana"/>
          <w:color w:val="000000"/>
          <w:sz w:val="24"/>
          <w:szCs w:val="24"/>
        </w:rPr>
        <w:t>właśc</w:t>
      </w:r>
      <w:r w:rsidR="008F589B">
        <w:rPr>
          <w:rFonts w:ascii="Verdana" w:eastAsia="Times New Roman" w:hAnsi="Verdana"/>
          <w:color w:val="000000"/>
          <w:sz w:val="24"/>
          <w:szCs w:val="24"/>
        </w:rPr>
        <w:t>iwa reprezentatywność partnerów;</w:t>
      </w:r>
    </w:p>
    <w:p w14:paraId="1CEB5968" w14:textId="2AB5C6C1" w:rsidR="00E13817" w:rsidRPr="008F589B" w:rsidRDefault="00E13817" w:rsidP="008F589B">
      <w:pPr>
        <w:pStyle w:val="Akapitzlist"/>
        <w:numPr>
          <w:ilvl w:val="0"/>
          <w:numId w:val="28"/>
        </w:numPr>
        <w:spacing w:after="0" w:line="360" w:lineRule="auto"/>
        <w:jc w:val="both"/>
        <w:rPr>
          <w:rFonts w:ascii="Verdana" w:hAnsi="Verdana"/>
          <w:sz w:val="24"/>
          <w:szCs w:val="24"/>
        </w:rPr>
      </w:pPr>
      <w:r w:rsidRPr="008F589B">
        <w:rPr>
          <w:rFonts w:ascii="Verdana" w:eastAsia="Times New Roman" w:hAnsi="Verdana"/>
          <w:color w:val="000000"/>
          <w:sz w:val="24"/>
          <w:szCs w:val="24"/>
        </w:rPr>
        <w:t>transparentne zasady udziału naszych przedstawicieli do KM</w:t>
      </w:r>
    </w:p>
    <w:p w14:paraId="111A26F2" w14:textId="77777777" w:rsidR="002B2525" w:rsidRPr="008F589B" w:rsidRDefault="002B2525" w:rsidP="008F589B">
      <w:pPr>
        <w:spacing w:line="360" w:lineRule="auto"/>
        <w:rPr>
          <w:rFonts w:ascii="Verdana" w:eastAsia="Times New Roman" w:hAnsi="Verdana"/>
          <w:szCs w:val="24"/>
        </w:rPr>
      </w:pPr>
      <w:r w:rsidRPr="008F589B">
        <w:rPr>
          <w:rFonts w:ascii="Verdana" w:eastAsia="Times New Roman" w:hAnsi="Verdana"/>
          <w:szCs w:val="24"/>
        </w:rPr>
        <w:br w:type="page"/>
      </w:r>
    </w:p>
    <w:p w14:paraId="0546806C" w14:textId="390BB48C" w:rsidR="00E13817" w:rsidRPr="008F589B" w:rsidRDefault="00E13817" w:rsidP="008F589B">
      <w:pPr>
        <w:spacing w:line="360" w:lineRule="auto"/>
        <w:jc w:val="both"/>
        <w:rPr>
          <w:rFonts w:ascii="Verdana" w:hAnsi="Verdana"/>
          <w:szCs w:val="24"/>
        </w:rPr>
      </w:pPr>
      <w:r w:rsidRPr="008F589B">
        <w:rPr>
          <w:rFonts w:ascii="Verdana" w:eastAsia="Times New Roman" w:hAnsi="Verdana"/>
          <w:b/>
          <w:bCs/>
          <w:color w:val="000000"/>
          <w:szCs w:val="24"/>
        </w:rPr>
        <w:lastRenderedPageBreak/>
        <w:t>D/ POSTULATY ZMIAN W ISTNIEJĄCYCH KOMPONENTACH:</w:t>
      </w:r>
    </w:p>
    <w:p w14:paraId="7CB95392" w14:textId="77777777" w:rsidR="00E13817" w:rsidRPr="008F589B" w:rsidRDefault="00E13817" w:rsidP="008F589B">
      <w:pPr>
        <w:spacing w:line="360" w:lineRule="auto"/>
        <w:jc w:val="both"/>
        <w:rPr>
          <w:rFonts w:ascii="Verdana" w:hAnsi="Verdana"/>
          <w:szCs w:val="24"/>
        </w:rPr>
      </w:pPr>
      <w:r w:rsidRPr="008F589B">
        <w:rPr>
          <w:rFonts w:ascii="Verdana" w:eastAsia="Times New Roman" w:hAnsi="Verdana"/>
          <w:color w:val="000000"/>
          <w:szCs w:val="24"/>
        </w:rPr>
        <w:t> </w:t>
      </w:r>
    </w:p>
    <w:p w14:paraId="6CC80BE9" w14:textId="77777777" w:rsidR="00E13817" w:rsidRPr="008F589B" w:rsidRDefault="00E13817" w:rsidP="008F589B">
      <w:pPr>
        <w:spacing w:line="360" w:lineRule="auto"/>
        <w:jc w:val="both"/>
        <w:rPr>
          <w:rFonts w:ascii="Verdana" w:hAnsi="Verdana"/>
          <w:szCs w:val="24"/>
        </w:rPr>
      </w:pPr>
      <w:r w:rsidRPr="008F589B">
        <w:rPr>
          <w:rFonts w:ascii="Verdana" w:eastAsia="Times New Roman" w:hAnsi="Verdana"/>
          <w:b/>
          <w:bCs/>
          <w:color w:val="000000"/>
          <w:szCs w:val="24"/>
        </w:rPr>
        <w:t>KOMPONENT A „ODPORNOŚĆ I KONKURENCYJNOŚĆ GOSPODARKI”</w:t>
      </w:r>
    </w:p>
    <w:p w14:paraId="517DDDDC" w14:textId="77777777" w:rsidR="00E13817" w:rsidRPr="008F589B" w:rsidRDefault="00E13817" w:rsidP="008F589B">
      <w:pPr>
        <w:spacing w:line="360" w:lineRule="auto"/>
        <w:jc w:val="both"/>
        <w:rPr>
          <w:rFonts w:ascii="Verdana" w:eastAsia="Times New Roman" w:hAnsi="Verdana"/>
          <w:b/>
          <w:bCs/>
          <w:color w:val="000000"/>
          <w:szCs w:val="24"/>
        </w:rPr>
      </w:pPr>
    </w:p>
    <w:p w14:paraId="64B51045" w14:textId="77777777" w:rsidR="00E13817" w:rsidRPr="008F589B" w:rsidRDefault="00E13817" w:rsidP="008F589B">
      <w:pPr>
        <w:spacing w:line="360" w:lineRule="auto"/>
        <w:jc w:val="both"/>
        <w:rPr>
          <w:rFonts w:ascii="Verdana" w:eastAsia="Times New Roman" w:hAnsi="Verdana"/>
          <w:b/>
          <w:bCs/>
          <w:color w:val="000000"/>
          <w:szCs w:val="24"/>
        </w:rPr>
      </w:pPr>
      <w:r w:rsidRPr="008F589B">
        <w:rPr>
          <w:rFonts w:ascii="Verdana" w:eastAsia="Times New Roman" w:hAnsi="Verdana"/>
          <w:b/>
          <w:bCs/>
          <w:color w:val="000000"/>
          <w:szCs w:val="24"/>
        </w:rPr>
        <w:t>1. POSZERZENIE ZAKRESU ODDZIAŁYWANIA INWESTYCJI A.4.1.1. INWESTYCJE WSPIERAJĄCE REFORMĘ INSTYTUCJI RYNKU PRACY ORAZ ROZWÓJ EKONOMII SPOŁECZNEJ W ZAKRESIE SKALI ODDZIAŁYWANIA EKONOMII SPOŁECZNEJ I ZMIANY DEFINICJI PRZEDSIĘBIORSTWA SPOŁECZNEGO</w:t>
      </w:r>
    </w:p>
    <w:p w14:paraId="113E0E9F" w14:textId="77777777" w:rsidR="00E13817" w:rsidRPr="008F589B" w:rsidRDefault="00E13817" w:rsidP="008F589B">
      <w:pPr>
        <w:spacing w:line="360" w:lineRule="auto"/>
        <w:jc w:val="both"/>
        <w:rPr>
          <w:rFonts w:ascii="Verdana" w:eastAsia="Times New Roman" w:hAnsi="Verdana"/>
          <w:color w:val="000000"/>
          <w:szCs w:val="24"/>
        </w:rPr>
      </w:pPr>
    </w:p>
    <w:p w14:paraId="14C39E4A" w14:textId="15F8462F" w:rsidR="00E13817" w:rsidRPr="008F589B" w:rsidRDefault="00E13817" w:rsidP="008F589B">
      <w:pPr>
        <w:spacing w:line="360" w:lineRule="auto"/>
        <w:jc w:val="both"/>
        <w:rPr>
          <w:rFonts w:ascii="Verdana" w:eastAsia="Times New Roman" w:hAnsi="Verdana"/>
          <w:color w:val="000000"/>
          <w:szCs w:val="24"/>
        </w:rPr>
      </w:pPr>
      <w:r w:rsidRPr="008F589B">
        <w:rPr>
          <w:rFonts w:ascii="Verdana" w:eastAsia="Times New Roman" w:hAnsi="Verdana"/>
          <w:color w:val="000000"/>
          <w:szCs w:val="24"/>
        </w:rPr>
        <w:t>Polska definicja przedsiębiorstwa społecznego jest jedną z najbardziej skomplikowanych w Europie i nie daje równych szans w dostępie do funduszy i rozwoju organizacjom pozarządowym. Działalność odpłatną prowadzi 36% organizacji (ok. 51 tys. zgodnie z danymi KLON/Jawor), gdy na liście przedsiębiorstw społecznych znajduje się tylko 1,5 tys. podmiotów. Inwestycja A.4.1.1 nie przewiduje faktycznej inwestycji w cały sektor ekonomii społecznej, a tylko i wyłącznie</w:t>
      </w:r>
      <w:r w:rsidR="002B2525" w:rsidRPr="008F589B">
        <w:rPr>
          <w:rFonts w:ascii="Verdana" w:eastAsia="Times New Roman" w:hAnsi="Verdana"/>
          <w:color w:val="000000"/>
          <w:szCs w:val="24"/>
        </w:rPr>
        <w:t xml:space="preserve"> w przedsiębiorstwa społeczne i </w:t>
      </w:r>
      <w:r w:rsidRPr="008F589B">
        <w:rPr>
          <w:rFonts w:ascii="Verdana" w:eastAsia="Times New Roman" w:hAnsi="Verdana"/>
          <w:color w:val="000000"/>
          <w:szCs w:val="24"/>
        </w:rPr>
        <w:t>spółdzielnie socjalne, co nie tworzy równych szans rozwoju wszystkim podmiotom ekonomii społecznej a wręcz wyklucza znaczną jego część ze wsparcia. Przeregulowanie definicji nie sprzyja utrzymaniu się przedsiębiorstw społecznych na rynku i może pogłębić wykluczenie pracowników a nie ich reintegrację, tymczasem to ekonomia społeczna może być alternatywą zatrudnienia dla osób tracących pracę w wyniku kryzysu. </w:t>
      </w:r>
    </w:p>
    <w:p w14:paraId="2F9C3D06" w14:textId="77777777" w:rsidR="00E13817" w:rsidRPr="008F589B" w:rsidRDefault="00E13817" w:rsidP="008F589B">
      <w:pPr>
        <w:spacing w:line="360" w:lineRule="auto"/>
        <w:jc w:val="both"/>
        <w:rPr>
          <w:rFonts w:ascii="Verdana" w:hAnsi="Verdana"/>
          <w:szCs w:val="24"/>
        </w:rPr>
      </w:pPr>
    </w:p>
    <w:p w14:paraId="17DDD53E" w14:textId="77777777" w:rsidR="00E13817" w:rsidRPr="008F589B" w:rsidRDefault="00E13817" w:rsidP="008F589B">
      <w:pPr>
        <w:spacing w:line="360" w:lineRule="auto"/>
        <w:jc w:val="both"/>
        <w:rPr>
          <w:rFonts w:ascii="Verdana" w:eastAsia="Times New Roman" w:hAnsi="Verdana"/>
          <w:b/>
          <w:bCs/>
          <w:color w:val="000000"/>
          <w:szCs w:val="24"/>
        </w:rPr>
      </w:pPr>
      <w:r w:rsidRPr="008F589B">
        <w:rPr>
          <w:rFonts w:ascii="Verdana" w:eastAsia="Times New Roman" w:hAnsi="Verdana"/>
          <w:b/>
          <w:bCs/>
          <w:color w:val="000000"/>
          <w:szCs w:val="24"/>
        </w:rPr>
        <w:t>2. DODANIE REFORMY A5 WZMOCNIENIE KOBIET W PEŁNIENIU RÓL ZAWODOWYCH I SPOŁECZNYCH I INWESTYCJI: A5.1 ROZWÓJ SIATKI USŁUG SPOŁECZNYCH POZWALAJĄCYCH NA POWRÓT NA RYNEK PRACY I UTRZYMANIE SIĘ NA NIM</w:t>
      </w:r>
    </w:p>
    <w:p w14:paraId="344A58A2" w14:textId="77777777" w:rsidR="00E13817" w:rsidRPr="008F589B" w:rsidRDefault="00E13817" w:rsidP="008F589B">
      <w:pPr>
        <w:spacing w:line="360" w:lineRule="auto"/>
        <w:jc w:val="both"/>
        <w:rPr>
          <w:rFonts w:ascii="Verdana" w:hAnsi="Verdana"/>
          <w:szCs w:val="24"/>
        </w:rPr>
      </w:pPr>
    </w:p>
    <w:p w14:paraId="2336FFAB" w14:textId="3C0CF11E" w:rsidR="00E13817" w:rsidRPr="008F589B" w:rsidRDefault="00E13817" w:rsidP="008F589B">
      <w:pPr>
        <w:spacing w:line="360" w:lineRule="auto"/>
        <w:jc w:val="both"/>
        <w:rPr>
          <w:rFonts w:ascii="Verdana" w:eastAsia="Times New Roman" w:hAnsi="Verdana"/>
          <w:color w:val="000000"/>
          <w:szCs w:val="24"/>
        </w:rPr>
      </w:pPr>
      <w:r w:rsidRPr="008F589B">
        <w:rPr>
          <w:rFonts w:ascii="Verdana" w:eastAsia="Times New Roman" w:hAnsi="Verdana"/>
          <w:color w:val="000000"/>
          <w:szCs w:val="24"/>
        </w:rPr>
        <w:t>W czasach pandemii to kobiety najsi</w:t>
      </w:r>
      <w:r w:rsidR="002B2525" w:rsidRPr="008F589B">
        <w:rPr>
          <w:rFonts w:ascii="Verdana" w:eastAsia="Times New Roman" w:hAnsi="Verdana"/>
          <w:color w:val="000000"/>
          <w:szCs w:val="24"/>
        </w:rPr>
        <w:t>lniej odczuły kryzys związany z </w:t>
      </w:r>
      <w:r w:rsidRPr="008F589B">
        <w:rPr>
          <w:rFonts w:ascii="Verdana" w:eastAsia="Times New Roman" w:hAnsi="Verdana"/>
          <w:color w:val="000000"/>
          <w:szCs w:val="24"/>
        </w:rPr>
        <w:t xml:space="preserve">załamaniem się systemu edukacji i przejęły funkcje opiekuńcze nad dziećmi, </w:t>
      </w:r>
      <w:r w:rsidRPr="008F589B">
        <w:rPr>
          <w:rFonts w:ascii="Verdana" w:eastAsia="Times New Roman" w:hAnsi="Verdana"/>
          <w:color w:val="000000"/>
          <w:szCs w:val="24"/>
        </w:rPr>
        <w:lastRenderedPageBreak/>
        <w:t xml:space="preserve">osłabiając jednocześnie swoją pozycję na rynku pracy. To kobiety są także grupą, która opiekuje się rodzicami czy osobami zależnymi. </w:t>
      </w:r>
    </w:p>
    <w:p w14:paraId="0FFAFB2C" w14:textId="77777777" w:rsidR="00E13817" w:rsidRPr="008F589B" w:rsidRDefault="00E13817" w:rsidP="008F589B">
      <w:pPr>
        <w:spacing w:line="360" w:lineRule="auto"/>
        <w:jc w:val="both"/>
        <w:rPr>
          <w:rFonts w:ascii="Verdana" w:hAnsi="Verdana"/>
          <w:szCs w:val="24"/>
        </w:rPr>
      </w:pPr>
      <w:r w:rsidRPr="008F589B">
        <w:rPr>
          <w:rFonts w:ascii="Verdana" w:eastAsia="Times New Roman" w:hAnsi="Verdana"/>
          <w:color w:val="000000"/>
          <w:szCs w:val="24"/>
        </w:rPr>
        <w:t>Dlatego postulujemy: </w:t>
      </w:r>
    </w:p>
    <w:p w14:paraId="2A82755E" w14:textId="0121BDB6" w:rsidR="00E13817" w:rsidRPr="008F589B" w:rsidRDefault="00E13817" w:rsidP="008F589B">
      <w:pPr>
        <w:pStyle w:val="Akapitzlist"/>
        <w:numPr>
          <w:ilvl w:val="0"/>
          <w:numId w:val="29"/>
        </w:numPr>
        <w:spacing w:after="0" w:line="360" w:lineRule="auto"/>
        <w:jc w:val="both"/>
        <w:rPr>
          <w:rFonts w:ascii="Verdana" w:hAnsi="Verdana"/>
          <w:sz w:val="24"/>
          <w:szCs w:val="24"/>
        </w:rPr>
      </w:pPr>
      <w:r w:rsidRPr="008F589B">
        <w:rPr>
          <w:rFonts w:ascii="Verdana" w:eastAsia="Times New Roman" w:hAnsi="Verdana"/>
          <w:color w:val="000000"/>
          <w:sz w:val="24"/>
          <w:szCs w:val="24"/>
        </w:rPr>
        <w:t>Rozwój alternatywnych do szkoły i rodziny form opieki nad dziećmi powyżej 3 roku życia w tym rozwój świetlic środowiskowych</w:t>
      </w:r>
    </w:p>
    <w:p w14:paraId="69DD5B55" w14:textId="7AD8C7F5" w:rsidR="00E13817" w:rsidRPr="008F589B" w:rsidRDefault="00E13817" w:rsidP="008F589B">
      <w:pPr>
        <w:pStyle w:val="Akapitzlist"/>
        <w:numPr>
          <w:ilvl w:val="0"/>
          <w:numId w:val="29"/>
        </w:numPr>
        <w:spacing w:after="0" w:line="360" w:lineRule="auto"/>
        <w:jc w:val="both"/>
        <w:rPr>
          <w:rFonts w:ascii="Verdana" w:hAnsi="Verdana"/>
          <w:sz w:val="24"/>
          <w:szCs w:val="24"/>
        </w:rPr>
      </w:pPr>
      <w:r w:rsidRPr="008F589B">
        <w:rPr>
          <w:rFonts w:ascii="Verdana" w:eastAsia="Times New Roman" w:hAnsi="Verdana"/>
          <w:color w:val="000000"/>
          <w:sz w:val="24"/>
          <w:szCs w:val="24"/>
        </w:rPr>
        <w:t>Rozwój alternatywnych form szkolnictwa i e</w:t>
      </w:r>
      <w:r w:rsidR="002B2525" w:rsidRPr="008F589B">
        <w:rPr>
          <w:rFonts w:ascii="Verdana" w:eastAsia="Times New Roman" w:hAnsi="Verdana"/>
          <w:color w:val="000000"/>
          <w:sz w:val="24"/>
          <w:szCs w:val="24"/>
        </w:rPr>
        <w:t>dukacji</w:t>
      </w:r>
    </w:p>
    <w:p w14:paraId="6C05B0F4" w14:textId="1F4E488C" w:rsidR="00E13817" w:rsidRPr="008F589B" w:rsidRDefault="00E13817" w:rsidP="008F589B">
      <w:pPr>
        <w:pStyle w:val="Akapitzlist"/>
        <w:numPr>
          <w:ilvl w:val="0"/>
          <w:numId w:val="29"/>
        </w:numPr>
        <w:spacing w:after="0" w:line="360" w:lineRule="auto"/>
        <w:jc w:val="both"/>
        <w:rPr>
          <w:rFonts w:ascii="Verdana" w:hAnsi="Verdana"/>
          <w:sz w:val="24"/>
          <w:szCs w:val="24"/>
        </w:rPr>
      </w:pPr>
      <w:r w:rsidRPr="008F589B">
        <w:rPr>
          <w:rFonts w:ascii="Verdana" w:eastAsia="Times New Roman" w:hAnsi="Verdana"/>
          <w:color w:val="000000"/>
          <w:sz w:val="24"/>
          <w:szCs w:val="24"/>
        </w:rPr>
        <w:t>Rozwój środowiskowych usług opiekuńczych i towarzyszących dla osób starszych </w:t>
      </w:r>
    </w:p>
    <w:p w14:paraId="3162821E" w14:textId="39CE6F6F" w:rsidR="00E13817" w:rsidRPr="008F589B" w:rsidRDefault="00E13817" w:rsidP="008F589B">
      <w:pPr>
        <w:pStyle w:val="Akapitzlist"/>
        <w:numPr>
          <w:ilvl w:val="0"/>
          <w:numId w:val="29"/>
        </w:numPr>
        <w:spacing w:after="0" w:line="360" w:lineRule="auto"/>
        <w:jc w:val="both"/>
        <w:rPr>
          <w:rFonts w:ascii="Verdana" w:hAnsi="Verdana"/>
          <w:sz w:val="24"/>
          <w:szCs w:val="24"/>
        </w:rPr>
      </w:pPr>
      <w:r w:rsidRPr="008F589B">
        <w:rPr>
          <w:rFonts w:ascii="Verdana" w:eastAsia="Times New Roman" w:hAnsi="Verdana"/>
          <w:color w:val="000000"/>
          <w:sz w:val="24"/>
          <w:szCs w:val="24"/>
        </w:rPr>
        <w:t xml:space="preserve">Wprowadzanie kultury </w:t>
      </w:r>
      <w:proofErr w:type="spellStart"/>
      <w:r w:rsidRPr="008F589B">
        <w:rPr>
          <w:rFonts w:ascii="Verdana" w:eastAsia="Times New Roman" w:hAnsi="Verdana"/>
          <w:color w:val="000000"/>
          <w:sz w:val="24"/>
          <w:szCs w:val="24"/>
        </w:rPr>
        <w:t>gender</w:t>
      </w:r>
      <w:proofErr w:type="spellEnd"/>
      <w:r w:rsidRPr="008F589B">
        <w:rPr>
          <w:rFonts w:ascii="Verdana" w:eastAsia="Times New Roman" w:hAnsi="Verdana"/>
          <w:color w:val="000000"/>
          <w:sz w:val="24"/>
          <w:szCs w:val="24"/>
        </w:rPr>
        <w:t xml:space="preserve"> </w:t>
      </w:r>
      <w:proofErr w:type="spellStart"/>
      <w:r w:rsidRPr="008F589B">
        <w:rPr>
          <w:rFonts w:ascii="Verdana" w:eastAsia="Times New Roman" w:hAnsi="Verdana"/>
          <w:color w:val="000000"/>
          <w:sz w:val="24"/>
          <w:szCs w:val="24"/>
        </w:rPr>
        <w:t>balance</w:t>
      </w:r>
      <w:proofErr w:type="spellEnd"/>
      <w:r w:rsidRPr="008F589B">
        <w:rPr>
          <w:rFonts w:ascii="Verdana" w:eastAsia="Times New Roman" w:hAnsi="Verdana"/>
          <w:color w:val="000000"/>
          <w:sz w:val="24"/>
          <w:szCs w:val="24"/>
        </w:rPr>
        <w:t xml:space="preserve"> w administracji, przedsiębiorstwach i organizacjach społeczeństwa obywatelskiego m.in. na poziomie podejmowania decyzji i płac.</w:t>
      </w:r>
    </w:p>
    <w:p w14:paraId="2B268DF2" w14:textId="77777777" w:rsidR="00E13817" w:rsidRPr="008F589B" w:rsidRDefault="00E13817" w:rsidP="008F589B">
      <w:pPr>
        <w:spacing w:line="360" w:lineRule="auto"/>
        <w:jc w:val="both"/>
        <w:rPr>
          <w:rFonts w:ascii="Verdana" w:eastAsia="Times New Roman" w:hAnsi="Verdana"/>
          <w:szCs w:val="24"/>
        </w:rPr>
      </w:pPr>
    </w:p>
    <w:p w14:paraId="0120369D" w14:textId="77777777" w:rsidR="00E13817" w:rsidRPr="008F589B" w:rsidRDefault="00E13817" w:rsidP="008F589B">
      <w:pPr>
        <w:spacing w:line="360" w:lineRule="auto"/>
        <w:jc w:val="both"/>
        <w:rPr>
          <w:rFonts w:ascii="Verdana" w:hAnsi="Verdana"/>
          <w:szCs w:val="24"/>
        </w:rPr>
      </w:pPr>
      <w:r w:rsidRPr="008F589B">
        <w:rPr>
          <w:rFonts w:ascii="Verdana" w:eastAsia="Times New Roman" w:hAnsi="Verdana"/>
          <w:b/>
          <w:bCs/>
          <w:color w:val="000000"/>
          <w:szCs w:val="24"/>
        </w:rPr>
        <w:t>KOMPONENT B ZIELONA ENERGIA I ZMNIEJSZENIE ENERGOCHŁONNOŚCI</w:t>
      </w:r>
    </w:p>
    <w:p w14:paraId="0676BC3B" w14:textId="77777777" w:rsidR="002B2525" w:rsidRPr="008F589B" w:rsidRDefault="002B2525" w:rsidP="008F589B">
      <w:pPr>
        <w:spacing w:line="360" w:lineRule="auto"/>
        <w:jc w:val="both"/>
        <w:rPr>
          <w:rFonts w:ascii="Verdana" w:eastAsia="Times New Roman" w:hAnsi="Verdana"/>
          <w:b/>
          <w:bCs/>
          <w:color w:val="000000"/>
          <w:szCs w:val="24"/>
        </w:rPr>
      </w:pPr>
    </w:p>
    <w:p w14:paraId="4BDBD344" w14:textId="0358F334" w:rsidR="00E13817" w:rsidRPr="008F589B" w:rsidRDefault="00E13817" w:rsidP="008F589B">
      <w:pPr>
        <w:spacing w:line="360" w:lineRule="auto"/>
        <w:jc w:val="both"/>
        <w:rPr>
          <w:rFonts w:ascii="Verdana" w:eastAsia="Times New Roman" w:hAnsi="Verdana"/>
          <w:b/>
          <w:bCs/>
          <w:color w:val="000000"/>
          <w:szCs w:val="24"/>
        </w:rPr>
      </w:pPr>
      <w:r w:rsidRPr="008F589B">
        <w:rPr>
          <w:rFonts w:ascii="Verdana" w:eastAsia="Times New Roman" w:hAnsi="Verdana"/>
          <w:b/>
          <w:bCs/>
          <w:color w:val="000000"/>
          <w:szCs w:val="24"/>
        </w:rPr>
        <w:t>Postulujemy:</w:t>
      </w:r>
    </w:p>
    <w:p w14:paraId="4B44B451" w14:textId="77777777" w:rsidR="00E13817" w:rsidRPr="008F589B" w:rsidRDefault="00E13817" w:rsidP="008F589B">
      <w:pPr>
        <w:spacing w:line="360" w:lineRule="auto"/>
        <w:jc w:val="both"/>
        <w:rPr>
          <w:rFonts w:ascii="Verdana" w:hAnsi="Verdana"/>
          <w:szCs w:val="24"/>
        </w:rPr>
      </w:pPr>
    </w:p>
    <w:p w14:paraId="25C659D9" w14:textId="77777777" w:rsidR="00E13817" w:rsidRPr="008F589B" w:rsidRDefault="00E13817" w:rsidP="008F589B">
      <w:pPr>
        <w:numPr>
          <w:ilvl w:val="0"/>
          <w:numId w:val="9"/>
        </w:numPr>
        <w:suppressAutoHyphens/>
        <w:autoSpaceDN w:val="0"/>
        <w:spacing w:line="360" w:lineRule="auto"/>
        <w:ind w:left="0" w:firstLine="0"/>
        <w:jc w:val="both"/>
        <w:textAlignment w:val="baseline"/>
        <w:rPr>
          <w:rFonts w:ascii="Verdana" w:eastAsia="Times New Roman" w:hAnsi="Verdana"/>
          <w:color w:val="000000"/>
          <w:szCs w:val="24"/>
        </w:rPr>
      </w:pPr>
      <w:r w:rsidRPr="008F589B">
        <w:rPr>
          <w:rFonts w:ascii="Verdana" w:eastAsia="Times New Roman" w:hAnsi="Verdana"/>
          <w:color w:val="000000"/>
          <w:szCs w:val="24"/>
        </w:rPr>
        <w:t>Przeciwdziałanie Ubóstwu energetycznemu.</w:t>
      </w:r>
    </w:p>
    <w:p w14:paraId="4571AC2E" w14:textId="1DC32F0D" w:rsidR="00E13817" w:rsidRPr="008F589B" w:rsidRDefault="00E13817" w:rsidP="008F589B">
      <w:pPr>
        <w:spacing w:line="360" w:lineRule="auto"/>
        <w:jc w:val="both"/>
        <w:rPr>
          <w:rFonts w:ascii="Verdana" w:eastAsia="Times New Roman" w:hAnsi="Verdana"/>
          <w:color w:val="000000"/>
          <w:szCs w:val="24"/>
        </w:rPr>
      </w:pPr>
      <w:r w:rsidRPr="008F589B">
        <w:rPr>
          <w:rFonts w:ascii="Verdana" w:eastAsia="Times New Roman" w:hAnsi="Verdana"/>
          <w:color w:val="000000"/>
          <w:szCs w:val="24"/>
          <w:u w:val="single"/>
        </w:rPr>
        <w:t>Uzasadnienie</w:t>
      </w:r>
      <w:r w:rsidRPr="008F589B">
        <w:rPr>
          <w:rFonts w:ascii="Verdana" w:eastAsia="Times New Roman" w:hAnsi="Verdana"/>
          <w:color w:val="000000"/>
          <w:szCs w:val="24"/>
        </w:rPr>
        <w:t>: Niskie dochody, wysokie koszty energii i niedostateczna efektywność energetyczna budynków to główne przyczyny ubóstwa energetycznego. W Polsce boryka się z tym problemem ok. 10 proc. gospodarstw domowych, czyli 3,35 mln osó</w:t>
      </w:r>
      <w:r w:rsidR="002B2525" w:rsidRPr="008F589B">
        <w:rPr>
          <w:rFonts w:ascii="Verdana" w:eastAsia="Times New Roman" w:hAnsi="Verdana"/>
          <w:color w:val="000000"/>
          <w:szCs w:val="24"/>
        </w:rPr>
        <w:t>b. Największe ryzyko związane z </w:t>
      </w:r>
      <w:r w:rsidRPr="008F589B">
        <w:rPr>
          <w:rFonts w:ascii="Verdana" w:eastAsia="Times New Roman" w:hAnsi="Verdana"/>
          <w:color w:val="000000"/>
          <w:szCs w:val="24"/>
        </w:rPr>
        <w:t>zapewnieniem ciepła dotyczy rodzin zamieszkujących domy jednorodzinne na wsi.</w:t>
      </w:r>
    </w:p>
    <w:p w14:paraId="34E72C17" w14:textId="77777777" w:rsidR="00E13817" w:rsidRPr="008F589B" w:rsidRDefault="00E13817" w:rsidP="008F589B">
      <w:pPr>
        <w:spacing w:line="360" w:lineRule="auto"/>
        <w:jc w:val="both"/>
        <w:rPr>
          <w:rFonts w:ascii="Verdana" w:eastAsia="Times New Roman" w:hAnsi="Verdana"/>
          <w:color w:val="000000"/>
          <w:szCs w:val="24"/>
        </w:rPr>
      </w:pPr>
    </w:p>
    <w:p w14:paraId="23933DDB" w14:textId="347CE728" w:rsidR="00E13817" w:rsidRPr="008F589B" w:rsidRDefault="00E13817" w:rsidP="008F589B">
      <w:pPr>
        <w:pStyle w:val="Akapitzlist"/>
        <w:numPr>
          <w:ilvl w:val="0"/>
          <w:numId w:val="9"/>
        </w:numPr>
        <w:suppressAutoHyphens/>
        <w:autoSpaceDN w:val="0"/>
        <w:spacing w:after="0" w:line="360" w:lineRule="auto"/>
        <w:ind w:left="284"/>
        <w:jc w:val="both"/>
        <w:textAlignment w:val="baseline"/>
        <w:rPr>
          <w:rFonts w:ascii="Verdana" w:eastAsia="Times New Roman" w:hAnsi="Verdana"/>
          <w:color w:val="000000"/>
          <w:sz w:val="24"/>
          <w:szCs w:val="24"/>
          <w:lang w:eastAsia="pl-PL"/>
        </w:rPr>
      </w:pPr>
      <w:r w:rsidRPr="008F589B">
        <w:rPr>
          <w:rFonts w:ascii="Verdana" w:eastAsia="Times New Roman" w:hAnsi="Verdana"/>
          <w:color w:val="000000"/>
          <w:sz w:val="24"/>
          <w:szCs w:val="24"/>
          <w:lang w:eastAsia="pl-PL"/>
        </w:rPr>
        <w:t xml:space="preserve">Znacznie zmniejszenie nakładów dla </w:t>
      </w:r>
      <w:r w:rsidR="002B2525" w:rsidRPr="008F589B">
        <w:rPr>
          <w:rFonts w:ascii="Verdana" w:eastAsia="Times New Roman" w:hAnsi="Verdana"/>
          <w:color w:val="000000"/>
          <w:sz w:val="24"/>
          <w:szCs w:val="24"/>
          <w:lang w:eastAsia="pl-PL"/>
        </w:rPr>
        <w:t>rozwiązań wodorowych z </w:t>
      </w:r>
      <w:r w:rsidRPr="008F589B">
        <w:rPr>
          <w:rFonts w:ascii="Verdana" w:eastAsia="Times New Roman" w:hAnsi="Verdana"/>
          <w:color w:val="000000"/>
          <w:sz w:val="24"/>
          <w:szCs w:val="24"/>
          <w:lang w:eastAsia="pl-PL"/>
        </w:rPr>
        <w:t>jednoczesnym skierowaniem tych środków na badania i rozwój możliwych technologii.</w:t>
      </w:r>
    </w:p>
    <w:p w14:paraId="62B8C9AE" w14:textId="4EC5994F" w:rsidR="00E13817" w:rsidRPr="008F589B" w:rsidRDefault="00E13817" w:rsidP="008F589B">
      <w:pPr>
        <w:spacing w:line="360" w:lineRule="auto"/>
        <w:jc w:val="both"/>
        <w:rPr>
          <w:rFonts w:ascii="Verdana" w:eastAsia="Times New Roman" w:hAnsi="Verdana"/>
          <w:color w:val="000000"/>
          <w:szCs w:val="24"/>
        </w:rPr>
      </w:pPr>
      <w:r w:rsidRPr="008F589B">
        <w:rPr>
          <w:rFonts w:ascii="Verdana" w:eastAsia="Times New Roman" w:hAnsi="Verdana"/>
          <w:color w:val="000000"/>
          <w:szCs w:val="24"/>
          <w:u w:val="single"/>
        </w:rPr>
        <w:t>Uzasadnienie</w:t>
      </w:r>
      <w:r w:rsidRPr="008F589B">
        <w:rPr>
          <w:rFonts w:ascii="Verdana" w:eastAsia="Times New Roman" w:hAnsi="Verdana"/>
          <w:color w:val="000000"/>
          <w:szCs w:val="24"/>
        </w:rPr>
        <w:t xml:space="preserve">: uważamy rozbudowę infrastruktury przesyłowej gazu po płaszczykiem “rozwoju technologii wodorowych” jako bezsensowne z racji braku wiarygodnych perspektyw na rychłe osiągnięcie przez Polskę nadwyżek </w:t>
      </w:r>
      <w:r w:rsidRPr="008F589B">
        <w:rPr>
          <w:rFonts w:ascii="Verdana" w:eastAsia="Times New Roman" w:hAnsi="Verdana"/>
          <w:color w:val="000000"/>
          <w:szCs w:val="24"/>
        </w:rPr>
        <w:lastRenderedPageBreak/>
        <w:t>czystej energii z OZE. Rozbudowa sieci gazowych i przesyłowych oraz magazynów “pod wodór” tylko zwiększy naszą zależność od paliw kopalnych. </w:t>
      </w:r>
    </w:p>
    <w:p w14:paraId="0D975221" w14:textId="77777777" w:rsidR="004639F3" w:rsidRPr="008F589B" w:rsidRDefault="004639F3" w:rsidP="008F589B">
      <w:pPr>
        <w:spacing w:line="360" w:lineRule="auto"/>
        <w:jc w:val="both"/>
        <w:rPr>
          <w:rFonts w:ascii="Verdana" w:hAnsi="Verdana"/>
          <w:szCs w:val="24"/>
        </w:rPr>
      </w:pPr>
    </w:p>
    <w:p w14:paraId="661E1138" w14:textId="77777777" w:rsidR="00E13817" w:rsidRPr="008F589B" w:rsidRDefault="00E13817" w:rsidP="008F589B">
      <w:pPr>
        <w:pStyle w:val="Akapitzlist"/>
        <w:numPr>
          <w:ilvl w:val="0"/>
          <w:numId w:val="9"/>
        </w:numPr>
        <w:suppressAutoHyphens/>
        <w:autoSpaceDN w:val="0"/>
        <w:spacing w:after="0" w:line="360" w:lineRule="auto"/>
        <w:ind w:left="284"/>
        <w:jc w:val="both"/>
        <w:textAlignment w:val="baseline"/>
        <w:rPr>
          <w:rFonts w:ascii="Verdana" w:eastAsia="Times New Roman" w:hAnsi="Verdana"/>
          <w:color w:val="000000"/>
          <w:sz w:val="24"/>
          <w:szCs w:val="24"/>
          <w:lang w:eastAsia="pl-PL"/>
        </w:rPr>
      </w:pPr>
      <w:r w:rsidRPr="008F589B">
        <w:rPr>
          <w:rFonts w:ascii="Verdana" w:eastAsia="Times New Roman" w:hAnsi="Verdana"/>
          <w:color w:val="000000"/>
          <w:sz w:val="24"/>
          <w:szCs w:val="24"/>
          <w:lang w:eastAsia="pl-PL"/>
        </w:rPr>
        <w:t>Przeredagować działania B1.1.1 i B 1.1.4 w ten sposób aby uniemożliwić finansowanie elektrociepłowni gazowych</w:t>
      </w:r>
    </w:p>
    <w:p w14:paraId="2A877899" w14:textId="77777777" w:rsidR="00E13817" w:rsidRPr="008F589B" w:rsidRDefault="00E13817" w:rsidP="008F589B">
      <w:pPr>
        <w:spacing w:line="360" w:lineRule="auto"/>
        <w:jc w:val="both"/>
        <w:rPr>
          <w:rFonts w:ascii="Verdana" w:eastAsia="Times New Roman" w:hAnsi="Verdana"/>
          <w:color w:val="000000"/>
          <w:szCs w:val="24"/>
        </w:rPr>
      </w:pPr>
      <w:r w:rsidRPr="008F589B">
        <w:rPr>
          <w:rFonts w:ascii="Verdana" w:eastAsia="Times New Roman" w:hAnsi="Verdana"/>
          <w:color w:val="000000"/>
          <w:szCs w:val="24"/>
          <w:u w:val="single"/>
        </w:rPr>
        <w:t>Uzasadnienie</w:t>
      </w:r>
      <w:r w:rsidRPr="008F589B">
        <w:rPr>
          <w:rFonts w:ascii="Verdana" w:eastAsia="Times New Roman" w:hAnsi="Verdana"/>
          <w:color w:val="000000"/>
          <w:szCs w:val="24"/>
        </w:rPr>
        <w:t xml:space="preserve">: nie należy stosować półśrodków gdy celem jest </w:t>
      </w:r>
      <w:proofErr w:type="spellStart"/>
      <w:r w:rsidRPr="008F589B">
        <w:rPr>
          <w:rFonts w:ascii="Verdana" w:eastAsia="Times New Roman" w:hAnsi="Verdana"/>
          <w:color w:val="000000"/>
          <w:szCs w:val="24"/>
        </w:rPr>
        <w:t>zeroemisyjność</w:t>
      </w:r>
      <w:proofErr w:type="spellEnd"/>
      <w:r w:rsidRPr="008F589B">
        <w:rPr>
          <w:rFonts w:ascii="Verdana" w:eastAsia="Times New Roman" w:hAnsi="Verdana"/>
          <w:color w:val="000000"/>
          <w:szCs w:val="24"/>
        </w:rPr>
        <w:t>. </w:t>
      </w:r>
    </w:p>
    <w:p w14:paraId="2A2A4499" w14:textId="77777777" w:rsidR="00E13817" w:rsidRPr="008F589B" w:rsidRDefault="00E13817" w:rsidP="008F589B">
      <w:pPr>
        <w:spacing w:line="360" w:lineRule="auto"/>
        <w:jc w:val="both"/>
        <w:rPr>
          <w:rFonts w:ascii="Verdana" w:hAnsi="Verdana"/>
          <w:szCs w:val="24"/>
        </w:rPr>
      </w:pPr>
    </w:p>
    <w:p w14:paraId="32967235" w14:textId="52282B94" w:rsidR="00E13817" w:rsidRPr="008F589B" w:rsidRDefault="00E13817" w:rsidP="008F589B">
      <w:pPr>
        <w:pStyle w:val="Akapitzlist"/>
        <w:numPr>
          <w:ilvl w:val="0"/>
          <w:numId w:val="9"/>
        </w:numPr>
        <w:suppressAutoHyphens/>
        <w:autoSpaceDN w:val="0"/>
        <w:spacing w:after="0" w:line="360" w:lineRule="auto"/>
        <w:ind w:left="284"/>
        <w:jc w:val="both"/>
        <w:textAlignment w:val="baseline"/>
        <w:rPr>
          <w:rFonts w:ascii="Verdana" w:eastAsia="Times New Roman" w:hAnsi="Verdana"/>
          <w:color w:val="000000"/>
          <w:sz w:val="24"/>
          <w:szCs w:val="24"/>
          <w:lang w:eastAsia="pl-PL"/>
        </w:rPr>
      </w:pPr>
      <w:r w:rsidRPr="008F589B">
        <w:rPr>
          <w:rFonts w:ascii="Verdana" w:eastAsia="Times New Roman" w:hAnsi="Verdana"/>
          <w:color w:val="000000"/>
          <w:sz w:val="24"/>
          <w:szCs w:val="24"/>
          <w:lang w:eastAsia="pl-PL"/>
        </w:rPr>
        <w:t>Katalog wspieranych działań termomoderni</w:t>
      </w:r>
      <w:r w:rsidR="002B2525" w:rsidRPr="008F589B">
        <w:rPr>
          <w:rFonts w:ascii="Verdana" w:eastAsia="Times New Roman" w:hAnsi="Verdana"/>
          <w:color w:val="000000"/>
          <w:sz w:val="24"/>
          <w:szCs w:val="24"/>
          <w:lang w:eastAsia="pl-PL"/>
        </w:rPr>
        <w:t>zacyjnych dla szkół określony w </w:t>
      </w:r>
      <w:r w:rsidRPr="008F589B">
        <w:rPr>
          <w:rFonts w:ascii="Verdana" w:eastAsia="Times New Roman" w:hAnsi="Verdana"/>
          <w:color w:val="000000"/>
          <w:sz w:val="24"/>
          <w:szCs w:val="24"/>
          <w:lang w:eastAsia="pl-PL"/>
        </w:rPr>
        <w:t>B1.1.3 powinien zostać ograniczony do rozwiązań zakładających kompleksową modernizację wraz z obligatoryjną wymianą źródeł ciepła, na źródła zielone. </w:t>
      </w:r>
    </w:p>
    <w:p w14:paraId="50A81FD0" w14:textId="77777777" w:rsidR="00E13817" w:rsidRPr="008F589B" w:rsidRDefault="00E13817" w:rsidP="008F589B">
      <w:pPr>
        <w:spacing w:line="360" w:lineRule="auto"/>
        <w:jc w:val="both"/>
        <w:rPr>
          <w:rFonts w:ascii="Verdana" w:eastAsia="Times New Roman" w:hAnsi="Verdana"/>
          <w:color w:val="000000"/>
          <w:szCs w:val="24"/>
        </w:rPr>
      </w:pPr>
      <w:r w:rsidRPr="008F589B">
        <w:rPr>
          <w:rFonts w:ascii="Verdana" w:eastAsia="Times New Roman" w:hAnsi="Verdana"/>
          <w:color w:val="000000"/>
          <w:szCs w:val="24"/>
          <w:u w:val="single"/>
        </w:rPr>
        <w:t>Uzasadnienie</w:t>
      </w:r>
      <w:r w:rsidRPr="008F589B">
        <w:rPr>
          <w:rFonts w:ascii="Verdana" w:eastAsia="Times New Roman" w:hAnsi="Verdana"/>
          <w:color w:val="000000"/>
          <w:szCs w:val="24"/>
        </w:rPr>
        <w:t xml:space="preserve">: Całkowite wyeliminowanie nieefektywnych systemów ciepłowniczych pozwoli Polsce na realną kontrybucję do celu redukcyjnego UE na rok 2030, na poziomie co najmniej 55% redukcji w stosunku do 1990 roku. Komponent B1.1.1. planu (Inwestycje w </w:t>
      </w:r>
      <w:proofErr w:type="spellStart"/>
      <w:r w:rsidRPr="008F589B">
        <w:rPr>
          <w:rFonts w:ascii="Verdana" w:eastAsia="Times New Roman" w:hAnsi="Verdana"/>
          <w:color w:val="000000"/>
          <w:szCs w:val="24"/>
        </w:rPr>
        <w:t>źródła</w:t>
      </w:r>
      <w:proofErr w:type="spellEnd"/>
      <w:r w:rsidRPr="008F589B">
        <w:rPr>
          <w:rFonts w:ascii="Verdana" w:eastAsia="Times New Roman" w:hAnsi="Verdana"/>
          <w:color w:val="000000"/>
          <w:szCs w:val="24"/>
        </w:rPr>
        <w:t xml:space="preserve"> ciepła (chłodu) w systemach ciepłowniczych) powinien być zarysowany śmielej. Strategicznym celem dla optymalizacji gospodarki cieplno-energetycznej powinna być wymiana do 2030 r. </w:t>
      </w:r>
      <w:r w:rsidRPr="008F589B">
        <w:rPr>
          <w:rFonts w:ascii="Verdana" w:eastAsia="Times New Roman" w:hAnsi="Verdana"/>
          <w:b/>
          <w:bCs/>
          <w:color w:val="000000"/>
          <w:szCs w:val="24"/>
        </w:rPr>
        <w:t xml:space="preserve">wszystkich </w:t>
      </w:r>
      <w:r w:rsidRPr="008F589B">
        <w:rPr>
          <w:rFonts w:ascii="Verdana" w:eastAsia="Times New Roman" w:hAnsi="Verdana"/>
          <w:color w:val="000000"/>
          <w:szCs w:val="24"/>
        </w:rPr>
        <w:t xml:space="preserve">systemów ciepłowniczych, na takie, które wykorzystują dostęp do nowych technologii i nie zwiększają emisji gazów cieplarnianych. Dlatego np. katalog wspieranych działań termomodernizacyjnych dla szkół (komponent B1.1.3) już teraz powinien </w:t>
      </w:r>
      <w:proofErr w:type="spellStart"/>
      <w:r w:rsidRPr="008F589B">
        <w:rPr>
          <w:rFonts w:ascii="Verdana" w:eastAsia="Times New Roman" w:hAnsi="Verdana"/>
          <w:color w:val="000000"/>
          <w:szCs w:val="24"/>
        </w:rPr>
        <w:t>powinien</w:t>
      </w:r>
      <w:proofErr w:type="spellEnd"/>
      <w:r w:rsidRPr="008F589B">
        <w:rPr>
          <w:rFonts w:ascii="Verdana" w:eastAsia="Times New Roman" w:hAnsi="Verdana"/>
          <w:color w:val="000000"/>
          <w:szCs w:val="24"/>
        </w:rPr>
        <w:t xml:space="preserve"> zostać ograniczony do rozwiązań zakładających kompleksową modernizację wraz z obligatoryjną wymianą źródeł ciepła, na źródła zielone, rozumiane jako zgodne z definicją Europejskiej Taksonomii Zrównoważonego Rozwoju. Taki program powinien objąć również wszystkie budynki administracyjne. </w:t>
      </w:r>
    </w:p>
    <w:p w14:paraId="5CD9501E" w14:textId="77777777" w:rsidR="00E13817" w:rsidRPr="008F589B" w:rsidRDefault="00E13817" w:rsidP="008F589B">
      <w:pPr>
        <w:spacing w:line="360" w:lineRule="auto"/>
        <w:jc w:val="both"/>
        <w:rPr>
          <w:rFonts w:ascii="Verdana" w:hAnsi="Verdana"/>
          <w:szCs w:val="24"/>
        </w:rPr>
      </w:pPr>
    </w:p>
    <w:p w14:paraId="17E37BC6" w14:textId="77777777" w:rsidR="00E13817" w:rsidRPr="008F589B" w:rsidRDefault="00E13817" w:rsidP="008F589B">
      <w:pPr>
        <w:pStyle w:val="Akapitzlist"/>
        <w:numPr>
          <w:ilvl w:val="0"/>
          <w:numId w:val="9"/>
        </w:numPr>
        <w:suppressAutoHyphens/>
        <w:autoSpaceDN w:val="0"/>
        <w:spacing w:after="0" w:line="360" w:lineRule="auto"/>
        <w:ind w:left="426"/>
        <w:jc w:val="both"/>
        <w:textAlignment w:val="baseline"/>
        <w:rPr>
          <w:rFonts w:ascii="Verdana" w:eastAsia="Times New Roman" w:hAnsi="Verdana"/>
          <w:color w:val="000000"/>
          <w:sz w:val="24"/>
          <w:szCs w:val="24"/>
          <w:lang w:eastAsia="pl-PL"/>
        </w:rPr>
      </w:pPr>
      <w:r w:rsidRPr="008F589B">
        <w:rPr>
          <w:rFonts w:ascii="Verdana" w:eastAsia="Times New Roman" w:hAnsi="Verdana"/>
          <w:color w:val="000000"/>
          <w:sz w:val="24"/>
          <w:szCs w:val="24"/>
          <w:lang w:eastAsia="pl-PL"/>
        </w:rPr>
        <w:t>Przeredagować działanie B2.1.1 w ten sposób aby uniemożliwić finansowanie sieci przesyłowych i dystrybucyjnych </w:t>
      </w:r>
    </w:p>
    <w:p w14:paraId="0D100B7D" w14:textId="77777777" w:rsidR="00E13817" w:rsidRPr="008F589B" w:rsidRDefault="00E13817" w:rsidP="008F589B">
      <w:pPr>
        <w:spacing w:line="360" w:lineRule="auto"/>
        <w:jc w:val="both"/>
        <w:rPr>
          <w:rFonts w:ascii="Verdana" w:eastAsia="Times New Roman" w:hAnsi="Verdana"/>
          <w:color w:val="000000"/>
          <w:szCs w:val="24"/>
        </w:rPr>
      </w:pPr>
      <w:r w:rsidRPr="008F589B">
        <w:rPr>
          <w:rFonts w:ascii="Verdana" w:eastAsia="Times New Roman" w:hAnsi="Verdana"/>
          <w:color w:val="000000"/>
          <w:szCs w:val="24"/>
          <w:u w:val="single"/>
        </w:rPr>
        <w:t>Uzasadnienie</w:t>
      </w:r>
      <w:r w:rsidRPr="008F589B">
        <w:rPr>
          <w:rFonts w:ascii="Verdana" w:eastAsia="Times New Roman" w:hAnsi="Verdana"/>
          <w:color w:val="000000"/>
          <w:szCs w:val="24"/>
        </w:rPr>
        <w:t xml:space="preserve">: Niestety brak jest wiarygodnych perspektyw na rychłe osiągnięcie przez Polskę nadwyżek czystej energii z OZE, którą można by wykorzystać do spełniającej kryteria ekologiczne produkcji tzw. “zielonego </w:t>
      </w:r>
      <w:r w:rsidRPr="008F589B">
        <w:rPr>
          <w:rFonts w:ascii="Verdana" w:eastAsia="Times New Roman" w:hAnsi="Verdana"/>
          <w:color w:val="000000"/>
          <w:szCs w:val="24"/>
        </w:rPr>
        <w:lastRenderedPageBreak/>
        <w:t>wodoru”. Natomiast pewnym jest, że przy obecnych założeniach, rozbudowa sieci gazowych i przesyłowych oraz magazynów “pod wodór”, jedynie wzmocni naszą zależność od paliw kopalnych.</w:t>
      </w:r>
    </w:p>
    <w:p w14:paraId="3B95627F" w14:textId="77777777" w:rsidR="00E13817" w:rsidRPr="008F589B" w:rsidRDefault="00E13817" w:rsidP="008F589B">
      <w:pPr>
        <w:spacing w:line="360" w:lineRule="auto"/>
        <w:jc w:val="both"/>
        <w:rPr>
          <w:rFonts w:ascii="Verdana" w:hAnsi="Verdana"/>
          <w:szCs w:val="24"/>
        </w:rPr>
      </w:pPr>
    </w:p>
    <w:p w14:paraId="6CF082CB" w14:textId="1A05CBFF" w:rsidR="00E13817" w:rsidRPr="008F589B" w:rsidRDefault="00E13817" w:rsidP="008F589B">
      <w:pPr>
        <w:pStyle w:val="Akapitzlist"/>
        <w:numPr>
          <w:ilvl w:val="0"/>
          <w:numId w:val="9"/>
        </w:numPr>
        <w:suppressAutoHyphens/>
        <w:autoSpaceDN w:val="0"/>
        <w:spacing w:after="0" w:line="360" w:lineRule="auto"/>
        <w:ind w:left="284"/>
        <w:jc w:val="both"/>
        <w:textAlignment w:val="baseline"/>
        <w:rPr>
          <w:rFonts w:ascii="Verdana" w:eastAsia="Times New Roman" w:hAnsi="Verdana"/>
          <w:color w:val="000000"/>
          <w:sz w:val="24"/>
          <w:szCs w:val="24"/>
          <w:lang w:eastAsia="pl-PL"/>
        </w:rPr>
      </w:pPr>
      <w:r w:rsidRPr="008F589B">
        <w:rPr>
          <w:rFonts w:ascii="Verdana" w:eastAsia="Times New Roman" w:hAnsi="Verdana"/>
          <w:color w:val="000000"/>
          <w:sz w:val="24"/>
          <w:szCs w:val="24"/>
          <w:lang w:eastAsia="pl-PL"/>
        </w:rPr>
        <w:t>Poszerzenie obszaru inwestowani</w:t>
      </w:r>
      <w:r w:rsidR="002B2525" w:rsidRPr="008F589B">
        <w:rPr>
          <w:rFonts w:ascii="Verdana" w:eastAsia="Times New Roman" w:hAnsi="Verdana"/>
          <w:color w:val="000000"/>
          <w:sz w:val="24"/>
          <w:szCs w:val="24"/>
          <w:lang w:eastAsia="pl-PL"/>
        </w:rPr>
        <w:t>a w odnawialne źródła energii o </w:t>
      </w:r>
      <w:r w:rsidRPr="008F589B">
        <w:rPr>
          <w:rFonts w:ascii="Verdana" w:eastAsia="Times New Roman" w:hAnsi="Verdana"/>
          <w:color w:val="000000"/>
          <w:sz w:val="24"/>
          <w:szCs w:val="24"/>
          <w:lang w:eastAsia="pl-PL"/>
        </w:rPr>
        <w:t>energetykę wiatrową na lądzie i rozproszonej energetyki obywatelskiej wraz z wdrożeniem odpowiednich reform</w:t>
      </w:r>
    </w:p>
    <w:p w14:paraId="61D68BB9" w14:textId="03790008" w:rsidR="00E13817" w:rsidRPr="008F589B" w:rsidRDefault="00E13817" w:rsidP="008F589B">
      <w:pPr>
        <w:spacing w:line="360" w:lineRule="auto"/>
        <w:jc w:val="both"/>
        <w:rPr>
          <w:rFonts w:ascii="Verdana" w:hAnsi="Verdana"/>
          <w:szCs w:val="24"/>
        </w:rPr>
      </w:pPr>
      <w:r w:rsidRPr="008F589B">
        <w:rPr>
          <w:rFonts w:ascii="Verdana" w:eastAsia="Times New Roman" w:hAnsi="Verdana"/>
          <w:color w:val="000000"/>
          <w:szCs w:val="24"/>
          <w:u w:val="single"/>
        </w:rPr>
        <w:t>Uzasadnienie</w:t>
      </w:r>
      <w:r w:rsidRPr="008F589B">
        <w:rPr>
          <w:rFonts w:ascii="Verdana" w:eastAsia="Times New Roman" w:hAnsi="Verdana"/>
          <w:color w:val="000000"/>
          <w:szCs w:val="24"/>
        </w:rPr>
        <w:t>: Uważamy, że bez skali mikro, czyli rozproszonej energetyki opartej na OZE i pompach ciepła, wymiernej poprawie efektywności energetycznej budynków publicznych i gospodarstw domowych, cel makro redukcji pozostanie nieosiągnięt</w:t>
      </w:r>
      <w:r w:rsidR="002B2525" w:rsidRPr="008F589B">
        <w:rPr>
          <w:rFonts w:ascii="Verdana" w:eastAsia="Times New Roman" w:hAnsi="Verdana"/>
          <w:color w:val="000000"/>
          <w:szCs w:val="24"/>
        </w:rPr>
        <w:t>y. Dlatego uważamy, że jednym z </w:t>
      </w:r>
      <w:r w:rsidRPr="008F589B">
        <w:rPr>
          <w:rFonts w:ascii="Verdana" w:eastAsia="Times New Roman" w:hAnsi="Verdana"/>
          <w:color w:val="000000"/>
          <w:szCs w:val="24"/>
        </w:rPr>
        <w:t>najważniejszych elementów KPO powinien być pakiet reform zmierzających do odblokowania potencjału energetyki odnawialnej, zwłaszcza rozproszonej energetyki obywatelskiej. Taki pakiet powinien obejmować:</w:t>
      </w:r>
    </w:p>
    <w:p w14:paraId="7EBB1A49" w14:textId="77777777" w:rsidR="00E13817" w:rsidRPr="008F589B" w:rsidRDefault="00E13817" w:rsidP="008F589B">
      <w:pPr>
        <w:numPr>
          <w:ilvl w:val="0"/>
          <w:numId w:val="10"/>
        </w:numPr>
        <w:suppressAutoHyphens/>
        <w:autoSpaceDN w:val="0"/>
        <w:spacing w:line="360" w:lineRule="auto"/>
        <w:jc w:val="both"/>
        <w:textAlignment w:val="baseline"/>
        <w:rPr>
          <w:rFonts w:ascii="Verdana" w:eastAsia="Times New Roman" w:hAnsi="Verdana"/>
          <w:color w:val="000000"/>
          <w:szCs w:val="24"/>
        </w:rPr>
      </w:pPr>
      <w:r w:rsidRPr="008F589B">
        <w:rPr>
          <w:rFonts w:ascii="Verdana" w:eastAsia="Times New Roman" w:hAnsi="Verdana"/>
          <w:color w:val="000000"/>
          <w:szCs w:val="24"/>
        </w:rPr>
        <w:t>opracowanie i przyjęcie długoterminowej strategii energetyczno-klimatycznej do 2050 r., zgodnej z unijnymi celami klimatycznymi jako strategicznej ramy pozostałych reform (wymóg przyjęcia takiej strategii w terminie do końca 2019 r. wynika z prawa unijnego)</w:t>
      </w:r>
    </w:p>
    <w:p w14:paraId="6AEC59CE" w14:textId="77777777" w:rsidR="00E13817" w:rsidRPr="008F589B" w:rsidRDefault="00E13817" w:rsidP="008F589B">
      <w:pPr>
        <w:numPr>
          <w:ilvl w:val="0"/>
          <w:numId w:val="10"/>
        </w:numPr>
        <w:suppressAutoHyphens/>
        <w:autoSpaceDN w:val="0"/>
        <w:spacing w:line="360" w:lineRule="auto"/>
        <w:jc w:val="both"/>
        <w:textAlignment w:val="baseline"/>
        <w:rPr>
          <w:rFonts w:ascii="Verdana" w:eastAsia="Times New Roman" w:hAnsi="Verdana"/>
          <w:color w:val="000000"/>
          <w:szCs w:val="24"/>
        </w:rPr>
      </w:pPr>
      <w:r w:rsidRPr="008F589B">
        <w:rPr>
          <w:rFonts w:ascii="Verdana" w:eastAsia="Times New Roman" w:hAnsi="Verdana"/>
          <w:color w:val="000000"/>
          <w:szCs w:val="24"/>
        </w:rPr>
        <w:t>pełne wdrożenie przepisów pakietu „Czysta energia dla wszystkich Europejczyków”, dotyczących OZE, prosumentów indywidualnych, zbiorowych i społeczności energetycznych</w:t>
      </w:r>
    </w:p>
    <w:p w14:paraId="083E1446" w14:textId="77777777" w:rsidR="00E13817" w:rsidRPr="008F589B" w:rsidRDefault="00E13817" w:rsidP="008F589B">
      <w:pPr>
        <w:numPr>
          <w:ilvl w:val="0"/>
          <w:numId w:val="10"/>
        </w:numPr>
        <w:suppressAutoHyphens/>
        <w:autoSpaceDN w:val="0"/>
        <w:spacing w:line="360" w:lineRule="auto"/>
        <w:jc w:val="both"/>
        <w:textAlignment w:val="baseline"/>
        <w:rPr>
          <w:rFonts w:ascii="Verdana" w:eastAsia="Times New Roman" w:hAnsi="Verdana"/>
          <w:color w:val="000000"/>
          <w:szCs w:val="24"/>
        </w:rPr>
      </w:pPr>
      <w:r w:rsidRPr="008F589B">
        <w:rPr>
          <w:rFonts w:ascii="Verdana" w:eastAsia="Times New Roman" w:hAnsi="Verdana"/>
          <w:color w:val="000000"/>
          <w:szCs w:val="24"/>
        </w:rPr>
        <w:t>nowelizacja prawa w takim kierunku, aby przepisy dotyczące wspólnot energetycznych zawierały więcej realnych zachęt niż ograniczeń</w:t>
      </w:r>
    </w:p>
    <w:p w14:paraId="509C6C37" w14:textId="77777777" w:rsidR="00E13817" w:rsidRPr="008F589B" w:rsidRDefault="00E13817" w:rsidP="008F589B">
      <w:pPr>
        <w:numPr>
          <w:ilvl w:val="0"/>
          <w:numId w:val="10"/>
        </w:numPr>
        <w:suppressAutoHyphens/>
        <w:autoSpaceDN w:val="0"/>
        <w:spacing w:line="360" w:lineRule="auto"/>
        <w:jc w:val="both"/>
        <w:textAlignment w:val="baseline"/>
        <w:rPr>
          <w:rFonts w:ascii="Verdana" w:eastAsia="Times New Roman" w:hAnsi="Verdana"/>
          <w:color w:val="000000"/>
          <w:szCs w:val="24"/>
        </w:rPr>
      </w:pPr>
      <w:r w:rsidRPr="008F589B">
        <w:rPr>
          <w:rFonts w:ascii="Verdana" w:eastAsia="Times New Roman" w:hAnsi="Verdana"/>
          <w:color w:val="000000"/>
          <w:szCs w:val="24"/>
        </w:rPr>
        <w:t>wyposażenie samorządów w narzędzia pozwalające na prowadzenie lokalnej polityki energetycznej</w:t>
      </w:r>
    </w:p>
    <w:p w14:paraId="1BF048F5" w14:textId="77777777" w:rsidR="00E13817" w:rsidRPr="008F589B" w:rsidRDefault="00E13817" w:rsidP="008F589B">
      <w:pPr>
        <w:numPr>
          <w:ilvl w:val="0"/>
          <w:numId w:val="10"/>
        </w:numPr>
        <w:suppressAutoHyphens/>
        <w:autoSpaceDN w:val="0"/>
        <w:spacing w:line="360" w:lineRule="auto"/>
        <w:jc w:val="both"/>
        <w:textAlignment w:val="baseline"/>
        <w:rPr>
          <w:rFonts w:ascii="Verdana" w:eastAsia="Times New Roman" w:hAnsi="Verdana"/>
          <w:color w:val="000000"/>
          <w:szCs w:val="24"/>
        </w:rPr>
      </w:pPr>
      <w:r w:rsidRPr="008F589B">
        <w:rPr>
          <w:rFonts w:ascii="Verdana" w:eastAsia="Times New Roman" w:hAnsi="Verdana"/>
          <w:color w:val="000000"/>
          <w:szCs w:val="24"/>
        </w:rPr>
        <w:t>złagodzenie przepisów ustawy odległościowej, tak by energetyka wiatrowa na lądzie mogła rozwijać się dynamicznie z poszanowaniem ochrony przyrody i praw lokalnych społeczności</w:t>
      </w:r>
    </w:p>
    <w:p w14:paraId="6C2BA3B6" w14:textId="6EAFFD1B" w:rsidR="00E13817" w:rsidRPr="008F589B" w:rsidRDefault="00E13817" w:rsidP="008F589B">
      <w:pPr>
        <w:spacing w:line="360" w:lineRule="auto"/>
        <w:jc w:val="both"/>
        <w:rPr>
          <w:rFonts w:ascii="Verdana" w:eastAsia="Times New Roman" w:hAnsi="Verdana"/>
          <w:szCs w:val="24"/>
        </w:rPr>
      </w:pPr>
    </w:p>
    <w:p w14:paraId="61346C9C" w14:textId="77777777" w:rsidR="00E13817" w:rsidRPr="008F589B" w:rsidRDefault="00E13817" w:rsidP="008F589B">
      <w:pPr>
        <w:pStyle w:val="Akapitzlist"/>
        <w:numPr>
          <w:ilvl w:val="0"/>
          <w:numId w:val="9"/>
        </w:numPr>
        <w:suppressAutoHyphens/>
        <w:autoSpaceDN w:val="0"/>
        <w:spacing w:after="0" w:line="360" w:lineRule="auto"/>
        <w:ind w:left="284"/>
        <w:jc w:val="both"/>
        <w:textAlignment w:val="baseline"/>
        <w:rPr>
          <w:rFonts w:ascii="Verdana" w:eastAsia="Times New Roman" w:hAnsi="Verdana"/>
          <w:color w:val="000000"/>
          <w:sz w:val="24"/>
          <w:szCs w:val="24"/>
          <w:lang w:eastAsia="pl-PL"/>
        </w:rPr>
      </w:pPr>
      <w:r w:rsidRPr="008F589B">
        <w:rPr>
          <w:rFonts w:ascii="Verdana" w:eastAsia="Times New Roman" w:hAnsi="Verdana"/>
          <w:color w:val="000000"/>
          <w:sz w:val="24"/>
          <w:szCs w:val="24"/>
          <w:lang w:eastAsia="pl-PL"/>
        </w:rPr>
        <w:t>Uniemożliwienie realizowania inwestycji w ramach KPO w zakresie spalania odpadów komunalnych</w:t>
      </w:r>
    </w:p>
    <w:p w14:paraId="3337814D" w14:textId="77777777" w:rsidR="00E13817" w:rsidRPr="008F589B" w:rsidRDefault="00E13817" w:rsidP="008F589B">
      <w:pPr>
        <w:spacing w:line="360" w:lineRule="auto"/>
        <w:jc w:val="both"/>
        <w:rPr>
          <w:rFonts w:ascii="Verdana" w:eastAsia="Times New Roman" w:hAnsi="Verdana"/>
          <w:color w:val="000000"/>
          <w:szCs w:val="24"/>
        </w:rPr>
      </w:pPr>
      <w:r w:rsidRPr="008F589B">
        <w:rPr>
          <w:rFonts w:ascii="Verdana" w:eastAsia="Times New Roman" w:hAnsi="Verdana"/>
          <w:color w:val="000000"/>
          <w:szCs w:val="24"/>
          <w:u w:val="single"/>
        </w:rPr>
        <w:lastRenderedPageBreak/>
        <w:t>Uzasadnienie</w:t>
      </w:r>
      <w:r w:rsidRPr="008F589B">
        <w:rPr>
          <w:rFonts w:ascii="Verdana" w:eastAsia="Times New Roman" w:hAnsi="Verdana"/>
          <w:color w:val="000000"/>
          <w:szCs w:val="24"/>
        </w:rPr>
        <w:t>: niepokojący jest fakt, że pod hasłem odnawialnych źródeł energii, projekt KPO wymienia, pośród różnych projektów ciepłowniczych, nowe inwestycje w zakresie spalania odpadów komunalnych. Ta propozycja nie może zostać przyjęta, a już na pewno nie w tej formie, ponieważ jedynie część odpadów można sklasyfikować jako „źródło energii odnawialnej”. Tymczasem niemal wszystkie już działające i planowane spalarnie zakładają wykorzystanie odpadów pozostałych po przetworzeniu odpadów komunalnych, a większość z nich (do 74%) to tworzywa sztuczne. Ten rodzaj spalania odpadów doprowadzi do emisji CO2 (w przeliczeniu na jednostkę wyprodukowanej energii) porównywalnej z instalacjami opalanymi węglem.</w:t>
      </w:r>
    </w:p>
    <w:p w14:paraId="73683EA3" w14:textId="77777777" w:rsidR="00E13817" w:rsidRPr="008F589B" w:rsidRDefault="00E13817" w:rsidP="008F589B">
      <w:pPr>
        <w:spacing w:line="360" w:lineRule="auto"/>
        <w:jc w:val="both"/>
        <w:rPr>
          <w:rFonts w:ascii="Verdana" w:hAnsi="Verdana"/>
          <w:szCs w:val="24"/>
        </w:rPr>
      </w:pPr>
    </w:p>
    <w:p w14:paraId="0137E0FD" w14:textId="77777777" w:rsidR="00E13817" w:rsidRPr="008F589B" w:rsidRDefault="00E13817" w:rsidP="008F589B">
      <w:pPr>
        <w:pStyle w:val="Akapitzlist"/>
        <w:numPr>
          <w:ilvl w:val="0"/>
          <w:numId w:val="9"/>
        </w:numPr>
        <w:suppressAutoHyphens/>
        <w:autoSpaceDN w:val="0"/>
        <w:spacing w:after="0" w:line="360" w:lineRule="auto"/>
        <w:ind w:left="426"/>
        <w:jc w:val="both"/>
        <w:textAlignment w:val="baseline"/>
        <w:rPr>
          <w:rFonts w:ascii="Verdana" w:eastAsia="Times New Roman" w:hAnsi="Verdana"/>
          <w:color w:val="000000"/>
          <w:sz w:val="24"/>
          <w:szCs w:val="24"/>
          <w:lang w:eastAsia="pl-PL"/>
        </w:rPr>
      </w:pPr>
      <w:r w:rsidRPr="008F589B">
        <w:rPr>
          <w:rFonts w:ascii="Verdana" w:eastAsia="Times New Roman" w:hAnsi="Verdana"/>
          <w:color w:val="000000"/>
          <w:sz w:val="24"/>
          <w:szCs w:val="24"/>
          <w:lang w:eastAsia="pl-PL"/>
        </w:rPr>
        <w:t>Wykluczenie wsparcia dla instalowania nowych źródeł ciepła zasilanym węglem w programie Czyste Powietrze</w:t>
      </w:r>
    </w:p>
    <w:p w14:paraId="57BF016E" w14:textId="1DDE3AA5" w:rsidR="00E13817" w:rsidRPr="008F589B" w:rsidRDefault="00E13817" w:rsidP="008F589B">
      <w:pPr>
        <w:spacing w:line="360" w:lineRule="auto"/>
        <w:jc w:val="both"/>
        <w:rPr>
          <w:rFonts w:ascii="Verdana" w:eastAsia="Times New Roman" w:hAnsi="Verdana"/>
          <w:color w:val="000000"/>
          <w:szCs w:val="24"/>
        </w:rPr>
      </w:pPr>
      <w:r w:rsidRPr="008F589B">
        <w:rPr>
          <w:rFonts w:ascii="Verdana" w:eastAsia="Times New Roman" w:hAnsi="Verdana"/>
          <w:color w:val="000000"/>
          <w:szCs w:val="24"/>
          <w:u w:val="single"/>
        </w:rPr>
        <w:t>Uzasadnienie</w:t>
      </w:r>
      <w:r w:rsidRPr="008F589B">
        <w:rPr>
          <w:rFonts w:ascii="Verdana" w:eastAsia="Times New Roman" w:hAnsi="Verdana"/>
          <w:color w:val="000000"/>
          <w:szCs w:val="24"/>
        </w:rPr>
        <w:t>: Spalanie węgla jest główną przyczyną silnie zanieczyszczonego powietrza w Polsce, przyczyniającego się rocznie do prawie 50 tys. przedwczesnych zgonów. Największym źró</w:t>
      </w:r>
      <w:r w:rsidR="002B2525" w:rsidRPr="008F589B">
        <w:rPr>
          <w:rFonts w:ascii="Verdana" w:eastAsia="Times New Roman" w:hAnsi="Verdana"/>
          <w:color w:val="000000"/>
          <w:szCs w:val="24"/>
        </w:rPr>
        <w:t>dłem zanieczyszczeń powietrza w </w:t>
      </w:r>
      <w:r w:rsidRPr="008F589B">
        <w:rPr>
          <w:rFonts w:ascii="Verdana" w:eastAsia="Times New Roman" w:hAnsi="Verdana"/>
          <w:color w:val="000000"/>
          <w:szCs w:val="24"/>
        </w:rPr>
        <w:t>Polsce jest tzw. niska emisja pochodzą</w:t>
      </w:r>
      <w:r w:rsidR="002B2525" w:rsidRPr="008F589B">
        <w:rPr>
          <w:rFonts w:ascii="Verdana" w:eastAsia="Times New Roman" w:hAnsi="Verdana"/>
          <w:color w:val="000000"/>
          <w:szCs w:val="24"/>
        </w:rPr>
        <w:t>ca ze spalania paliw stałych (w </w:t>
      </w:r>
      <w:r w:rsidRPr="008F589B">
        <w:rPr>
          <w:rFonts w:ascii="Verdana" w:eastAsia="Times New Roman" w:hAnsi="Verdana"/>
          <w:color w:val="000000"/>
          <w:szCs w:val="24"/>
        </w:rPr>
        <w:t>zdecydowanej większości węgla) w sektorze komunalno-bytowym, czyli domowych piecach i kotłach. Dalsze spalanie węgla w domowych instalacjach grzewczych, choćby o lepszych parametrach, utrwali istniejące status quo i</w:t>
      </w:r>
      <w:r w:rsidR="002B2525" w:rsidRPr="008F589B">
        <w:rPr>
          <w:rFonts w:ascii="Verdana" w:eastAsia="Times New Roman" w:hAnsi="Verdana"/>
          <w:color w:val="000000"/>
          <w:szCs w:val="24"/>
        </w:rPr>
        <w:t> </w:t>
      </w:r>
      <w:r w:rsidRPr="008F589B">
        <w:rPr>
          <w:rFonts w:ascii="Verdana" w:eastAsia="Times New Roman" w:hAnsi="Verdana"/>
          <w:color w:val="000000"/>
          <w:szCs w:val="24"/>
        </w:rPr>
        <w:t>będzie zaprzeczeniem transformacji</w:t>
      </w:r>
      <w:r w:rsidR="002B2525" w:rsidRPr="008F589B">
        <w:rPr>
          <w:rFonts w:ascii="Verdana" w:eastAsia="Times New Roman" w:hAnsi="Verdana"/>
          <w:color w:val="000000"/>
          <w:szCs w:val="24"/>
        </w:rPr>
        <w:t xml:space="preserve"> w stronę przyjaznych zdrowiu i </w:t>
      </w:r>
      <w:r w:rsidRPr="008F589B">
        <w:rPr>
          <w:rFonts w:ascii="Verdana" w:eastAsia="Times New Roman" w:hAnsi="Verdana"/>
          <w:color w:val="000000"/>
          <w:szCs w:val="24"/>
        </w:rPr>
        <w:t xml:space="preserve">środowisku źródeł energii. Takie wsparcie jest niekompatybilne z unijną zasadą “nie czyń poważnych szkód”. Ponadto “Czyste Powietrze” dofinansowuje również kotły na </w:t>
      </w:r>
      <w:proofErr w:type="spellStart"/>
      <w:r w:rsidRPr="008F589B">
        <w:rPr>
          <w:rFonts w:ascii="Verdana" w:eastAsia="Times New Roman" w:hAnsi="Verdana"/>
          <w:color w:val="000000"/>
          <w:szCs w:val="24"/>
        </w:rPr>
        <w:t>pellet</w:t>
      </w:r>
      <w:proofErr w:type="spellEnd"/>
      <w:r w:rsidRPr="008F589B">
        <w:rPr>
          <w:rFonts w:ascii="Verdana" w:eastAsia="Times New Roman" w:hAnsi="Verdana"/>
          <w:color w:val="000000"/>
          <w:szCs w:val="24"/>
        </w:rPr>
        <w:t xml:space="preserve">. W Polsce brak jest obowiązkowych norm jakości i produkcji tego paliwa, dlatego w obrocie handlowym dostępny jest </w:t>
      </w:r>
      <w:proofErr w:type="spellStart"/>
      <w:r w:rsidRPr="008F589B">
        <w:rPr>
          <w:rFonts w:ascii="Verdana" w:eastAsia="Times New Roman" w:hAnsi="Verdana"/>
          <w:color w:val="000000"/>
          <w:szCs w:val="24"/>
        </w:rPr>
        <w:t>pellet</w:t>
      </w:r>
      <w:proofErr w:type="spellEnd"/>
      <w:r w:rsidRPr="008F589B">
        <w:rPr>
          <w:rFonts w:ascii="Verdana" w:eastAsia="Times New Roman" w:hAnsi="Verdana"/>
          <w:color w:val="000000"/>
          <w:szCs w:val="24"/>
        </w:rPr>
        <w:t xml:space="preserve"> produkowany m.in. z takich niesprzyjających środowisku materiałów jak odpady meblowe.</w:t>
      </w:r>
    </w:p>
    <w:p w14:paraId="55A6C9A7" w14:textId="77777777" w:rsidR="00E13817" w:rsidRPr="008F589B" w:rsidRDefault="00E13817" w:rsidP="008F589B">
      <w:pPr>
        <w:spacing w:line="360" w:lineRule="auto"/>
        <w:jc w:val="both"/>
        <w:rPr>
          <w:rFonts w:ascii="Verdana" w:hAnsi="Verdana"/>
          <w:szCs w:val="24"/>
        </w:rPr>
      </w:pPr>
    </w:p>
    <w:p w14:paraId="7A92F829" w14:textId="77777777" w:rsidR="00E13817" w:rsidRPr="008F589B" w:rsidRDefault="00E13817" w:rsidP="008F589B">
      <w:pPr>
        <w:pStyle w:val="Akapitzlist"/>
        <w:numPr>
          <w:ilvl w:val="0"/>
          <w:numId w:val="9"/>
        </w:numPr>
        <w:suppressAutoHyphens/>
        <w:autoSpaceDN w:val="0"/>
        <w:spacing w:after="0" w:line="360" w:lineRule="auto"/>
        <w:ind w:left="426"/>
        <w:jc w:val="both"/>
        <w:textAlignment w:val="baseline"/>
        <w:rPr>
          <w:rFonts w:ascii="Verdana" w:eastAsia="Times New Roman" w:hAnsi="Verdana"/>
          <w:color w:val="000000"/>
          <w:sz w:val="24"/>
          <w:szCs w:val="24"/>
          <w:lang w:eastAsia="pl-PL"/>
        </w:rPr>
      </w:pPr>
      <w:r w:rsidRPr="008F589B">
        <w:rPr>
          <w:rFonts w:ascii="Verdana" w:eastAsia="Times New Roman" w:hAnsi="Verdana"/>
          <w:color w:val="000000"/>
          <w:sz w:val="24"/>
          <w:szCs w:val="24"/>
          <w:lang w:eastAsia="pl-PL"/>
        </w:rPr>
        <w:t>Każde wykorzystanie określenia “zielony” było zgodne z Europejską Taksonomią Zrównoważonego Rozwoju </w:t>
      </w:r>
    </w:p>
    <w:p w14:paraId="73473DB2" w14:textId="77777777" w:rsidR="00E13817" w:rsidRPr="008F589B" w:rsidRDefault="00E13817" w:rsidP="008F589B">
      <w:pPr>
        <w:spacing w:line="360" w:lineRule="auto"/>
        <w:jc w:val="both"/>
        <w:rPr>
          <w:rFonts w:ascii="Verdana" w:eastAsia="Times New Roman" w:hAnsi="Verdana"/>
          <w:color w:val="000000"/>
          <w:szCs w:val="24"/>
        </w:rPr>
      </w:pPr>
      <w:r w:rsidRPr="008F589B">
        <w:rPr>
          <w:rFonts w:ascii="Verdana" w:eastAsia="Times New Roman" w:hAnsi="Verdana"/>
          <w:color w:val="000000"/>
          <w:szCs w:val="24"/>
          <w:u w:val="single"/>
        </w:rPr>
        <w:t>Uzasadnienie</w:t>
      </w:r>
      <w:r w:rsidRPr="008F589B">
        <w:rPr>
          <w:rFonts w:ascii="Verdana" w:eastAsia="Times New Roman" w:hAnsi="Verdana"/>
          <w:color w:val="000000"/>
          <w:szCs w:val="24"/>
        </w:rPr>
        <w:t xml:space="preserve">: Terminologia używana w KPO jest momentami problematyczna i myląca. Język dokumentu ma tendencję do „malowania na zielono” </w:t>
      </w:r>
      <w:r w:rsidRPr="008F589B">
        <w:rPr>
          <w:rFonts w:ascii="Verdana" w:eastAsia="Times New Roman" w:hAnsi="Verdana"/>
          <w:color w:val="000000"/>
          <w:szCs w:val="24"/>
        </w:rPr>
        <w:lastRenderedPageBreak/>
        <w:t>pojemnych pojęć-wytrychów, za którymi można ukryć wiele, niekoniecznie zielonych, działań. Użycie przymiotnika „zielony” powinno być ściśle zdefiniowane. Np. „zielone rozwiązania” w przedsiębiorstwach, to takie rozwiązania, które wpływają korzystnie na środowisko i służą poprawie efektywności energetycznej, czyli dają policzalną, udokumentowaną oszczędność energii oraz redukcję ekwiwalentu emisji CO</w:t>
      </w:r>
      <w:r w:rsidRPr="008F589B">
        <w:rPr>
          <w:rFonts w:ascii="Verdana" w:eastAsia="Times New Roman" w:hAnsi="Verdana"/>
          <w:b/>
          <w:bCs/>
          <w:color w:val="000000"/>
          <w:szCs w:val="24"/>
          <w:vertAlign w:val="subscript"/>
        </w:rPr>
        <w:t>2</w:t>
      </w:r>
      <w:r w:rsidRPr="008F589B">
        <w:rPr>
          <w:rFonts w:ascii="Verdana" w:eastAsia="Times New Roman" w:hAnsi="Verdana"/>
          <w:color w:val="000000"/>
          <w:szCs w:val="24"/>
        </w:rPr>
        <w:t>. Postulujemy, aby każde wykorzystanie określenia „zielony” było zgodne Europejską Taksonomią Zrównoważonego Rozwoju.</w:t>
      </w:r>
    </w:p>
    <w:p w14:paraId="0F16B8CC" w14:textId="77777777" w:rsidR="00E13817" w:rsidRPr="008F589B" w:rsidRDefault="00E13817" w:rsidP="008F589B">
      <w:pPr>
        <w:spacing w:line="360" w:lineRule="auto"/>
        <w:jc w:val="both"/>
        <w:rPr>
          <w:rFonts w:ascii="Verdana" w:hAnsi="Verdana"/>
          <w:szCs w:val="24"/>
        </w:rPr>
      </w:pPr>
    </w:p>
    <w:p w14:paraId="75BC2992" w14:textId="77777777" w:rsidR="00E13817" w:rsidRPr="008F589B" w:rsidRDefault="00E13817" w:rsidP="008F589B">
      <w:pPr>
        <w:pStyle w:val="Akapitzlist"/>
        <w:numPr>
          <w:ilvl w:val="0"/>
          <w:numId w:val="9"/>
        </w:numPr>
        <w:suppressAutoHyphens/>
        <w:autoSpaceDN w:val="0"/>
        <w:spacing w:after="0" w:line="360" w:lineRule="auto"/>
        <w:ind w:left="284"/>
        <w:jc w:val="both"/>
        <w:textAlignment w:val="baseline"/>
        <w:rPr>
          <w:rFonts w:ascii="Verdana" w:eastAsia="Times New Roman" w:hAnsi="Verdana"/>
          <w:color w:val="000000"/>
          <w:sz w:val="24"/>
          <w:szCs w:val="24"/>
          <w:lang w:eastAsia="pl-PL"/>
        </w:rPr>
      </w:pPr>
      <w:r w:rsidRPr="008F589B">
        <w:rPr>
          <w:rFonts w:ascii="Verdana" w:eastAsia="Times New Roman" w:hAnsi="Verdana"/>
          <w:color w:val="000000"/>
          <w:sz w:val="24"/>
          <w:szCs w:val="24"/>
          <w:lang w:eastAsia="pl-PL"/>
        </w:rPr>
        <w:t xml:space="preserve"> Wykluczenie bezwarunkowo wsparcia dla gazu ziemnego</w:t>
      </w:r>
    </w:p>
    <w:p w14:paraId="4E93C079" w14:textId="77777777" w:rsidR="00E13817" w:rsidRPr="008F589B" w:rsidRDefault="00E13817" w:rsidP="008F589B">
      <w:pPr>
        <w:spacing w:line="360" w:lineRule="auto"/>
        <w:jc w:val="both"/>
        <w:rPr>
          <w:rFonts w:ascii="Verdana" w:hAnsi="Verdana"/>
          <w:szCs w:val="24"/>
        </w:rPr>
      </w:pPr>
      <w:r w:rsidRPr="008F589B">
        <w:rPr>
          <w:rFonts w:ascii="Verdana" w:eastAsia="Times New Roman" w:hAnsi="Verdana"/>
          <w:color w:val="000000"/>
          <w:szCs w:val="24"/>
          <w:u w:val="single"/>
        </w:rPr>
        <w:t>Uzasadnienie</w:t>
      </w:r>
      <w:r w:rsidRPr="008F589B">
        <w:rPr>
          <w:rFonts w:ascii="Verdana" w:eastAsia="Times New Roman" w:hAnsi="Verdana"/>
          <w:color w:val="000000"/>
          <w:szCs w:val="24"/>
        </w:rPr>
        <w:t>: Zgodnie z zasadą „nie czyń poważnych szkód” infrastruktura dla gazu ziemnego może być wspierana w wyjątkowych, ograniczonych przypadkach, pod warunkiem, że nie prowadzi to do pogłębienia zależności od paliw kopalnych i nie generuje znacznych emisji gazów cieplarnianych w całym cyklu działania. KPO zakłada natomiast rozbudowę infrastruktury gazowej. Jest kontynuacją polityki zawartej w przytoczonych wcześniej, mało ambitnych klimatycznie dokumentach. Zakłada ona, że w niedalekiej przyszłości, z gazu ziemnego (który zastąpi wycofywany węgiel) produkowana będzie ponad 1/3 energii. Takie założenie nie może w żadnym przypadku zostać uznane za spełniające kryterium zasady „nie czyń poważnych szkód”. Oznacza ono trudne do usunięcia utrwalenie wysokiej pozycji gazu na poziomie całego systemu energetycznego. Może to sprawić, że zamiast paliwem przejściowym w zielonej transformacji, gaz stanie się na długie lata paliwem dominującym w ciepłownictwie. </w:t>
      </w:r>
    </w:p>
    <w:p w14:paraId="154BB44E" w14:textId="77777777" w:rsidR="00E13817" w:rsidRPr="008F589B" w:rsidRDefault="00E13817" w:rsidP="008F589B">
      <w:pPr>
        <w:spacing w:line="360" w:lineRule="auto"/>
        <w:jc w:val="both"/>
        <w:rPr>
          <w:rFonts w:ascii="Verdana" w:eastAsia="Times New Roman" w:hAnsi="Verdana"/>
          <w:color w:val="000000"/>
          <w:szCs w:val="24"/>
        </w:rPr>
      </w:pPr>
    </w:p>
    <w:p w14:paraId="1450DFB7" w14:textId="77777777" w:rsidR="00E13817" w:rsidRPr="008F589B" w:rsidRDefault="00E13817" w:rsidP="008F589B">
      <w:pPr>
        <w:pStyle w:val="Akapitzlist"/>
        <w:numPr>
          <w:ilvl w:val="0"/>
          <w:numId w:val="9"/>
        </w:numPr>
        <w:suppressAutoHyphens/>
        <w:autoSpaceDN w:val="0"/>
        <w:spacing w:after="0" w:line="360" w:lineRule="auto"/>
        <w:ind w:left="284"/>
        <w:jc w:val="both"/>
        <w:textAlignment w:val="baseline"/>
        <w:rPr>
          <w:rFonts w:ascii="Verdana" w:eastAsia="Times New Roman" w:hAnsi="Verdana"/>
          <w:color w:val="000000"/>
          <w:sz w:val="24"/>
          <w:szCs w:val="24"/>
          <w:lang w:eastAsia="pl-PL"/>
        </w:rPr>
      </w:pPr>
      <w:r w:rsidRPr="008F589B">
        <w:rPr>
          <w:rFonts w:ascii="Verdana" w:eastAsia="Times New Roman" w:hAnsi="Verdana"/>
          <w:color w:val="000000"/>
          <w:sz w:val="24"/>
          <w:szCs w:val="24"/>
          <w:lang w:eastAsia="pl-PL"/>
        </w:rPr>
        <w:t xml:space="preserve"> Brak wsparcia dla </w:t>
      </w:r>
      <w:proofErr w:type="spellStart"/>
      <w:r w:rsidRPr="008F589B">
        <w:rPr>
          <w:rFonts w:ascii="Verdana" w:eastAsia="Times New Roman" w:hAnsi="Verdana"/>
          <w:color w:val="000000"/>
          <w:sz w:val="24"/>
          <w:szCs w:val="24"/>
          <w:lang w:eastAsia="pl-PL"/>
        </w:rPr>
        <w:t>spalarnii</w:t>
      </w:r>
      <w:proofErr w:type="spellEnd"/>
      <w:r w:rsidRPr="008F589B">
        <w:rPr>
          <w:rFonts w:ascii="Verdana" w:eastAsia="Times New Roman" w:hAnsi="Verdana"/>
          <w:color w:val="000000"/>
          <w:sz w:val="24"/>
          <w:szCs w:val="24"/>
          <w:lang w:eastAsia="pl-PL"/>
        </w:rPr>
        <w:t xml:space="preserve"> odpadków na rzecz usprawnienia systemu selektywnej zbiórki i recyklingu odpadów</w:t>
      </w:r>
    </w:p>
    <w:p w14:paraId="7DA33EFA" w14:textId="71EF913E" w:rsidR="00E13817" w:rsidRPr="008F589B" w:rsidRDefault="00E13817" w:rsidP="008F589B">
      <w:pPr>
        <w:spacing w:line="360" w:lineRule="auto"/>
        <w:jc w:val="both"/>
        <w:rPr>
          <w:rFonts w:ascii="Verdana" w:eastAsia="Times New Roman" w:hAnsi="Verdana"/>
          <w:color w:val="000000"/>
          <w:szCs w:val="24"/>
        </w:rPr>
      </w:pPr>
      <w:r w:rsidRPr="008F589B">
        <w:rPr>
          <w:rFonts w:ascii="Verdana" w:eastAsia="Times New Roman" w:hAnsi="Verdana"/>
          <w:color w:val="000000"/>
          <w:szCs w:val="24"/>
          <w:u w:val="single"/>
        </w:rPr>
        <w:t>Uzasadnienie</w:t>
      </w:r>
      <w:r w:rsidRPr="008F589B">
        <w:rPr>
          <w:rFonts w:ascii="Verdana" w:eastAsia="Times New Roman" w:hAnsi="Verdana"/>
          <w:color w:val="000000"/>
          <w:szCs w:val="24"/>
        </w:rPr>
        <w:t>: Zwiększenia ilości spalanych odpadów komunalnych jest nie do przyjęcia zwłaszcza w sytuacji, gdy Polsce grozi nieosiągnięcie obligatoryjnych celów stojących wyżej w hierarchii postępowania z odpadami. Środki z KPO muszą być przeznaczone na usprawnieni</w:t>
      </w:r>
      <w:r w:rsidR="002B2525" w:rsidRPr="008F589B">
        <w:rPr>
          <w:rFonts w:ascii="Verdana" w:eastAsia="Times New Roman" w:hAnsi="Verdana"/>
          <w:color w:val="000000"/>
          <w:szCs w:val="24"/>
        </w:rPr>
        <w:t xml:space="preserve">e systemu selektywnej zbiórki </w:t>
      </w:r>
      <w:r w:rsidR="002B2525" w:rsidRPr="008F589B">
        <w:rPr>
          <w:rFonts w:ascii="Verdana" w:eastAsia="Times New Roman" w:hAnsi="Verdana"/>
          <w:color w:val="000000"/>
          <w:szCs w:val="24"/>
        </w:rPr>
        <w:lastRenderedPageBreak/>
        <w:t>i </w:t>
      </w:r>
      <w:r w:rsidRPr="008F589B">
        <w:rPr>
          <w:rFonts w:ascii="Verdana" w:eastAsia="Times New Roman" w:hAnsi="Verdana"/>
          <w:color w:val="000000"/>
          <w:szCs w:val="24"/>
        </w:rPr>
        <w:t>recyklingu odpadów, co będzie miało rzeczywisty, korzystny wpływ na redukcję emisji CO</w:t>
      </w:r>
      <w:r w:rsidRPr="008F589B">
        <w:rPr>
          <w:rFonts w:ascii="Verdana" w:eastAsia="Times New Roman" w:hAnsi="Verdana"/>
          <w:color w:val="000000"/>
          <w:szCs w:val="24"/>
          <w:vertAlign w:val="subscript"/>
        </w:rPr>
        <w:t>2</w:t>
      </w:r>
      <w:r w:rsidR="009445CF" w:rsidRPr="008F589B">
        <w:rPr>
          <w:rFonts w:ascii="Verdana" w:eastAsia="Times New Roman" w:hAnsi="Verdana"/>
          <w:color w:val="000000"/>
          <w:szCs w:val="24"/>
        </w:rPr>
        <w:t>.</w:t>
      </w:r>
    </w:p>
    <w:p w14:paraId="0EA3FF12" w14:textId="77777777" w:rsidR="009445CF" w:rsidRPr="008F589B" w:rsidRDefault="009445CF" w:rsidP="008F589B">
      <w:pPr>
        <w:spacing w:line="360" w:lineRule="auto"/>
        <w:jc w:val="both"/>
        <w:rPr>
          <w:rFonts w:ascii="Verdana" w:hAnsi="Verdana"/>
          <w:szCs w:val="24"/>
        </w:rPr>
      </w:pPr>
    </w:p>
    <w:p w14:paraId="7AB3F24E" w14:textId="77777777" w:rsidR="00E13817" w:rsidRPr="008F589B" w:rsidRDefault="00E13817" w:rsidP="008F589B">
      <w:pPr>
        <w:pStyle w:val="Akapitzlist"/>
        <w:numPr>
          <w:ilvl w:val="0"/>
          <w:numId w:val="9"/>
        </w:numPr>
        <w:suppressAutoHyphens/>
        <w:autoSpaceDN w:val="0"/>
        <w:spacing w:after="0" w:line="360" w:lineRule="auto"/>
        <w:ind w:left="284"/>
        <w:jc w:val="both"/>
        <w:textAlignment w:val="baseline"/>
        <w:rPr>
          <w:rFonts w:ascii="Verdana" w:eastAsia="Times New Roman" w:hAnsi="Verdana"/>
          <w:color w:val="000000"/>
          <w:sz w:val="24"/>
          <w:szCs w:val="24"/>
          <w:lang w:eastAsia="pl-PL"/>
        </w:rPr>
      </w:pPr>
      <w:r w:rsidRPr="008F589B">
        <w:rPr>
          <w:rFonts w:ascii="Verdana" w:eastAsia="Times New Roman" w:hAnsi="Verdana"/>
          <w:color w:val="000000"/>
          <w:sz w:val="24"/>
          <w:szCs w:val="24"/>
          <w:lang w:eastAsia="pl-PL"/>
        </w:rPr>
        <w:t xml:space="preserve"> Efektywność energetyczna powinna być konsekwentnie wdrażana we wszystkich sektorach gospodarki - wprowadzenie wskaźnika energochłonność.</w:t>
      </w:r>
    </w:p>
    <w:p w14:paraId="64639358" w14:textId="77777777" w:rsidR="00E13817" w:rsidRPr="008F589B" w:rsidRDefault="00E13817" w:rsidP="008F589B">
      <w:pPr>
        <w:pStyle w:val="Akapitzlist"/>
        <w:spacing w:after="0" w:line="360" w:lineRule="auto"/>
        <w:ind w:left="284"/>
        <w:jc w:val="both"/>
        <w:rPr>
          <w:rFonts w:ascii="Verdana" w:eastAsia="Times New Roman" w:hAnsi="Verdana"/>
          <w:color w:val="000000"/>
          <w:sz w:val="24"/>
          <w:szCs w:val="24"/>
          <w:lang w:eastAsia="pl-PL"/>
        </w:rPr>
      </w:pPr>
    </w:p>
    <w:p w14:paraId="5B187E4B" w14:textId="77777777" w:rsidR="00E13817" w:rsidRPr="008F589B" w:rsidRDefault="00E13817" w:rsidP="008F589B">
      <w:pPr>
        <w:pStyle w:val="Akapitzlist"/>
        <w:numPr>
          <w:ilvl w:val="0"/>
          <w:numId w:val="9"/>
        </w:numPr>
        <w:suppressAutoHyphens/>
        <w:autoSpaceDN w:val="0"/>
        <w:spacing w:after="0" w:line="360" w:lineRule="auto"/>
        <w:ind w:left="284"/>
        <w:jc w:val="both"/>
        <w:textAlignment w:val="baseline"/>
        <w:rPr>
          <w:rFonts w:ascii="Verdana" w:eastAsia="Times New Roman" w:hAnsi="Verdana"/>
          <w:color w:val="000000"/>
          <w:sz w:val="24"/>
          <w:szCs w:val="24"/>
          <w:lang w:eastAsia="pl-PL"/>
        </w:rPr>
      </w:pPr>
      <w:r w:rsidRPr="008F589B">
        <w:rPr>
          <w:rFonts w:ascii="Verdana" w:eastAsia="Times New Roman" w:hAnsi="Verdana"/>
          <w:color w:val="000000"/>
          <w:sz w:val="24"/>
          <w:szCs w:val="24"/>
          <w:lang w:eastAsia="pl-PL"/>
        </w:rPr>
        <w:t xml:space="preserve"> Rozwój sektora usług energetycznych, koncentrujących się na oszczędności energii</w:t>
      </w:r>
    </w:p>
    <w:p w14:paraId="55B1EF97" w14:textId="6D60E39E" w:rsidR="00E13817" w:rsidRPr="008F589B" w:rsidRDefault="00E13817" w:rsidP="008F589B">
      <w:pPr>
        <w:spacing w:line="360" w:lineRule="auto"/>
        <w:jc w:val="both"/>
        <w:rPr>
          <w:rFonts w:ascii="Verdana" w:hAnsi="Verdana"/>
          <w:szCs w:val="24"/>
        </w:rPr>
      </w:pPr>
      <w:r w:rsidRPr="008F589B">
        <w:rPr>
          <w:rFonts w:ascii="Verdana" w:eastAsia="Times New Roman" w:hAnsi="Verdana"/>
          <w:color w:val="000000"/>
          <w:szCs w:val="24"/>
          <w:u w:val="single"/>
        </w:rPr>
        <w:t>Uzasadnienie</w:t>
      </w:r>
      <w:r w:rsidRPr="008F589B">
        <w:rPr>
          <w:rFonts w:ascii="Verdana" w:eastAsia="Times New Roman" w:hAnsi="Verdana"/>
          <w:color w:val="000000"/>
          <w:szCs w:val="24"/>
        </w:rPr>
        <w:t xml:space="preserve">: Ta nowoczesna gałąź usług </w:t>
      </w:r>
      <w:r w:rsidR="008F589B">
        <w:rPr>
          <w:rFonts w:ascii="Verdana" w:eastAsia="Times New Roman" w:hAnsi="Verdana"/>
          <w:color w:val="000000"/>
          <w:szCs w:val="24"/>
        </w:rPr>
        <w:t>nie powstanie bez nowych kadr i </w:t>
      </w:r>
      <w:r w:rsidRPr="008F589B">
        <w:rPr>
          <w:rFonts w:ascii="Verdana" w:eastAsia="Times New Roman" w:hAnsi="Verdana"/>
          <w:color w:val="000000"/>
          <w:szCs w:val="24"/>
        </w:rPr>
        <w:t>zielonego światła dla samorządów gotowych podjąć się zadania. Bez tego, małe i średnie przedsiębiorstwa oraz gospodarstwa domowe nie  uzyskają łatwego dostępu do “rynku oszczędności energii”. A to stawia pod znakiem zapytania osiągnięcie przez Polskę deklarowanego wkładu w wysiłki UE na rzecz efektywności energetycznej. </w:t>
      </w:r>
    </w:p>
    <w:p w14:paraId="264166B9" w14:textId="77777777" w:rsidR="00E13817" w:rsidRPr="008F589B" w:rsidRDefault="00E13817" w:rsidP="008F589B">
      <w:pPr>
        <w:spacing w:line="360" w:lineRule="auto"/>
        <w:jc w:val="both"/>
        <w:rPr>
          <w:rFonts w:ascii="Verdana" w:hAnsi="Verdana"/>
          <w:szCs w:val="24"/>
        </w:rPr>
      </w:pPr>
    </w:p>
    <w:p w14:paraId="360E8C24" w14:textId="77777777" w:rsidR="00E13817" w:rsidRPr="008F589B" w:rsidRDefault="00E13817" w:rsidP="008F589B">
      <w:pPr>
        <w:pStyle w:val="Akapitzlist"/>
        <w:numPr>
          <w:ilvl w:val="0"/>
          <w:numId w:val="9"/>
        </w:numPr>
        <w:suppressAutoHyphens/>
        <w:autoSpaceDN w:val="0"/>
        <w:spacing w:after="0" w:line="360" w:lineRule="auto"/>
        <w:ind w:left="284"/>
        <w:jc w:val="both"/>
        <w:textAlignment w:val="baseline"/>
        <w:rPr>
          <w:rFonts w:ascii="Verdana" w:eastAsia="Times New Roman" w:hAnsi="Verdana"/>
          <w:color w:val="000000"/>
          <w:sz w:val="24"/>
          <w:szCs w:val="24"/>
          <w:lang w:eastAsia="pl-PL"/>
        </w:rPr>
      </w:pPr>
      <w:r w:rsidRPr="008F589B">
        <w:rPr>
          <w:rFonts w:ascii="Verdana" w:eastAsia="Times New Roman" w:hAnsi="Verdana"/>
          <w:color w:val="000000"/>
          <w:sz w:val="24"/>
          <w:szCs w:val="24"/>
          <w:lang w:eastAsia="pl-PL"/>
        </w:rPr>
        <w:t xml:space="preserve"> Uwzględnienie bioróżnorodności i zasady “nie czyń poważnych szkód”:</w:t>
      </w:r>
    </w:p>
    <w:p w14:paraId="67231F1C" w14:textId="77777777" w:rsidR="00E13817" w:rsidRPr="008F589B" w:rsidRDefault="00E13817" w:rsidP="008F589B">
      <w:pPr>
        <w:pStyle w:val="Akapitzlist"/>
        <w:spacing w:after="0" w:line="360" w:lineRule="auto"/>
        <w:ind w:left="0"/>
        <w:jc w:val="both"/>
        <w:rPr>
          <w:rFonts w:ascii="Verdana" w:hAnsi="Verdana"/>
          <w:sz w:val="24"/>
          <w:szCs w:val="24"/>
        </w:rPr>
      </w:pPr>
    </w:p>
    <w:p w14:paraId="496D73CD" w14:textId="77777777" w:rsidR="00E13817" w:rsidRPr="008F589B" w:rsidRDefault="00E13817" w:rsidP="008F589B">
      <w:pPr>
        <w:spacing w:line="360" w:lineRule="auto"/>
        <w:jc w:val="both"/>
        <w:rPr>
          <w:rFonts w:ascii="Verdana" w:hAnsi="Verdana"/>
          <w:szCs w:val="24"/>
        </w:rPr>
      </w:pPr>
      <w:r w:rsidRPr="008F589B">
        <w:rPr>
          <w:rFonts w:ascii="Verdana" w:eastAsia="Times New Roman" w:hAnsi="Verdana"/>
          <w:color w:val="000000"/>
          <w:szCs w:val="24"/>
        </w:rPr>
        <w:t>14.1 Poprawa zarządzania obszarami NATURA 2000</w:t>
      </w:r>
    </w:p>
    <w:p w14:paraId="07005844" w14:textId="77777777" w:rsidR="00E13817" w:rsidRPr="008F589B" w:rsidRDefault="00E13817" w:rsidP="008F589B">
      <w:pPr>
        <w:spacing w:line="360" w:lineRule="auto"/>
        <w:jc w:val="both"/>
        <w:rPr>
          <w:rFonts w:ascii="Verdana" w:hAnsi="Verdana"/>
          <w:szCs w:val="24"/>
        </w:rPr>
      </w:pPr>
      <w:r w:rsidRPr="008F589B">
        <w:rPr>
          <w:rFonts w:ascii="Verdana" w:eastAsia="Times New Roman" w:hAnsi="Verdana"/>
          <w:color w:val="000000"/>
          <w:szCs w:val="24"/>
        </w:rPr>
        <w:t>14.2 Reformy dotyczące zachowania różnorodności biologicznej</w:t>
      </w:r>
    </w:p>
    <w:p w14:paraId="3346E58C" w14:textId="34DA0E44" w:rsidR="00E13817" w:rsidRPr="008F589B" w:rsidRDefault="00E13817" w:rsidP="008F589B">
      <w:pPr>
        <w:spacing w:line="360" w:lineRule="auto"/>
        <w:jc w:val="both"/>
        <w:rPr>
          <w:rFonts w:ascii="Verdana" w:hAnsi="Verdana"/>
          <w:szCs w:val="24"/>
        </w:rPr>
      </w:pPr>
      <w:r w:rsidRPr="008F589B">
        <w:rPr>
          <w:rFonts w:ascii="Verdana" w:eastAsia="Times New Roman" w:hAnsi="Verdana"/>
          <w:color w:val="000000"/>
          <w:szCs w:val="24"/>
          <w:u w:val="single"/>
        </w:rPr>
        <w:t>Uzasadnienie</w:t>
      </w:r>
      <w:r w:rsidRPr="008F589B">
        <w:rPr>
          <w:rFonts w:ascii="Verdana" w:eastAsia="Times New Roman" w:hAnsi="Verdana"/>
          <w:color w:val="000000"/>
          <w:szCs w:val="24"/>
        </w:rPr>
        <w:t>: W unijnym rozporządzeniu, ustanawiającym Fundusz Odbudowy sporo miejsca poświęcone jest ochronie bioróżnorodności. Niestety w projekcie KPO nie znajdziemy na ten temat ani słowa. N</w:t>
      </w:r>
      <w:r w:rsidR="009445CF" w:rsidRPr="008F589B">
        <w:rPr>
          <w:rFonts w:ascii="Verdana" w:eastAsia="Times New Roman" w:hAnsi="Verdana"/>
          <w:color w:val="000000"/>
          <w:szCs w:val="24"/>
        </w:rPr>
        <w:t>ie znajdziemy w </w:t>
      </w:r>
      <w:r w:rsidRPr="008F589B">
        <w:rPr>
          <w:rFonts w:ascii="Verdana" w:eastAsia="Times New Roman" w:hAnsi="Verdana"/>
          <w:color w:val="000000"/>
          <w:szCs w:val="24"/>
        </w:rPr>
        <w:t xml:space="preserve">nim propozycji poprawiających nienajlepsze zarządzanie obszarami Natura 2000. W projekcie brakuje też tzw. </w:t>
      </w:r>
      <w:proofErr w:type="spellStart"/>
      <w:r w:rsidRPr="008F589B">
        <w:rPr>
          <w:rFonts w:ascii="Verdana" w:eastAsia="Times New Roman" w:hAnsi="Verdana"/>
          <w:color w:val="000000"/>
          <w:szCs w:val="24"/>
        </w:rPr>
        <w:t>nature-based</w:t>
      </w:r>
      <w:proofErr w:type="spellEnd"/>
      <w:r w:rsidRPr="008F589B">
        <w:rPr>
          <w:rFonts w:ascii="Verdana" w:eastAsia="Times New Roman" w:hAnsi="Verdana"/>
          <w:color w:val="000000"/>
          <w:szCs w:val="24"/>
        </w:rPr>
        <w:t xml:space="preserve"> </w:t>
      </w:r>
      <w:proofErr w:type="spellStart"/>
      <w:r w:rsidRPr="008F589B">
        <w:rPr>
          <w:rFonts w:ascii="Verdana" w:eastAsia="Times New Roman" w:hAnsi="Verdana"/>
          <w:color w:val="000000"/>
          <w:szCs w:val="24"/>
        </w:rPr>
        <w:t>solutions</w:t>
      </w:r>
      <w:proofErr w:type="spellEnd"/>
      <w:r w:rsidRPr="008F589B">
        <w:rPr>
          <w:rFonts w:ascii="Verdana" w:eastAsia="Times New Roman" w:hAnsi="Verdana"/>
          <w:color w:val="000000"/>
          <w:szCs w:val="24"/>
        </w:rPr>
        <w:t>, czyli rozwi</w:t>
      </w:r>
      <w:r w:rsidRPr="008F589B">
        <w:rPr>
          <w:rFonts w:ascii="Verdana" w:eastAsia="Times New Roman" w:hAnsi="Verdana" w:cs="Verdana"/>
          <w:color w:val="000000"/>
          <w:szCs w:val="24"/>
        </w:rPr>
        <w:t>ą</w:t>
      </w:r>
      <w:r w:rsidRPr="008F589B">
        <w:rPr>
          <w:rFonts w:ascii="Verdana" w:eastAsia="Times New Roman" w:hAnsi="Verdana"/>
          <w:color w:val="000000"/>
          <w:szCs w:val="24"/>
        </w:rPr>
        <w:t>za</w:t>
      </w:r>
      <w:r w:rsidRPr="008F589B">
        <w:rPr>
          <w:rFonts w:ascii="Verdana" w:eastAsia="Times New Roman" w:hAnsi="Verdana" w:cs="Verdana"/>
          <w:color w:val="000000"/>
          <w:szCs w:val="24"/>
        </w:rPr>
        <w:t>ń</w:t>
      </w:r>
      <w:r w:rsidRPr="008F589B">
        <w:rPr>
          <w:rFonts w:ascii="Verdana" w:eastAsia="Times New Roman" w:hAnsi="Verdana"/>
          <w:color w:val="000000"/>
          <w:szCs w:val="24"/>
        </w:rPr>
        <w:t xml:space="preserve"> opartych na przyrodzie i jej naturalnych mechanizmach. Pr</w:t>
      </w:r>
      <w:r w:rsidRPr="008F589B">
        <w:rPr>
          <w:rFonts w:ascii="Verdana" w:eastAsia="Times New Roman" w:hAnsi="Verdana" w:cs="Verdana"/>
          <w:color w:val="000000"/>
          <w:szCs w:val="24"/>
        </w:rPr>
        <w:t>óż</w:t>
      </w:r>
      <w:r w:rsidRPr="008F589B">
        <w:rPr>
          <w:rFonts w:ascii="Verdana" w:eastAsia="Times New Roman" w:hAnsi="Verdana"/>
          <w:color w:val="000000"/>
          <w:szCs w:val="24"/>
        </w:rPr>
        <w:t>no w nim szuka</w:t>
      </w:r>
      <w:r w:rsidRPr="008F589B">
        <w:rPr>
          <w:rFonts w:ascii="Verdana" w:eastAsia="Times New Roman" w:hAnsi="Verdana" w:cs="Verdana"/>
          <w:color w:val="000000"/>
          <w:szCs w:val="24"/>
        </w:rPr>
        <w:t>ć</w:t>
      </w:r>
      <w:r w:rsidRPr="008F589B">
        <w:rPr>
          <w:rFonts w:ascii="Verdana" w:eastAsia="Times New Roman" w:hAnsi="Verdana"/>
          <w:color w:val="000000"/>
          <w:szCs w:val="24"/>
        </w:rPr>
        <w:t xml:space="preserve"> r</w:t>
      </w:r>
      <w:r w:rsidRPr="008F589B">
        <w:rPr>
          <w:rFonts w:ascii="Verdana" w:eastAsia="Times New Roman" w:hAnsi="Verdana" w:cs="Verdana"/>
          <w:color w:val="000000"/>
          <w:szCs w:val="24"/>
        </w:rPr>
        <w:t>ó</w:t>
      </w:r>
      <w:r w:rsidRPr="008F589B">
        <w:rPr>
          <w:rFonts w:ascii="Verdana" w:eastAsia="Times New Roman" w:hAnsi="Verdana"/>
          <w:color w:val="000000"/>
          <w:szCs w:val="24"/>
        </w:rPr>
        <w:t>wnie</w:t>
      </w:r>
      <w:r w:rsidRPr="008F589B">
        <w:rPr>
          <w:rFonts w:ascii="Verdana" w:eastAsia="Times New Roman" w:hAnsi="Verdana" w:cs="Verdana"/>
          <w:color w:val="000000"/>
          <w:szCs w:val="24"/>
        </w:rPr>
        <w:t>ż</w:t>
      </w:r>
      <w:r w:rsidRPr="008F589B">
        <w:rPr>
          <w:rFonts w:ascii="Verdana" w:eastAsia="Times New Roman" w:hAnsi="Verdana"/>
          <w:color w:val="000000"/>
          <w:szCs w:val="24"/>
        </w:rPr>
        <w:t xml:space="preserve"> propozycji kompleksowych reform dotycz</w:t>
      </w:r>
      <w:r w:rsidRPr="008F589B">
        <w:rPr>
          <w:rFonts w:ascii="Verdana" w:eastAsia="Times New Roman" w:hAnsi="Verdana" w:cs="Verdana"/>
          <w:color w:val="000000"/>
          <w:szCs w:val="24"/>
        </w:rPr>
        <w:t>ą</w:t>
      </w:r>
      <w:r w:rsidRPr="008F589B">
        <w:rPr>
          <w:rFonts w:ascii="Verdana" w:eastAsia="Times New Roman" w:hAnsi="Verdana"/>
          <w:color w:val="000000"/>
          <w:szCs w:val="24"/>
        </w:rPr>
        <w:t>cych zachowania różnorodności biologicznej. W KPO znajdziemy wprawdzie p</w:t>
      </w:r>
      <w:r w:rsidR="009445CF" w:rsidRPr="008F589B">
        <w:rPr>
          <w:rFonts w:ascii="Verdana" w:eastAsia="Times New Roman" w:hAnsi="Verdana"/>
          <w:color w:val="000000"/>
          <w:szCs w:val="24"/>
        </w:rPr>
        <w:t>lany zakładania łąk kwietnych i </w:t>
      </w:r>
      <w:r w:rsidRPr="008F589B">
        <w:rPr>
          <w:rFonts w:ascii="Verdana" w:eastAsia="Times New Roman" w:hAnsi="Verdana"/>
          <w:color w:val="000000"/>
          <w:szCs w:val="24"/>
        </w:rPr>
        <w:t xml:space="preserve">podobne </w:t>
      </w:r>
      <w:proofErr w:type="spellStart"/>
      <w:r w:rsidRPr="008F589B">
        <w:rPr>
          <w:rFonts w:ascii="Verdana" w:eastAsia="Times New Roman" w:hAnsi="Verdana"/>
          <w:color w:val="000000"/>
          <w:szCs w:val="24"/>
        </w:rPr>
        <w:t>nature-based</w:t>
      </w:r>
      <w:proofErr w:type="spellEnd"/>
      <w:r w:rsidRPr="008F589B">
        <w:rPr>
          <w:rFonts w:ascii="Verdana" w:eastAsia="Times New Roman" w:hAnsi="Verdana"/>
          <w:color w:val="000000"/>
          <w:szCs w:val="24"/>
        </w:rPr>
        <w:t xml:space="preserve"> </w:t>
      </w:r>
      <w:proofErr w:type="spellStart"/>
      <w:r w:rsidRPr="008F589B">
        <w:rPr>
          <w:rFonts w:ascii="Verdana" w:eastAsia="Times New Roman" w:hAnsi="Verdana"/>
          <w:color w:val="000000"/>
          <w:szCs w:val="24"/>
        </w:rPr>
        <w:t>solutions</w:t>
      </w:r>
      <w:proofErr w:type="spellEnd"/>
      <w:r w:rsidRPr="008F589B">
        <w:rPr>
          <w:rFonts w:ascii="Verdana" w:eastAsia="Times New Roman" w:hAnsi="Verdana"/>
          <w:color w:val="000000"/>
          <w:szCs w:val="24"/>
        </w:rPr>
        <w:t xml:space="preserve"> dla miast, ale są one zepchnięte gdzieś na margines planu. Zdaje się on w ogóle nie zauważać głównych czynników utraty różnorodności biologicznej w Polsce, czyli zanikania siedlisk i korytarzy ekologicznych oraz nadmiernej eksploatacji zasobów przyrodniczych. Autorzy </w:t>
      </w:r>
      <w:r w:rsidRPr="008F589B">
        <w:rPr>
          <w:rFonts w:ascii="Verdana" w:eastAsia="Times New Roman" w:hAnsi="Verdana"/>
          <w:color w:val="000000"/>
          <w:szCs w:val="24"/>
        </w:rPr>
        <w:lastRenderedPageBreak/>
        <w:t xml:space="preserve">projektu z góry przyjęli założenie, że wszystkie reformy i inwestycje, które proponują w KPO przyczyniają się do ochrony bioróżnorodności i nie czynią poważnych szkód przyrodzie. </w:t>
      </w:r>
      <w:r w:rsidRPr="008F589B">
        <w:rPr>
          <w:rFonts w:ascii="Verdana" w:eastAsia="Times New Roman" w:hAnsi="Verdana"/>
          <w:b/>
          <w:bCs/>
          <w:color w:val="000000"/>
          <w:szCs w:val="24"/>
        </w:rPr>
        <w:t>Wytyczne techniczne Komisji Europejskiej natomiast jasno wskazują, że oc</w:t>
      </w:r>
      <w:r w:rsidR="009445CF" w:rsidRPr="008F589B">
        <w:rPr>
          <w:rFonts w:ascii="Verdana" w:eastAsia="Times New Roman" w:hAnsi="Verdana"/>
          <w:b/>
          <w:bCs/>
          <w:color w:val="000000"/>
          <w:szCs w:val="24"/>
        </w:rPr>
        <w:t>enę taką należy przeprowadzić i </w:t>
      </w:r>
      <w:r w:rsidRPr="008F589B">
        <w:rPr>
          <w:rFonts w:ascii="Verdana" w:eastAsia="Times New Roman" w:hAnsi="Verdana"/>
          <w:b/>
          <w:bCs/>
          <w:color w:val="000000"/>
          <w:szCs w:val="24"/>
        </w:rPr>
        <w:t xml:space="preserve">udokumentować osobno dla każdej inwestycji i reformy. </w:t>
      </w:r>
      <w:r w:rsidRPr="008F589B">
        <w:rPr>
          <w:rFonts w:ascii="Verdana" w:eastAsia="Times New Roman" w:hAnsi="Verdana"/>
          <w:color w:val="000000"/>
          <w:szCs w:val="24"/>
        </w:rPr>
        <w:t xml:space="preserve">KPO nie poświęca również dostatecznej uwagi adaptacji do zmian klimatu, w tym ekonomicznym skutkom narastającego problemu suszy, wspomnianej wyżej ochronie bioróżnorodności i naturalnym pochłaniaczom dwutlenku węgla, takim jak lasy. W projekcie nie zawarto żadnych reform służących ochronie gatunków, ekosystemów, korytarzy ekologicznych, ani żadnych pomysłów dotyczących wzmocnienia ochrony czy powiększenia obszarów chronionych. Wręcz przeciwnie; niektóre z proponowanych rozwiązań osłabiają prawodawstwo w dziedzinie ochrony środowiska. W programie przewidziano np. przyjęcie specjalnej ustawy o inwestycjach </w:t>
      </w:r>
      <w:proofErr w:type="spellStart"/>
      <w:r w:rsidRPr="008F589B">
        <w:rPr>
          <w:rFonts w:ascii="Verdana" w:eastAsia="Times New Roman" w:hAnsi="Verdana"/>
          <w:color w:val="000000"/>
          <w:szCs w:val="24"/>
        </w:rPr>
        <w:t>przeciwsuszowych</w:t>
      </w:r>
      <w:proofErr w:type="spellEnd"/>
      <w:r w:rsidRPr="008F589B">
        <w:rPr>
          <w:rFonts w:ascii="Verdana" w:eastAsia="Times New Roman" w:hAnsi="Verdana"/>
          <w:color w:val="000000"/>
          <w:szCs w:val="24"/>
        </w:rPr>
        <w:t xml:space="preserve">, której projekt zaproponowany został przez rząd w sierpniu ubiegłego roku. Zawiera on nowe przepisy zagrażające ochronie bioróżnorodności i zasobów wodnych Polski. Ustawa o inwestycjach </w:t>
      </w:r>
      <w:proofErr w:type="spellStart"/>
      <w:r w:rsidRPr="008F589B">
        <w:rPr>
          <w:rFonts w:ascii="Verdana" w:eastAsia="Times New Roman" w:hAnsi="Verdana"/>
          <w:color w:val="000000"/>
          <w:szCs w:val="24"/>
        </w:rPr>
        <w:t>przeciwsuszowych</w:t>
      </w:r>
      <w:proofErr w:type="spellEnd"/>
      <w:r w:rsidRPr="008F589B">
        <w:rPr>
          <w:rFonts w:ascii="Verdana" w:eastAsia="Times New Roman" w:hAnsi="Verdana"/>
          <w:color w:val="000000"/>
          <w:szCs w:val="24"/>
        </w:rPr>
        <w:t xml:space="preserve"> upraszcza procedury inwestycyjne dla określonych przedsięwzięć związanych z obiektami wodnymi, w szczególności ze zbiornikami retencyjn</w:t>
      </w:r>
      <w:r w:rsidR="009445CF" w:rsidRPr="008F589B">
        <w:rPr>
          <w:rFonts w:ascii="Verdana" w:eastAsia="Times New Roman" w:hAnsi="Verdana"/>
          <w:color w:val="000000"/>
          <w:szCs w:val="24"/>
        </w:rPr>
        <w:t>ymi w Niepołomicach na Wiśle, w </w:t>
      </w:r>
      <w:r w:rsidRPr="008F589B">
        <w:rPr>
          <w:rFonts w:ascii="Verdana" w:eastAsia="Times New Roman" w:hAnsi="Verdana"/>
          <w:color w:val="000000"/>
          <w:szCs w:val="24"/>
        </w:rPr>
        <w:t>Ścinawie i Lubiążu na Odrze oraz w Piszu na Pisie. Jej sednem jest ułatwienie Wodom Polskim uzyskiwania pozwoleń na nowe zapory, stopnie wodne i sztuczne zbiorniki. Projekt zakłada prymat przepisów specustawy nad ustawą o ochronie przyrody. Znacząco ułatwia to ingerencję w obszary chronione, m.in. umożliwiając budowę inf</w:t>
      </w:r>
      <w:r w:rsidR="009445CF" w:rsidRPr="008F589B">
        <w:rPr>
          <w:rFonts w:ascii="Verdana" w:eastAsia="Times New Roman" w:hAnsi="Verdana"/>
          <w:color w:val="000000"/>
          <w:szCs w:val="24"/>
        </w:rPr>
        <w:t>rastruktury hydrotechnicznej w </w:t>
      </w:r>
      <w:r w:rsidRPr="008F589B">
        <w:rPr>
          <w:rFonts w:ascii="Verdana" w:eastAsia="Times New Roman" w:hAnsi="Verdana"/>
          <w:color w:val="000000"/>
          <w:szCs w:val="24"/>
        </w:rPr>
        <w:t>rezerwatach przyrody. Te błędy KPO można jednak łatwo naprawić. Zacząć należy od wzmocnienia ochrony lasów, a także rzek i dolin rzecznych oraz przywrócenia ich do stanu naturalnego. Takie środki zostały zaproponowane przez grupę organizacji pozarządowych zaj</w:t>
      </w:r>
      <w:r w:rsidR="009445CF" w:rsidRPr="008F589B">
        <w:rPr>
          <w:rFonts w:ascii="Verdana" w:eastAsia="Times New Roman" w:hAnsi="Verdana"/>
          <w:color w:val="000000"/>
          <w:szCs w:val="24"/>
        </w:rPr>
        <w:t>mujących się ochroną przyrody i </w:t>
      </w:r>
      <w:r w:rsidRPr="008F589B">
        <w:rPr>
          <w:rFonts w:ascii="Verdana" w:eastAsia="Times New Roman" w:hAnsi="Verdana"/>
          <w:color w:val="000000"/>
          <w:szCs w:val="24"/>
        </w:rPr>
        <w:t>mogą być łatwo włączone do KPO. Są to:</w:t>
      </w:r>
    </w:p>
    <w:p w14:paraId="41E0F238" w14:textId="0B775E2B" w:rsidR="00E13817" w:rsidRPr="008F589B" w:rsidRDefault="00E13817" w:rsidP="008F589B">
      <w:pPr>
        <w:numPr>
          <w:ilvl w:val="0"/>
          <w:numId w:val="11"/>
        </w:numPr>
        <w:suppressAutoHyphens/>
        <w:autoSpaceDN w:val="0"/>
        <w:spacing w:line="360" w:lineRule="auto"/>
        <w:jc w:val="both"/>
        <w:textAlignment w:val="baseline"/>
        <w:rPr>
          <w:rFonts w:ascii="Verdana" w:eastAsia="Times New Roman" w:hAnsi="Verdana"/>
          <w:color w:val="000000"/>
          <w:szCs w:val="24"/>
        </w:rPr>
      </w:pPr>
      <w:r w:rsidRPr="008F589B">
        <w:rPr>
          <w:rFonts w:ascii="Verdana" w:eastAsia="Times New Roman" w:hAnsi="Verdana"/>
          <w:color w:val="000000"/>
          <w:szCs w:val="24"/>
        </w:rPr>
        <w:t>reformy legislacyjne w celu usunięcia niezgodności z prawem UE (dotyczy:, specustaw inwestycyjnych, Ustawy o lasach, Prawa Wodnego)</w:t>
      </w:r>
      <w:r w:rsidR="008F589B">
        <w:rPr>
          <w:rFonts w:ascii="Verdana" w:eastAsia="Times New Roman" w:hAnsi="Verdana"/>
          <w:color w:val="000000"/>
          <w:szCs w:val="24"/>
        </w:rPr>
        <w:t>,</w:t>
      </w:r>
    </w:p>
    <w:p w14:paraId="6DB91752" w14:textId="24108FAF" w:rsidR="00E13817" w:rsidRPr="008F589B" w:rsidRDefault="00E13817" w:rsidP="008F589B">
      <w:pPr>
        <w:numPr>
          <w:ilvl w:val="0"/>
          <w:numId w:val="11"/>
        </w:numPr>
        <w:suppressAutoHyphens/>
        <w:autoSpaceDN w:val="0"/>
        <w:spacing w:line="360" w:lineRule="auto"/>
        <w:jc w:val="both"/>
        <w:textAlignment w:val="baseline"/>
        <w:rPr>
          <w:rFonts w:ascii="Verdana" w:eastAsia="Times New Roman" w:hAnsi="Verdana"/>
          <w:color w:val="000000"/>
          <w:szCs w:val="24"/>
        </w:rPr>
      </w:pPr>
      <w:r w:rsidRPr="008F589B">
        <w:rPr>
          <w:rFonts w:ascii="Verdana" w:eastAsia="Times New Roman" w:hAnsi="Verdana"/>
          <w:color w:val="000000"/>
          <w:szCs w:val="24"/>
        </w:rPr>
        <w:lastRenderedPageBreak/>
        <w:t xml:space="preserve">wdrożenie Programu </w:t>
      </w:r>
      <w:proofErr w:type="spellStart"/>
      <w:r w:rsidRPr="008F589B">
        <w:rPr>
          <w:rFonts w:ascii="Verdana" w:eastAsia="Times New Roman" w:hAnsi="Verdana"/>
          <w:color w:val="000000"/>
          <w:szCs w:val="24"/>
        </w:rPr>
        <w:t>Renaturyzacji</w:t>
      </w:r>
      <w:proofErr w:type="spellEnd"/>
      <w:r w:rsidRPr="008F589B">
        <w:rPr>
          <w:rFonts w:ascii="Verdana" w:eastAsia="Times New Roman" w:hAnsi="Verdana"/>
          <w:color w:val="000000"/>
          <w:szCs w:val="24"/>
        </w:rPr>
        <w:t xml:space="preserve"> Wód Powierzchniowych</w:t>
      </w:r>
      <w:r w:rsidR="008F589B">
        <w:rPr>
          <w:rFonts w:ascii="Verdana" w:eastAsia="Times New Roman" w:hAnsi="Verdana"/>
          <w:color w:val="000000"/>
          <w:szCs w:val="24"/>
        </w:rPr>
        <w:t>,</w:t>
      </w:r>
    </w:p>
    <w:p w14:paraId="70C0A1D7" w14:textId="7802D09C" w:rsidR="00E13817" w:rsidRPr="008F589B" w:rsidRDefault="00E13817" w:rsidP="008F589B">
      <w:pPr>
        <w:numPr>
          <w:ilvl w:val="0"/>
          <w:numId w:val="11"/>
        </w:numPr>
        <w:suppressAutoHyphens/>
        <w:autoSpaceDN w:val="0"/>
        <w:spacing w:line="360" w:lineRule="auto"/>
        <w:jc w:val="both"/>
        <w:textAlignment w:val="baseline"/>
        <w:rPr>
          <w:rFonts w:ascii="Verdana" w:eastAsia="Times New Roman" w:hAnsi="Verdana"/>
          <w:color w:val="000000"/>
          <w:szCs w:val="24"/>
        </w:rPr>
      </w:pPr>
      <w:r w:rsidRPr="008F589B">
        <w:rPr>
          <w:rFonts w:ascii="Verdana" w:eastAsia="Times New Roman" w:hAnsi="Verdana"/>
          <w:color w:val="000000"/>
          <w:szCs w:val="24"/>
        </w:rPr>
        <w:t>zmiany w Planie Przeciwdziałania Skutkom Suszy</w:t>
      </w:r>
      <w:r w:rsidR="008F589B">
        <w:rPr>
          <w:rFonts w:ascii="Verdana" w:eastAsia="Times New Roman" w:hAnsi="Verdana"/>
          <w:color w:val="000000"/>
          <w:szCs w:val="24"/>
        </w:rPr>
        <w:t>.</w:t>
      </w:r>
    </w:p>
    <w:p w14:paraId="290DBB74" w14:textId="73E21EDB" w:rsidR="00E13817" w:rsidRPr="008F589B" w:rsidRDefault="00E13817" w:rsidP="008F589B">
      <w:pPr>
        <w:spacing w:line="360" w:lineRule="auto"/>
        <w:jc w:val="both"/>
        <w:rPr>
          <w:rFonts w:ascii="Verdana" w:eastAsia="Times New Roman" w:hAnsi="Verdana"/>
          <w:color w:val="000000"/>
          <w:szCs w:val="24"/>
        </w:rPr>
      </w:pPr>
      <w:r w:rsidRPr="008F589B">
        <w:rPr>
          <w:rFonts w:ascii="Verdana" w:eastAsia="Times New Roman" w:hAnsi="Verdana"/>
          <w:color w:val="000000"/>
          <w:szCs w:val="24"/>
        </w:rPr>
        <w:t xml:space="preserve">Z projektu KPO powinno zostać wykreślone przyjęcie tzw. specustawy suszowej, której zapisy jeszcze bardziej osłabiłyby ochronę bioróżnorodności w Polsce, nie przynosząc jednocześnie poprawy w obszarze przeciwdziałania suszy. </w:t>
      </w:r>
      <w:r w:rsidRPr="008F589B">
        <w:rPr>
          <w:rFonts w:ascii="Verdana" w:eastAsia="Times New Roman" w:hAnsi="Verdana"/>
          <w:b/>
          <w:bCs/>
          <w:color w:val="000000"/>
          <w:szCs w:val="24"/>
        </w:rPr>
        <w:t xml:space="preserve">KPO powinno zagwarantować, że żadne inwestycje infrastrukturalne w obszarach transportu i energetyki nie będą realizowane z pominięciem (np. za pomocą kolejnej specustawy) obowiązujących regulacji polskich i unijnych lub zasady "nie czyń poważnych szkód", a także, że inwestycje te uwzględnią ocenę  prognozowanych skutków zdrowotnych proponowanych działań dla społeczności lokalnych lub/i całości społeczeństwa. </w:t>
      </w:r>
      <w:r w:rsidRPr="008F589B">
        <w:rPr>
          <w:rFonts w:ascii="Verdana" w:eastAsia="Times New Roman" w:hAnsi="Verdana"/>
          <w:color w:val="000000"/>
          <w:szCs w:val="24"/>
        </w:rPr>
        <w:t xml:space="preserve">Miasta i aglomeracje winny </w:t>
      </w:r>
      <w:r w:rsidR="008F589B" w:rsidRPr="008F589B">
        <w:rPr>
          <w:rFonts w:ascii="Verdana" w:eastAsia="Times New Roman" w:hAnsi="Verdana"/>
          <w:color w:val="000000"/>
          <w:szCs w:val="24"/>
        </w:rPr>
        <w:t>zaplanować</w:t>
      </w:r>
      <w:r w:rsidRPr="008F589B">
        <w:rPr>
          <w:rFonts w:ascii="Verdana" w:eastAsia="Times New Roman" w:hAnsi="Verdana"/>
          <w:color w:val="000000"/>
          <w:szCs w:val="24"/>
        </w:rPr>
        <w:t xml:space="preserve">́ </w:t>
      </w:r>
      <w:r w:rsidR="008F589B" w:rsidRPr="008F589B">
        <w:rPr>
          <w:rFonts w:ascii="Verdana" w:eastAsia="Times New Roman" w:hAnsi="Verdana"/>
          <w:color w:val="000000"/>
          <w:szCs w:val="24"/>
        </w:rPr>
        <w:t>spójne</w:t>
      </w:r>
      <w:r w:rsidRPr="008F589B">
        <w:rPr>
          <w:rFonts w:ascii="Verdana" w:eastAsia="Times New Roman" w:hAnsi="Verdana"/>
          <w:color w:val="000000"/>
          <w:szCs w:val="24"/>
        </w:rPr>
        <w:t xml:space="preserve">, </w:t>
      </w:r>
      <w:r w:rsidR="008F589B" w:rsidRPr="008F589B">
        <w:rPr>
          <w:rFonts w:ascii="Verdana" w:eastAsia="Times New Roman" w:hAnsi="Verdana"/>
          <w:color w:val="000000"/>
          <w:szCs w:val="24"/>
        </w:rPr>
        <w:t>całościowe</w:t>
      </w:r>
      <w:r w:rsidRPr="008F589B">
        <w:rPr>
          <w:rFonts w:ascii="Verdana" w:eastAsia="Times New Roman" w:hAnsi="Verdana"/>
          <w:color w:val="000000"/>
          <w:szCs w:val="24"/>
        </w:rPr>
        <w:t xml:space="preserve"> systemy transportu publicznego (szynowego i kołowego – </w:t>
      </w:r>
      <w:r w:rsidR="008F589B" w:rsidRPr="008F589B">
        <w:rPr>
          <w:rFonts w:ascii="Verdana" w:eastAsia="Times New Roman" w:hAnsi="Verdana"/>
          <w:color w:val="000000"/>
          <w:szCs w:val="24"/>
        </w:rPr>
        <w:t>również</w:t>
      </w:r>
      <w:r w:rsidRPr="008F589B">
        <w:rPr>
          <w:rFonts w:ascii="Arial" w:eastAsia="Times New Roman" w:hAnsi="Arial" w:cs="Arial"/>
          <w:color w:val="000000"/>
          <w:szCs w:val="24"/>
        </w:rPr>
        <w:t>̇</w:t>
      </w:r>
      <w:r w:rsidRPr="008F589B">
        <w:rPr>
          <w:rFonts w:ascii="Verdana" w:eastAsia="Times New Roman" w:hAnsi="Verdana"/>
          <w:color w:val="000000"/>
          <w:szCs w:val="24"/>
        </w:rPr>
        <w:t xml:space="preserve"> z wykorzystaniem </w:t>
      </w:r>
      <w:r w:rsidR="008F589B" w:rsidRPr="008F589B">
        <w:rPr>
          <w:rFonts w:ascii="Verdana" w:eastAsia="Times New Roman" w:hAnsi="Verdana"/>
          <w:color w:val="000000"/>
          <w:szCs w:val="24"/>
        </w:rPr>
        <w:t>istnieją</w:t>
      </w:r>
      <w:r w:rsidR="008F589B" w:rsidRPr="008F589B">
        <w:rPr>
          <w:rFonts w:ascii="Arial" w:eastAsia="Times New Roman" w:hAnsi="Arial" w:cs="Arial"/>
          <w:color w:val="000000"/>
          <w:szCs w:val="24"/>
        </w:rPr>
        <w:t>c</w:t>
      </w:r>
      <w:r w:rsidR="008F589B" w:rsidRPr="008F589B">
        <w:rPr>
          <w:rFonts w:ascii="Verdana" w:eastAsia="Times New Roman" w:hAnsi="Verdana"/>
          <w:color w:val="000000"/>
          <w:szCs w:val="24"/>
        </w:rPr>
        <w:t>ej</w:t>
      </w:r>
      <w:r w:rsidRPr="008F589B">
        <w:rPr>
          <w:rFonts w:ascii="Verdana" w:eastAsia="Times New Roman" w:hAnsi="Verdana"/>
          <w:color w:val="000000"/>
          <w:szCs w:val="24"/>
        </w:rPr>
        <w:t xml:space="preserve"> infrastruktury PKP), uzupełnionego promocja</w:t>
      </w:r>
      <w:r w:rsidRPr="008F589B">
        <w:rPr>
          <w:rFonts w:ascii="Arial" w:eastAsia="Times New Roman" w:hAnsi="Arial" w:cs="Arial"/>
          <w:color w:val="000000"/>
          <w:szCs w:val="24"/>
        </w:rPr>
        <w:t>̨</w:t>
      </w:r>
      <w:r w:rsidRPr="008F589B">
        <w:rPr>
          <w:rFonts w:ascii="Verdana" w:eastAsia="Times New Roman" w:hAnsi="Verdana"/>
          <w:color w:val="000000"/>
          <w:szCs w:val="24"/>
        </w:rPr>
        <w:t xml:space="preserve"> ruchu i </w:t>
      </w:r>
      <w:r w:rsidR="008F589B" w:rsidRPr="008F589B">
        <w:rPr>
          <w:rFonts w:ascii="Verdana" w:eastAsia="Times New Roman" w:hAnsi="Verdana"/>
          <w:color w:val="000000"/>
          <w:szCs w:val="24"/>
        </w:rPr>
        <w:t>ścieże</w:t>
      </w:r>
      <w:r w:rsidR="008F589B" w:rsidRPr="008F589B">
        <w:rPr>
          <w:rFonts w:ascii="Arial" w:eastAsia="Times New Roman" w:hAnsi="Arial" w:cs="Arial"/>
          <w:color w:val="000000"/>
          <w:szCs w:val="24"/>
        </w:rPr>
        <w:t>k</w:t>
      </w:r>
      <w:r w:rsidRPr="008F589B">
        <w:rPr>
          <w:rFonts w:ascii="Verdana" w:eastAsia="Times New Roman" w:hAnsi="Verdana"/>
          <w:color w:val="000000"/>
          <w:szCs w:val="24"/>
        </w:rPr>
        <w:t xml:space="preserve"> rowerowych. Pojazd indywidualny (</w:t>
      </w:r>
      <w:r w:rsidR="008F589B" w:rsidRPr="008F589B">
        <w:rPr>
          <w:rFonts w:ascii="Verdana" w:eastAsia="Times New Roman" w:hAnsi="Verdana"/>
          <w:color w:val="000000"/>
          <w:szCs w:val="24"/>
        </w:rPr>
        <w:t>również</w:t>
      </w:r>
      <w:r w:rsidRPr="008F589B">
        <w:rPr>
          <w:rFonts w:ascii="Arial" w:eastAsia="Times New Roman" w:hAnsi="Arial" w:cs="Arial"/>
          <w:color w:val="000000"/>
          <w:szCs w:val="24"/>
        </w:rPr>
        <w:t>̇</w:t>
      </w:r>
      <w:r w:rsidRPr="008F589B">
        <w:rPr>
          <w:rFonts w:ascii="Verdana" w:eastAsia="Times New Roman" w:hAnsi="Verdana"/>
          <w:color w:val="000000"/>
          <w:szCs w:val="24"/>
        </w:rPr>
        <w:t xml:space="preserve"> elektryczny i niskoemisyjny) </w:t>
      </w:r>
      <w:r w:rsidR="008F589B">
        <w:rPr>
          <w:rFonts w:ascii="Verdana" w:eastAsia="Times New Roman" w:hAnsi="Verdana"/>
          <w:b/>
          <w:bCs/>
          <w:color w:val="000000"/>
          <w:szCs w:val="24"/>
        </w:rPr>
        <w:t>nie moż</w:t>
      </w:r>
      <w:r w:rsidRPr="008F589B">
        <w:rPr>
          <w:rFonts w:ascii="Verdana" w:eastAsia="Times New Roman" w:hAnsi="Verdana"/>
          <w:b/>
          <w:bCs/>
          <w:color w:val="000000"/>
          <w:szCs w:val="24"/>
        </w:rPr>
        <w:t>e</w:t>
      </w:r>
      <w:r w:rsidRPr="008F589B">
        <w:rPr>
          <w:rFonts w:ascii="Verdana" w:eastAsia="Times New Roman" w:hAnsi="Verdana"/>
          <w:color w:val="000000"/>
          <w:szCs w:val="24"/>
        </w:rPr>
        <w:t xml:space="preserve"> </w:t>
      </w:r>
      <w:r w:rsidR="008F589B" w:rsidRPr="008F589B">
        <w:rPr>
          <w:rFonts w:ascii="Verdana" w:eastAsia="Times New Roman" w:hAnsi="Verdana"/>
          <w:color w:val="000000"/>
          <w:szCs w:val="24"/>
        </w:rPr>
        <w:t>stanowić</w:t>
      </w:r>
      <w:r w:rsidRPr="008F589B">
        <w:rPr>
          <w:rFonts w:ascii="Verdana" w:eastAsia="Times New Roman" w:hAnsi="Verdana"/>
          <w:color w:val="000000"/>
          <w:szCs w:val="24"/>
        </w:rPr>
        <w:t xml:space="preserve">́ trzonu tej koncepcji. </w:t>
      </w:r>
      <w:r w:rsidR="008F589B" w:rsidRPr="008F589B">
        <w:rPr>
          <w:rFonts w:ascii="Verdana" w:eastAsia="Times New Roman" w:hAnsi="Verdana"/>
          <w:color w:val="000000"/>
          <w:szCs w:val="24"/>
        </w:rPr>
        <w:t>Spójne</w:t>
      </w:r>
      <w:r w:rsidRPr="008F589B">
        <w:rPr>
          <w:rFonts w:ascii="Verdana" w:eastAsia="Times New Roman" w:hAnsi="Verdana"/>
          <w:color w:val="000000"/>
          <w:szCs w:val="24"/>
        </w:rPr>
        <w:t xml:space="preserve"> plany i programy winny </w:t>
      </w:r>
      <w:proofErr w:type="spellStart"/>
      <w:r w:rsidRPr="008F589B">
        <w:rPr>
          <w:rFonts w:ascii="Verdana" w:eastAsia="Times New Roman" w:hAnsi="Verdana"/>
          <w:color w:val="000000"/>
          <w:szCs w:val="24"/>
        </w:rPr>
        <w:t>byc</w:t>
      </w:r>
      <w:proofErr w:type="spellEnd"/>
      <w:r w:rsidRPr="008F589B">
        <w:rPr>
          <w:rFonts w:ascii="Verdana" w:eastAsia="Times New Roman" w:hAnsi="Verdana"/>
          <w:color w:val="000000"/>
          <w:szCs w:val="24"/>
        </w:rPr>
        <w:t>́ warunkiem uzyskania wsparcia z KPO. Ponadto kryterium zgodności z zasadą „nie czyń poważnych szkód” winny być poddane wszystkie projekty konkursowe, zgłaszane na realizację działań KPO.</w:t>
      </w:r>
    </w:p>
    <w:p w14:paraId="20689862" w14:textId="77777777" w:rsidR="009445CF" w:rsidRPr="008F589B" w:rsidRDefault="009445CF" w:rsidP="008F589B">
      <w:pPr>
        <w:spacing w:line="360" w:lineRule="auto"/>
        <w:rPr>
          <w:rFonts w:ascii="Verdana" w:eastAsia="Times New Roman" w:hAnsi="Verdana"/>
          <w:b/>
          <w:bCs/>
          <w:color w:val="000000"/>
          <w:szCs w:val="24"/>
        </w:rPr>
      </w:pPr>
    </w:p>
    <w:p w14:paraId="724718FC" w14:textId="30B810C8" w:rsidR="00E13817" w:rsidRPr="008F589B" w:rsidRDefault="00E13817" w:rsidP="008F589B">
      <w:pPr>
        <w:spacing w:line="360" w:lineRule="auto"/>
        <w:rPr>
          <w:rFonts w:ascii="Verdana" w:eastAsia="Times New Roman" w:hAnsi="Verdana"/>
          <w:b/>
          <w:bCs/>
          <w:color w:val="000000"/>
          <w:szCs w:val="24"/>
        </w:rPr>
      </w:pPr>
      <w:r w:rsidRPr="008F589B">
        <w:rPr>
          <w:rFonts w:ascii="Verdana" w:eastAsia="Times New Roman" w:hAnsi="Verdana"/>
          <w:b/>
          <w:bCs/>
          <w:color w:val="000000"/>
          <w:szCs w:val="24"/>
        </w:rPr>
        <w:t>KOMPONENT C TRANSFORMACJA CYFROWA:</w:t>
      </w:r>
    </w:p>
    <w:p w14:paraId="2C967C46" w14:textId="77777777" w:rsidR="00E13817" w:rsidRPr="008F589B" w:rsidRDefault="00E13817" w:rsidP="008F589B">
      <w:pPr>
        <w:spacing w:line="360" w:lineRule="auto"/>
        <w:jc w:val="both"/>
        <w:rPr>
          <w:rFonts w:ascii="Verdana" w:hAnsi="Verdana"/>
          <w:szCs w:val="24"/>
        </w:rPr>
      </w:pPr>
    </w:p>
    <w:p w14:paraId="242A65AB" w14:textId="350B09E4" w:rsidR="00E13817" w:rsidRPr="008F589B" w:rsidRDefault="00E13817" w:rsidP="008F589B">
      <w:pPr>
        <w:spacing w:line="360" w:lineRule="auto"/>
        <w:jc w:val="both"/>
        <w:rPr>
          <w:rFonts w:ascii="Verdana" w:eastAsia="Times New Roman" w:hAnsi="Verdana" w:cs="Calibri"/>
          <w:color w:val="000000"/>
          <w:szCs w:val="24"/>
        </w:rPr>
      </w:pPr>
      <w:r w:rsidRPr="008F589B">
        <w:rPr>
          <w:rFonts w:ascii="Verdana" w:eastAsia="Times New Roman" w:hAnsi="Verdana" w:cs="Calibri"/>
          <w:color w:val="000000"/>
          <w:szCs w:val="24"/>
        </w:rPr>
        <w:t>Organizacje społeczeństwa obywatelskiego i obywatele/</w:t>
      </w:r>
      <w:proofErr w:type="spellStart"/>
      <w:r w:rsidRPr="008F589B">
        <w:rPr>
          <w:rFonts w:ascii="Verdana" w:eastAsia="Times New Roman" w:hAnsi="Verdana" w:cs="Calibri"/>
          <w:color w:val="000000"/>
          <w:szCs w:val="24"/>
        </w:rPr>
        <w:t>lki</w:t>
      </w:r>
      <w:proofErr w:type="spellEnd"/>
      <w:r w:rsidRPr="008F589B">
        <w:rPr>
          <w:rFonts w:ascii="Verdana" w:eastAsia="Times New Roman" w:hAnsi="Verdana" w:cs="Calibri"/>
          <w:color w:val="000000"/>
          <w:szCs w:val="24"/>
        </w:rPr>
        <w:t xml:space="preserve"> w obecnym kształcie KPO nie istnieją w obszarze cyf</w:t>
      </w:r>
      <w:r w:rsidR="009445CF" w:rsidRPr="008F589B">
        <w:rPr>
          <w:rFonts w:ascii="Verdana" w:eastAsia="Times New Roman" w:hAnsi="Verdana" w:cs="Calibri"/>
          <w:color w:val="000000"/>
          <w:szCs w:val="24"/>
        </w:rPr>
        <w:t>rowym. Postęp technologicznej i </w:t>
      </w:r>
      <w:r w:rsidRPr="008F589B">
        <w:rPr>
          <w:rFonts w:ascii="Verdana" w:eastAsia="Times New Roman" w:hAnsi="Verdana" w:cs="Calibri"/>
          <w:color w:val="000000"/>
          <w:szCs w:val="24"/>
        </w:rPr>
        <w:t xml:space="preserve">cyfrowej transformacji może nasilić kilka zjawisk: </w:t>
      </w:r>
    </w:p>
    <w:p w14:paraId="70AD6CD0" w14:textId="77777777" w:rsidR="009445CF" w:rsidRPr="008F589B" w:rsidRDefault="00E13817" w:rsidP="008F589B">
      <w:pPr>
        <w:pStyle w:val="Akapitzlist"/>
        <w:numPr>
          <w:ilvl w:val="0"/>
          <w:numId w:val="31"/>
        </w:numPr>
        <w:spacing w:after="0" w:line="360" w:lineRule="auto"/>
        <w:jc w:val="both"/>
        <w:rPr>
          <w:rFonts w:ascii="Verdana" w:eastAsia="Times New Roman" w:hAnsi="Verdana" w:cs="Calibri"/>
          <w:color w:val="000000"/>
          <w:sz w:val="24"/>
          <w:szCs w:val="24"/>
        </w:rPr>
      </w:pPr>
      <w:r w:rsidRPr="008F589B">
        <w:rPr>
          <w:rFonts w:ascii="Verdana" w:eastAsia="Times New Roman" w:hAnsi="Verdana" w:cs="Calibri"/>
          <w:color w:val="000000"/>
          <w:sz w:val="24"/>
          <w:szCs w:val="24"/>
        </w:rPr>
        <w:t xml:space="preserve">ubóstwo cyfrowe zarówno w wymiarze ludzkim jak i podmiotowym, </w:t>
      </w:r>
    </w:p>
    <w:p w14:paraId="17661548" w14:textId="77777777" w:rsidR="009445CF" w:rsidRPr="008F589B" w:rsidRDefault="00E13817" w:rsidP="008F589B">
      <w:pPr>
        <w:pStyle w:val="Akapitzlist"/>
        <w:numPr>
          <w:ilvl w:val="0"/>
          <w:numId w:val="31"/>
        </w:numPr>
        <w:spacing w:after="0" w:line="360" w:lineRule="auto"/>
        <w:jc w:val="both"/>
        <w:rPr>
          <w:rFonts w:ascii="Verdana" w:eastAsia="Times New Roman" w:hAnsi="Verdana" w:cs="Calibri"/>
          <w:color w:val="000000"/>
          <w:sz w:val="24"/>
          <w:szCs w:val="24"/>
        </w:rPr>
      </w:pPr>
      <w:r w:rsidRPr="008F589B">
        <w:rPr>
          <w:rFonts w:ascii="Verdana" w:eastAsia="Times New Roman" w:hAnsi="Verdana" w:cs="Calibri"/>
          <w:color w:val="000000"/>
          <w:sz w:val="24"/>
          <w:szCs w:val="24"/>
        </w:rPr>
        <w:t>wykluczenie z dostępu do e-usług części społeczeństwa;</w:t>
      </w:r>
    </w:p>
    <w:p w14:paraId="1FF81A70" w14:textId="4AD98F95" w:rsidR="00E13817" w:rsidRPr="008F589B" w:rsidRDefault="00E13817" w:rsidP="008F589B">
      <w:pPr>
        <w:pStyle w:val="Akapitzlist"/>
        <w:numPr>
          <w:ilvl w:val="0"/>
          <w:numId w:val="31"/>
        </w:numPr>
        <w:spacing w:after="0" w:line="360" w:lineRule="auto"/>
        <w:jc w:val="both"/>
        <w:rPr>
          <w:rFonts w:ascii="Verdana" w:eastAsia="Times New Roman" w:hAnsi="Verdana" w:cs="Calibri"/>
          <w:color w:val="000000"/>
          <w:sz w:val="24"/>
          <w:szCs w:val="24"/>
        </w:rPr>
      </w:pPr>
      <w:r w:rsidRPr="008F589B">
        <w:rPr>
          <w:rFonts w:ascii="Verdana" w:eastAsia="Times New Roman" w:hAnsi="Verdana" w:cs="Calibri"/>
          <w:color w:val="000000"/>
          <w:sz w:val="24"/>
          <w:szCs w:val="24"/>
        </w:rPr>
        <w:t>zmiany na rynku pracy w wyniku automatyzacji i robotyzacji.</w:t>
      </w:r>
    </w:p>
    <w:p w14:paraId="0C1B08D7" w14:textId="77777777" w:rsidR="00E13817" w:rsidRPr="008F589B" w:rsidRDefault="00E13817" w:rsidP="008F589B">
      <w:pPr>
        <w:spacing w:line="360" w:lineRule="auto"/>
        <w:jc w:val="both"/>
        <w:rPr>
          <w:rFonts w:ascii="Verdana" w:eastAsia="Times New Roman" w:hAnsi="Verdana" w:cs="Calibri"/>
          <w:color w:val="000000"/>
          <w:szCs w:val="24"/>
        </w:rPr>
      </w:pPr>
      <w:r w:rsidRPr="008F589B">
        <w:rPr>
          <w:rFonts w:ascii="Verdana" w:eastAsia="Times New Roman" w:hAnsi="Verdana" w:cs="Calibri"/>
          <w:color w:val="000000"/>
          <w:szCs w:val="24"/>
        </w:rPr>
        <w:t>Dlatego proponujemy rozbudowanie KOMPONENTU C „TRANSFORMACJA CYFROWA” o 2 inwestycje:</w:t>
      </w:r>
    </w:p>
    <w:p w14:paraId="042EE4E5" w14:textId="77777777" w:rsidR="00E13817" w:rsidRPr="008F589B" w:rsidRDefault="00E13817" w:rsidP="008F589B">
      <w:pPr>
        <w:spacing w:line="360" w:lineRule="auto"/>
        <w:jc w:val="both"/>
        <w:rPr>
          <w:rFonts w:ascii="Verdana" w:eastAsia="Times New Roman" w:hAnsi="Verdana" w:cs="Calibri"/>
          <w:color w:val="000000"/>
          <w:szCs w:val="24"/>
        </w:rPr>
      </w:pPr>
    </w:p>
    <w:p w14:paraId="160FCEEE" w14:textId="3B48095D" w:rsidR="00E13817" w:rsidRPr="008F589B" w:rsidRDefault="00E13817" w:rsidP="008F589B">
      <w:pPr>
        <w:spacing w:line="360" w:lineRule="auto"/>
        <w:jc w:val="both"/>
        <w:rPr>
          <w:rFonts w:ascii="Verdana" w:eastAsia="Times New Roman" w:hAnsi="Verdana" w:cs="Calibri"/>
          <w:b/>
          <w:bCs/>
          <w:color w:val="000000"/>
          <w:szCs w:val="24"/>
        </w:rPr>
      </w:pPr>
      <w:r w:rsidRPr="008F589B">
        <w:rPr>
          <w:rFonts w:ascii="Verdana" w:eastAsia="Times New Roman" w:hAnsi="Verdana" w:cs="Calibri"/>
          <w:b/>
          <w:bCs/>
          <w:color w:val="000000"/>
          <w:szCs w:val="24"/>
        </w:rPr>
        <w:lastRenderedPageBreak/>
        <w:t>INWESTYCJA 1: DOSTOSOWANIE USŁUG SPOŁECZNYCH DO CYFROWEJ TRANSFORMACJI</w:t>
      </w:r>
    </w:p>
    <w:p w14:paraId="559BFBDB" w14:textId="77777777" w:rsidR="004639F3" w:rsidRPr="008F589B" w:rsidRDefault="004639F3" w:rsidP="008F589B">
      <w:pPr>
        <w:spacing w:line="360" w:lineRule="auto"/>
        <w:jc w:val="both"/>
        <w:rPr>
          <w:rFonts w:ascii="Verdana" w:eastAsia="Times New Roman" w:hAnsi="Verdana" w:cs="Calibri"/>
          <w:b/>
          <w:bCs/>
          <w:color w:val="000000"/>
          <w:szCs w:val="24"/>
        </w:rPr>
      </w:pPr>
    </w:p>
    <w:p w14:paraId="77823A9A" w14:textId="1B5F4BE4" w:rsidR="00E13817" w:rsidRPr="008F589B" w:rsidRDefault="00E13817" w:rsidP="008F589B">
      <w:pPr>
        <w:spacing w:line="360" w:lineRule="auto"/>
        <w:jc w:val="both"/>
        <w:rPr>
          <w:rFonts w:ascii="Verdana" w:eastAsia="Times New Roman" w:hAnsi="Verdana" w:cs="Calibri"/>
          <w:color w:val="000000"/>
          <w:szCs w:val="24"/>
        </w:rPr>
      </w:pPr>
      <w:r w:rsidRPr="008F589B">
        <w:rPr>
          <w:rFonts w:ascii="Verdana" w:eastAsia="Times New Roman" w:hAnsi="Verdana" w:cs="Calibri"/>
          <w:color w:val="000000"/>
          <w:szCs w:val="24"/>
        </w:rPr>
        <w:t>Organizacje społeczeństwa obywatelskiego wykorzystują technologię, oprogramowania m.in. do tworzenia nowych e-usług, jak i dostosowywania aktualnych chociażby do warunków pandemii. Brak obecności organizacji społeczeństwa obywatelskiego w obszarze B+R stanowi kolejny element wykluczenia tych podmiotów z transformacj</w:t>
      </w:r>
      <w:r w:rsidR="009445CF" w:rsidRPr="008F589B">
        <w:rPr>
          <w:rFonts w:ascii="Verdana" w:eastAsia="Times New Roman" w:hAnsi="Verdana" w:cs="Calibri"/>
          <w:color w:val="000000"/>
          <w:szCs w:val="24"/>
        </w:rPr>
        <w:t>i cyfrowej, która jest jednym z </w:t>
      </w:r>
      <w:r w:rsidRPr="008F589B">
        <w:rPr>
          <w:rFonts w:ascii="Verdana" w:eastAsia="Times New Roman" w:hAnsi="Verdana" w:cs="Calibri"/>
          <w:color w:val="000000"/>
          <w:szCs w:val="24"/>
        </w:rPr>
        <w:t>priorytetów Unii Europejskiej.</w:t>
      </w:r>
    </w:p>
    <w:p w14:paraId="5A0F2459" w14:textId="77777777" w:rsidR="00E13817" w:rsidRPr="008F589B" w:rsidRDefault="00E13817" w:rsidP="008F589B">
      <w:pPr>
        <w:spacing w:line="360" w:lineRule="auto"/>
        <w:jc w:val="both"/>
        <w:rPr>
          <w:rFonts w:ascii="Verdana" w:eastAsia="Times New Roman" w:hAnsi="Verdana" w:cs="Calibri"/>
          <w:color w:val="000000"/>
          <w:szCs w:val="24"/>
        </w:rPr>
      </w:pPr>
      <w:r w:rsidRPr="008F589B">
        <w:rPr>
          <w:rFonts w:ascii="Verdana" w:eastAsia="Times New Roman" w:hAnsi="Verdana" w:cs="Calibri"/>
          <w:color w:val="000000"/>
          <w:szCs w:val="24"/>
        </w:rPr>
        <w:t>Cyfryzacja usług, prototypowanie, współpraca z uczelniami i przedsiębiorcami wymaga nakładów, które są potrzebne także w obszarze usług społecznych.</w:t>
      </w:r>
    </w:p>
    <w:p w14:paraId="11F254A9" w14:textId="77777777" w:rsidR="00E13817" w:rsidRPr="008F589B" w:rsidRDefault="00E13817" w:rsidP="008F589B">
      <w:pPr>
        <w:spacing w:line="360" w:lineRule="auto"/>
        <w:jc w:val="both"/>
        <w:rPr>
          <w:rFonts w:ascii="Verdana" w:eastAsia="Times New Roman" w:hAnsi="Verdana" w:cs="Calibri"/>
          <w:color w:val="000000"/>
          <w:szCs w:val="24"/>
        </w:rPr>
      </w:pPr>
    </w:p>
    <w:p w14:paraId="18A68135" w14:textId="5C19D23B" w:rsidR="00E13817" w:rsidRPr="008F589B" w:rsidRDefault="00E13817" w:rsidP="008F589B">
      <w:pPr>
        <w:spacing w:line="360" w:lineRule="auto"/>
        <w:jc w:val="both"/>
        <w:rPr>
          <w:rFonts w:ascii="Verdana" w:eastAsia="Times New Roman" w:hAnsi="Verdana" w:cs="Calibri"/>
          <w:b/>
          <w:bCs/>
          <w:color w:val="000000"/>
          <w:szCs w:val="24"/>
        </w:rPr>
      </w:pPr>
      <w:r w:rsidRPr="008F589B">
        <w:rPr>
          <w:rFonts w:ascii="Verdana" w:eastAsia="Times New Roman" w:hAnsi="Verdana" w:cs="Calibri"/>
          <w:b/>
          <w:bCs/>
          <w:color w:val="000000"/>
          <w:szCs w:val="24"/>
        </w:rPr>
        <w:t xml:space="preserve">INWESTYCJA 2: PRZECIWDZIAŁANIE WYKLUCZENIU CYFROWEMU </w:t>
      </w:r>
    </w:p>
    <w:p w14:paraId="65A2FAD2" w14:textId="77777777" w:rsidR="004639F3" w:rsidRPr="008F589B" w:rsidRDefault="004639F3" w:rsidP="008F589B">
      <w:pPr>
        <w:spacing w:line="360" w:lineRule="auto"/>
        <w:jc w:val="both"/>
        <w:rPr>
          <w:rFonts w:ascii="Verdana" w:eastAsia="Times New Roman" w:hAnsi="Verdana" w:cs="Calibri"/>
          <w:b/>
          <w:bCs/>
          <w:color w:val="000000"/>
          <w:szCs w:val="24"/>
        </w:rPr>
      </w:pPr>
    </w:p>
    <w:p w14:paraId="46B78F5E" w14:textId="77777777" w:rsidR="00E13817" w:rsidRPr="008F589B" w:rsidRDefault="00E13817" w:rsidP="008F589B">
      <w:pPr>
        <w:spacing w:line="360" w:lineRule="auto"/>
        <w:jc w:val="both"/>
        <w:rPr>
          <w:rFonts w:ascii="Verdana" w:eastAsia="Times New Roman" w:hAnsi="Verdana" w:cs="Calibri"/>
          <w:color w:val="000000"/>
          <w:szCs w:val="24"/>
        </w:rPr>
      </w:pPr>
      <w:r w:rsidRPr="008F589B">
        <w:rPr>
          <w:rFonts w:ascii="Verdana" w:eastAsia="Times New Roman" w:hAnsi="Verdana" w:cs="Calibri"/>
          <w:color w:val="000000"/>
          <w:szCs w:val="24"/>
        </w:rPr>
        <w:t xml:space="preserve">Wykluczenie cyfrowe w obliczu planów cyfrowej transformacji może nasilić się w społeczeństwie. Szybszy postęp technologiczny i cyfryzacja wymagają m.in. edukacji i inwestycji także w gospodarstwach domowych. Praca zdalna sprawia, że zmienia się otoczenie pracy, sprzęt, ale też potrzeby edukacyjne. </w:t>
      </w:r>
    </w:p>
    <w:p w14:paraId="0B03DD12" w14:textId="77777777" w:rsidR="00E13817" w:rsidRPr="008F589B" w:rsidRDefault="00E13817" w:rsidP="008F589B">
      <w:pPr>
        <w:spacing w:line="360" w:lineRule="auto"/>
        <w:jc w:val="both"/>
        <w:rPr>
          <w:rFonts w:ascii="Verdana" w:eastAsia="Times New Roman" w:hAnsi="Verdana" w:cs="Calibri"/>
          <w:color w:val="000000"/>
          <w:szCs w:val="24"/>
        </w:rPr>
      </w:pPr>
      <w:r w:rsidRPr="008F589B">
        <w:rPr>
          <w:rFonts w:ascii="Verdana" w:eastAsia="Times New Roman" w:hAnsi="Verdana" w:cs="Calibri"/>
          <w:color w:val="000000"/>
          <w:szCs w:val="24"/>
        </w:rPr>
        <w:t>Rośnie skala e-usług publicznych. W podmiotach społecznych wdraża się masowo e-usługi z uwagi na pandemię i długotrwałą zmianę sposobu kontaktu.</w:t>
      </w:r>
    </w:p>
    <w:p w14:paraId="2E44BFCD" w14:textId="77777777" w:rsidR="00E13817" w:rsidRPr="008F589B" w:rsidRDefault="00E13817" w:rsidP="008F589B">
      <w:pPr>
        <w:spacing w:line="360" w:lineRule="auto"/>
        <w:jc w:val="both"/>
        <w:rPr>
          <w:rFonts w:ascii="Verdana" w:eastAsia="Times New Roman" w:hAnsi="Verdana" w:cs="Calibri"/>
          <w:color w:val="000000"/>
          <w:szCs w:val="24"/>
        </w:rPr>
      </w:pPr>
      <w:r w:rsidRPr="008F589B">
        <w:rPr>
          <w:rFonts w:ascii="Verdana" w:eastAsia="Times New Roman" w:hAnsi="Verdana" w:cs="Calibri"/>
          <w:color w:val="000000"/>
          <w:szCs w:val="24"/>
        </w:rPr>
        <w:t>Dlatego należy wyposażyć obywateli oraz podmioty w sprzęt, wiedzę i środki na rozwój cyfrowej świadomości i przeciwdziałanie ubóstwu cyfrowemu.</w:t>
      </w:r>
    </w:p>
    <w:p w14:paraId="04909287" w14:textId="77777777" w:rsidR="00E13817" w:rsidRPr="008F589B" w:rsidRDefault="00E13817" w:rsidP="008F589B">
      <w:pPr>
        <w:spacing w:line="360" w:lineRule="auto"/>
        <w:jc w:val="both"/>
        <w:rPr>
          <w:rFonts w:ascii="Verdana" w:eastAsia="Times New Roman" w:hAnsi="Verdana" w:cs="Calibri"/>
          <w:color w:val="000000"/>
          <w:szCs w:val="24"/>
        </w:rPr>
      </w:pPr>
      <w:r w:rsidRPr="008F589B">
        <w:rPr>
          <w:rFonts w:ascii="Verdana" w:eastAsia="Times New Roman" w:hAnsi="Verdana" w:cs="Calibri"/>
          <w:color w:val="000000"/>
          <w:szCs w:val="24"/>
        </w:rPr>
        <w:t>Udział organizacji społeczeństwa obywatelskiego i obywateli powinien być także obecny w takich inwestycjach jak:</w:t>
      </w:r>
    </w:p>
    <w:p w14:paraId="3951F419" w14:textId="77777777" w:rsidR="00E13817" w:rsidRPr="008F589B" w:rsidRDefault="00E13817" w:rsidP="008F589B">
      <w:pPr>
        <w:spacing w:line="360" w:lineRule="auto"/>
        <w:jc w:val="both"/>
        <w:rPr>
          <w:rFonts w:ascii="Verdana" w:eastAsia="Times New Roman" w:hAnsi="Verdana" w:cs="Calibri"/>
          <w:color w:val="000000"/>
          <w:szCs w:val="24"/>
        </w:rPr>
      </w:pPr>
      <w:r w:rsidRPr="008F589B">
        <w:rPr>
          <w:rFonts w:ascii="Verdana" w:eastAsia="Times New Roman" w:hAnsi="Verdana" w:cs="Calibri"/>
          <w:color w:val="000000"/>
          <w:szCs w:val="24"/>
        </w:rPr>
        <w:t>C2.1.1. E-usługi publiczne, rozwiązania IT usprawniające funkcjonowanie administracji i sektorów gospodarki oraz technologie przełomowe w sektorze publicznym, gospodarce, społeczeństwie</w:t>
      </w:r>
    </w:p>
    <w:p w14:paraId="180E3F9F" w14:textId="77777777" w:rsidR="00E13817" w:rsidRPr="008F589B" w:rsidRDefault="00E13817" w:rsidP="008F589B">
      <w:pPr>
        <w:spacing w:line="360" w:lineRule="auto"/>
        <w:jc w:val="both"/>
        <w:rPr>
          <w:rFonts w:ascii="Verdana" w:eastAsia="Times New Roman" w:hAnsi="Verdana" w:cs="Calibri"/>
          <w:color w:val="000000"/>
          <w:szCs w:val="24"/>
        </w:rPr>
      </w:pPr>
      <w:r w:rsidRPr="008F589B">
        <w:rPr>
          <w:rFonts w:ascii="Verdana" w:eastAsia="Times New Roman" w:hAnsi="Verdana" w:cs="Calibri"/>
          <w:color w:val="000000"/>
          <w:szCs w:val="24"/>
        </w:rPr>
        <w:t>C2.1.2. Cyfrowa infrastruktura szkół</w:t>
      </w:r>
    </w:p>
    <w:p w14:paraId="75AB76BF" w14:textId="77777777" w:rsidR="00E13817" w:rsidRPr="008F589B" w:rsidRDefault="00E13817" w:rsidP="008F589B">
      <w:pPr>
        <w:spacing w:line="360" w:lineRule="auto"/>
        <w:jc w:val="both"/>
        <w:rPr>
          <w:rFonts w:ascii="Verdana" w:eastAsia="Times New Roman" w:hAnsi="Verdana"/>
          <w:szCs w:val="24"/>
        </w:rPr>
      </w:pPr>
      <w:r w:rsidRPr="008F589B">
        <w:rPr>
          <w:rFonts w:ascii="Verdana" w:eastAsia="Times New Roman" w:hAnsi="Verdana" w:cs="Calibri"/>
          <w:color w:val="000000"/>
          <w:szCs w:val="24"/>
        </w:rPr>
        <w:t>C2.1.3. E-kompetencje</w:t>
      </w:r>
    </w:p>
    <w:p w14:paraId="2F7C29E3" w14:textId="77777777" w:rsidR="009445CF" w:rsidRPr="008F589B" w:rsidRDefault="009445CF" w:rsidP="008F589B">
      <w:pPr>
        <w:spacing w:line="360" w:lineRule="auto"/>
        <w:jc w:val="both"/>
        <w:rPr>
          <w:rFonts w:ascii="Verdana" w:eastAsia="Times New Roman" w:hAnsi="Verdana"/>
          <w:color w:val="000000"/>
          <w:szCs w:val="24"/>
        </w:rPr>
      </w:pPr>
    </w:p>
    <w:p w14:paraId="2B4C1396" w14:textId="6D7EAB3D" w:rsidR="00E13817" w:rsidRPr="008F589B" w:rsidRDefault="00E13817" w:rsidP="008F589B">
      <w:pPr>
        <w:spacing w:line="360" w:lineRule="auto"/>
        <w:jc w:val="both"/>
        <w:rPr>
          <w:rFonts w:ascii="Verdana" w:hAnsi="Verdana"/>
          <w:szCs w:val="24"/>
        </w:rPr>
      </w:pPr>
      <w:r w:rsidRPr="008F589B">
        <w:rPr>
          <w:rFonts w:ascii="Verdana" w:eastAsia="Times New Roman" w:hAnsi="Verdana"/>
          <w:b/>
          <w:bCs/>
          <w:color w:val="000000"/>
          <w:szCs w:val="24"/>
        </w:rPr>
        <w:lastRenderedPageBreak/>
        <w:t>KOMPONENT D EFEKTYWNOŚĆ, DOSTĘPNOŚĆ I JAKOŚĆ SYSTEMU OCHRONY ZDROWIA:</w:t>
      </w:r>
    </w:p>
    <w:p w14:paraId="20982887" w14:textId="77777777" w:rsidR="00E13817" w:rsidRPr="008F589B" w:rsidRDefault="00E13817" w:rsidP="008F589B">
      <w:pPr>
        <w:spacing w:line="360" w:lineRule="auto"/>
        <w:jc w:val="both"/>
        <w:rPr>
          <w:rFonts w:ascii="Verdana" w:eastAsia="Times New Roman" w:hAnsi="Verdana"/>
          <w:b/>
          <w:bCs/>
          <w:color w:val="000000"/>
          <w:szCs w:val="24"/>
        </w:rPr>
      </w:pPr>
    </w:p>
    <w:p w14:paraId="08577E04" w14:textId="77777777" w:rsidR="00E13817" w:rsidRPr="008F589B" w:rsidRDefault="00E13817" w:rsidP="008F589B">
      <w:pPr>
        <w:spacing w:line="360" w:lineRule="auto"/>
        <w:jc w:val="both"/>
        <w:rPr>
          <w:rFonts w:ascii="Verdana" w:hAnsi="Verdana"/>
          <w:szCs w:val="24"/>
        </w:rPr>
      </w:pPr>
      <w:r w:rsidRPr="008F589B">
        <w:rPr>
          <w:rFonts w:ascii="Verdana" w:eastAsia="Times New Roman" w:hAnsi="Verdana"/>
          <w:b/>
          <w:bCs/>
          <w:color w:val="000000"/>
          <w:szCs w:val="24"/>
        </w:rPr>
        <w:t>Postulujemy:</w:t>
      </w:r>
    </w:p>
    <w:p w14:paraId="1F8A110F" w14:textId="77777777" w:rsidR="00E13817" w:rsidRPr="008F589B" w:rsidRDefault="00E13817" w:rsidP="008F589B">
      <w:pPr>
        <w:numPr>
          <w:ilvl w:val="0"/>
          <w:numId w:val="12"/>
        </w:numPr>
        <w:suppressAutoHyphens/>
        <w:autoSpaceDN w:val="0"/>
        <w:spacing w:line="360" w:lineRule="auto"/>
        <w:jc w:val="both"/>
        <w:textAlignment w:val="baseline"/>
        <w:rPr>
          <w:rFonts w:ascii="Verdana" w:eastAsia="Times New Roman" w:hAnsi="Verdana"/>
          <w:color w:val="000000"/>
          <w:szCs w:val="24"/>
        </w:rPr>
      </w:pPr>
      <w:r w:rsidRPr="008F589B">
        <w:rPr>
          <w:rFonts w:ascii="Verdana" w:eastAsia="Times New Roman" w:hAnsi="Verdana"/>
          <w:color w:val="000000"/>
          <w:szCs w:val="24"/>
        </w:rPr>
        <w:t>Zmianę nazwy komponentu D na „</w:t>
      </w:r>
      <w:bookmarkStart w:id="0" w:name="_Hlk68596310"/>
      <w:r w:rsidRPr="008F589B">
        <w:rPr>
          <w:rFonts w:ascii="Verdana" w:eastAsia="Times New Roman" w:hAnsi="Verdana"/>
          <w:color w:val="000000"/>
          <w:szCs w:val="24"/>
        </w:rPr>
        <w:t>Efektywność, dostępność i jakość systemu ochrony zdrowia i usług społecznych</w:t>
      </w:r>
      <w:bookmarkEnd w:id="0"/>
      <w:r w:rsidRPr="008F589B">
        <w:rPr>
          <w:rFonts w:ascii="Verdana" w:eastAsia="Times New Roman" w:hAnsi="Verdana"/>
          <w:color w:val="000000"/>
          <w:szCs w:val="24"/>
        </w:rPr>
        <w:t>.” oraz o dodanie dwóch reform i czterech inwestycji oraz uzupełnienia opisu istniejącej inwestycji.</w:t>
      </w:r>
    </w:p>
    <w:p w14:paraId="0EBD295F" w14:textId="77777777" w:rsidR="00E13817" w:rsidRPr="008F589B" w:rsidRDefault="00E13817" w:rsidP="008F589B">
      <w:pPr>
        <w:spacing w:line="360" w:lineRule="auto"/>
        <w:ind w:left="720"/>
        <w:jc w:val="both"/>
        <w:rPr>
          <w:rFonts w:ascii="Verdana" w:eastAsia="Times New Roman" w:hAnsi="Verdana"/>
          <w:color w:val="000000"/>
          <w:szCs w:val="24"/>
        </w:rPr>
      </w:pPr>
    </w:p>
    <w:p w14:paraId="1E98D413" w14:textId="2BC6CC4E" w:rsidR="005619C1" w:rsidRPr="008F589B" w:rsidRDefault="00E13817" w:rsidP="008F589B">
      <w:pPr>
        <w:numPr>
          <w:ilvl w:val="0"/>
          <w:numId w:val="12"/>
        </w:numPr>
        <w:suppressAutoHyphens/>
        <w:autoSpaceDN w:val="0"/>
        <w:spacing w:line="360" w:lineRule="auto"/>
        <w:jc w:val="both"/>
        <w:textAlignment w:val="baseline"/>
        <w:rPr>
          <w:rFonts w:ascii="Verdana" w:eastAsia="Times New Roman" w:hAnsi="Verdana"/>
          <w:color w:val="000000"/>
          <w:szCs w:val="24"/>
        </w:rPr>
      </w:pPr>
      <w:r w:rsidRPr="008F589B">
        <w:rPr>
          <w:rFonts w:ascii="Verdana" w:eastAsia="Times New Roman" w:hAnsi="Verdana"/>
          <w:color w:val="000000"/>
          <w:szCs w:val="24"/>
        </w:rPr>
        <w:t>Opis istniejącej inwestycji D1.1.1 “Rozwój i modernizacja infrastruktury podmiotów leczniczych” należy uzupełnić o instrumenty zapewniające dostępność gabinetów gi</w:t>
      </w:r>
      <w:r w:rsidR="009445CF" w:rsidRPr="008F589B">
        <w:rPr>
          <w:rFonts w:ascii="Verdana" w:eastAsia="Times New Roman" w:hAnsi="Verdana"/>
          <w:color w:val="000000"/>
          <w:szCs w:val="24"/>
        </w:rPr>
        <w:t>nekologicznych, urologicznych i </w:t>
      </w:r>
      <w:r w:rsidRPr="008F589B">
        <w:rPr>
          <w:rFonts w:ascii="Verdana" w:eastAsia="Times New Roman" w:hAnsi="Verdana"/>
          <w:color w:val="000000"/>
          <w:szCs w:val="24"/>
        </w:rPr>
        <w:t>stomatologicznych oraz dostosowanie  w zakresie oczekiwań osób ze szczególnymi potrzebami w tym osób z niepełnosprawnością.</w:t>
      </w:r>
    </w:p>
    <w:p w14:paraId="425FB52E" w14:textId="6353ABE4" w:rsidR="00E13817" w:rsidRPr="008F589B" w:rsidRDefault="00E13817" w:rsidP="008F589B">
      <w:pPr>
        <w:spacing w:line="360" w:lineRule="auto"/>
        <w:jc w:val="both"/>
        <w:rPr>
          <w:rFonts w:ascii="Verdana" w:eastAsia="Times New Roman" w:hAnsi="Verdana"/>
          <w:color w:val="000000"/>
          <w:szCs w:val="24"/>
        </w:rPr>
      </w:pPr>
      <w:r w:rsidRPr="008F589B">
        <w:rPr>
          <w:rFonts w:ascii="Verdana" w:eastAsia="Times New Roman" w:hAnsi="Verdana"/>
          <w:color w:val="000000"/>
          <w:szCs w:val="24"/>
        </w:rPr>
        <w:t>KPO powinna zawierać rozwiązania zapewniające pełną dostępność usług zdrowotnych dla osób ze szczeg</w:t>
      </w:r>
      <w:r w:rsidR="009445CF" w:rsidRPr="008F589B">
        <w:rPr>
          <w:rFonts w:ascii="Verdana" w:eastAsia="Times New Roman" w:hAnsi="Verdana"/>
          <w:color w:val="000000"/>
          <w:szCs w:val="24"/>
        </w:rPr>
        <w:t>ólnymi potrzebami, w tym osób z </w:t>
      </w:r>
      <w:r w:rsidRPr="008F589B">
        <w:rPr>
          <w:rFonts w:ascii="Verdana" w:eastAsia="Times New Roman" w:hAnsi="Verdana"/>
          <w:color w:val="000000"/>
          <w:szCs w:val="24"/>
        </w:rPr>
        <w:t>niepełnosprawnościami. Te działania powinny wspierać usunięcie barier architektonicznych i komunikacyjnych. Jeśli chodzi o dostępność komunikacyjną, to należy zapewnić komunikację w Polskim Języku Migowym, języku łatwy do czytania i zrozumienia (ETR), komu</w:t>
      </w:r>
      <w:r w:rsidR="009445CF" w:rsidRPr="008F589B">
        <w:rPr>
          <w:rFonts w:ascii="Verdana" w:eastAsia="Times New Roman" w:hAnsi="Verdana"/>
          <w:color w:val="000000"/>
          <w:szCs w:val="24"/>
        </w:rPr>
        <w:t>nikację wspomagającą i </w:t>
      </w:r>
      <w:r w:rsidRPr="008F589B">
        <w:rPr>
          <w:rFonts w:ascii="Verdana" w:eastAsia="Times New Roman" w:hAnsi="Verdana"/>
          <w:color w:val="000000"/>
          <w:szCs w:val="24"/>
        </w:rPr>
        <w:t>alternatywną (AAC). Pandemia pokazała, że do szpitali trafiają pacjenci/</w:t>
      </w:r>
      <w:proofErr w:type="spellStart"/>
      <w:r w:rsidRPr="008F589B">
        <w:rPr>
          <w:rFonts w:ascii="Verdana" w:eastAsia="Times New Roman" w:hAnsi="Verdana"/>
          <w:color w:val="000000"/>
          <w:szCs w:val="24"/>
        </w:rPr>
        <w:t>tki</w:t>
      </w:r>
      <w:proofErr w:type="spellEnd"/>
      <w:r w:rsidRPr="008F589B">
        <w:rPr>
          <w:rFonts w:ascii="Verdana" w:eastAsia="Times New Roman" w:hAnsi="Verdana"/>
          <w:color w:val="000000"/>
          <w:szCs w:val="24"/>
        </w:rPr>
        <w:t xml:space="preserve"> W KPO warto także zawierać instrumenty wspierające zapewnienie odpowiedniej ilości i dostępności gabinetów gi</w:t>
      </w:r>
      <w:r w:rsidR="009445CF" w:rsidRPr="008F589B">
        <w:rPr>
          <w:rFonts w:ascii="Verdana" w:eastAsia="Times New Roman" w:hAnsi="Verdana"/>
          <w:color w:val="000000"/>
          <w:szCs w:val="24"/>
        </w:rPr>
        <w:t>nekologicznych, urologicznych i </w:t>
      </w:r>
      <w:r w:rsidRPr="008F589B">
        <w:rPr>
          <w:rFonts w:ascii="Verdana" w:eastAsia="Times New Roman" w:hAnsi="Verdana"/>
          <w:color w:val="000000"/>
          <w:szCs w:val="24"/>
        </w:rPr>
        <w:t xml:space="preserve">stomatologicznych </w:t>
      </w:r>
      <w:r w:rsidR="009445CF" w:rsidRPr="008F589B">
        <w:rPr>
          <w:rFonts w:ascii="Verdana" w:eastAsia="Times New Roman" w:hAnsi="Verdana"/>
          <w:color w:val="000000"/>
          <w:szCs w:val="24"/>
        </w:rPr>
        <w:t>dostosowanych do potrzeb osób z </w:t>
      </w:r>
      <w:r w:rsidRPr="008F589B">
        <w:rPr>
          <w:rFonts w:ascii="Verdana" w:eastAsia="Times New Roman" w:hAnsi="Verdana"/>
          <w:color w:val="000000"/>
          <w:szCs w:val="24"/>
        </w:rPr>
        <w:t>niepełnosprawnościami.</w:t>
      </w:r>
    </w:p>
    <w:p w14:paraId="6CB67CC6" w14:textId="77777777" w:rsidR="00E13817" w:rsidRPr="008F589B" w:rsidRDefault="00E13817" w:rsidP="008F589B">
      <w:pPr>
        <w:spacing w:line="360" w:lineRule="auto"/>
        <w:jc w:val="both"/>
        <w:rPr>
          <w:rFonts w:ascii="Verdana" w:hAnsi="Verdana"/>
          <w:szCs w:val="24"/>
        </w:rPr>
      </w:pPr>
    </w:p>
    <w:p w14:paraId="1D32B1B8" w14:textId="3FC2376A" w:rsidR="008F589B" w:rsidRPr="008F589B" w:rsidRDefault="00E13817" w:rsidP="008F589B">
      <w:pPr>
        <w:pStyle w:val="Akapitzlist"/>
        <w:numPr>
          <w:ilvl w:val="0"/>
          <w:numId w:val="12"/>
        </w:numPr>
        <w:suppressAutoHyphens/>
        <w:autoSpaceDN w:val="0"/>
        <w:spacing w:after="0" w:line="360" w:lineRule="auto"/>
        <w:jc w:val="both"/>
        <w:textAlignment w:val="baseline"/>
        <w:rPr>
          <w:rFonts w:ascii="Verdana" w:hAnsi="Verdana"/>
          <w:sz w:val="24"/>
          <w:szCs w:val="24"/>
        </w:rPr>
      </w:pPr>
      <w:r w:rsidRPr="008F589B">
        <w:rPr>
          <w:rFonts w:ascii="Verdana" w:eastAsia="Times New Roman" w:hAnsi="Verdana"/>
          <w:color w:val="000000"/>
          <w:sz w:val="24"/>
          <w:szCs w:val="24"/>
          <w:lang w:eastAsia="pl-PL"/>
        </w:rPr>
        <w:t>Dodanie dodatkowego podpunktu do celu D.1.1: D1.1.3 Poprawa dostępu do psychoterapii oraz samopomocowych grup wsparcia (w tym online)</w:t>
      </w:r>
    </w:p>
    <w:p w14:paraId="684F7DB3" w14:textId="3315448C" w:rsidR="00E13817" w:rsidRPr="008F589B" w:rsidRDefault="00E13817" w:rsidP="008F589B">
      <w:pPr>
        <w:spacing w:line="360" w:lineRule="auto"/>
        <w:jc w:val="both"/>
        <w:rPr>
          <w:rFonts w:ascii="Verdana" w:eastAsia="Times New Roman" w:hAnsi="Verdana"/>
          <w:color w:val="000000"/>
          <w:szCs w:val="24"/>
        </w:rPr>
      </w:pPr>
      <w:r w:rsidRPr="008F589B">
        <w:rPr>
          <w:rFonts w:ascii="Verdana" w:eastAsia="Times New Roman" w:hAnsi="Verdana"/>
          <w:color w:val="000000"/>
          <w:szCs w:val="24"/>
          <w:u w:val="single"/>
        </w:rPr>
        <w:t>Uzasadnienie</w:t>
      </w:r>
      <w:r w:rsidRPr="008F589B">
        <w:rPr>
          <w:rFonts w:ascii="Verdana" w:eastAsia="Times New Roman" w:hAnsi="Verdana"/>
          <w:color w:val="000000"/>
          <w:szCs w:val="24"/>
        </w:rPr>
        <w:t>: Badania naukowe i wieloletnie obserwacje pokazują</w:t>
      </w:r>
      <w:r w:rsidR="009445CF" w:rsidRPr="008F589B">
        <w:rPr>
          <w:rFonts w:ascii="Verdana" w:eastAsia="Times New Roman" w:hAnsi="Verdana"/>
          <w:color w:val="000000"/>
          <w:szCs w:val="24"/>
        </w:rPr>
        <w:t xml:space="preserve"> wzrost w </w:t>
      </w:r>
      <w:r w:rsidRPr="008F589B">
        <w:rPr>
          <w:rFonts w:ascii="Verdana" w:eastAsia="Times New Roman" w:hAnsi="Verdana"/>
          <w:color w:val="000000"/>
          <w:szCs w:val="24"/>
        </w:rPr>
        <w:t xml:space="preserve">społeczeństwie zaburzeń psychicznych – depresja jest w czołówce najczęściej występujących schorzeń według WHO a do 2030 będzie na miejscu </w:t>
      </w:r>
      <w:r w:rsidRPr="008F589B">
        <w:rPr>
          <w:rFonts w:ascii="Verdana" w:eastAsia="Times New Roman" w:hAnsi="Verdana"/>
          <w:color w:val="000000"/>
          <w:szCs w:val="24"/>
        </w:rPr>
        <w:lastRenderedPageBreak/>
        <w:t>pierwszym. Pandemia dodatkowo zwiększyła powyższe problemy z powodu konieczności izolacji. Pogłębiające się problemy psychiczne mogą poważnie zaburzyć powrót gospodarki do normalności dlatego postawienie nacisku na dostępność do psychoterapii oraz samopomocowych grup wsparcia wydaje się wysoce istotnym elementem decydującym o powodzeniu Krajowego Planu Odbudowy i Zwiększania Odporności - ska</w:t>
      </w:r>
      <w:r w:rsidR="009445CF" w:rsidRPr="008F589B">
        <w:rPr>
          <w:rFonts w:ascii="Verdana" w:eastAsia="Times New Roman" w:hAnsi="Verdana"/>
          <w:color w:val="000000"/>
          <w:szCs w:val="24"/>
        </w:rPr>
        <w:t>la problemu wymaga inwestycji w </w:t>
      </w:r>
      <w:r w:rsidRPr="008F589B">
        <w:rPr>
          <w:rFonts w:ascii="Verdana" w:eastAsia="Times New Roman" w:hAnsi="Verdana"/>
          <w:color w:val="000000"/>
          <w:szCs w:val="24"/>
        </w:rPr>
        <w:t>wysokości min. 800 mln euro.</w:t>
      </w:r>
    </w:p>
    <w:p w14:paraId="4C9629B9" w14:textId="77777777" w:rsidR="00E13817" w:rsidRPr="008F589B" w:rsidRDefault="00E13817" w:rsidP="008F589B">
      <w:pPr>
        <w:spacing w:line="360" w:lineRule="auto"/>
        <w:jc w:val="both"/>
        <w:rPr>
          <w:rFonts w:ascii="Verdana" w:hAnsi="Verdana"/>
          <w:szCs w:val="24"/>
        </w:rPr>
      </w:pPr>
    </w:p>
    <w:p w14:paraId="37CB750D" w14:textId="77777777" w:rsidR="00E13817" w:rsidRPr="008F589B" w:rsidRDefault="00E13817" w:rsidP="008F589B">
      <w:pPr>
        <w:pStyle w:val="Akapitzlist"/>
        <w:numPr>
          <w:ilvl w:val="0"/>
          <w:numId w:val="12"/>
        </w:numPr>
        <w:suppressAutoHyphens/>
        <w:autoSpaceDN w:val="0"/>
        <w:spacing w:after="0" w:line="360" w:lineRule="auto"/>
        <w:jc w:val="both"/>
        <w:textAlignment w:val="baseline"/>
        <w:rPr>
          <w:rFonts w:ascii="Verdana" w:hAnsi="Verdana"/>
          <w:sz w:val="24"/>
          <w:szCs w:val="24"/>
        </w:rPr>
      </w:pPr>
      <w:r w:rsidRPr="008F589B">
        <w:rPr>
          <w:rFonts w:ascii="Verdana" w:eastAsia="Times New Roman" w:hAnsi="Verdana"/>
          <w:color w:val="000000"/>
          <w:sz w:val="24"/>
          <w:szCs w:val="24"/>
          <w:lang w:eastAsia="pl-PL"/>
        </w:rPr>
        <w:t>Dodanie dodatkowego celu szczegółowego D4 “Poprawa wsparcia pacjentów/</w:t>
      </w:r>
      <w:proofErr w:type="spellStart"/>
      <w:r w:rsidRPr="008F589B">
        <w:rPr>
          <w:rFonts w:ascii="Verdana" w:eastAsia="Times New Roman" w:hAnsi="Verdana"/>
          <w:color w:val="000000"/>
          <w:sz w:val="24"/>
          <w:szCs w:val="24"/>
          <w:lang w:eastAsia="pl-PL"/>
        </w:rPr>
        <w:t>ek</w:t>
      </w:r>
      <w:proofErr w:type="spellEnd"/>
      <w:r w:rsidRPr="008F589B">
        <w:rPr>
          <w:rFonts w:ascii="Verdana" w:eastAsia="Times New Roman" w:hAnsi="Verdana"/>
          <w:color w:val="000000"/>
          <w:sz w:val="24"/>
          <w:szCs w:val="24"/>
          <w:lang w:eastAsia="pl-PL"/>
        </w:rPr>
        <w:t>, w tym dzieci, i ich rodzin w środowisku lokalnym” oraz odpowiadającej mu reformy D4.1. Składałyby się na nią 2 inwestycje:</w:t>
      </w:r>
    </w:p>
    <w:p w14:paraId="37E2097E" w14:textId="1963DB96" w:rsidR="004639F3" w:rsidRPr="008F589B" w:rsidRDefault="00E13817" w:rsidP="008F589B">
      <w:pPr>
        <w:spacing w:line="360" w:lineRule="auto"/>
        <w:ind w:firstLine="720"/>
        <w:jc w:val="both"/>
        <w:rPr>
          <w:rFonts w:ascii="Verdana" w:eastAsia="Times New Roman" w:hAnsi="Verdana"/>
          <w:color w:val="000000"/>
          <w:szCs w:val="24"/>
        </w:rPr>
      </w:pPr>
      <w:r w:rsidRPr="008F589B">
        <w:rPr>
          <w:rFonts w:ascii="Verdana" w:eastAsia="Times New Roman" w:hAnsi="Verdana"/>
          <w:color w:val="000000"/>
          <w:szCs w:val="24"/>
        </w:rPr>
        <w:t>4.1 D4.1.1 Wzmocnienie wczesnej interwencji</w:t>
      </w:r>
    </w:p>
    <w:p w14:paraId="6E2A1EAB" w14:textId="5C03F49F" w:rsidR="00E13817" w:rsidRPr="008F589B" w:rsidRDefault="00E13817" w:rsidP="008F589B">
      <w:pPr>
        <w:spacing w:line="360" w:lineRule="auto"/>
        <w:jc w:val="both"/>
        <w:rPr>
          <w:rFonts w:ascii="Verdana" w:eastAsia="Times New Roman" w:hAnsi="Verdana"/>
          <w:color w:val="000000"/>
          <w:szCs w:val="24"/>
        </w:rPr>
      </w:pPr>
      <w:r w:rsidRPr="008F589B">
        <w:rPr>
          <w:rFonts w:ascii="Verdana" w:eastAsia="Times New Roman" w:hAnsi="Verdana"/>
          <w:color w:val="000000"/>
          <w:szCs w:val="24"/>
        </w:rPr>
        <w:t>Inwestycja ta odpowiadałaby na pilną potrzebę opracowania i wdrożenia programu umożliwiającego wczesne wy</w:t>
      </w:r>
      <w:r w:rsidR="009445CF" w:rsidRPr="008F589B">
        <w:rPr>
          <w:rFonts w:ascii="Verdana" w:eastAsia="Times New Roman" w:hAnsi="Verdana"/>
          <w:color w:val="000000"/>
          <w:szCs w:val="24"/>
        </w:rPr>
        <w:t>krywanie zaburzeń rozwojowych u </w:t>
      </w:r>
      <w:r w:rsidRPr="008F589B">
        <w:rPr>
          <w:rFonts w:ascii="Verdana" w:eastAsia="Times New Roman" w:hAnsi="Verdana"/>
          <w:color w:val="000000"/>
          <w:szCs w:val="24"/>
        </w:rPr>
        <w:t xml:space="preserve">dzieci. Umożliwiałaby także uruchomienie na jego podstawie </w:t>
      </w:r>
      <w:r w:rsidRPr="008F589B">
        <w:rPr>
          <w:rFonts w:ascii="Verdana" w:eastAsia="Times New Roman" w:hAnsi="Verdana"/>
          <w:b/>
          <w:bCs/>
          <w:color w:val="000000"/>
          <w:szCs w:val="24"/>
        </w:rPr>
        <w:t>kompleksowych</w:t>
      </w:r>
      <w:r w:rsidRPr="008F589B">
        <w:rPr>
          <w:rFonts w:ascii="Verdana" w:eastAsia="Times New Roman" w:hAnsi="Verdana"/>
          <w:color w:val="000000"/>
          <w:szCs w:val="24"/>
        </w:rPr>
        <w:t xml:space="preserve"> działań pomocowych skierowanych do </w:t>
      </w:r>
      <w:r w:rsidRPr="008F589B">
        <w:rPr>
          <w:rFonts w:ascii="Verdana" w:eastAsia="Times New Roman" w:hAnsi="Verdana"/>
          <w:b/>
          <w:bCs/>
          <w:color w:val="000000"/>
          <w:szCs w:val="24"/>
        </w:rPr>
        <w:t xml:space="preserve">dziecka i rodziny </w:t>
      </w:r>
      <w:r w:rsidRPr="008F589B">
        <w:rPr>
          <w:rFonts w:ascii="Verdana" w:eastAsia="Times New Roman" w:hAnsi="Verdana"/>
          <w:color w:val="000000"/>
          <w:szCs w:val="24"/>
        </w:rPr>
        <w:t>realizowanych w podmiotach medycznych oraz w środowisku wychowania i</w:t>
      </w:r>
      <w:r w:rsidR="009445CF" w:rsidRPr="008F589B">
        <w:rPr>
          <w:rFonts w:ascii="Verdana" w:eastAsia="Times New Roman" w:hAnsi="Verdana"/>
          <w:color w:val="000000"/>
          <w:szCs w:val="24"/>
        </w:rPr>
        <w:t> </w:t>
      </w:r>
      <w:r w:rsidRPr="008F589B">
        <w:rPr>
          <w:rFonts w:ascii="Verdana" w:eastAsia="Times New Roman" w:hAnsi="Verdana"/>
          <w:color w:val="000000"/>
          <w:szCs w:val="24"/>
        </w:rPr>
        <w:t>nauczania. Konieczne jest w nim zawarcie instrumentów, w których skutkiem wprowadzenia będzie skoordynowanie działa</w:t>
      </w:r>
      <w:r w:rsidR="009445CF" w:rsidRPr="008F589B">
        <w:rPr>
          <w:rFonts w:ascii="Verdana" w:eastAsia="Times New Roman" w:hAnsi="Verdana"/>
          <w:color w:val="000000"/>
          <w:szCs w:val="24"/>
        </w:rPr>
        <w:t>ń z zakresu zdrowia, edukacji i </w:t>
      </w:r>
      <w:r w:rsidRPr="008F589B">
        <w:rPr>
          <w:rFonts w:ascii="Verdana" w:eastAsia="Times New Roman" w:hAnsi="Verdana"/>
          <w:color w:val="000000"/>
          <w:szCs w:val="24"/>
        </w:rPr>
        <w:t>polityki społecznej oraz kontynuacja ich na każdym etapie życia osoby wymagającej wsparcia.</w:t>
      </w:r>
    </w:p>
    <w:p w14:paraId="053922B1" w14:textId="77777777" w:rsidR="005619C1" w:rsidRPr="008F589B" w:rsidRDefault="005619C1" w:rsidP="008F589B">
      <w:pPr>
        <w:spacing w:line="360" w:lineRule="auto"/>
        <w:jc w:val="both"/>
        <w:rPr>
          <w:rFonts w:ascii="Verdana" w:hAnsi="Verdana"/>
          <w:szCs w:val="24"/>
          <w:u w:val="single"/>
        </w:rPr>
      </w:pPr>
    </w:p>
    <w:p w14:paraId="60E76BB9" w14:textId="77777777" w:rsidR="00E13817" w:rsidRPr="008F589B" w:rsidRDefault="00E13817" w:rsidP="008F589B">
      <w:pPr>
        <w:spacing w:line="360" w:lineRule="auto"/>
        <w:ind w:firstLine="720"/>
        <w:jc w:val="both"/>
        <w:rPr>
          <w:rFonts w:ascii="Verdana" w:hAnsi="Verdana"/>
          <w:szCs w:val="24"/>
        </w:rPr>
      </w:pPr>
      <w:r w:rsidRPr="008F589B">
        <w:rPr>
          <w:rFonts w:ascii="Verdana" w:eastAsia="Times New Roman" w:hAnsi="Verdana"/>
          <w:color w:val="000000"/>
          <w:szCs w:val="24"/>
          <w:u w:val="single"/>
        </w:rPr>
        <w:t xml:space="preserve">4.2 D4.1.2 </w:t>
      </w:r>
      <w:bookmarkStart w:id="1" w:name="_Hlk68596378"/>
      <w:r w:rsidRPr="008F589B">
        <w:rPr>
          <w:rFonts w:ascii="Verdana" w:eastAsia="Times New Roman" w:hAnsi="Verdana"/>
          <w:color w:val="000000"/>
          <w:szCs w:val="24"/>
          <w:u w:val="single"/>
        </w:rPr>
        <w:t>Wdrożenie deinstytucjonalizacji usług zdrowotnych</w:t>
      </w:r>
      <w:bookmarkEnd w:id="1"/>
    </w:p>
    <w:p w14:paraId="291C7DBD" w14:textId="0C1430E4" w:rsidR="00E13817" w:rsidRPr="008F589B" w:rsidRDefault="00E13817" w:rsidP="008F589B">
      <w:pPr>
        <w:spacing w:line="360" w:lineRule="auto"/>
        <w:jc w:val="both"/>
        <w:rPr>
          <w:rFonts w:ascii="Verdana" w:eastAsia="Times New Roman" w:hAnsi="Verdana"/>
          <w:color w:val="000000"/>
          <w:szCs w:val="24"/>
        </w:rPr>
      </w:pPr>
      <w:r w:rsidRPr="008F589B">
        <w:rPr>
          <w:rFonts w:ascii="Verdana" w:eastAsia="Times New Roman" w:hAnsi="Verdana"/>
          <w:color w:val="000000"/>
          <w:szCs w:val="24"/>
        </w:rPr>
        <w:t>W KPO konieczne jest wsparcie procesu deinstytucjonalizacji usług zdrowotnych. Podstawowym zadaniem jest stworzenie realnych alternatyw dla Zakładów Opiekuńczo-Leczniczych, Domów Pomocy Społecznej – stworzenie systemowych rozwiązań w zakresie</w:t>
      </w:r>
      <w:r w:rsidR="009445CF" w:rsidRPr="008F589B">
        <w:rPr>
          <w:rFonts w:ascii="Verdana" w:eastAsia="Times New Roman" w:hAnsi="Verdana"/>
          <w:color w:val="000000"/>
          <w:szCs w:val="24"/>
        </w:rPr>
        <w:t xml:space="preserve"> usług zdrowotnych (np. DDOM) i </w:t>
      </w:r>
      <w:r w:rsidRPr="008F589B">
        <w:rPr>
          <w:rFonts w:ascii="Verdana" w:eastAsia="Times New Roman" w:hAnsi="Verdana"/>
          <w:color w:val="000000"/>
          <w:szCs w:val="24"/>
        </w:rPr>
        <w:t>połączenie ich z usługami społecznymi (np. asystencja osobista).</w:t>
      </w:r>
    </w:p>
    <w:p w14:paraId="4628535C" w14:textId="77777777" w:rsidR="00432546" w:rsidRPr="008F589B" w:rsidRDefault="00432546" w:rsidP="008F589B">
      <w:pPr>
        <w:spacing w:line="360" w:lineRule="auto"/>
        <w:jc w:val="both"/>
        <w:rPr>
          <w:rFonts w:ascii="Verdana" w:eastAsia="Times New Roman" w:hAnsi="Verdana"/>
          <w:color w:val="000000"/>
          <w:szCs w:val="24"/>
        </w:rPr>
      </w:pPr>
    </w:p>
    <w:p w14:paraId="451073DB" w14:textId="3FD7146E" w:rsidR="00E13817" w:rsidRPr="008F589B" w:rsidRDefault="00E13817" w:rsidP="008F589B">
      <w:pPr>
        <w:spacing w:line="360" w:lineRule="auto"/>
        <w:jc w:val="both"/>
        <w:rPr>
          <w:rFonts w:ascii="Verdana" w:eastAsia="Times New Roman" w:hAnsi="Verdana"/>
          <w:color w:val="000000"/>
          <w:szCs w:val="24"/>
        </w:rPr>
      </w:pPr>
      <w:r w:rsidRPr="008F589B">
        <w:rPr>
          <w:rFonts w:ascii="Verdana" w:eastAsia="Times New Roman" w:hAnsi="Verdana"/>
          <w:color w:val="000000"/>
          <w:szCs w:val="24"/>
        </w:rPr>
        <w:t xml:space="preserve">Kolejnym bardzo ważnym jego elementem tej inwestycji jest </w:t>
      </w:r>
      <w:proofErr w:type="spellStart"/>
      <w:r w:rsidRPr="008F589B">
        <w:rPr>
          <w:rFonts w:ascii="Verdana" w:eastAsia="Times New Roman" w:hAnsi="Verdana"/>
          <w:color w:val="000000"/>
          <w:szCs w:val="24"/>
        </w:rPr>
        <w:t>deinstytucjonalizacja</w:t>
      </w:r>
      <w:proofErr w:type="spellEnd"/>
      <w:r w:rsidRPr="008F589B">
        <w:rPr>
          <w:rFonts w:ascii="Verdana" w:eastAsia="Times New Roman" w:hAnsi="Verdana"/>
          <w:color w:val="000000"/>
          <w:szCs w:val="24"/>
        </w:rPr>
        <w:t xml:space="preserve"> psychiatrii. Niezbędne jest powstanie wsparcia psychiatrycznego, stworzonego w środowis</w:t>
      </w:r>
      <w:r w:rsidR="009445CF" w:rsidRPr="008F589B">
        <w:rPr>
          <w:rFonts w:ascii="Verdana" w:eastAsia="Times New Roman" w:hAnsi="Verdana"/>
          <w:color w:val="000000"/>
          <w:szCs w:val="24"/>
        </w:rPr>
        <w:t xml:space="preserve">ku lokalnym i z udziałem osób </w:t>
      </w:r>
      <w:r w:rsidR="009445CF" w:rsidRPr="008F589B">
        <w:rPr>
          <w:rFonts w:ascii="Verdana" w:eastAsia="Times New Roman" w:hAnsi="Verdana"/>
          <w:color w:val="000000"/>
          <w:szCs w:val="24"/>
        </w:rPr>
        <w:lastRenderedPageBreak/>
        <w:t>z </w:t>
      </w:r>
      <w:r w:rsidRPr="008F589B">
        <w:rPr>
          <w:rFonts w:ascii="Verdana" w:eastAsia="Times New Roman" w:hAnsi="Verdana"/>
          <w:color w:val="000000"/>
          <w:szCs w:val="24"/>
        </w:rPr>
        <w:t xml:space="preserve">doświadczeniem kryzysu psychicznego (asystentów zdrowienia) </w:t>
      </w:r>
      <w:r w:rsidR="009445CF" w:rsidRPr="008F589B">
        <w:rPr>
          <w:rFonts w:ascii="Verdana" w:eastAsia="Times New Roman" w:hAnsi="Verdana"/>
          <w:color w:val="000000"/>
          <w:szCs w:val="24"/>
        </w:rPr>
        <w:t>–</w:t>
      </w:r>
      <w:r w:rsidRPr="008F589B">
        <w:rPr>
          <w:rFonts w:ascii="Verdana" w:eastAsia="Times New Roman" w:hAnsi="Verdana"/>
          <w:color w:val="000000"/>
          <w:szCs w:val="24"/>
        </w:rPr>
        <w:t xml:space="preserve"> zamiast dominującego leczenia szpitalnego. Proces deinstytucjonalizacji musi objąć zarówno psychiatrię dorosłych, jak i dzieci oraz młodzieży. W przypadku hospitalizacji oddziały psychiatryczne powinno się tworzyć jako część szpitali z innymi oddziałami (a nie jako szpitale psychiatryczne).</w:t>
      </w:r>
    </w:p>
    <w:p w14:paraId="23397B3E" w14:textId="523B296C" w:rsidR="00E13817" w:rsidRPr="008F589B" w:rsidRDefault="00E13817" w:rsidP="008F589B">
      <w:pPr>
        <w:spacing w:line="360" w:lineRule="auto"/>
        <w:jc w:val="both"/>
        <w:rPr>
          <w:rFonts w:ascii="Verdana" w:eastAsia="Times New Roman" w:hAnsi="Verdana"/>
          <w:szCs w:val="24"/>
        </w:rPr>
      </w:pPr>
    </w:p>
    <w:p w14:paraId="6F39B577" w14:textId="7A97254A" w:rsidR="00E13817" w:rsidRPr="008F589B" w:rsidRDefault="00E13817" w:rsidP="008F589B">
      <w:pPr>
        <w:pStyle w:val="Akapitzlist"/>
        <w:numPr>
          <w:ilvl w:val="0"/>
          <w:numId w:val="12"/>
        </w:numPr>
        <w:suppressAutoHyphens/>
        <w:autoSpaceDN w:val="0"/>
        <w:spacing w:after="0" w:line="360" w:lineRule="auto"/>
        <w:jc w:val="both"/>
        <w:textAlignment w:val="baseline"/>
        <w:rPr>
          <w:rFonts w:ascii="Verdana" w:eastAsia="Times New Roman" w:hAnsi="Verdana"/>
          <w:i/>
          <w:iCs/>
          <w:sz w:val="24"/>
          <w:szCs w:val="24"/>
          <w:u w:val="single"/>
          <w:lang w:eastAsia="pl-PL"/>
        </w:rPr>
      </w:pPr>
      <w:r w:rsidRPr="008F589B">
        <w:rPr>
          <w:rFonts w:ascii="Verdana" w:eastAsia="Times New Roman" w:hAnsi="Verdana"/>
          <w:i/>
          <w:iCs/>
          <w:sz w:val="24"/>
          <w:szCs w:val="24"/>
          <w:u w:val="single"/>
          <w:lang w:eastAsia="pl-PL"/>
        </w:rPr>
        <w:t>Dodanie celu szczegółowego: D5 Usługi społeczne z inwestycyjną D5.1. Mieszkalnictwo wspomagane gdzie postulujemy o:</w:t>
      </w:r>
    </w:p>
    <w:p w14:paraId="137E91FB" w14:textId="77777777" w:rsidR="004D37E3" w:rsidRPr="008F589B" w:rsidRDefault="004D37E3" w:rsidP="008F589B">
      <w:pPr>
        <w:pStyle w:val="Akapitzlist"/>
        <w:suppressAutoHyphens/>
        <w:autoSpaceDN w:val="0"/>
        <w:spacing w:after="0" w:line="360" w:lineRule="auto"/>
        <w:jc w:val="both"/>
        <w:textAlignment w:val="baseline"/>
        <w:rPr>
          <w:rFonts w:ascii="Verdana" w:eastAsia="Times New Roman" w:hAnsi="Verdana"/>
          <w:i/>
          <w:iCs/>
          <w:sz w:val="24"/>
          <w:szCs w:val="24"/>
          <w:u w:val="single"/>
          <w:lang w:eastAsia="pl-PL"/>
        </w:rPr>
      </w:pPr>
    </w:p>
    <w:p w14:paraId="13F37C10" w14:textId="77777777" w:rsidR="00E13817" w:rsidRPr="008F589B" w:rsidRDefault="00E13817" w:rsidP="008F589B">
      <w:pPr>
        <w:spacing w:line="360" w:lineRule="auto"/>
        <w:ind w:left="720"/>
        <w:jc w:val="both"/>
        <w:rPr>
          <w:rFonts w:ascii="Verdana" w:hAnsi="Verdana"/>
          <w:szCs w:val="24"/>
          <w:u w:val="single"/>
        </w:rPr>
      </w:pPr>
      <w:r w:rsidRPr="008F589B">
        <w:rPr>
          <w:rFonts w:ascii="Verdana" w:eastAsia="Times New Roman" w:hAnsi="Verdana"/>
          <w:color w:val="000000"/>
          <w:szCs w:val="24"/>
          <w:u w:val="single"/>
        </w:rPr>
        <w:t>5.1   D5.1.1. Reforma legislacyjna</w:t>
      </w:r>
    </w:p>
    <w:p w14:paraId="7EEB1F97" w14:textId="20C996C5" w:rsidR="00E13817" w:rsidRPr="008F589B" w:rsidRDefault="00E13817" w:rsidP="008F589B">
      <w:pPr>
        <w:spacing w:line="360" w:lineRule="auto"/>
        <w:jc w:val="both"/>
        <w:rPr>
          <w:rFonts w:ascii="Verdana" w:eastAsia="Times New Roman" w:hAnsi="Verdana"/>
          <w:color w:val="000000"/>
          <w:szCs w:val="24"/>
        </w:rPr>
      </w:pPr>
      <w:r w:rsidRPr="008F589B">
        <w:rPr>
          <w:rFonts w:ascii="Verdana" w:eastAsia="Times New Roman" w:hAnsi="Verdana"/>
          <w:color w:val="000000"/>
          <w:szCs w:val="24"/>
          <w:u w:val="single"/>
        </w:rPr>
        <w:t>Uzasadnienie</w:t>
      </w:r>
      <w:r w:rsidRPr="008F589B">
        <w:rPr>
          <w:rFonts w:ascii="Verdana" w:eastAsia="Times New Roman" w:hAnsi="Verdana"/>
          <w:color w:val="000000"/>
          <w:szCs w:val="24"/>
        </w:rPr>
        <w:t>: wprowadzenie zmian prawnych definiujących mieszkanie wspomagane jako w postaci mieszkania lub domu, przygotowującego osoby w nim przebywające przy wsparciu specjalistów, do prowadzenia  niezależnego życia lub zapewniającego  wsparcie w prowadzeniu niezależnego życia. Obecnie funkcjonująca formuła mieszkań chronionych jest zbyt wąska i zbyt mało elastyczna, nie uwzględnia wszystkich potrzeb różnorodnych grup odbiorców.</w:t>
      </w:r>
    </w:p>
    <w:p w14:paraId="58522960" w14:textId="77777777" w:rsidR="008F589B" w:rsidRDefault="008F589B" w:rsidP="008F589B">
      <w:pPr>
        <w:spacing w:line="360" w:lineRule="auto"/>
        <w:ind w:left="709"/>
        <w:jc w:val="both"/>
        <w:rPr>
          <w:rFonts w:ascii="Verdana" w:eastAsia="Times New Roman" w:hAnsi="Verdana"/>
          <w:i/>
          <w:iCs/>
          <w:color w:val="000000"/>
          <w:szCs w:val="24"/>
          <w:u w:val="single"/>
        </w:rPr>
      </w:pPr>
    </w:p>
    <w:p w14:paraId="1D27E363" w14:textId="69F432EA" w:rsidR="00E13817" w:rsidRPr="008F589B" w:rsidRDefault="00E13817" w:rsidP="008F589B">
      <w:pPr>
        <w:spacing w:line="360" w:lineRule="auto"/>
        <w:ind w:left="709"/>
        <w:jc w:val="both"/>
        <w:rPr>
          <w:rFonts w:ascii="Verdana" w:eastAsia="Times New Roman" w:hAnsi="Verdana"/>
          <w:i/>
          <w:iCs/>
          <w:color w:val="000000"/>
          <w:szCs w:val="24"/>
          <w:u w:val="single"/>
        </w:rPr>
      </w:pPr>
      <w:r w:rsidRPr="008F589B">
        <w:rPr>
          <w:rFonts w:ascii="Verdana" w:eastAsia="Times New Roman" w:hAnsi="Verdana"/>
          <w:i/>
          <w:iCs/>
          <w:color w:val="000000"/>
          <w:szCs w:val="24"/>
          <w:u w:val="single"/>
        </w:rPr>
        <w:t>5.2. D5.1.2 Poprawę dostępu do</w:t>
      </w:r>
      <w:r w:rsidR="009445CF" w:rsidRPr="008F589B">
        <w:rPr>
          <w:rFonts w:ascii="Verdana" w:eastAsia="Times New Roman" w:hAnsi="Verdana"/>
          <w:i/>
          <w:iCs/>
          <w:color w:val="000000"/>
          <w:szCs w:val="24"/>
          <w:u w:val="single"/>
        </w:rPr>
        <w:t xml:space="preserve"> infrastruktury mieszkaniowej z </w:t>
      </w:r>
      <w:r w:rsidRPr="008F589B">
        <w:rPr>
          <w:rFonts w:ascii="Verdana" w:eastAsia="Times New Roman" w:hAnsi="Verdana"/>
          <w:i/>
          <w:iCs/>
          <w:color w:val="000000"/>
          <w:szCs w:val="24"/>
          <w:u w:val="single"/>
        </w:rPr>
        <w:t>przeznaczeniem na ten cel 450 mln zł</w:t>
      </w:r>
    </w:p>
    <w:p w14:paraId="1E4B0670" w14:textId="77777777" w:rsidR="00E13817" w:rsidRPr="008F589B" w:rsidRDefault="00E13817" w:rsidP="008F589B">
      <w:pPr>
        <w:spacing w:line="360" w:lineRule="auto"/>
        <w:jc w:val="both"/>
        <w:rPr>
          <w:rFonts w:ascii="Verdana" w:eastAsia="Times New Roman" w:hAnsi="Verdana"/>
          <w:color w:val="000000"/>
          <w:szCs w:val="24"/>
        </w:rPr>
      </w:pPr>
      <w:r w:rsidRPr="008F589B">
        <w:rPr>
          <w:rFonts w:ascii="Verdana" w:eastAsia="Times New Roman" w:hAnsi="Verdana"/>
          <w:color w:val="000000"/>
          <w:szCs w:val="24"/>
          <w:u w:val="single"/>
        </w:rPr>
        <w:t>Uzasadnienie:</w:t>
      </w:r>
      <w:r w:rsidRPr="008F589B">
        <w:rPr>
          <w:rFonts w:ascii="Verdana" w:eastAsia="Times New Roman" w:hAnsi="Verdana"/>
          <w:color w:val="000000"/>
          <w:szCs w:val="24"/>
        </w:rPr>
        <w:t xml:space="preserve"> poszerzenie zasobu mieszkań wspomaganych m.in. w oparciu o komunalne zasoby mieszkaniowe. W zasobach polskich gmin  jest 54 tys. </w:t>
      </w:r>
    </w:p>
    <w:p w14:paraId="3F42B660" w14:textId="0BAD5066" w:rsidR="00E13817" w:rsidRPr="008F589B" w:rsidRDefault="00E13817" w:rsidP="008F589B">
      <w:pPr>
        <w:spacing w:line="360" w:lineRule="auto"/>
        <w:jc w:val="both"/>
        <w:rPr>
          <w:rFonts w:ascii="Verdana" w:eastAsia="Times New Roman" w:hAnsi="Verdana"/>
          <w:color w:val="000000"/>
          <w:szCs w:val="24"/>
        </w:rPr>
      </w:pPr>
      <w:r w:rsidRPr="008F589B">
        <w:rPr>
          <w:rFonts w:ascii="Verdana" w:eastAsia="Times New Roman" w:hAnsi="Verdana"/>
          <w:color w:val="000000"/>
          <w:szCs w:val="24"/>
        </w:rPr>
        <w:t>pustostanów (stan na 2018 rok), które są niewykorzystywane z różnych powodów. Jedną z barier jest ich zła kondycja techniczna lub brak funduszy na kosztowne remonty i dostosowani</w:t>
      </w:r>
      <w:r w:rsidR="009445CF" w:rsidRPr="008F589B">
        <w:rPr>
          <w:rFonts w:ascii="Verdana" w:eastAsia="Times New Roman" w:hAnsi="Verdana"/>
          <w:color w:val="000000"/>
          <w:szCs w:val="24"/>
        </w:rPr>
        <w:t>e. Dopuszczenie do degradacji i </w:t>
      </w:r>
      <w:r w:rsidRPr="008F589B">
        <w:rPr>
          <w:rFonts w:ascii="Verdana" w:eastAsia="Times New Roman" w:hAnsi="Verdana"/>
          <w:color w:val="000000"/>
          <w:szCs w:val="24"/>
        </w:rPr>
        <w:t xml:space="preserve">niszczenia takiego zasobu jest niecelowe, zważywszy na jego potencjał do realizacji celów społecznych wobec osób zagrożonych i doświadczających wykluczenia społecznego.  Aktywne działania mające na celu ograniczenie liczby pustostanów oraz wykorzystanie ich na cele społeczne są podejmowane w Europie i na świecie i mogą stanowić inspirujące dobre praktyki. Przy założeniu wykorzystania 10% z 54 tys. pustostanów, którymi dysponują gminy i stworzenia ok. 5 tys. mieszkań wspomaganych na ich bazie, </w:t>
      </w:r>
      <w:r w:rsidRPr="008F589B">
        <w:rPr>
          <w:rFonts w:ascii="Verdana" w:eastAsia="Times New Roman" w:hAnsi="Verdana"/>
          <w:color w:val="000000"/>
          <w:szCs w:val="24"/>
        </w:rPr>
        <w:lastRenderedPageBreak/>
        <w:t>przyjmując za średnią powierzchnię każdego mieszkania ok. 50 m</w:t>
      </w:r>
      <w:r w:rsidRPr="008F589B">
        <w:rPr>
          <w:rFonts w:ascii="Verdana" w:eastAsia="Times New Roman" w:hAnsi="Verdana"/>
          <w:color w:val="000000"/>
          <w:szCs w:val="24"/>
          <w:vertAlign w:val="superscript"/>
        </w:rPr>
        <w:t>2</w:t>
      </w:r>
      <w:r w:rsidRPr="008F589B">
        <w:rPr>
          <w:rFonts w:ascii="Verdana" w:eastAsia="Times New Roman" w:hAnsi="Verdana"/>
          <w:color w:val="000000"/>
          <w:szCs w:val="24"/>
        </w:rPr>
        <w:t xml:space="preserve"> i średni koszt remontu i ewentualnego wyposażenia pustostanów na poziomie ok. 1800  zł za m</w:t>
      </w:r>
      <w:r w:rsidRPr="008F589B">
        <w:rPr>
          <w:rFonts w:ascii="Verdana" w:eastAsia="Times New Roman" w:hAnsi="Verdana"/>
          <w:color w:val="000000"/>
          <w:szCs w:val="24"/>
          <w:vertAlign w:val="superscript"/>
        </w:rPr>
        <w:t>2</w:t>
      </w:r>
      <w:r w:rsidRPr="008F589B">
        <w:rPr>
          <w:rFonts w:ascii="Verdana" w:eastAsia="Times New Roman" w:hAnsi="Verdana"/>
          <w:color w:val="000000"/>
          <w:szCs w:val="24"/>
        </w:rPr>
        <w:t xml:space="preserve"> (przy uwzględnieniu systematycznego wzrostu cen) łączny koszt inwestycji w reformę to 450 mln zł.  Oczywiście 5 tys. mieszkań wspomaganych nie rozwiązuje ws</w:t>
      </w:r>
      <w:r w:rsidR="009445CF" w:rsidRPr="008F589B">
        <w:rPr>
          <w:rFonts w:ascii="Verdana" w:eastAsia="Times New Roman" w:hAnsi="Verdana"/>
          <w:color w:val="000000"/>
          <w:szCs w:val="24"/>
        </w:rPr>
        <w:t>zystkich problemów związanych z </w:t>
      </w:r>
      <w:r w:rsidRPr="008F589B">
        <w:rPr>
          <w:rFonts w:ascii="Verdana" w:eastAsia="Times New Roman" w:hAnsi="Verdana"/>
          <w:color w:val="000000"/>
          <w:szCs w:val="24"/>
        </w:rPr>
        <w:t>zapewnieniem osobom możliwości niezależnego życia w społecznościach lokalnych. Eksperci szacują, że takich mieszkań potrzeba w Polsce ok. 20 tys. Pamiętajmy, że w placówkach całodobowych przebywa obecnie ok. 150 tys. osób, ale brakuje danych dotyczących faktycznej liczby osób, które mogłyby opuścić te placówki i zamieszkać samod</w:t>
      </w:r>
      <w:r w:rsidR="009445CF" w:rsidRPr="008F589B">
        <w:rPr>
          <w:rFonts w:ascii="Verdana" w:eastAsia="Times New Roman" w:hAnsi="Verdana"/>
          <w:color w:val="000000"/>
          <w:szCs w:val="24"/>
        </w:rPr>
        <w:t>zielnie. Ponad 25% osób z </w:t>
      </w:r>
      <w:r w:rsidRPr="008F589B">
        <w:rPr>
          <w:rFonts w:ascii="Verdana" w:eastAsia="Times New Roman" w:hAnsi="Verdana"/>
          <w:color w:val="000000"/>
          <w:szCs w:val="24"/>
        </w:rPr>
        <w:t>niepełnosprawnościami mieszka ze swo</w:t>
      </w:r>
      <w:r w:rsidR="009445CF" w:rsidRPr="008F589B">
        <w:rPr>
          <w:rFonts w:ascii="Verdana" w:eastAsia="Times New Roman" w:hAnsi="Verdana"/>
          <w:color w:val="000000"/>
          <w:szCs w:val="24"/>
        </w:rPr>
        <w:t>imi rodzicami lub opiekunami. W </w:t>
      </w:r>
      <w:r w:rsidRPr="008F589B">
        <w:rPr>
          <w:rFonts w:ascii="Verdana" w:eastAsia="Times New Roman" w:hAnsi="Verdana"/>
          <w:color w:val="000000"/>
          <w:szCs w:val="24"/>
        </w:rPr>
        <w:t>grupie osób z niepełnosprawnością intelektualną jest to 50%. Ważne jest stworzenie dla tych osób alternatywnych do placówek rozwiązań środowiskowych, czyli właśnie mieszkań wspomaganych. Środki KPO byłyby bardzo ważnym impulsem dla rozwoju mieszkalnictwa wspomaganego. </w:t>
      </w:r>
    </w:p>
    <w:p w14:paraId="7F635F4F" w14:textId="77777777" w:rsidR="004D37E3" w:rsidRPr="008F589B" w:rsidRDefault="004D37E3" w:rsidP="008F589B">
      <w:pPr>
        <w:spacing w:line="360" w:lineRule="auto"/>
        <w:jc w:val="both"/>
        <w:rPr>
          <w:rFonts w:ascii="Verdana" w:hAnsi="Verdana"/>
          <w:szCs w:val="24"/>
        </w:rPr>
      </w:pPr>
    </w:p>
    <w:p w14:paraId="7D5B69D9" w14:textId="77777777" w:rsidR="00E13817" w:rsidRPr="008F589B" w:rsidRDefault="00E13817" w:rsidP="008F589B">
      <w:pPr>
        <w:spacing w:line="360" w:lineRule="auto"/>
        <w:ind w:left="993"/>
        <w:jc w:val="both"/>
        <w:rPr>
          <w:rFonts w:ascii="Verdana" w:hAnsi="Verdana"/>
          <w:i/>
          <w:iCs/>
          <w:szCs w:val="24"/>
          <w:u w:val="single"/>
        </w:rPr>
      </w:pPr>
      <w:r w:rsidRPr="008F589B">
        <w:rPr>
          <w:rFonts w:ascii="Verdana" w:hAnsi="Verdana"/>
          <w:i/>
          <w:iCs/>
          <w:szCs w:val="24"/>
          <w:u w:val="single"/>
        </w:rPr>
        <w:t>5.3. D5.1.3 Zapewnienie dostępu do usług społecznych</w:t>
      </w:r>
    </w:p>
    <w:p w14:paraId="36F89608" w14:textId="77777777" w:rsidR="00E13817" w:rsidRPr="008F589B" w:rsidRDefault="00E13817" w:rsidP="008F589B">
      <w:pPr>
        <w:spacing w:line="360" w:lineRule="auto"/>
        <w:jc w:val="both"/>
        <w:rPr>
          <w:rFonts w:ascii="Verdana" w:eastAsia="Times New Roman" w:hAnsi="Verdana"/>
          <w:color w:val="000000"/>
          <w:szCs w:val="24"/>
        </w:rPr>
      </w:pPr>
      <w:r w:rsidRPr="008F589B">
        <w:rPr>
          <w:rFonts w:ascii="Verdana" w:eastAsia="Times New Roman" w:hAnsi="Verdana"/>
          <w:color w:val="000000"/>
          <w:szCs w:val="24"/>
          <w:u w:val="single"/>
        </w:rPr>
        <w:t>Uzasadnienie</w:t>
      </w:r>
      <w:r w:rsidRPr="008F589B">
        <w:rPr>
          <w:rFonts w:ascii="Verdana" w:eastAsia="Times New Roman" w:hAnsi="Verdana"/>
          <w:color w:val="000000"/>
          <w:szCs w:val="24"/>
        </w:rPr>
        <w:t>: usługi są koniecznym komponentem mieszkań wspomaganych, bez którego nie możemy mówić o oferowaniu tej formy wsparcia w danym lokalu.</w:t>
      </w:r>
    </w:p>
    <w:p w14:paraId="79A06F78" w14:textId="4B95051F" w:rsidR="00E13817" w:rsidRPr="008F589B" w:rsidRDefault="00E13817" w:rsidP="008F589B">
      <w:pPr>
        <w:spacing w:line="360" w:lineRule="auto"/>
        <w:jc w:val="both"/>
        <w:rPr>
          <w:rFonts w:ascii="Verdana" w:hAnsi="Verdana"/>
          <w:szCs w:val="24"/>
        </w:rPr>
      </w:pPr>
      <w:r w:rsidRPr="008F589B">
        <w:rPr>
          <w:rFonts w:ascii="Verdana" w:eastAsia="Times New Roman" w:hAnsi="Verdana"/>
          <w:color w:val="000000"/>
          <w:szCs w:val="24"/>
        </w:rPr>
        <w:t>Propozycje inwestycji w reformy dotycząc</w:t>
      </w:r>
      <w:r w:rsidR="009445CF" w:rsidRPr="008F589B">
        <w:rPr>
          <w:rFonts w:ascii="Verdana" w:eastAsia="Times New Roman" w:hAnsi="Verdana"/>
          <w:color w:val="000000"/>
          <w:szCs w:val="24"/>
        </w:rPr>
        <w:t>e mieszkalnictwa wspomaganego w </w:t>
      </w:r>
      <w:r w:rsidRPr="008F589B">
        <w:rPr>
          <w:rFonts w:ascii="Verdana" w:eastAsia="Times New Roman" w:hAnsi="Verdana"/>
          <w:color w:val="000000"/>
          <w:szCs w:val="24"/>
        </w:rPr>
        <w:t>pełni wpisują się w:</w:t>
      </w:r>
    </w:p>
    <w:p w14:paraId="1AE14223" w14:textId="6309C4E7" w:rsidR="00E13817" w:rsidRPr="008F589B" w:rsidRDefault="00E13817" w:rsidP="008F589B">
      <w:pPr>
        <w:pStyle w:val="Akapitzlist"/>
        <w:numPr>
          <w:ilvl w:val="0"/>
          <w:numId w:val="32"/>
        </w:numPr>
        <w:suppressAutoHyphens/>
        <w:autoSpaceDN w:val="0"/>
        <w:spacing w:after="0" w:line="360" w:lineRule="auto"/>
        <w:jc w:val="both"/>
        <w:textAlignment w:val="baseline"/>
        <w:rPr>
          <w:rFonts w:ascii="Verdana" w:eastAsia="Times New Roman" w:hAnsi="Verdana"/>
          <w:color w:val="000000"/>
          <w:sz w:val="24"/>
          <w:szCs w:val="24"/>
        </w:rPr>
      </w:pPr>
      <w:r w:rsidRPr="008F589B">
        <w:rPr>
          <w:rFonts w:ascii="Verdana" w:eastAsia="Times New Roman" w:hAnsi="Verdana"/>
          <w:color w:val="000000"/>
          <w:sz w:val="24"/>
          <w:szCs w:val="24"/>
        </w:rPr>
        <w:t>„Zalecenia w sprawie krajowego programu reform Polski na 2019 r. oraz zawierające opinię Rady na temat przedstawionego przez Polskę programu konwergencji na 2019 r.” dotyczące poprawy dostępu do rynku pracy poprzez zapewnienie dostępu do opieki długoterminowej. Wiele spośród wspieranych osób dzięki mieszkalnictwu wspomaganemu ma szansę uzyskać samodzielność (zami</w:t>
      </w:r>
      <w:r w:rsidR="008F589B" w:rsidRPr="008F589B">
        <w:rPr>
          <w:rFonts w:ascii="Verdana" w:eastAsia="Times New Roman" w:hAnsi="Verdana"/>
          <w:color w:val="000000"/>
          <w:sz w:val="24"/>
          <w:szCs w:val="24"/>
        </w:rPr>
        <w:t>ast zasilać grupę osób w </w:t>
      </w:r>
      <w:r w:rsidRPr="008F589B">
        <w:rPr>
          <w:rFonts w:ascii="Verdana" w:eastAsia="Times New Roman" w:hAnsi="Verdana"/>
          <w:color w:val="000000"/>
          <w:sz w:val="24"/>
          <w:szCs w:val="24"/>
        </w:rPr>
        <w:t>kryzysie bezdomności, korzystających z pomocy społecznej) i w pełni uczestniczyć w życiu zawodowym lub co najmniej społecznym. Rozwiązania te będą także sprzyj</w:t>
      </w:r>
      <w:r w:rsidR="008F589B" w:rsidRPr="008F589B">
        <w:rPr>
          <w:rFonts w:ascii="Verdana" w:eastAsia="Times New Roman" w:hAnsi="Verdana"/>
          <w:color w:val="000000"/>
          <w:sz w:val="24"/>
          <w:szCs w:val="24"/>
        </w:rPr>
        <w:t xml:space="preserve">ały godzeniu życia zawodowego </w:t>
      </w:r>
      <w:r w:rsidR="008F589B" w:rsidRPr="008F589B">
        <w:rPr>
          <w:rFonts w:ascii="Verdana" w:eastAsia="Times New Roman" w:hAnsi="Verdana"/>
          <w:color w:val="000000"/>
          <w:sz w:val="24"/>
          <w:szCs w:val="24"/>
        </w:rPr>
        <w:lastRenderedPageBreak/>
        <w:t>i </w:t>
      </w:r>
      <w:r w:rsidRPr="008F589B">
        <w:rPr>
          <w:rFonts w:ascii="Verdana" w:eastAsia="Times New Roman" w:hAnsi="Verdana"/>
          <w:color w:val="000000"/>
          <w:sz w:val="24"/>
          <w:szCs w:val="24"/>
        </w:rPr>
        <w:t>rodzinnego przez rodziców osób z niepełnosprawnościami i ułatwiały ich powrót lub wejście na rynek pracy,</w:t>
      </w:r>
    </w:p>
    <w:p w14:paraId="4EB2EFC9" w14:textId="193911DA" w:rsidR="00E13817" w:rsidRPr="008F589B" w:rsidRDefault="00E13817" w:rsidP="008F589B">
      <w:pPr>
        <w:pStyle w:val="Akapitzlist"/>
        <w:numPr>
          <w:ilvl w:val="0"/>
          <w:numId w:val="32"/>
        </w:numPr>
        <w:suppressAutoHyphens/>
        <w:autoSpaceDN w:val="0"/>
        <w:spacing w:after="0" w:line="360" w:lineRule="auto"/>
        <w:jc w:val="both"/>
        <w:textAlignment w:val="baseline"/>
        <w:rPr>
          <w:rFonts w:ascii="Verdana" w:eastAsia="Times New Roman" w:hAnsi="Verdana"/>
          <w:color w:val="000000"/>
          <w:sz w:val="24"/>
          <w:szCs w:val="24"/>
        </w:rPr>
      </w:pPr>
      <w:r w:rsidRPr="008F589B">
        <w:rPr>
          <w:rFonts w:ascii="Verdana" w:eastAsia="Times New Roman" w:hAnsi="Verdana"/>
          <w:color w:val="000000"/>
          <w:sz w:val="24"/>
          <w:szCs w:val="24"/>
        </w:rPr>
        <w:t xml:space="preserve">Europejski Filar Praw Socjalnych </w:t>
      </w:r>
      <w:r w:rsidR="008F589B" w:rsidRPr="008F589B">
        <w:rPr>
          <w:rFonts w:ascii="Verdana" w:eastAsia="Times New Roman" w:hAnsi="Verdana"/>
          <w:color w:val="000000"/>
          <w:sz w:val="24"/>
          <w:szCs w:val="24"/>
        </w:rPr>
        <w:t>w kategorii „ochrona socjalna i </w:t>
      </w:r>
      <w:r w:rsidRPr="008F589B">
        <w:rPr>
          <w:rFonts w:ascii="Verdana" w:eastAsia="Times New Roman" w:hAnsi="Verdana"/>
          <w:color w:val="000000"/>
          <w:sz w:val="24"/>
          <w:szCs w:val="24"/>
        </w:rPr>
        <w:t>integracja społeczna” w zakresie: </w:t>
      </w:r>
    </w:p>
    <w:p w14:paraId="41A5DF44" w14:textId="4FC665F6" w:rsidR="00E13817" w:rsidRPr="008F589B" w:rsidRDefault="00E13817" w:rsidP="008F589B">
      <w:pPr>
        <w:numPr>
          <w:ilvl w:val="0"/>
          <w:numId w:val="14"/>
        </w:numPr>
        <w:tabs>
          <w:tab w:val="left" w:pos="720"/>
        </w:tabs>
        <w:suppressAutoHyphens/>
        <w:autoSpaceDN w:val="0"/>
        <w:spacing w:line="360" w:lineRule="auto"/>
        <w:ind w:left="1134"/>
        <w:jc w:val="both"/>
        <w:textAlignment w:val="baseline"/>
        <w:rPr>
          <w:rFonts w:ascii="Verdana" w:eastAsia="Times New Roman" w:hAnsi="Verdana"/>
          <w:color w:val="000000"/>
          <w:szCs w:val="24"/>
        </w:rPr>
      </w:pPr>
      <w:r w:rsidRPr="008F589B">
        <w:rPr>
          <w:rFonts w:ascii="Verdana" w:eastAsia="Times New Roman" w:hAnsi="Verdana"/>
          <w:color w:val="000000"/>
          <w:szCs w:val="24"/>
        </w:rPr>
        <w:t>„Integracja osób niepełnosprawnych” -  Osoby niepełnosprawne mają prawo do otrzymania wsparcia dochodu, które zapewnia godne życie, usług, które pozwolą im na</w:t>
      </w:r>
      <w:r w:rsidR="008F589B" w:rsidRPr="008F589B">
        <w:rPr>
          <w:rFonts w:ascii="Verdana" w:eastAsia="Times New Roman" w:hAnsi="Verdana"/>
          <w:color w:val="000000"/>
          <w:szCs w:val="24"/>
        </w:rPr>
        <w:t xml:space="preserve"> uczestnictwo w rynku pracy i w </w:t>
      </w:r>
      <w:r w:rsidRPr="008F589B">
        <w:rPr>
          <w:rFonts w:ascii="Verdana" w:eastAsia="Times New Roman" w:hAnsi="Verdana"/>
          <w:color w:val="000000"/>
          <w:szCs w:val="24"/>
        </w:rPr>
        <w:t>życiu społecznym, a także do środowiska pracy dostosowanego do ich potrzeb.</w:t>
      </w:r>
    </w:p>
    <w:p w14:paraId="1373071A" w14:textId="1E17793C" w:rsidR="00E13817" w:rsidRPr="008F589B" w:rsidRDefault="00E13817" w:rsidP="008F589B">
      <w:pPr>
        <w:numPr>
          <w:ilvl w:val="0"/>
          <w:numId w:val="14"/>
        </w:numPr>
        <w:tabs>
          <w:tab w:val="left" w:pos="720"/>
        </w:tabs>
        <w:suppressAutoHyphens/>
        <w:autoSpaceDN w:val="0"/>
        <w:spacing w:line="360" w:lineRule="auto"/>
        <w:ind w:left="1134"/>
        <w:jc w:val="both"/>
        <w:textAlignment w:val="baseline"/>
        <w:rPr>
          <w:rFonts w:ascii="Verdana" w:eastAsia="Times New Roman" w:hAnsi="Verdana"/>
          <w:color w:val="000000"/>
          <w:szCs w:val="24"/>
        </w:rPr>
      </w:pPr>
      <w:r w:rsidRPr="008F589B">
        <w:rPr>
          <w:rFonts w:ascii="Verdana" w:eastAsia="Times New Roman" w:hAnsi="Verdana"/>
          <w:color w:val="000000"/>
          <w:szCs w:val="24"/>
        </w:rPr>
        <w:t xml:space="preserve">„Opieki długoterminowej” – Każdy ma prawo do przystępnych cenowo i dobrej jakości </w:t>
      </w:r>
      <w:r w:rsidR="008F589B" w:rsidRPr="008F589B">
        <w:rPr>
          <w:rFonts w:ascii="Verdana" w:eastAsia="Times New Roman" w:hAnsi="Verdana"/>
          <w:color w:val="000000"/>
          <w:szCs w:val="24"/>
        </w:rPr>
        <w:t>usług opieki długoterminowej, w </w:t>
      </w:r>
      <w:r w:rsidRPr="008F589B">
        <w:rPr>
          <w:rFonts w:ascii="Verdana" w:eastAsia="Times New Roman" w:hAnsi="Verdana"/>
          <w:color w:val="000000"/>
          <w:szCs w:val="24"/>
        </w:rPr>
        <w:t>szczególności opieki w domu i usług środowiskowych.</w:t>
      </w:r>
    </w:p>
    <w:p w14:paraId="3EE42A4A" w14:textId="77777777" w:rsidR="00E13817" w:rsidRPr="008F589B" w:rsidRDefault="00E13817" w:rsidP="008F589B">
      <w:pPr>
        <w:numPr>
          <w:ilvl w:val="0"/>
          <w:numId w:val="14"/>
        </w:numPr>
        <w:tabs>
          <w:tab w:val="left" w:pos="720"/>
        </w:tabs>
        <w:suppressAutoHyphens/>
        <w:autoSpaceDN w:val="0"/>
        <w:spacing w:line="360" w:lineRule="auto"/>
        <w:ind w:left="1134"/>
        <w:jc w:val="both"/>
        <w:textAlignment w:val="baseline"/>
        <w:rPr>
          <w:rFonts w:ascii="Verdana" w:eastAsia="Times New Roman" w:hAnsi="Verdana"/>
          <w:color w:val="000000"/>
          <w:szCs w:val="24"/>
        </w:rPr>
      </w:pPr>
      <w:r w:rsidRPr="008F589B">
        <w:rPr>
          <w:rFonts w:ascii="Verdana" w:eastAsia="Times New Roman" w:hAnsi="Verdana"/>
          <w:color w:val="000000"/>
          <w:szCs w:val="24"/>
        </w:rPr>
        <w:t>„Mieszkalnictwa i pomoc dla bezdomnych” – Należy zapewnić osobom potrzebującym dostęp do mieszkań socjalnych lub pomocy mieszkaniowej dobrej jakości. Osoby znajdujące się w trudnej sytuacji mają prawo do odpowiedniej pomocy i ochrony przed przymusową eksmisją. Osoby doświadczające bezdomności otrzymują odpowiednie schronienie oraz świadczone są na ich rzecz usługi służące promowaniu ich integracji społecznej.</w:t>
      </w:r>
    </w:p>
    <w:p w14:paraId="52373B6A" w14:textId="77777777" w:rsidR="00E13817" w:rsidRPr="008F589B" w:rsidRDefault="00E13817" w:rsidP="008F589B">
      <w:pPr>
        <w:numPr>
          <w:ilvl w:val="0"/>
          <w:numId w:val="15"/>
        </w:numPr>
        <w:suppressAutoHyphens/>
        <w:autoSpaceDN w:val="0"/>
        <w:spacing w:line="360" w:lineRule="auto"/>
        <w:jc w:val="both"/>
        <w:textAlignment w:val="baseline"/>
        <w:rPr>
          <w:rFonts w:ascii="Verdana" w:hAnsi="Verdana"/>
          <w:szCs w:val="24"/>
        </w:rPr>
      </w:pPr>
      <w:r w:rsidRPr="008F589B">
        <w:rPr>
          <w:rFonts w:ascii="Verdana" w:eastAsia="Times New Roman" w:hAnsi="Verdana"/>
          <w:color w:val="000000"/>
          <w:szCs w:val="24"/>
        </w:rPr>
        <w:t xml:space="preserve">Europejską strategię na rzecz praw osób z niepełnosprawnościami na lata 2021–2030 oraz Konwencję ONZ o Prawach Osób Niepełnosprawnych w zakresie realizacji prawa do niezależnego życia (art. 19, </w:t>
      </w:r>
      <w:r w:rsidRPr="008F589B">
        <w:rPr>
          <w:rFonts w:ascii="Verdana" w:eastAsia="Times New Roman" w:hAnsi="Verdana"/>
          <w:color w:val="000000"/>
          <w:szCs w:val="24"/>
          <w:shd w:val="clear" w:color="auto" w:fill="FFFFFF"/>
        </w:rPr>
        <w:t>komentarz ogólny do konwencji nr 5</w:t>
      </w:r>
      <w:r w:rsidRPr="008F589B">
        <w:rPr>
          <w:rFonts w:ascii="Verdana" w:eastAsia="Times New Roman" w:hAnsi="Verdana"/>
          <w:color w:val="000000"/>
          <w:szCs w:val="24"/>
        </w:rPr>
        <w:t>).</w:t>
      </w:r>
    </w:p>
    <w:p w14:paraId="2BEF25E1" w14:textId="64E27E6B" w:rsidR="00E13817" w:rsidRPr="008F589B" w:rsidRDefault="00E13817" w:rsidP="008F589B">
      <w:pPr>
        <w:numPr>
          <w:ilvl w:val="0"/>
          <w:numId w:val="15"/>
        </w:numPr>
        <w:suppressAutoHyphens/>
        <w:autoSpaceDN w:val="0"/>
        <w:spacing w:line="360" w:lineRule="auto"/>
        <w:jc w:val="both"/>
        <w:textAlignment w:val="baseline"/>
        <w:rPr>
          <w:rFonts w:ascii="Verdana" w:eastAsia="Times New Roman" w:hAnsi="Verdana"/>
          <w:color w:val="000000"/>
          <w:szCs w:val="24"/>
        </w:rPr>
      </w:pPr>
      <w:r w:rsidRPr="008F589B">
        <w:rPr>
          <w:rFonts w:ascii="Verdana" w:eastAsia="Times New Roman" w:hAnsi="Verdana"/>
          <w:color w:val="000000"/>
          <w:szCs w:val="24"/>
        </w:rPr>
        <w:t>Rezolucję Parlamentu Europejskie</w:t>
      </w:r>
      <w:r w:rsidR="008F589B" w:rsidRPr="008F589B">
        <w:rPr>
          <w:rFonts w:ascii="Verdana" w:eastAsia="Times New Roman" w:hAnsi="Verdana"/>
          <w:color w:val="000000"/>
          <w:szCs w:val="24"/>
        </w:rPr>
        <w:t>go z dnia 21 stycznia 2021 r. w </w:t>
      </w:r>
      <w:r w:rsidRPr="008F589B">
        <w:rPr>
          <w:rFonts w:ascii="Verdana" w:eastAsia="Times New Roman" w:hAnsi="Verdana"/>
          <w:color w:val="000000"/>
          <w:szCs w:val="24"/>
        </w:rPr>
        <w:t>sprawie powszechnego dostępu do godnych i przystępnych cenowo mieszkań, w której wzywa się państwa członkowskie do zwiększania inwestycji w przystępne cenowo, odpowiednie i energooszczędne mieszkania socjalne i publiczn</w:t>
      </w:r>
      <w:r w:rsidR="008F589B" w:rsidRPr="008F589B">
        <w:rPr>
          <w:rFonts w:ascii="Verdana" w:eastAsia="Times New Roman" w:hAnsi="Verdana"/>
          <w:color w:val="000000"/>
          <w:szCs w:val="24"/>
        </w:rPr>
        <w:t>e oraz w walkę z bezdomnością i </w:t>
      </w:r>
      <w:r w:rsidRPr="008F589B">
        <w:rPr>
          <w:rFonts w:ascii="Verdana" w:eastAsia="Times New Roman" w:hAnsi="Verdana"/>
          <w:color w:val="000000"/>
          <w:szCs w:val="24"/>
        </w:rPr>
        <w:t xml:space="preserve">wykluczeniem mieszkaniowym i apeluje w związku z tym o inwestycje za pośrednictwem m.in. EFRR, </w:t>
      </w:r>
      <w:proofErr w:type="spellStart"/>
      <w:r w:rsidRPr="008F589B">
        <w:rPr>
          <w:rFonts w:ascii="Verdana" w:eastAsia="Times New Roman" w:hAnsi="Verdana"/>
          <w:color w:val="000000"/>
          <w:szCs w:val="24"/>
        </w:rPr>
        <w:t>InvestEU</w:t>
      </w:r>
      <w:proofErr w:type="spellEnd"/>
      <w:r w:rsidRPr="008F589B">
        <w:rPr>
          <w:rFonts w:ascii="Verdana" w:eastAsia="Times New Roman" w:hAnsi="Verdana"/>
          <w:color w:val="000000"/>
          <w:szCs w:val="24"/>
        </w:rPr>
        <w:t xml:space="preserve">, EFS+, a w szczególności za pośrednictwem Instrumentu na rzecz Odbudowy i Zwiększania Odporności oraz inicjatyw inwestycyjnych w odpowiedzi na </w:t>
      </w:r>
      <w:proofErr w:type="spellStart"/>
      <w:r w:rsidRPr="008F589B">
        <w:rPr>
          <w:rFonts w:ascii="Verdana" w:eastAsia="Times New Roman" w:hAnsi="Verdana"/>
          <w:color w:val="000000"/>
          <w:szCs w:val="24"/>
        </w:rPr>
        <w:lastRenderedPageBreak/>
        <w:t>koronawirusa</w:t>
      </w:r>
      <w:proofErr w:type="spellEnd"/>
      <w:r w:rsidRPr="008F589B">
        <w:rPr>
          <w:rFonts w:ascii="Verdana" w:eastAsia="Times New Roman" w:hAnsi="Verdana"/>
          <w:color w:val="000000"/>
          <w:szCs w:val="24"/>
        </w:rPr>
        <w:t xml:space="preserve"> (CRII, CRII+), a także o większą synergię między tymi instrumentami,</w:t>
      </w:r>
    </w:p>
    <w:p w14:paraId="108CF073" w14:textId="77777777" w:rsidR="00E13817" w:rsidRPr="008F589B" w:rsidRDefault="00E13817" w:rsidP="008F589B">
      <w:pPr>
        <w:numPr>
          <w:ilvl w:val="0"/>
          <w:numId w:val="15"/>
        </w:numPr>
        <w:suppressAutoHyphens/>
        <w:autoSpaceDN w:val="0"/>
        <w:spacing w:line="360" w:lineRule="auto"/>
        <w:jc w:val="both"/>
        <w:textAlignment w:val="baseline"/>
        <w:rPr>
          <w:rFonts w:ascii="Verdana" w:eastAsia="Times New Roman" w:hAnsi="Verdana"/>
          <w:color w:val="000000"/>
          <w:szCs w:val="24"/>
        </w:rPr>
      </w:pPr>
      <w:r w:rsidRPr="008F589B">
        <w:rPr>
          <w:rFonts w:ascii="Verdana" w:eastAsia="Times New Roman" w:hAnsi="Verdana"/>
          <w:color w:val="000000"/>
          <w:szCs w:val="24"/>
        </w:rPr>
        <w:t>cele zrównoważonego rozwoju, w tym cel 10 (mniej nierówności) i cel 1 (koniec z ubóstwem).</w:t>
      </w:r>
    </w:p>
    <w:p w14:paraId="09F118BD" w14:textId="1FFDE826" w:rsidR="00E13817" w:rsidRPr="008F589B" w:rsidRDefault="00E13817" w:rsidP="008F589B">
      <w:pPr>
        <w:spacing w:line="360" w:lineRule="auto"/>
        <w:jc w:val="both"/>
        <w:rPr>
          <w:rFonts w:ascii="Verdana" w:hAnsi="Verdana"/>
          <w:szCs w:val="24"/>
        </w:rPr>
      </w:pPr>
      <w:r w:rsidRPr="008F589B">
        <w:rPr>
          <w:rFonts w:ascii="Verdana" w:eastAsia="Times New Roman" w:hAnsi="Verdana"/>
          <w:color w:val="000000"/>
          <w:szCs w:val="24"/>
        </w:rPr>
        <w:t xml:space="preserve">Podsumowując powyższe: reforma związana z mieszkalnictwem wspomaganym i inwestycje w mieszkalnictwo wspomagane są realną odpowiedzią na zagrożenia i wyzwania związane z pandemią COVID-19, co wpisuje się w cel Funduszu Odbudowy. Są zgodne z polityką Unii Europejskiej wyrażoną w wielu dokumentach wydawanych przez organy Unii Europejskiej. Są zgodne z kierunkami rozwoju wyznaczonymi w dokumentach ONZ.  Są przede wszystkim ważne dla tysięcy obywateli i obywatelek naszego kraju, którzy dziś nie mogą żyć w mieszkaniach i </w:t>
      </w:r>
      <w:r w:rsidR="008F589B" w:rsidRPr="008F589B">
        <w:rPr>
          <w:rFonts w:ascii="Verdana" w:eastAsia="Times New Roman" w:hAnsi="Verdana"/>
          <w:color w:val="000000"/>
          <w:szCs w:val="24"/>
        </w:rPr>
        <w:t>prowadzić niezależnego życia, a </w:t>
      </w:r>
      <w:r w:rsidRPr="008F589B">
        <w:rPr>
          <w:rFonts w:ascii="Verdana" w:eastAsia="Times New Roman" w:hAnsi="Verdana"/>
          <w:color w:val="000000"/>
          <w:szCs w:val="24"/>
        </w:rPr>
        <w:t>także dla osób pracujących w wieloosob</w:t>
      </w:r>
      <w:r w:rsidR="008F589B" w:rsidRPr="008F589B">
        <w:rPr>
          <w:rFonts w:ascii="Verdana" w:eastAsia="Times New Roman" w:hAnsi="Verdana"/>
          <w:color w:val="000000"/>
          <w:szCs w:val="24"/>
        </w:rPr>
        <w:t>owych placówkach całodobowych i </w:t>
      </w:r>
      <w:r w:rsidRPr="008F589B">
        <w:rPr>
          <w:rFonts w:ascii="Verdana" w:eastAsia="Times New Roman" w:hAnsi="Verdana"/>
          <w:color w:val="000000"/>
          <w:szCs w:val="24"/>
        </w:rPr>
        <w:t>ich rodzin.</w:t>
      </w:r>
    </w:p>
    <w:p w14:paraId="7524B543" w14:textId="6A40B053" w:rsidR="004D37E3" w:rsidRPr="008F589B" w:rsidRDefault="004D37E3" w:rsidP="008F589B">
      <w:pPr>
        <w:spacing w:line="360" w:lineRule="auto"/>
        <w:jc w:val="both"/>
        <w:rPr>
          <w:rFonts w:ascii="Verdana" w:eastAsia="Times New Roman" w:hAnsi="Verdana"/>
          <w:b/>
          <w:bCs/>
          <w:color w:val="000000"/>
          <w:szCs w:val="24"/>
        </w:rPr>
      </w:pPr>
    </w:p>
    <w:p w14:paraId="44CA176C" w14:textId="46C45604" w:rsidR="00E13817" w:rsidRPr="008F589B" w:rsidRDefault="00E13817" w:rsidP="008F589B">
      <w:pPr>
        <w:spacing w:line="360" w:lineRule="auto"/>
        <w:jc w:val="both"/>
        <w:rPr>
          <w:rFonts w:ascii="Verdana" w:eastAsia="Times New Roman" w:hAnsi="Verdana"/>
          <w:b/>
          <w:bCs/>
          <w:color w:val="000000"/>
          <w:szCs w:val="24"/>
        </w:rPr>
      </w:pPr>
      <w:r w:rsidRPr="008F589B">
        <w:rPr>
          <w:rFonts w:ascii="Verdana" w:eastAsia="Times New Roman" w:hAnsi="Verdana"/>
          <w:b/>
          <w:bCs/>
          <w:color w:val="000000"/>
          <w:szCs w:val="24"/>
        </w:rPr>
        <w:t>Komponent E Zielona, inteligentna mobilność</w:t>
      </w:r>
    </w:p>
    <w:p w14:paraId="17F15E3C" w14:textId="77777777" w:rsidR="00E13817" w:rsidRPr="008F589B" w:rsidRDefault="00E13817" w:rsidP="008F589B">
      <w:pPr>
        <w:spacing w:line="360" w:lineRule="auto"/>
        <w:jc w:val="both"/>
        <w:rPr>
          <w:rFonts w:ascii="Verdana" w:hAnsi="Verdana"/>
          <w:szCs w:val="24"/>
        </w:rPr>
      </w:pPr>
    </w:p>
    <w:p w14:paraId="21B8D421" w14:textId="77777777" w:rsidR="00E13817" w:rsidRPr="008F589B" w:rsidRDefault="00E13817" w:rsidP="008F589B">
      <w:pPr>
        <w:spacing w:line="360" w:lineRule="auto"/>
        <w:jc w:val="both"/>
        <w:rPr>
          <w:rFonts w:ascii="Verdana" w:eastAsia="Times New Roman" w:hAnsi="Verdana"/>
          <w:color w:val="000000"/>
          <w:szCs w:val="24"/>
        </w:rPr>
      </w:pPr>
      <w:r w:rsidRPr="008F589B">
        <w:rPr>
          <w:rFonts w:ascii="Verdana" w:eastAsia="Times New Roman" w:hAnsi="Verdana"/>
          <w:color w:val="000000"/>
          <w:szCs w:val="24"/>
        </w:rPr>
        <w:t>Postulujemy:</w:t>
      </w:r>
    </w:p>
    <w:p w14:paraId="4AAEAF88" w14:textId="77777777" w:rsidR="00E13817" w:rsidRPr="008F589B" w:rsidRDefault="00E13817" w:rsidP="008F589B">
      <w:pPr>
        <w:spacing w:line="360" w:lineRule="auto"/>
        <w:jc w:val="both"/>
        <w:rPr>
          <w:rFonts w:ascii="Verdana" w:hAnsi="Verdana"/>
          <w:szCs w:val="24"/>
        </w:rPr>
      </w:pPr>
    </w:p>
    <w:p w14:paraId="2A90E16E" w14:textId="77777777" w:rsidR="00E13817" w:rsidRPr="008F589B" w:rsidRDefault="00E13817" w:rsidP="008F589B">
      <w:pPr>
        <w:pStyle w:val="Akapitzlist"/>
        <w:numPr>
          <w:ilvl w:val="1"/>
          <w:numId w:val="15"/>
        </w:numPr>
        <w:suppressAutoHyphens/>
        <w:autoSpaceDN w:val="0"/>
        <w:spacing w:after="0" w:line="360" w:lineRule="auto"/>
        <w:ind w:left="426"/>
        <w:jc w:val="both"/>
        <w:textAlignment w:val="baseline"/>
        <w:rPr>
          <w:rFonts w:ascii="Verdana" w:eastAsia="Times New Roman" w:hAnsi="Verdana"/>
          <w:i/>
          <w:iCs/>
          <w:color w:val="000000"/>
          <w:sz w:val="24"/>
          <w:szCs w:val="24"/>
          <w:u w:val="single"/>
          <w:lang w:eastAsia="pl-PL"/>
        </w:rPr>
      </w:pPr>
      <w:r w:rsidRPr="008F589B">
        <w:rPr>
          <w:rFonts w:ascii="Verdana" w:eastAsia="Times New Roman" w:hAnsi="Verdana"/>
          <w:i/>
          <w:iCs/>
          <w:color w:val="000000"/>
          <w:sz w:val="24"/>
          <w:szCs w:val="24"/>
          <w:u w:val="single"/>
          <w:lang w:eastAsia="pl-PL"/>
        </w:rPr>
        <w:t>Ograniczyć środki PKP S.A. na rzecz regionalnych linii kolejowych</w:t>
      </w:r>
    </w:p>
    <w:p w14:paraId="1324F774" w14:textId="05946916" w:rsidR="00E13817" w:rsidRPr="008F589B" w:rsidRDefault="00E13817" w:rsidP="008F589B">
      <w:pPr>
        <w:spacing w:line="360" w:lineRule="auto"/>
        <w:jc w:val="both"/>
        <w:rPr>
          <w:rFonts w:ascii="Verdana" w:eastAsia="Times New Roman" w:hAnsi="Verdana"/>
          <w:color w:val="000000"/>
          <w:szCs w:val="24"/>
        </w:rPr>
      </w:pPr>
      <w:r w:rsidRPr="008F589B">
        <w:rPr>
          <w:rFonts w:ascii="Verdana" w:eastAsia="Times New Roman" w:hAnsi="Verdana"/>
          <w:color w:val="000000"/>
          <w:szCs w:val="24"/>
          <w:u w:val="single"/>
        </w:rPr>
        <w:t>Uzasadnienie</w:t>
      </w:r>
      <w:r w:rsidRPr="008F589B">
        <w:rPr>
          <w:rFonts w:ascii="Verdana" w:eastAsia="Times New Roman" w:hAnsi="Verdana"/>
          <w:color w:val="000000"/>
          <w:szCs w:val="24"/>
        </w:rPr>
        <w:t>: KPO jest szansą na uczynienie sektora transportu czystszym. Tymczasem w dokumencie znajdziemy jedynie fragmentaryczne, wybiórcze działania, które nie składają się na wizję rozwoju systemu transportowego neutralnego klimatycznie. Największe pieniądze w tym komponencie zgarnia wprawdzie kolej, ale w sposób budzący wątpliwości. Zdecydowana większość z tych środków trafi do PKP S.A., które przeznaczą je głównie na modernizację istniejących linii i taboru, a tymczasem do wielu miast w Polsce można dojechać jedynie pociągami spalinowymi. Wsparcie dla miejskiego</w:t>
      </w:r>
      <w:r w:rsidR="008F589B" w:rsidRPr="008F589B">
        <w:rPr>
          <w:rFonts w:ascii="Verdana" w:eastAsia="Times New Roman" w:hAnsi="Verdana"/>
          <w:color w:val="000000"/>
          <w:szCs w:val="24"/>
        </w:rPr>
        <w:t xml:space="preserve"> i </w:t>
      </w:r>
      <w:r w:rsidRPr="008F589B">
        <w:rPr>
          <w:rFonts w:ascii="Verdana" w:eastAsia="Times New Roman" w:hAnsi="Verdana"/>
          <w:color w:val="000000"/>
          <w:szCs w:val="24"/>
        </w:rPr>
        <w:t xml:space="preserve">regionalnego transportu szynowego zostało całkowicie pominięte. Uważamy, że większość środków z komponentu transportowego powinna zostać przeznaczona na regionalne linie kolejowe – w tym ich elektryfikację – oraz </w:t>
      </w:r>
      <w:r w:rsidRPr="008F589B">
        <w:rPr>
          <w:rFonts w:ascii="Verdana" w:eastAsia="Times New Roman" w:hAnsi="Verdana"/>
          <w:color w:val="000000"/>
          <w:szCs w:val="24"/>
        </w:rPr>
        <w:lastRenderedPageBreak/>
        <w:t>do samorządów na rozwiązania infrastrukturalne uspokajające ruch: zwężan</w:t>
      </w:r>
      <w:r w:rsidR="008F589B" w:rsidRPr="008F589B">
        <w:rPr>
          <w:rFonts w:ascii="Verdana" w:eastAsia="Times New Roman" w:hAnsi="Verdana"/>
          <w:color w:val="000000"/>
          <w:szCs w:val="24"/>
        </w:rPr>
        <w:t>ie dróg, budowę anty-zatok itp.</w:t>
      </w:r>
    </w:p>
    <w:p w14:paraId="0C35E35A" w14:textId="77777777" w:rsidR="00E13817" w:rsidRPr="008F589B" w:rsidRDefault="00E13817" w:rsidP="008F589B">
      <w:pPr>
        <w:spacing w:line="360" w:lineRule="auto"/>
        <w:jc w:val="both"/>
        <w:rPr>
          <w:rFonts w:ascii="Verdana" w:hAnsi="Verdana"/>
          <w:szCs w:val="24"/>
        </w:rPr>
      </w:pPr>
    </w:p>
    <w:p w14:paraId="0A5FAEBE" w14:textId="77777777" w:rsidR="00E13817" w:rsidRPr="008F589B" w:rsidRDefault="00E13817" w:rsidP="008F589B">
      <w:pPr>
        <w:pStyle w:val="Akapitzlist"/>
        <w:numPr>
          <w:ilvl w:val="1"/>
          <w:numId w:val="15"/>
        </w:numPr>
        <w:suppressAutoHyphens/>
        <w:autoSpaceDN w:val="0"/>
        <w:spacing w:after="0" w:line="360" w:lineRule="auto"/>
        <w:ind w:left="426"/>
        <w:jc w:val="both"/>
        <w:textAlignment w:val="baseline"/>
        <w:rPr>
          <w:rFonts w:ascii="Verdana" w:eastAsia="Times New Roman" w:hAnsi="Verdana"/>
          <w:color w:val="000000"/>
          <w:sz w:val="24"/>
          <w:szCs w:val="24"/>
          <w:lang w:eastAsia="pl-PL"/>
        </w:rPr>
      </w:pPr>
      <w:r w:rsidRPr="008F589B">
        <w:rPr>
          <w:rFonts w:ascii="Verdana" w:eastAsia="Times New Roman" w:hAnsi="Verdana"/>
          <w:color w:val="000000"/>
          <w:sz w:val="24"/>
          <w:szCs w:val="24"/>
          <w:lang w:eastAsia="pl-PL"/>
        </w:rPr>
        <w:t>Wyeliminowanie możliwości zakupu autobusów na gaz</w:t>
      </w:r>
    </w:p>
    <w:p w14:paraId="30F61161" w14:textId="716ED7B4" w:rsidR="00E13817" w:rsidRDefault="00E13817" w:rsidP="008F589B">
      <w:pPr>
        <w:spacing w:line="360" w:lineRule="auto"/>
        <w:jc w:val="both"/>
        <w:rPr>
          <w:rFonts w:ascii="Verdana" w:eastAsia="Times New Roman" w:hAnsi="Verdana"/>
          <w:color w:val="000000"/>
          <w:szCs w:val="24"/>
        </w:rPr>
      </w:pPr>
      <w:r w:rsidRPr="008F589B">
        <w:rPr>
          <w:rFonts w:ascii="Verdana" w:eastAsia="Times New Roman" w:hAnsi="Verdana"/>
          <w:color w:val="000000"/>
          <w:szCs w:val="24"/>
          <w:u w:val="single"/>
        </w:rPr>
        <w:t>Uzasadnienie</w:t>
      </w:r>
      <w:r w:rsidRPr="008F589B">
        <w:rPr>
          <w:rFonts w:ascii="Verdana" w:eastAsia="Times New Roman" w:hAnsi="Verdana"/>
          <w:color w:val="000000"/>
          <w:szCs w:val="24"/>
        </w:rPr>
        <w:t xml:space="preserve">: Celem wszystkich polityk jest doprowadzenie do </w:t>
      </w:r>
      <w:proofErr w:type="spellStart"/>
      <w:r w:rsidRPr="008F589B">
        <w:rPr>
          <w:rFonts w:ascii="Verdana" w:eastAsia="Times New Roman" w:hAnsi="Verdana"/>
          <w:color w:val="000000"/>
          <w:szCs w:val="24"/>
        </w:rPr>
        <w:t>zeroemisyjności</w:t>
      </w:r>
      <w:proofErr w:type="spellEnd"/>
      <w:r w:rsidRPr="008F589B">
        <w:rPr>
          <w:rFonts w:ascii="Verdana" w:eastAsia="Times New Roman" w:hAnsi="Verdana"/>
          <w:color w:val="000000"/>
          <w:szCs w:val="24"/>
        </w:rPr>
        <w:t xml:space="preserve"> a więc stosowanie pó</w:t>
      </w:r>
      <w:r w:rsidR="00C2156B">
        <w:rPr>
          <w:rFonts w:ascii="Verdana" w:eastAsia="Times New Roman" w:hAnsi="Verdana"/>
          <w:color w:val="000000"/>
          <w:szCs w:val="24"/>
        </w:rPr>
        <w:t>łśrodków powinno być odrzucone.</w:t>
      </w:r>
    </w:p>
    <w:p w14:paraId="445612DF" w14:textId="77777777" w:rsidR="00C2156B" w:rsidRPr="008F589B" w:rsidRDefault="00C2156B" w:rsidP="008F589B">
      <w:pPr>
        <w:spacing w:line="360" w:lineRule="auto"/>
        <w:jc w:val="both"/>
        <w:rPr>
          <w:rFonts w:ascii="Verdana" w:eastAsia="Times New Roman" w:hAnsi="Verdana"/>
          <w:color w:val="000000"/>
          <w:szCs w:val="24"/>
        </w:rPr>
      </w:pPr>
    </w:p>
    <w:p w14:paraId="6B0583F0" w14:textId="77777777" w:rsidR="00E13817" w:rsidRPr="008F589B" w:rsidRDefault="00E13817" w:rsidP="008F589B">
      <w:pPr>
        <w:pStyle w:val="Akapitzlist"/>
        <w:numPr>
          <w:ilvl w:val="1"/>
          <w:numId w:val="15"/>
        </w:numPr>
        <w:suppressAutoHyphens/>
        <w:autoSpaceDN w:val="0"/>
        <w:spacing w:after="0" w:line="360" w:lineRule="auto"/>
        <w:ind w:left="426"/>
        <w:jc w:val="both"/>
        <w:textAlignment w:val="baseline"/>
        <w:rPr>
          <w:rFonts w:ascii="Verdana" w:eastAsia="Times New Roman" w:hAnsi="Verdana"/>
          <w:i/>
          <w:iCs/>
          <w:color w:val="000000"/>
          <w:sz w:val="24"/>
          <w:szCs w:val="24"/>
          <w:u w:val="single"/>
          <w:lang w:eastAsia="pl-PL"/>
        </w:rPr>
      </w:pPr>
      <w:r w:rsidRPr="008F589B">
        <w:rPr>
          <w:rFonts w:ascii="Verdana" w:eastAsia="Times New Roman" w:hAnsi="Verdana"/>
          <w:i/>
          <w:iCs/>
          <w:color w:val="000000"/>
          <w:sz w:val="24"/>
          <w:szCs w:val="24"/>
          <w:u w:val="single"/>
          <w:lang w:eastAsia="pl-PL"/>
        </w:rPr>
        <w:t>Rozwój ruchu rowerowego</w:t>
      </w:r>
    </w:p>
    <w:p w14:paraId="4DA375E3" w14:textId="01A40DD2" w:rsidR="00E13817" w:rsidRPr="008F589B" w:rsidRDefault="00E13817" w:rsidP="008F589B">
      <w:pPr>
        <w:spacing w:line="360" w:lineRule="auto"/>
        <w:jc w:val="both"/>
        <w:rPr>
          <w:rFonts w:ascii="Verdana" w:eastAsia="Times New Roman" w:hAnsi="Verdana"/>
          <w:color w:val="000000"/>
          <w:szCs w:val="24"/>
        </w:rPr>
      </w:pPr>
      <w:r w:rsidRPr="008F589B">
        <w:rPr>
          <w:rFonts w:ascii="Verdana" w:eastAsia="Times New Roman" w:hAnsi="Verdana"/>
          <w:color w:val="000000"/>
          <w:szCs w:val="24"/>
          <w:u w:val="single"/>
        </w:rPr>
        <w:t>Uzasadnienie</w:t>
      </w:r>
      <w:r w:rsidRPr="008F589B">
        <w:rPr>
          <w:rFonts w:ascii="Verdana" w:eastAsia="Times New Roman" w:hAnsi="Verdana"/>
          <w:color w:val="000000"/>
          <w:szCs w:val="24"/>
        </w:rPr>
        <w:t xml:space="preserve">: KPO nie przewiduje niemal żadnego wsparcia dla rozwoju ruchu rowerowego, do czego wszak zachęca Unia Europejska. Szkoda, bo działania na rzecz rozwoju infrastruktury rowerowej wpisują się wprost w rozwój </w:t>
      </w:r>
      <w:proofErr w:type="spellStart"/>
      <w:r w:rsidRPr="008F589B">
        <w:rPr>
          <w:rFonts w:ascii="Verdana" w:eastAsia="Times New Roman" w:hAnsi="Verdana"/>
          <w:color w:val="000000"/>
          <w:szCs w:val="24"/>
        </w:rPr>
        <w:t>bezemisyjnego</w:t>
      </w:r>
      <w:proofErr w:type="spellEnd"/>
      <w:r w:rsidRPr="008F589B">
        <w:rPr>
          <w:rFonts w:ascii="Verdana" w:eastAsia="Times New Roman" w:hAnsi="Verdana"/>
          <w:color w:val="000000"/>
          <w:szCs w:val="24"/>
        </w:rPr>
        <w:t xml:space="preserve"> transportu. Większy udział rowerów w podróżach przybliża realizację części szczegółowych celów KPO: zielonej transformacji gospodarki oraz rozwoju zielonej, inteligentnej mobilności. Zmiany w zakresie minimalizowania emisji z transportu przełożą się bezpośrednio na poprawę zdrowia publicznego mieszkańców miast, za</w:t>
      </w:r>
      <w:r w:rsidR="008F589B" w:rsidRPr="008F589B">
        <w:rPr>
          <w:rFonts w:ascii="Verdana" w:eastAsia="Times New Roman" w:hAnsi="Verdana"/>
          <w:color w:val="000000"/>
          <w:szCs w:val="24"/>
        </w:rPr>
        <w:t>równo w sferze fizycznej, jak i </w:t>
      </w:r>
      <w:r w:rsidRPr="008F589B">
        <w:rPr>
          <w:rFonts w:ascii="Verdana" w:eastAsia="Times New Roman" w:hAnsi="Verdana"/>
          <w:color w:val="000000"/>
          <w:szCs w:val="24"/>
        </w:rPr>
        <w:t>psychicznej. Przyczyni się to także do zmniejszenia zewnętrznych kosztów zdrowotnych oraz kosztów</w:t>
      </w:r>
      <w:r w:rsidR="008F589B" w:rsidRPr="008F589B">
        <w:rPr>
          <w:rFonts w:ascii="Verdana" w:eastAsia="Times New Roman" w:hAnsi="Verdana"/>
          <w:color w:val="000000"/>
          <w:szCs w:val="24"/>
        </w:rPr>
        <w:t xml:space="preserve"> funkcjonowania służby zdrowia.</w:t>
      </w:r>
    </w:p>
    <w:p w14:paraId="12EE6E4B" w14:textId="77777777" w:rsidR="00E13817" w:rsidRPr="008F589B" w:rsidRDefault="00E13817" w:rsidP="008F589B">
      <w:pPr>
        <w:spacing w:line="360" w:lineRule="auto"/>
        <w:jc w:val="both"/>
        <w:rPr>
          <w:rFonts w:ascii="Verdana" w:hAnsi="Verdana"/>
          <w:szCs w:val="24"/>
        </w:rPr>
      </w:pPr>
    </w:p>
    <w:p w14:paraId="6009EB24" w14:textId="77777777" w:rsidR="00E13817" w:rsidRPr="008F589B" w:rsidRDefault="00E13817" w:rsidP="008F589B">
      <w:pPr>
        <w:pStyle w:val="Akapitzlist"/>
        <w:numPr>
          <w:ilvl w:val="1"/>
          <w:numId w:val="15"/>
        </w:numPr>
        <w:suppressAutoHyphens/>
        <w:autoSpaceDN w:val="0"/>
        <w:spacing w:after="0" w:line="360" w:lineRule="auto"/>
        <w:ind w:left="426"/>
        <w:jc w:val="both"/>
        <w:textAlignment w:val="baseline"/>
        <w:rPr>
          <w:rFonts w:ascii="Verdana" w:eastAsia="Times New Roman" w:hAnsi="Verdana"/>
          <w:i/>
          <w:iCs/>
          <w:color w:val="000000"/>
          <w:sz w:val="24"/>
          <w:szCs w:val="24"/>
          <w:u w:val="single"/>
          <w:lang w:eastAsia="pl-PL"/>
        </w:rPr>
      </w:pPr>
      <w:r w:rsidRPr="008F589B">
        <w:rPr>
          <w:rFonts w:ascii="Verdana" w:eastAsia="Times New Roman" w:hAnsi="Verdana"/>
          <w:i/>
          <w:iCs/>
          <w:color w:val="000000"/>
          <w:sz w:val="24"/>
          <w:szCs w:val="24"/>
          <w:u w:val="single"/>
          <w:lang w:eastAsia="pl-PL"/>
        </w:rPr>
        <w:t>Wprowadzenie inteligentnych Systemów Transportowych oraz transportu bez barier</w:t>
      </w:r>
    </w:p>
    <w:p w14:paraId="3832B0AD" w14:textId="48EF7013" w:rsidR="00E13817" w:rsidRPr="008F589B" w:rsidRDefault="00E13817" w:rsidP="008F589B">
      <w:pPr>
        <w:spacing w:line="360" w:lineRule="auto"/>
        <w:jc w:val="both"/>
        <w:rPr>
          <w:rFonts w:ascii="Verdana" w:hAnsi="Verdana"/>
          <w:szCs w:val="24"/>
        </w:rPr>
      </w:pPr>
      <w:r w:rsidRPr="008F589B">
        <w:rPr>
          <w:rFonts w:ascii="Verdana" w:eastAsia="Times New Roman" w:hAnsi="Verdana"/>
          <w:color w:val="000000"/>
          <w:szCs w:val="24"/>
          <w:u w:val="single"/>
        </w:rPr>
        <w:t>Uzasadnienie</w:t>
      </w:r>
      <w:r w:rsidRPr="008F589B">
        <w:rPr>
          <w:rFonts w:ascii="Verdana" w:eastAsia="Times New Roman" w:hAnsi="Verdana"/>
          <w:color w:val="000000"/>
          <w:szCs w:val="24"/>
        </w:rPr>
        <w:t>: Osoby z niepełnosprawnościami należą do grup, które najbardziej ucierpiały z powodu kryzysu związanego z COVID-19. Wielu z nich wciąż napotyka na przeszkody gdy korzystają z transportu publicznego. Idea dostępności jest uniwersalna, stąd potrzebne jest horyzontalne włączenie jej do wszystkich polityk publicznych. Wymaga to nowych rozwiązań systemowych. Bazowym dokumentem umożl</w:t>
      </w:r>
      <w:r w:rsidR="008F589B" w:rsidRPr="008F589B">
        <w:rPr>
          <w:rFonts w:ascii="Verdana" w:eastAsia="Times New Roman" w:hAnsi="Verdana"/>
          <w:color w:val="000000"/>
          <w:szCs w:val="24"/>
        </w:rPr>
        <w:t>iwiającym określenie obszarów w </w:t>
      </w:r>
      <w:r w:rsidRPr="008F589B">
        <w:rPr>
          <w:rFonts w:ascii="Verdana" w:eastAsia="Times New Roman" w:hAnsi="Verdana"/>
          <w:color w:val="000000"/>
          <w:szCs w:val="24"/>
        </w:rPr>
        <w:t>których są stosowane zasady dostępności jest Program Rządowy Dostępność Plus na lata 2018-2025. Dlatego mówiąc o zrównoważonej dostępności transportowej nie możemy zapominać o zapewnieniu odpowiedniej jakości usług związanych ze zbiorowym przewozem publicznym dla podróżujących osób ze szczególnymi potrzeba</w:t>
      </w:r>
      <w:r w:rsidR="008F589B" w:rsidRPr="008F589B">
        <w:rPr>
          <w:rFonts w:ascii="Verdana" w:eastAsia="Times New Roman" w:hAnsi="Verdana"/>
          <w:color w:val="000000"/>
          <w:szCs w:val="24"/>
        </w:rPr>
        <w:t xml:space="preserve">mi (w tym osób </w:t>
      </w:r>
      <w:r w:rsidR="008F589B" w:rsidRPr="008F589B">
        <w:rPr>
          <w:rFonts w:ascii="Verdana" w:eastAsia="Times New Roman" w:hAnsi="Verdana"/>
          <w:color w:val="000000"/>
          <w:szCs w:val="24"/>
        </w:rPr>
        <w:lastRenderedPageBreak/>
        <w:t>z </w:t>
      </w:r>
      <w:r w:rsidRPr="008F589B">
        <w:rPr>
          <w:rFonts w:ascii="Verdana" w:eastAsia="Times New Roman" w:hAnsi="Verdana"/>
          <w:color w:val="000000"/>
          <w:szCs w:val="24"/>
        </w:rPr>
        <w:t>niepełnosprawnościami, seniorów, kobiet w ciąży, podróżnych z bagażami). Wdrażanie idei projektowania uniwersalnego w transporcie powinno zmierzać do stworzenia dostępności w taki sposób, aby transport był bez barier – aby jak największa liczba osób mogła w sposób samodzielny i niezależny korzystać z transportu na równych prawach z innymi członkami społeczności. Dwie trzecie osób o ograniczonej mobilności to osoby starsze. Z drugiej strony autobusy niskopodłogowe i szerokie chodniki zwiększają wygodę wszystkich podróżnych, nie tylko tych z ograniczeniem mobilności. Obecnie w usługach transportowych coraz bardziej popularne są Inteligentne Systemy Transportowe, które stanowią połączen</w:t>
      </w:r>
      <w:r w:rsidR="008F589B" w:rsidRPr="008F589B">
        <w:rPr>
          <w:rFonts w:ascii="Verdana" w:eastAsia="Times New Roman" w:hAnsi="Verdana"/>
          <w:color w:val="000000"/>
          <w:szCs w:val="24"/>
        </w:rPr>
        <w:t>ie technologii informacyjnych i </w:t>
      </w:r>
      <w:r w:rsidRPr="008F589B">
        <w:rPr>
          <w:rFonts w:ascii="Verdana" w:eastAsia="Times New Roman" w:hAnsi="Verdana"/>
          <w:color w:val="000000"/>
          <w:szCs w:val="24"/>
        </w:rPr>
        <w:t xml:space="preserve">komunikacyjnych z infrastrukturą transportową w celu m.in. poprawy bezpieczeństwa, zwiększenia efektywności procesów transportowych oraz ochrony środowiska naturalnego. Inteligentne systemy transportowe to też zaawansowane aplikacje mobilne. Pandemia COVID-19 tylko przyspieszyła rewolucję w zakresie wdrażania rozwiązań cyfrowych. Grupa użytkowników – czyli pasażerów jest zróżnicowana i charakteryzuje się różnym stopniem możliwości odbioru informacji przekazywanych w formie cyfrowej. Stąd ważne jest stosowanie zasad dostępności cyfrowej, czyli umożliwienia wygodnego korzystania z aplikacji mobilnych osobom z niepełnosprawnościami np. </w:t>
      </w:r>
      <w:bookmarkStart w:id="2" w:name="_GoBack"/>
      <w:bookmarkEnd w:id="2"/>
      <w:r w:rsidRPr="008F589B">
        <w:rPr>
          <w:rFonts w:ascii="Verdana" w:eastAsia="Times New Roman" w:hAnsi="Verdana"/>
          <w:color w:val="000000"/>
          <w:szCs w:val="24"/>
        </w:rPr>
        <w:t>słabowidzących.</w:t>
      </w:r>
    </w:p>
    <w:sectPr w:rsidR="00E13817" w:rsidRPr="008F589B" w:rsidSect="002B7041">
      <w:footerReference w:type="default" r:id="rId7"/>
      <w:pgSz w:w="11899" w:h="16838"/>
      <w:pgMar w:top="1146" w:right="1418" w:bottom="1632" w:left="1134" w:header="851" w:footer="31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E43B5" w14:textId="77777777" w:rsidR="00974B07" w:rsidRDefault="00974B07" w:rsidP="00E13817">
      <w:r>
        <w:separator/>
      </w:r>
    </w:p>
  </w:endnote>
  <w:endnote w:type="continuationSeparator" w:id="0">
    <w:p w14:paraId="56BD7433" w14:textId="77777777" w:rsidR="00974B07" w:rsidRDefault="00974B07" w:rsidP="00E13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altName w:val="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4149264"/>
      <w:docPartObj>
        <w:docPartGallery w:val="Page Numbers (Bottom of Page)"/>
        <w:docPartUnique/>
      </w:docPartObj>
    </w:sdtPr>
    <w:sdtEndPr/>
    <w:sdtContent>
      <w:p w14:paraId="01846062" w14:textId="30EA0665" w:rsidR="00084D42" w:rsidRDefault="00084D42">
        <w:pPr>
          <w:pStyle w:val="Stopka"/>
          <w:jc w:val="center"/>
        </w:pPr>
        <w:r>
          <w:fldChar w:fldCharType="begin"/>
        </w:r>
        <w:r>
          <w:instrText>PAGE   \* MERGEFORMAT</w:instrText>
        </w:r>
        <w:r>
          <w:fldChar w:fldCharType="separate"/>
        </w:r>
        <w:r w:rsidR="00C2156B">
          <w:rPr>
            <w:noProof/>
          </w:rPr>
          <w:t>20</w:t>
        </w:r>
        <w:r>
          <w:fldChar w:fldCharType="end"/>
        </w:r>
      </w:p>
    </w:sdtContent>
  </w:sdt>
  <w:p w14:paraId="0F8970B9" w14:textId="77777777" w:rsidR="00084D42" w:rsidRDefault="00084D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AEDB9B" w14:textId="77777777" w:rsidR="00974B07" w:rsidRDefault="00974B07" w:rsidP="00E13817">
      <w:r>
        <w:separator/>
      </w:r>
    </w:p>
  </w:footnote>
  <w:footnote w:type="continuationSeparator" w:id="0">
    <w:p w14:paraId="057EC6C8" w14:textId="77777777" w:rsidR="00974B07" w:rsidRDefault="00974B07" w:rsidP="00E138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2C41"/>
    <w:multiLevelType w:val="multilevel"/>
    <w:tmpl w:val="09EC0D0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3B863C0"/>
    <w:multiLevelType w:val="multilevel"/>
    <w:tmpl w:val="2CCE4D1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4DD4687"/>
    <w:multiLevelType w:val="hybridMultilevel"/>
    <w:tmpl w:val="45A07E86"/>
    <w:lvl w:ilvl="0" w:tplc="84DC93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14D79EC"/>
    <w:multiLevelType w:val="multilevel"/>
    <w:tmpl w:val="59A8DB70"/>
    <w:lvl w:ilvl="0">
      <w:start w:val="1"/>
      <w:numFmt w:val="lowerLetter"/>
      <w:lvlText w:val="%1."/>
      <w:lvlJc w:val="left"/>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230711C"/>
    <w:multiLevelType w:val="hybridMultilevel"/>
    <w:tmpl w:val="1DFE18AC"/>
    <w:lvl w:ilvl="0" w:tplc="84DC93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24D3F50"/>
    <w:multiLevelType w:val="multilevel"/>
    <w:tmpl w:val="5FA84CFA"/>
    <w:lvl w:ilvl="0">
      <w:start w:val="1"/>
      <w:numFmt w:val="lowerLetter"/>
      <w:lvlText w:val="%1."/>
      <w:lvlJc w:val="left"/>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3BF3CC6"/>
    <w:multiLevelType w:val="hybridMultilevel"/>
    <w:tmpl w:val="6F5A580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DDE01C1"/>
    <w:multiLevelType w:val="hybridMultilevel"/>
    <w:tmpl w:val="00A051C8"/>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1F6E780F"/>
    <w:multiLevelType w:val="multilevel"/>
    <w:tmpl w:val="68F2881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2A1E0A60"/>
    <w:multiLevelType w:val="hybridMultilevel"/>
    <w:tmpl w:val="C0864B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97904EC"/>
    <w:multiLevelType w:val="hybridMultilevel"/>
    <w:tmpl w:val="93F6E87C"/>
    <w:lvl w:ilvl="0" w:tplc="84DC93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A3B1B06"/>
    <w:multiLevelType w:val="hybridMultilevel"/>
    <w:tmpl w:val="FE0E061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3AC00F64"/>
    <w:multiLevelType w:val="hybridMultilevel"/>
    <w:tmpl w:val="00ECABAE"/>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3DB87C77"/>
    <w:multiLevelType w:val="hybridMultilevel"/>
    <w:tmpl w:val="7220C26E"/>
    <w:lvl w:ilvl="0" w:tplc="84DC93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E6327D5"/>
    <w:multiLevelType w:val="multilevel"/>
    <w:tmpl w:val="7F600576"/>
    <w:lvl w:ilvl="0">
      <w:start w:val="1"/>
      <w:numFmt w:val="decimal"/>
      <w:lvlText w:val="%1."/>
      <w:lvlJc w:val="left"/>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41A52ACD"/>
    <w:multiLevelType w:val="multilevel"/>
    <w:tmpl w:val="580AF6A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43CA5B33"/>
    <w:multiLevelType w:val="hybridMultilevel"/>
    <w:tmpl w:val="C0864B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3D741BC"/>
    <w:multiLevelType w:val="multilevel"/>
    <w:tmpl w:val="291EE3B8"/>
    <w:lvl w:ilvl="0">
      <w:start w:val="1"/>
      <w:numFmt w:val="decimal"/>
      <w:lvlText w:val="%1."/>
      <w:lvlJc w:val="left"/>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44441B78"/>
    <w:multiLevelType w:val="multilevel"/>
    <w:tmpl w:val="E6363146"/>
    <w:lvl w:ilvl="0">
      <w:start w:val="1"/>
      <w:numFmt w:val="lowerLetter"/>
      <w:lvlText w:val="%1."/>
      <w:lvlJc w:val="left"/>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494D4F41"/>
    <w:multiLevelType w:val="hybridMultilevel"/>
    <w:tmpl w:val="FB2ECE1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C37049"/>
    <w:multiLevelType w:val="multilevel"/>
    <w:tmpl w:val="FD6809C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1" w15:restartNumberingAfterBreak="0">
    <w:nsid w:val="4DA9028A"/>
    <w:multiLevelType w:val="multilevel"/>
    <w:tmpl w:val="27CAFB70"/>
    <w:lvl w:ilvl="0">
      <w:start w:val="1"/>
      <w:numFmt w:val="lowerLetter"/>
      <w:lvlText w:val="%1."/>
      <w:lvlJc w:val="left"/>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4DF91500"/>
    <w:multiLevelType w:val="multilevel"/>
    <w:tmpl w:val="BE00950E"/>
    <w:lvl w:ilvl="0">
      <w:start w:val="1"/>
      <w:numFmt w:val="lowerLetter"/>
      <w:lvlText w:val="%1."/>
      <w:lvlJc w:val="left"/>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4EE1508B"/>
    <w:multiLevelType w:val="hybridMultilevel"/>
    <w:tmpl w:val="6F6AB8D8"/>
    <w:lvl w:ilvl="0" w:tplc="84DC932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4" w15:restartNumberingAfterBreak="0">
    <w:nsid w:val="4F470E9C"/>
    <w:multiLevelType w:val="multilevel"/>
    <w:tmpl w:val="3C96A82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5" w15:restartNumberingAfterBreak="0">
    <w:nsid w:val="51031E8B"/>
    <w:multiLevelType w:val="hybridMultilevel"/>
    <w:tmpl w:val="CCF2DB7E"/>
    <w:lvl w:ilvl="0" w:tplc="84DC93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9420F62"/>
    <w:multiLevelType w:val="hybridMultilevel"/>
    <w:tmpl w:val="B7D4B96E"/>
    <w:lvl w:ilvl="0" w:tplc="E00A681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264588F"/>
    <w:multiLevelType w:val="hybridMultilevel"/>
    <w:tmpl w:val="3F6C7C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8706D52"/>
    <w:multiLevelType w:val="multilevel"/>
    <w:tmpl w:val="6ADE3FF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69D60B1E"/>
    <w:multiLevelType w:val="hybridMultilevel"/>
    <w:tmpl w:val="4560E8C2"/>
    <w:lvl w:ilvl="0" w:tplc="84DC93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A0C70FA"/>
    <w:multiLevelType w:val="multilevel"/>
    <w:tmpl w:val="070A5D9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1" w15:restartNumberingAfterBreak="0">
    <w:nsid w:val="7C4E157A"/>
    <w:multiLevelType w:val="multilevel"/>
    <w:tmpl w:val="4656E01E"/>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1"/>
  </w:num>
  <w:num w:numId="3">
    <w:abstractNumId w:val="15"/>
  </w:num>
  <w:num w:numId="4">
    <w:abstractNumId w:val="21"/>
  </w:num>
  <w:num w:numId="5">
    <w:abstractNumId w:val="17"/>
  </w:num>
  <w:num w:numId="6">
    <w:abstractNumId w:val="22"/>
  </w:num>
  <w:num w:numId="7">
    <w:abstractNumId w:val="14"/>
  </w:num>
  <w:num w:numId="8">
    <w:abstractNumId w:val="5"/>
  </w:num>
  <w:num w:numId="9">
    <w:abstractNumId w:val="8"/>
  </w:num>
  <w:num w:numId="10">
    <w:abstractNumId w:val="30"/>
  </w:num>
  <w:num w:numId="11">
    <w:abstractNumId w:val="20"/>
  </w:num>
  <w:num w:numId="12">
    <w:abstractNumId w:val="28"/>
  </w:num>
  <w:num w:numId="13">
    <w:abstractNumId w:val="3"/>
  </w:num>
  <w:num w:numId="14">
    <w:abstractNumId w:val="24"/>
  </w:num>
  <w:num w:numId="15">
    <w:abstractNumId w:val="31"/>
  </w:num>
  <w:num w:numId="16">
    <w:abstractNumId w:val="18"/>
  </w:num>
  <w:num w:numId="17">
    <w:abstractNumId w:val="6"/>
  </w:num>
  <w:num w:numId="18">
    <w:abstractNumId w:val="27"/>
  </w:num>
  <w:num w:numId="19">
    <w:abstractNumId w:val="13"/>
  </w:num>
  <w:num w:numId="20">
    <w:abstractNumId w:val="11"/>
  </w:num>
  <w:num w:numId="21">
    <w:abstractNumId w:val="26"/>
  </w:num>
  <w:num w:numId="22">
    <w:abstractNumId w:val="16"/>
  </w:num>
  <w:num w:numId="23">
    <w:abstractNumId w:val="12"/>
  </w:num>
  <w:num w:numId="24">
    <w:abstractNumId w:val="9"/>
  </w:num>
  <w:num w:numId="25">
    <w:abstractNumId w:val="7"/>
  </w:num>
  <w:num w:numId="26">
    <w:abstractNumId w:val="2"/>
  </w:num>
  <w:num w:numId="27">
    <w:abstractNumId w:val="29"/>
  </w:num>
  <w:num w:numId="28">
    <w:abstractNumId w:val="4"/>
  </w:num>
  <w:num w:numId="29">
    <w:abstractNumId w:val="10"/>
  </w:num>
  <w:num w:numId="30">
    <w:abstractNumId w:val="23"/>
  </w:num>
  <w:num w:numId="31">
    <w:abstractNumId w:val="25"/>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817"/>
    <w:rsid w:val="00084D42"/>
    <w:rsid w:val="000C4D15"/>
    <w:rsid w:val="002B2525"/>
    <w:rsid w:val="002B7041"/>
    <w:rsid w:val="00432546"/>
    <w:rsid w:val="004639F3"/>
    <w:rsid w:val="004D37E3"/>
    <w:rsid w:val="005619C1"/>
    <w:rsid w:val="00744FDF"/>
    <w:rsid w:val="007F284A"/>
    <w:rsid w:val="007F58F4"/>
    <w:rsid w:val="0088418E"/>
    <w:rsid w:val="008A0560"/>
    <w:rsid w:val="008F589B"/>
    <w:rsid w:val="009445CF"/>
    <w:rsid w:val="00974B07"/>
    <w:rsid w:val="00B048CD"/>
    <w:rsid w:val="00C2156B"/>
    <w:rsid w:val="00C62A41"/>
    <w:rsid w:val="00CC1BF7"/>
    <w:rsid w:val="00E13817"/>
    <w:rsid w:val="00E36F8D"/>
    <w:rsid w:val="00E3772D"/>
    <w:rsid w:val="00FC73D0"/>
    <w:rsid w:val="00FD34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19B55"/>
  <w15:chartTrackingRefBased/>
  <w15:docId w15:val="{85742EAF-B91E-B340-8823-420AED51A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13817"/>
    <w:rPr>
      <w:rFonts w:ascii="Times" w:eastAsia="Times" w:hAnsi="Times" w:cs="Times New Roman"/>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E13817"/>
    <w:pPr>
      <w:tabs>
        <w:tab w:val="center" w:pos="4320"/>
        <w:tab w:val="right" w:pos="8640"/>
      </w:tabs>
    </w:pPr>
  </w:style>
  <w:style w:type="character" w:customStyle="1" w:styleId="NagwekZnak">
    <w:name w:val="Nagłówek Znak"/>
    <w:basedOn w:val="Domylnaczcionkaakapitu"/>
    <w:link w:val="Nagwek"/>
    <w:rsid w:val="00E13817"/>
    <w:rPr>
      <w:rFonts w:ascii="Times" w:eastAsia="Times" w:hAnsi="Times" w:cs="Times New Roman"/>
      <w:szCs w:val="20"/>
      <w:lang w:eastAsia="pl-PL"/>
    </w:rPr>
  </w:style>
  <w:style w:type="paragraph" w:styleId="Stopka">
    <w:name w:val="footer"/>
    <w:basedOn w:val="Normalny"/>
    <w:link w:val="StopkaZnak"/>
    <w:uiPriority w:val="99"/>
    <w:rsid w:val="00E13817"/>
    <w:pPr>
      <w:tabs>
        <w:tab w:val="center" w:pos="4320"/>
        <w:tab w:val="right" w:pos="8640"/>
      </w:tabs>
    </w:pPr>
  </w:style>
  <w:style w:type="character" w:customStyle="1" w:styleId="StopkaZnak">
    <w:name w:val="Stopka Znak"/>
    <w:basedOn w:val="Domylnaczcionkaakapitu"/>
    <w:link w:val="Stopka"/>
    <w:uiPriority w:val="99"/>
    <w:rsid w:val="00E13817"/>
    <w:rPr>
      <w:rFonts w:ascii="Times" w:eastAsia="Times" w:hAnsi="Times" w:cs="Times New Roman"/>
      <w:szCs w:val="20"/>
      <w:lang w:eastAsia="pl-PL"/>
    </w:rPr>
  </w:style>
  <w:style w:type="paragraph" w:styleId="Akapitzlist">
    <w:name w:val="List Paragraph"/>
    <w:basedOn w:val="Normalny"/>
    <w:uiPriority w:val="34"/>
    <w:qFormat/>
    <w:rsid w:val="00E13817"/>
    <w:pPr>
      <w:spacing w:after="200" w:line="276" w:lineRule="auto"/>
      <w:ind w:left="720"/>
      <w:contextualSpacing/>
    </w:pPr>
    <w:rPr>
      <w:rFonts w:ascii="Calibri" w:eastAsia="Calibri" w:hAnsi="Calibri"/>
      <w:sz w:val="22"/>
      <w:szCs w:val="22"/>
      <w:lang w:eastAsia="en-US"/>
    </w:rPr>
  </w:style>
  <w:style w:type="character" w:styleId="Hipercze">
    <w:name w:val="Hyperlink"/>
    <w:rsid w:val="00E1381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27</Pages>
  <Words>6307</Words>
  <Characters>37843</Characters>
  <Application>Microsoft Office Word</Application>
  <DocSecurity>0</DocSecurity>
  <Lines>315</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JKO JKO</dc:creator>
  <cp:keywords/>
  <dc:description/>
  <cp:lastModifiedBy>Krupa Katarzyna (DOB)</cp:lastModifiedBy>
  <cp:revision>3</cp:revision>
  <dcterms:created xsi:type="dcterms:W3CDTF">2021-04-08T12:49:00Z</dcterms:created>
  <dcterms:modified xsi:type="dcterms:W3CDTF">2021-04-09T08:02:00Z</dcterms:modified>
</cp:coreProperties>
</file>