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C03B1" w14:textId="77777777" w:rsidR="00D71D5A" w:rsidRPr="00787827" w:rsidRDefault="00D71D5A" w:rsidP="00590C9A">
      <w:pPr>
        <w:pStyle w:val="tabelaw"/>
        <w:tabs>
          <w:tab w:val="left" w:pos="480"/>
        </w:tabs>
        <w:spacing w:after="0" w:line="360" w:lineRule="auto"/>
        <w:ind w:right="-143"/>
        <w:rPr>
          <w:rFonts w:asciiTheme="minorHAnsi" w:hAnsiTheme="minorHAnsi" w:cstheme="minorHAnsi"/>
        </w:rPr>
      </w:pPr>
      <w:bookmarkStart w:id="0" w:name="_GoBack"/>
      <w:bookmarkEnd w:id="0"/>
    </w:p>
    <w:p w14:paraId="4186568C" w14:textId="77777777" w:rsidR="00D71D5A" w:rsidRPr="00787827" w:rsidRDefault="00D71D5A" w:rsidP="00590C9A">
      <w:pPr>
        <w:pStyle w:val="tabelaw"/>
        <w:tabs>
          <w:tab w:val="left" w:pos="480"/>
        </w:tabs>
        <w:spacing w:after="0" w:line="360" w:lineRule="auto"/>
        <w:rPr>
          <w:rFonts w:asciiTheme="minorHAnsi" w:hAnsiTheme="minorHAnsi" w:cstheme="minorHAnsi"/>
        </w:rPr>
      </w:pPr>
    </w:p>
    <w:p w14:paraId="59B30A01" w14:textId="77777777" w:rsidR="00D71D5A" w:rsidRPr="00787827" w:rsidRDefault="00D71D5A" w:rsidP="00590C9A">
      <w:pPr>
        <w:pStyle w:val="tabelaw"/>
        <w:tabs>
          <w:tab w:val="left" w:pos="480"/>
        </w:tabs>
        <w:spacing w:after="0" w:line="360" w:lineRule="auto"/>
        <w:rPr>
          <w:rFonts w:asciiTheme="minorHAnsi" w:hAnsiTheme="minorHAnsi" w:cstheme="minorHAnsi"/>
        </w:rPr>
      </w:pPr>
    </w:p>
    <w:tbl>
      <w:tblPr>
        <w:tblW w:w="94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71D5A" w:rsidRPr="00787827" w14:paraId="72E16719" w14:textId="77777777" w:rsidTr="00D71D5A">
        <w:trPr>
          <w:cantSplit/>
          <w:jc w:val="center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14:paraId="4493BDB3" w14:textId="77777777" w:rsidR="00D71D5A" w:rsidRPr="00787827" w:rsidRDefault="008D5999" w:rsidP="005E6A37">
            <w:pPr>
              <w:pStyle w:val="plgd"/>
              <w:tabs>
                <w:tab w:val="left" w:pos="480"/>
              </w:tabs>
              <w:spacing w:line="360" w:lineRule="auto"/>
              <w:jc w:val="center"/>
              <w:rPr>
                <w:rFonts w:asciiTheme="minorHAnsi" w:hAnsiTheme="minorHAnsi" w:cstheme="minorHAnsi"/>
                <w:sz w:val="28"/>
              </w:rPr>
            </w:pPr>
            <w:r w:rsidRPr="00787827">
              <w:rPr>
                <w:rFonts w:asciiTheme="minorHAnsi" w:hAnsiTheme="minorHAnsi" w:cstheme="minorHAnsi"/>
                <w:noProof/>
                <w:sz w:val="28"/>
              </w:rPr>
              <w:drawing>
                <wp:inline distT="0" distB="0" distL="0" distR="0" wp14:anchorId="3547E134" wp14:editId="21975F42">
                  <wp:extent cx="890270" cy="977900"/>
                  <wp:effectExtent l="0" t="0" r="508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D1993" w14:textId="77777777" w:rsidR="00D71D5A" w:rsidRPr="00787827" w:rsidRDefault="00D71D5A" w:rsidP="00590C9A">
      <w:pPr>
        <w:pStyle w:val="tabelaw"/>
        <w:tabs>
          <w:tab w:val="left" w:pos="480"/>
        </w:tabs>
        <w:spacing w:after="0" w:line="360" w:lineRule="auto"/>
        <w:rPr>
          <w:rFonts w:asciiTheme="minorHAnsi" w:hAnsiTheme="minorHAnsi" w:cstheme="minorHAnsi"/>
        </w:rPr>
      </w:pPr>
    </w:p>
    <w:p w14:paraId="5F0B0108" w14:textId="77777777" w:rsidR="00D71D5A" w:rsidRPr="00787827" w:rsidRDefault="00D71D5A" w:rsidP="00590C9A">
      <w:pPr>
        <w:tabs>
          <w:tab w:val="left" w:pos="480"/>
        </w:tabs>
        <w:spacing w:line="360" w:lineRule="auto"/>
        <w:rPr>
          <w:rFonts w:asciiTheme="minorHAnsi" w:hAnsiTheme="minorHAnsi" w:cstheme="minorHAnsi"/>
          <w:sz w:val="26"/>
        </w:rPr>
      </w:pPr>
    </w:p>
    <w:p w14:paraId="44336793" w14:textId="77777777" w:rsidR="00D71D5A" w:rsidRPr="00787827" w:rsidRDefault="00D71D5A" w:rsidP="00590C9A">
      <w:pPr>
        <w:tabs>
          <w:tab w:val="left" w:pos="480"/>
        </w:tabs>
        <w:spacing w:line="360" w:lineRule="auto"/>
        <w:rPr>
          <w:rFonts w:asciiTheme="minorHAnsi" w:hAnsiTheme="minorHAnsi" w:cstheme="minorHAnsi"/>
          <w:sz w:val="26"/>
        </w:rPr>
      </w:pPr>
    </w:p>
    <w:p w14:paraId="031939D0" w14:textId="77777777" w:rsidR="00D71D5A" w:rsidRPr="00787827" w:rsidRDefault="00D71D5A" w:rsidP="00D71D5A">
      <w:pPr>
        <w:pStyle w:val="tabelaw"/>
        <w:tabs>
          <w:tab w:val="left" w:pos="480"/>
        </w:tabs>
        <w:spacing w:after="0" w:line="360" w:lineRule="auto"/>
        <w:rPr>
          <w:rFonts w:asciiTheme="minorHAnsi" w:hAnsiTheme="minorHAnsi" w:cstheme="minorHAnsi"/>
        </w:rPr>
      </w:pPr>
    </w:p>
    <w:p w14:paraId="79CB9802" w14:textId="77777777" w:rsidR="00D71D5A" w:rsidRPr="00590C9A" w:rsidRDefault="00D71D5A" w:rsidP="006F273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90C9A">
        <w:rPr>
          <w:rFonts w:asciiTheme="minorHAnsi" w:hAnsiTheme="minorHAnsi" w:cstheme="minorHAnsi"/>
          <w:b/>
          <w:sz w:val="32"/>
          <w:szCs w:val="32"/>
        </w:rPr>
        <w:t>INFORMACJA</w:t>
      </w:r>
    </w:p>
    <w:p w14:paraId="3BB6A115" w14:textId="77777777" w:rsidR="003072F9" w:rsidRDefault="00D71D5A" w:rsidP="00F77970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90C9A">
        <w:rPr>
          <w:rFonts w:asciiTheme="minorHAnsi" w:hAnsiTheme="minorHAnsi" w:cstheme="minorHAnsi"/>
          <w:b/>
          <w:sz w:val="32"/>
          <w:szCs w:val="32"/>
        </w:rPr>
        <w:t xml:space="preserve">O PORĘCZENIACH </w:t>
      </w:r>
      <w:r w:rsidR="005F569B" w:rsidRPr="00590C9A">
        <w:rPr>
          <w:rFonts w:asciiTheme="minorHAnsi" w:hAnsiTheme="minorHAnsi" w:cstheme="minorHAnsi"/>
          <w:b/>
          <w:sz w:val="32"/>
          <w:szCs w:val="32"/>
        </w:rPr>
        <w:t xml:space="preserve">I GWARANCJACH UDZIELONYCH </w:t>
      </w:r>
    </w:p>
    <w:p w14:paraId="12936E75" w14:textId="6A578C84" w:rsidR="00D71D5A" w:rsidRPr="00590C9A" w:rsidRDefault="005F569B" w:rsidP="00F77970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90C9A">
        <w:rPr>
          <w:rFonts w:asciiTheme="minorHAnsi" w:hAnsiTheme="minorHAnsi" w:cstheme="minorHAnsi"/>
          <w:b/>
          <w:sz w:val="32"/>
          <w:szCs w:val="32"/>
        </w:rPr>
        <w:t>W 20</w:t>
      </w:r>
      <w:r w:rsidR="000518C7" w:rsidRPr="00590C9A">
        <w:rPr>
          <w:rFonts w:asciiTheme="minorHAnsi" w:hAnsiTheme="minorHAnsi" w:cstheme="minorHAnsi"/>
          <w:b/>
          <w:sz w:val="32"/>
          <w:szCs w:val="32"/>
        </w:rPr>
        <w:t>21</w:t>
      </w:r>
      <w:r w:rsidR="00D71D5A" w:rsidRPr="00590C9A">
        <w:rPr>
          <w:rFonts w:asciiTheme="minorHAnsi" w:hAnsiTheme="minorHAnsi" w:cstheme="minorHAnsi"/>
          <w:b/>
          <w:sz w:val="32"/>
          <w:szCs w:val="32"/>
        </w:rPr>
        <w:t xml:space="preserve"> ROKU PRZEZ SKARB PAŃSTWA, NIEKTÓRE OSOBY PRAWNE</w:t>
      </w:r>
      <w:r w:rsidR="00F77970" w:rsidRPr="00590C9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71D5A" w:rsidRPr="00590C9A">
        <w:rPr>
          <w:rFonts w:asciiTheme="minorHAnsi" w:hAnsiTheme="minorHAnsi" w:cstheme="minorHAnsi"/>
          <w:b/>
          <w:sz w:val="32"/>
          <w:szCs w:val="32"/>
        </w:rPr>
        <w:t>ORAZ BANK GOSPODARSTWA KRAJOWEGO</w:t>
      </w:r>
    </w:p>
    <w:p w14:paraId="3D012DEF" w14:textId="77777777" w:rsidR="00D71D5A" w:rsidRPr="00787827" w:rsidRDefault="00D71D5A" w:rsidP="00590C9A">
      <w:pPr>
        <w:tabs>
          <w:tab w:val="left" w:pos="480"/>
        </w:tabs>
        <w:spacing w:line="360" w:lineRule="auto"/>
        <w:rPr>
          <w:rFonts w:asciiTheme="minorHAnsi" w:hAnsiTheme="minorHAnsi" w:cstheme="minorHAnsi"/>
          <w:sz w:val="26"/>
        </w:rPr>
      </w:pPr>
    </w:p>
    <w:p w14:paraId="714C02D6" w14:textId="77777777" w:rsidR="00D71D5A" w:rsidRPr="00787827" w:rsidRDefault="00D71D5A" w:rsidP="00590C9A">
      <w:pPr>
        <w:tabs>
          <w:tab w:val="left" w:pos="480"/>
        </w:tabs>
        <w:spacing w:line="360" w:lineRule="auto"/>
        <w:rPr>
          <w:rFonts w:asciiTheme="minorHAnsi" w:hAnsiTheme="minorHAnsi" w:cstheme="minorHAnsi"/>
          <w:sz w:val="26"/>
        </w:rPr>
      </w:pPr>
    </w:p>
    <w:p w14:paraId="0C15C3DB" w14:textId="77777777" w:rsidR="00D71D5A" w:rsidRPr="00787827" w:rsidRDefault="00D71D5A" w:rsidP="00590C9A">
      <w:pPr>
        <w:tabs>
          <w:tab w:val="left" w:pos="480"/>
        </w:tabs>
        <w:spacing w:line="360" w:lineRule="auto"/>
        <w:rPr>
          <w:rFonts w:asciiTheme="minorHAnsi" w:hAnsiTheme="minorHAnsi" w:cstheme="minorHAnsi"/>
          <w:sz w:val="26"/>
        </w:rPr>
      </w:pPr>
    </w:p>
    <w:p w14:paraId="3A0762A1" w14:textId="77777777" w:rsidR="00D71D5A" w:rsidRPr="00787827" w:rsidRDefault="00D71D5A" w:rsidP="00590C9A">
      <w:pPr>
        <w:tabs>
          <w:tab w:val="left" w:pos="480"/>
        </w:tabs>
        <w:spacing w:line="360" w:lineRule="auto"/>
        <w:rPr>
          <w:rFonts w:asciiTheme="minorHAnsi" w:hAnsiTheme="minorHAnsi" w:cstheme="minorHAnsi"/>
          <w:sz w:val="26"/>
        </w:rPr>
      </w:pPr>
    </w:p>
    <w:p w14:paraId="485F8B8F" w14:textId="77777777" w:rsidR="00D71D5A" w:rsidRPr="00787827" w:rsidRDefault="00D71D5A" w:rsidP="00590C9A">
      <w:pPr>
        <w:tabs>
          <w:tab w:val="left" w:pos="480"/>
        </w:tabs>
        <w:spacing w:line="360" w:lineRule="auto"/>
        <w:rPr>
          <w:rFonts w:asciiTheme="minorHAnsi" w:hAnsiTheme="minorHAnsi" w:cstheme="minorHAnsi"/>
          <w:sz w:val="26"/>
        </w:rPr>
      </w:pPr>
    </w:p>
    <w:p w14:paraId="1479DB52" w14:textId="77777777" w:rsidR="00D71D5A" w:rsidRPr="00787827" w:rsidRDefault="00D71D5A" w:rsidP="00590C9A">
      <w:pPr>
        <w:pStyle w:val="pktlitcyfw0"/>
        <w:tabs>
          <w:tab w:val="left" w:pos="480"/>
        </w:tabs>
        <w:spacing w:after="0" w:line="360" w:lineRule="auto"/>
        <w:ind w:left="0" w:firstLine="0"/>
        <w:rPr>
          <w:rFonts w:asciiTheme="minorHAnsi" w:hAnsiTheme="minorHAnsi" w:cstheme="minorHAnsi"/>
        </w:rPr>
      </w:pPr>
    </w:p>
    <w:p w14:paraId="21DFA19F" w14:textId="77777777" w:rsidR="00D71D5A" w:rsidRPr="00787827" w:rsidRDefault="00D71D5A" w:rsidP="00590C9A">
      <w:pPr>
        <w:tabs>
          <w:tab w:val="left" w:pos="480"/>
        </w:tabs>
        <w:spacing w:line="360" w:lineRule="auto"/>
        <w:rPr>
          <w:rFonts w:asciiTheme="minorHAnsi" w:hAnsiTheme="minorHAnsi" w:cstheme="minorHAnsi"/>
          <w:sz w:val="26"/>
        </w:rPr>
      </w:pPr>
    </w:p>
    <w:p w14:paraId="1B481985" w14:textId="77777777" w:rsidR="00D71D5A" w:rsidRPr="00787827" w:rsidRDefault="00D71D5A" w:rsidP="00590C9A">
      <w:pPr>
        <w:tabs>
          <w:tab w:val="left" w:pos="480"/>
        </w:tabs>
        <w:spacing w:line="360" w:lineRule="auto"/>
        <w:rPr>
          <w:rFonts w:asciiTheme="minorHAnsi" w:hAnsiTheme="minorHAnsi" w:cstheme="minorHAnsi"/>
          <w:sz w:val="26"/>
        </w:rPr>
      </w:pPr>
    </w:p>
    <w:p w14:paraId="3807C51B" w14:textId="77777777" w:rsidR="00D71D5A" w:rsidRPr="00787827" w:rsidRDefault="00D71D5A" w:rsidP="00590C9A">
      <w:pPr>
        <w:tabs>
          <w:tab w:val="left" w:pos="480"/>
        </w:tabs>
        <w:spacing w:line="360" w:lineRule="auto"/>
        <w:rPr>
          <w:rFonts w:asciiTheme="minorHAnsi" w:hAnsiTheme="minorHAnsi" w:cstheme="minorHAnsi"/>
          <w:sz w:val="26"/>
        </w:rPr>
      </w:pPr>
    </w:p>
    <w:p w14:paraId="320CE6E8" w14:textId="77777777" w:rsidR="00A76F6C" w:rsidRPr="00787827" w:rsidRDefault="00A76F6C" w:rsidP="00590C9A">
      <w:pPr>
        <w:pStyle w:val="Tekstpodstawowy3"/>
        <w:rPr>
          <w:rFonts w:asciiTheme="minorHAnsi" w:hAnsiTheme="minorHAnsi" w:cstheme="minorHAnsi"/>
          <w:b/>
          <w:bCs/>
        </w:rPr>
      </w:pPr>
    </w:p>
    <w:p w14:paraId="34032E12" w14:textId="77777777" w:rsidR="00A76F6C" w:rsidRPr="00787827" w:rsidRDefault="00A76F6C" w:rsidP="00590C9A">
      <w:pPr>
        <w:pStyle w:val="Tekstpodstawowy3"/>
        <w:rPr>
          <w:rFonts w:asciiTheme="minorHAnsi" w:hAnsiTheme="minorHAnsi" w:cstheme="minorHAnsi"/>
          <w:b/>
          <w:bCs/>
        </w:rPr>
      </w:pPr>
    </w:p>
    <w:p w14:paraId="790B2F91" w14:textId="77777777" w:rsidR="00A76F6C" w:rsidRPr="00787827" w:rsidRDefault="00A76F6C" w:rsidP="00590C9A">
      <w:pPr>
        <w:pStyle w:val="Tekstpodstawowy3"/>
        <w:rPr>
          <w:rFonts w:asciiTheme="minorHAnsi" w:hAnsiTheme="minorHAnsi" w:cstheme="minorHAnsi"/>
          <w:b/>
          <w:bCs/>
        </w:rPr>
      </w:pPr>
    </w:p>
    <w:p w14:paraId="52919E3D" w14:textId="77777777" w:rsidR="003072F9" w:rsidRDefault="003072F9" w:rsidP="00D71D5A">
      <w:pPr>
        <w:pStyle w:val="Tekstpodstawowy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WARSZAWA</w:t>
      </w:r>
    </w:p>
    <w:p w14:paraId="580227ED" w14:textId="2FF0AB44" w:rsidR="00D71D5A" w:rsidRPr="003072F9" w:rsidRDefault="006D6F93" w:rsidP="003072F9">
      <w:pPr>
        <w:pStyle w:val="Tekstpodstawowy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90C9A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0518C7" w:rsidRPr="00590C9A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65C29EAA" w14:textId="77777777" w:rsidR="00D71D5A" w:rsidRPr="00787827" w:rsidRDefault="00D71D5A" w:rsidP="005329AD">
      <w:pPr>
        <w:pStyle w:val="Nagwekspisutreci"/>
        <w:spacing w:before="120" w:after="120"/>
        <w:ind w:right="-284"/>
        <w:rPr>
          <w:rFonts w:asciiTheme="minorHAnsi" w:hAnsiTheme="minorHAnsi" w:cstheme="minorHAnsi"/>
          <w:color w:val="auto"/>
        </w:rPr>
      </w:pPr>
    </w:p>
    <w:p w14:paraId="764DCB5A" w14:textId="0839BB2C" w:rsidR="009E3BE9" w:rsidRPr="00787827" w:rsidRDefault="009E3BE9" w:rsidP="00DB24C2">
      <w:pPr>
        <w:pStyle w:val="Nagwekspisutreci"/>
        <w:spacing w:before="120" w:after="120" w:line="240" w:lineRule="auto"/>
        <w:ind w:right="-284"/>
        <w:rPr>
          <w:rFonts w:asciiTheme="minorHAnsi" w:hAnsiTheme="minorHAnsi" w:cstheme="minorHAnsi"/>
          <w:color w:val="auto"/>
          <w:sz w:val="26"/>
          <w:szCs w:val="26"/>
        </w:rPr>
      </w:pPr>
      <w:r w:rsidRPr="00787827">
        <w:rPr>
          <w:rFonts w:asciiTheme="minorHAnsi" w:hAnsiTheme="minorHAnsi" w:cstheme="minorHAnsi"/>
          <w:color w:val="auto"/>
          <w:sz w:val="26"/>
          <w:szCs w:val="26"/>
        </w:rPr>
        <w:t>Spis treści</w:t>
      </w:r>
    </w:p>
    <w:p w14:paraId="0C55F8A4" w14:textId="7AED40B8" w:rsidR="00C83461" w:rsidRPr="00787827" w:rsidRDefault="00A508C1">
      <w:pPr>
        <w:pStyle w:val="Spistreci1"/>
        <w:rPr>
          <w:rFonts w:asciiTheme="minorHAnsi" w:eastAsiaTheme="minorEastAsia" w:hAnsiTheme="minorHAnsi" w:cstheme="minorHAnsi"/>
          <w:b w:val="0"/>
          <w:sz w:val="22"/>
          <w:szCs w:val="22"/>
        </w:rPr>
      </w:pPr>
      <w:r w:rsidRPr="00787827">
        <w:rPr>
          <w:rFonts w:asciiTheme="minorHAnsi" w:hAnsiTheme="minorHAnsi" w:cstheme="minorHAnsi"/>
        </w:rPr>
        <w:fldChar w:fldCharType="begin"/>
      </w:r>
      <w:r w:rsidR="00D9320D" w:rsidRPr="00787827">
        <w:rPr>
          <w:rFonts w:asciiTheme="minorHAnsi" w:hAnsiTheme="minorHAnsi" w:cstheme="minorHAnsi"/>
        </w:rPr>
        <w:instrText xml:space="preserve"> TOC \o "1-4" \h \z \u </w:instrText>
      </w:r>
      <w:r w:rsidRPr="00787827">
        <w:rPr>
          <w:rFonts w:asciiTheme="minorHAnsi" w:hAnsiTheme="minorHAnsi" w:cstheme="minorHAnsi"/>
        </w:rPr>
        <w:fldChar w:fldCharType="separate"/>
      </w:r>
      <w:hyperlink w:anchor="_Toc97726313" w:history="1">
        <w:r w:rsidR="00C83461" w:rsidRPr="00787827">
          <w:rPr>
            <w:rStyle w:val="Hipercze"/>
            <w:rFonts w:asciiTheme="minorHAnsi" w:hAnsiTheme="minorHAnsi" w:cstheme="minorHAnsi"/>
          </w:rPr>
          <w:t>1.</w:t>
        </w:r>
        <w:r w:rsidR="00C83461" w:rsidRPr="00787827">
          <w:rPr>
            <w:rFonts w:asciiTheme="minorHAnsi" w:eastAsiaTheme="minorEastAsia" w:hAnsiTheme="minorHAnsi" w:cstheme="minorHAnsi"/>
            <w:b w:val="0"/>
            <w:sz w:val="22"/>
            <w:szCs w:val="22"/>
          </w:rPr>
          <w:tab/>
        </w:r>
        <w:r w:rsidR="00C83461" w:rsidRPr="00787827">
          <w:rPr>
            <w:rStyle w:val="Hipercze"/>
            <w:rFonts w:asciiTheme="minorHAnsi" w:hAnsiTheme="minorHAnsi" w:cstheme="minorHAnsi"/>
          </w:rPr>
          <w:t>Streszczenie najważniejszych informacji o gwarancjach i poręczeniach Skarbu Państwa.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_Toc97726313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4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59305C48" w14:textId="70B00D93" w:rsidR="00C83461" w:rsidRPr="00787827" w:rsidRDefault="002E2DAE">
      <w:pPr>
        <w:pStyle w:val="Spistreci1"/>
        <w:rPr>
          <w:rFonts w:asciiTheme="minorHAnsi" w:eastAsiaTheme="minorEastAsia" w:hAnsiTheme="minorHAnsi" w:cstheme="minorHAnsi"/>
          <w:b w:val="0"/>
          <w:sz w:val="22"/>
          <w:szCs w:val="22"/>
        </w:rPr>
      </w:pPr>
      <w:hyperlink w:anchor="_Toc97726314" w:history="1">
        <w:r w:rsidR="00C83461" w:rsidRPr="00787827">
          <w:rPr>
            <w:rStyle w:val="Hipercze"/>
            <w:rFonts w:asciiTheme="minorHAnsi" w:hAnsiTheme="minorHAnsi" w:cstheme="minorHAnsi"/>
          </w:rPr>
          <w:t>2.</w:t>
        </w:r>
        <w:r w:rsidR="00C83461" w:rsidRPr="00787827">
          <w:rPr>
            <w:rFonts w:asciiTheme="minorHAnsi" w:eastAsiaTheme="minorEastAsia" w:hAnsiTheme="minorHAnsi" w:cstheme="minorHAnsi"/>
            <w:b w:val="0"/>
            <w:sz w:val="22"/>
            <w:szCs w:val="22"/>
          </w:rPr>
          <w:tab/>
        </w:r>
        <w:r w:rsidR="00C83461" w:rsidRPr="00787827">
          <w:rPr>
            <w:rStyle w:val="Hipercze"/>
            <w:rFonts w:asciiTheme="minorHAnsi" w:hAnsiTheme="minorHAnsi" w:cstheme="minorHAnsi"/>
          </w:rPr>
          <w:t>Informacja sporządzona w oparciu o ustawę o poręczeniach i gwarancjach na temat poręczeń i gwarancji udzielonych w 2021 r. przez Skarb Państwa, niektóre osoby prawne oraz Bank Gospodarstwa Krajowego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_Toc97726314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6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2F51128B" w14:textId="40DCB217" w:rsidR="00C83461" w:rsidRPr="00787827" w:rsidRDefault="002E2DAE">
      <w:pPr>
        <w:pStyle w:val="Spistreci2"/>
        <w:rPr>
          <w:rFonts w:asciiTheme="minorHAnsi" w:eastAsiaTheme="minorEastAsia" w:hAnsiTheme="minorHAnsi" w:cstheme="minorHAnsi"/>
          <w:bCs w:val="0"/>
          <w:lang w:eastAsia="pl-PL"/>
        </w:rPr>
      </w:pPr>
      <w:hyperlink w:anchor="_Toc97726315" w:history="1">
        <w:r w:rsidR="00C83461" w:rsidRPr="00787827">
          <w:rPr>
            <w:rStyle w:val="Hipercze"/>
            <w:rFonts w:asciiTheme="minorHAnsi" w:hAnsiTheme="minorHAnsi" w:cstheme="minorHAnsi"/>
          </w:rPr>
          <w:t>2.1</w:t>
        </w:r>
        <w:r w:rsidR="00C83461" w:rsidRPr="00787827">
          <w:rPr>
            <w:rFonts w:asciiTheme="minorHAnsi" w:eastAsiaTheme="minorEastAsia" w:hAnsiTheme="minorHAnsi" w:cstheme="minorHAnsi"/>
            <w:bCs w:val="0"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</w:rPr>
          <w:t>Regulacje prawne dotyczące obowiązku sprawozdawczego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_Toc97726315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6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544136E9" w14:textId="084B15A8" w:rsidR="00C83461" w:rsidRPr="00787827" w:rsidRDefault="002E2DAE">
      <w:pPr>
        <w:pStyle w:val="Spistreci2"/>
        <w:rPr>
          <w:rFonts w:asciiTheme="minorHAnsi" w:eastAsiaTheme="minorEastAsia" w:hAnsiTheme="minorHAnsi" w:cstheme="minorHAnsi"/>
          <w:bCs w:val="0"/>
          <w:lang w:eastAsia="pl-PL"/>
        </w:rPr>
      </w:pPr>
      <w:hyperlink w:anchor="_Toc97726316" w:history="1">
        <w:r w:rsidR="00C83461" w:rsidRPr="00787827">
          <w:rPr>
            <w:rStyle w:val="Hipercze"/>
            <w:rFonts w:asciiTheme="minorHAnsi" w:hAnsiTheme="minorHAnsi" w:cstheme="minorHAnsi"/>
          </w:rPr>
          <w:t xml:space="preserve">2.2 </w:t>
        </w:r>
        <w:r w:rsidR="00C83461" w:rsidRPr="00787827">
          <w:rPr>
            <w:rFonts w:asciiTheme="minorHAnsi" w:eastAsiaTheme="minorEastAsia" w:hAnsiTheme="minorHAnsi" w:cstheme="minorHAnsi"/>
            <w:bCs w:val="0"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</w:rPr>
          <w:t>Szczegółowe informacje dotyczące gwarancji udzielonych w 2021 r. przez Skarb Państwa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_Toc97726316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7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64E46F5F" w14:textId="272824D7" w:rsidR="00C83461" w:rsidRPr="00787827" w:rsidRDefault="002E2DAE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97726317" w:history="1">
        <w:r w:rsidR="00C83461" w:rsidRPr="00787827">
          <w:rPr>
            <w:rStyle w:val="Hipercze"/>
            <w:rFonts w:asciiTheme="minorHAnsi" w:hAnsiTheme="minorHAnsi" w:cstheme="minorHAnsi"/>
            <w:noProof/>
          </w:rPr>
          <w:t xml:space="preserve">2.2.1 </w:t>
        </w:r>
        <w:r w:rsidR="00C83461" w:rsidRPr="00787827">
          <w:rPr>
            <w:rFonts w:asciiTheme="minorHAnsi" w:eastAsiaTheme="minorEastAsia" w:hAnsiTheme="minorHAnsi" w:cstheme="minorHAnsi"/>
            <w:noProof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  <w:noProof/>
          </w:rPr>
          <w:t>Udzielone gwarancje Skarbu Państwa</w:t>
        </w:r>
        <w:r w:rsidR="00C83461" w:rsidRPr="00787827">
          <w:rPr>
            <w:rFonts w:asciiTheme="minorHAnsi" w:hAnsiTheme="minorHAnsi" w:cstheme="minorHAnsi"/>
            <w:noProof/>
            <w:webHidden/>
          </w:rPr>
          <w:tab/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noProof/>
            <w:webHidden/>
          </w:rPr>
          <w:instrText xml:space="preserve"> PAGEREF _Toc97726317 \h </w:instrText>
        </w:r>
        <w:r w:rsidR="00C83461" w:rsidRPr="00787827">
          <w:rPr>
            <w:rFonts w:asciiTheme="minorHAnsi" w:hAnsiTheme="minorHAnsi" w:cstheme="minorHAnsi"/>
            <w:noProof/>
            <w:webHidden/>
          </w:rPr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separate"/>
        </w:r>
        <w:r w:rsidR="004919E4">
          <w:rPr>
            <w:rFonts w:asciiTheme="minorHAnsi" w:hAnsiTheme="minorHAnsi" w:cstheme="minorHAnsi"/>
            <w:noProof/>
            <w:webHidden/>
          </w:rPr>
          <w:t>7</w:t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A916A7A" w14:textId="0940F9BE" w:rsidR="00C83461" w:rsidRPr="00787827" w:rsidRDefault="002E2DAE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97726318" w:history="1">
        <w:r w:rsidR="00C83461" w:rsidRPr="00787827">
          <w:rPr>
            <w:rStyle w:val="Hipercze"/>
            <w:rFonts w:asciiTheme="minorHAnsi" w:hAnsiTheme="minorHAnsi" w:cstheme="minorHAnsi"/>
            <w:noProof/>
          </w:rPr>
          <w:t>2.2.2 Wykorzystanie ustawowego limitu poręczeń i gwarancji Skarbu Państwa na rok 2021</w:t>
        </w:r>
        <w:r w:rsidR="00C83461" w:rsidRPr="00787827">
          <w:rPr>
            <w:rFonts w:asciiTheme="minorHAnsi" w:hAnsiTheme="minorHAnsi" w:cstheme="minorHAnsi"/>
            <w:noProof/>
            <w:webHidden/>
          </w:rPr>
          <w:tab/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noProof/>
            <w:webHidden/>
          </w:rPr>
          <w:instrText xml:space="preserve"> PAGEREF _Toc97726318 \h </w:instrText>
        </w:r>
        <w:r w:rsidR="00C83461" w:rsidRPr="00787827">
          <w:rPr>
            <w:rFonts w:asciiTheme="minorHAnsi" w:hAnsiTheme="minorHAnsi" w:cstheme="minorHAnsi"/>
            <w:noProof/>
            <w:webHidden/>
          </w:rPr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separate"/>
        </w:r>
        <w:r w:rsidR="004919E4">
          <w:rPr>
            <w:rFonts w:asciiTheme="minorHAnsi" w:hAnsiTheme="minorHAnsi" w:cstheme="minorHAnsi"/>
            <w:noProof/>
            <w:webHidden/>
          </w:rPr>
          <w:t>10</w:t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7AE916E" w14:textId="19205CA3" w:rsidR="00C83461" w:rsidRPr="00787827" w:rsidRDefault="002E2DAE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97726319" w:history="1">
        <w:r w:rsidR="00C83461" w:rsidRPr="00787827">
          <w:rPr>
            <w:rStyle w:val="Hipercze"/>
            <w:rFonts w:asciiTheme="minorHAnsi" w:hAnsiTheme="minorHAnsi" w:cstheme="minorHAnsi"/>
            <w:noProof/>
          </w:rPr>
          <w:t>2.2.3</w:t>
        </w:r>
        <w:r w:rsidR="00C83461" w:rsidRPr="00787827">
          <w:rPr>
            <w:rFonts w:asciiTheme="minorHAnsi" w:eastAsiaTheme="minorEastAsia" w:hAnsiTheme="minorHAnsi" w:cstheme="minorHAnsi"/>
            <w:noProof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  <w:noProof/>
          </w:rPr>
          <w:t>Opłaty prowizyjne od udzielonych gwarancji i poręczeń wpłacane na rachunek rezerw poręczeniowych i gwarancyjnych Skarbu Państwa</w:t>
        </w:r>
        <w:r w:rsidR="00C83461" w:rsidRPr="00787827">
          <w:rPr>
            <w:rFonts w:asciiTheme="minorHAnsi" w:hAnsiTheme="minorHAnsi" w:cstheme="minorHAnsi"/>
            <w:noProof/>
            <w:webHidden/>
          </w:rPr>
          <w:tab/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noProof/>
            <w:webHidden/>
          </w:rPr>
          <w:instrText xml:space="preserve"> PAGEREF _Toc97726319 \h </w:instrText>
        </w:r>
        <w:r w:rsidR="00C83461" w:rsidRPr="00787827">
          <w:rPr>
            <w:rFonts w:asciiTheme="minorHAnsi" w:hAnsiTheme="minorHAnsi" w:cstheme="minorHAnsi"/>
            <w:noProof/>
            <w:webHidden/>
          </w:rPr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separate"/>
        </w:r>
        <w:r w:rsidR="004919E4">
          <w:rPr>
            <w:rFonts w:asciiTheme="minorHAnsi" w:hAnsiTheme="minorHAnsi" w:cstheme="minorHAnsi"/>
            <w:noProof/>
            <w:webHidden/>
          </w:rPr>
          <w:t>11</w:t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F0DEAE5" w14:textId="79778F0E" w:rsidR="00C83461" w:rsidRPr="00787827" w:rsidRDefault="002E2DAE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97726320" w:history="1">
        <w:r w:rsidR="00C83461" w:rsidRPr="00787827">
          <w:rPr>
            <w:rStyle w:val="Hipercze"/>
            <w:rFonts w:asciiTheme="minorHAnsi" w:hAnsiTheme="minorHAnsi" w:cstheme="minorHAnsi"/>
            <w:noProof/>
          </w:rPr>
          <w:t xml:space="preserve">2.2.4 </w:t>
        </w:r>
        <w:r w:rsidR="00C83461" w:rsidRPr="00787827">
          <w:rPr>
            <w:rFonts w:asciiTheme="minorHAnsi" w:eastAsiaTheme="minorEastAsia" w:hAnsiTheme="minorHAnsi" w:cstheme="minorHAnsi"/>
            <w:noProof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  <w:noProof/>
          </w:rPr>
          <w:t>Niewymagalne zobowiązania Skarbu Państwa</w:t>
        </w:r>
        <w:r w:rsidR="00C83461" w:rsidRPr="00787827">
          <w:rPr>
            <w:rFonts w:asciiTheme="minorHAnsi" w:hAnsiTheme="minorHAnsi" w:cstheme="minorHAnsi"/>
            <w:noProof/>
            <w:webHidden/>
          </w:rPr>
          <w:tab/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noProof/>
            <w:webHidden/>
          </w:rPr>
          <w:instrText xml:space="preserve"> PAGEREF _Toc97726320 \h </w:instrText>
        </w:r>
        <w:r w:rsidR="00C83461" w:rsidRPr="00787827">
          <w:rPr>
            <w:rFonts w:asciiTheme="minorHAnsi" w:hAnsiTheme="minorHAnsi" w:cstheme="minorHAnsi"/>
            <w:noProof/>
            <w:webHidden/>
          </w:rPr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separate"/>
        </w:r>
        <w:r w:rsidR="004919E4">
          <w:rPr>
            <w:rFonts w:asciiTheme="minorHAnsi" w:hAnsiTheme="minorHAnsi" w:cstheme="minorHAnsi"/>
            <w:noProof/>
            <w:webHidden/>
          </w:rPr>
          <w:t>13</w:t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3F94D67" w14:textId="27445EE2" w:rsidR="00C83461" w:rsidRPr="00787827" w:rsidRDefault="002E2DAE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97726321" w:history="1">
        <w:r w:rsidR="00C83461" w:rsidRPr="00787827">
          <w:rPr>
            <w:rStyle w:val="Hipercze"/>
            <w:rFonts w:asciiTheme="minorHAnsi" w:hAnsiTheme="minorHAnsi" w:cstheme="minorHAnsi"/>
            <w:noProof/>
          </w:rPr>
          <w:t xml:space="preserve">2.2.5 </w:t>
        </w:r>
        <w:r w:rsidR="00C83461" w:rsidRPr="00787827">
          <w:rPr>
            <w:rStyle w:val="Hipercze"/>
            <w:rFonts w:asciiTheme="minorHAnsi" w:hAnsiTheme="minorHAnsi" w:cstheme="minorHAnsi"/>
            <w:noProof/>
          </w:rPr>
          <w:tab/>
          <w:t>Wydatki i należności Skarbu Państwa</w:t>
        </w:r>
        <w:r w:rsidR="00C83461" w:rsidRPr="00787827">
          <w:rPr>
            <w:rFonts w:asciiTheme="minorHAnsi" w:hAnsiTheme="minorHAnsi" w:cstheme="minorHAnsi"/>
            <w:noProof/>
            <w:webHidden/>
          </w:rPr>
          <w:tab/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noProof/>
            <w:webHidden/>
          </w:rPr>
          <w:instrText xml:space="preserve"> PAGEREF _Toc97726321 \h </w:instrText>
        </w:r>
        <w:r w:rsidR="00C83461" w:rsidRPr="00787827">
          <w:rPr>
            <w:rFonts w:asciiTheme="minorHAnsi" w:hAnsiTheme="minorHAnsi" w:cstheme="minorHAnsi"/>
            <w:noProof/>
            <w:webHidden/>
          </w:rPr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separate"/>
        </w:r>
        <w:r w:rsidR="004919E4">
          <w:rPr>
            <w:rFonts w:asciiTheme="minorHAnsi" w:hAnsiTheme="minorHAnsi" w:cstheme="minorHAnsi"/>
            <w:noProof/>
            <w:webHidden/>
          </w:rPr>
          <w:t>15</w:t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E1B25CA" w14:textId="41D1A29C" w:rsidR="00C83461" w:rsidRPr="00787827" w:rsidRDefault="002E2DAE">
      <w:pPr>
        <w:pStyle w:val="Spistreci2"/>
        <w:rPr>
          <w:rFonts w:asciiTheme="minorHAnsi" w:eastAsiaTheme="minorEastAsia" w:hAnsiTheme="minorHAnsi" w:cstheme="minorHAnsi"/>
          <w:bCs w:val="0"/>
          <w:lang w:eastAsia="pl-PL"/>
        </w:rPr>
      </w:pPr>
      <w:hyperlink w:anchor="_Toc97726322" w:history="1">
        <w:r w:rsidR="00C83461" w:rsidRPr="00787827">
          <w:rPr>
            <w:rStyle w:val="Hipercze"/>
            <w:rFonts w:asciiTheme="minorHAnsi" w:hAnsiTheme="minorHAnsi" w:cstheme="minorHAnsi"/>
          </w:rPr>
          <w:t xml:space="preserve">2.3 </w:t>
        </w:r>
        <w:r w:rsidR="00C83461" w:rsidRPr="00787827">
          <w:rPr>
            <w:rFonts w:asciiTheme="minorHAnsi" w:eastAsiaTheme="minorEastAsia" w:hAnsiTheme="minorHAnsi" w:cstheme="minorHAnsi"/>
            <w:bCs w:val="0"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</w:rPr>
          <w:t>Poręczenia i gwarancje udzielone przez niektóre osoby prawne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_Toc97726322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16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428560CB" w14:textId="1CFFAA58" w:rsidR="00C83461" w:rsidRPr="00787827" w:rsidRDefault="002E2DAE">
      <w:pPr>
        <w:pStyle w:val="Spistreci2"/>
        <w:rPr>
          <w:rFonts w:asciiTheme="minorHAnsi" w:eastAsiaTheme="minorEastAsia" w:hAnsiTheme="minorHAnsi" w:cstheme="minorHAnsi"/>
          <w:bCs w:val="0"/>
          <w:lang w:eastAsia="pl-PL"/>
        </w:rPr>
      </w:pPr>
      <w:hyperlink w:anchor="_Toc97726323" w:history="1">
        <w:r w:rsidR="00C83461" w:rsidRPr="00787827">
          <w:rPr>
            <w:rStyle w:val="Hipercze"/>
            <w:rFonts w:asciiTheme="minorHAnsi" w:hAnsiTheme="minorHAnsi" w:cstheme="minorHAnsi"/>
          </w:rPr>
          <w:t xml:space="preserve">2.4 </w:t>
        </w:r>
        <w:r w:rsidR="00C83461" w:rsidRPr="00787827">
          <w:rPr>
            <w:rFonts w:asciiTheme="minorHAnsi" w:eastAsiaTheme="minorEastAsia" w:hAnsiTheme="minorHAnsi" w:cstheme="minorHAnsi"/>
            <w:bCs w:val="0"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</w:rPr>
          <w:t>Poręczenia i gwarancje Banku Gospodarstwa Krajowego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_Toc97726323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17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11DF1E3F" w14:textId="69F3FA64" w:rsidR="00C83461" w:rsidRPr="00787827" w:rsidRDefault="002E2DAE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97726324" w:history="1">
        <w:r w:rsidR="00C83461" w:rsidRPr="00787827">
          <w:rPr>
            <w:rStyle w:val="Hipercze"/>
            <w:rFonts w:asciiTheme="minorHAnsi" w:hAnsiTheme="minorHAnsi" w:cstheme="minorHAnsi"/>
            <w:noProof/>
          </w:rPr>
          <w:t xml:space="preserve">2.4.1 </w:t>
        </w:r>
        <w:r w:rsidR="00C83461" w:rsidRPr="00787827">
          <w:rPr>
            <w:rFonts w:asciiTheme="minorHAnsi" w:eastAsiaTheme="minorEastAsia" w:hAnsiTheme="minorHAnsi" w:cstheme="minorHAnsi"/>
            <w:noProof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  <w:noProof/>
          </w:rPr>
          <w:t>Program Wspierania Przedsiębiorczości</w:t>
        </w:r>
        <w:r w:rsidR="00C83461" w:rsidRPr="00787827">
          <w:rPr>
            <w:rFonts w:asciiTheme="minorHAnsi" w:hAnsiTheme="minorHAnsi" w:cstheme="minorHAnsi"/>
            <w:noProof/>
            <w:webHidden/>
          </w:rPr>
          <w:tab/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noProof/>
            <w:webHidden/>
          </w:rPr>
          <w:instrText xml:space="preserve"> PAGEREF _Toc97726324 \h </w:instrText>
        </w:r>
        <w:r w:rsidR="00C83461" w:rsidRPr="00787827">
          <w:rPr>
            <w:rFonts w:asciiTheme="minorHAnsi" w:hAnsiTheme="minorHAnsi" w:cstheme="minorHAnsi"/>
            <w:noProof/>
            <w:webHidden/>
          </w:rPr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separate"/>
        </w:r>
        <w:r w:rsidR="004919E4">
          <w:rPr>
            <w:rFonts w:asciiTheme="minorHAnsi" w:hAnsiTheme="minorHAnsi" w:cstheme="minorHAnsi"/>
            <w:noProof/>
            <w:webHidden/>
          </w:rPr>
          <w:t>18</w:t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79809D7" w14:textId="61C2799A" w:rsidR="00C83461" w:rsidRPr="00787827" w:rsidRDefault="002E2DAE">
      <w:pPr>
        <w:pStyle w:val="Spistreci4"/>
        <w:rPr>
          <w:rFonts w:asciiTheme="minorHAnsi" w:eastAsiaTheme="minorEastAsia" w:hAnsiTheme="minorHAnsi" w:cstheme="minorHAnsi"/>
        </w:rPr>
      </w:pPr>
      <w:hyperlink w:anchor="_Toc97726325" w:history="1">
        <w:r w:rsidR="00C83461" w:rsidRPr="00787827">
          <w:rPr>
            <w:rStyle w:val="Hipercze"/>
            <w:rFonts w:asciiTheme="minorHAnsi" w:hAnsiTheme="minorHAnsi" w:cstheme="minorHAnsi"/>
          </w:rPr>
          <w:t>2.4.1.1</w:t>
        </w:r>
        <w:r w:rsidR="00C83461" w:rsidRPr="00787827">
          <w:rPr>
            <w:rFonts w:asciiTheme="minorHAnsi" w:eastAsiaTheme="minorEastAsia" w:hAnsiTheme="minorHAnsi" w:cstheme="minorHAnsi"/>
          </w:rPr>
          <w:tab/>
        </w:r>
        <w:r w:rsidR="00C83461" w:rsidRPr="00787827">
          <w:rPr>
            <w:rStyle w:val="Hipercze"/>
            <w:rFonts w:asciiTheme="minorHAnsi" w:hAnsiTheme="minorHAnsi" w:cstheme="minorHAnsi"/>
          </w:rPr>
          <w:t>Charakterystyka działalności poręczeniowo-gwarancyjnej Banku Gospodarstwa Krajowego w ramach Programu Wspierania Przedsiębiorczości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_Toc97726325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18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5EBE445C" w14:textId="464F145B" w:rsidR="00C83461" w:rsidRPr="00787827" w:rsidRDefault="002E2DAE">
      <w:pPr>
        <w:pStyle w:val="Spistreci4"/>
        <w:rPr>
          <w:rFonts w:asciiTheme="minorHAnsi" w:eastAsiaTheme="minorEastAsia" w:hAnsiTheme="minorHAnsi" w:cstheme="minorHAnsi"/>
        </w:rPr>
      </w:pPr>
      <w:hyperlink w:anchor="_Toc97726326" w:history="1">
        <w:r w:rsidR="00C83461" w:rsidRPr="00787827">
          <w:rPr>
            <w:rStyle w:val="Hipercze"/>
            <w:rFonts w:asciiTheme="minorHAnsi" w:hAnsiTheme="minorHAnsi" w:cstheme="minorHAnsi"/>
          </w:rPr>
          <w:t>2.4.1.2 Poręczenia i gwarancje udzielone w 2021 r. w ramach Programu Wspierania Przedsiębiorczości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_Toc97726326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22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445173A9" w14:textId="0E364877" w:rsidR="00C83461" w:rsidRPr="00787827" w:rsidRDefault="002E2DAE">
      <w:pPr>
        <w:pStyle w:val="Spistreci4"/>
        <w:rPr>
          <w:rFonts w:asciiTheme="minorHAnsi" w:eastAsiaTheme="minorEastAsia" w:hAnsiTheme="minorHAnsi" w:cstheme="minorHAnsi"/>
        </w:rPr>
      </w:pPr>
      <w:hyperlink w:anchor="_Toc97726327" w:history="1">
        <w:r w:rsidR="00C83461" w:rsidRPr="00787827">
          <w:rPr>
            <w:rStyle w:val="Hipercze"/>
            <w:rFonts w:asciiTheme="minorHAnsi" w:hAnsiTheme="minorHAnsi" w:cstheme="minorHAnsi"/>
          </w:rPr>
          <w:t>2.4.1.3</w:t>
        </w:r>
        <w:r w:rsidR="00C83461" w:rsidRPr="00787827">
          <w:rPr>
            <w:rFonts w:asciiTheme="minorHAnsi" w:eastAsiaTheme="minorEastAsia" w:hAnsiTheme="minorHAnsi" w:cstheme="minorHAnsi"/>
          </w:rPr>
          <w:tab/>
        </w:r>
        <w:r w:rsidR="00C83461" w:rsidRPr="00787827">
          <w:rPr>
            <w:rStyle w:val="Hipercze"/>
            <w:rFonts w:asciiTheme="minorHAnsi" w:hAnsiTheme="minorHAnsi" w:cstheme="minorHAnsi"/>
          </w:rPr>
          <w:t>Wsparcie kapitałowe funduszy poręczeniowych w ramach Programu Wspierania Przedsiębiorczości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_Toc97726327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23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03CEE600" w14:textId="4E782BF2" w:rsidR="00C83461" w:rsidRPr="00787827" w:rsidRDefault="002E2DAE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97726328" w:history="1">
        <w:r w:rsidR="00C83461" w:rsidRPr="00787827">
          <w:rPr>
            <w:rStyle w:val="Hipercze"/>
            <w:rFonts w:asciiTheme="minorHAnsi" w:hAnsiTheme="minorHAnsi" w:cstheme="minorHAnsi"/>
            <w:noProof/>
          </w:rPr>
          <w:t xml:space="preserve">2.4.2 </w:t>
        </w:r>
        <w:r w:rsidR="00C83461" w:rsidRPr="00787827">
          <w:rPr>
            <w:rFonts w:asciiTheme="minorHAnsi" w:eastAsiaTheme="minorEastAsia" w:hAnsiTheme="minorHAnsi" w:cstheme="minorHAnsi"/>
            <w:noProof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  <w:noProof/>
          </w:rPr>
          <w:t>Fundusz Gwarancji Płynnościowych</w:t>
        </w:r>
        <w:r w:rsidR="00C83461" w:rsidRPr="00787827">
          <w:rPr>
            <w:rFonts w:asciiTheme="minorHAnsi" w:hAnsiTheme="minorHAnsi" w:cstheme="minorHAnsi"/>
            <w:noProof/>
            <w:webHidden/>
          </w:rPr>
          <w:tab/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noProof/>
            <w:webHidden/>
          </w:rPr>
          <w:instrText xml:space="preserve"> PAGEREF _Toc97726328 \h </w:instrText>
        </w:r>
        <w:r w:rsidR="00C83461" w:rsidRPr="00787827">
          <w:rPr>
            <w:rFonts w:asciiTheme="minorHAnsi" w:hAnsiTheme="minorHAnsi" w:cstheme="minorHAnsi"/>
            <w:noProof/>
            <w:webHidden/>
          </w:rPr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separate"/>
        </w:r>
        <w:r w:rsidR="004919E4">
          <w:rPr>
            <w:rFonts w:asciiTheme="minorHAnsi" w:hAnsiTheme="minorHAnsi" w:cstheme="minorHAnsi"/>
            <w:noProof/>
            <w:webHidden/>
          </w:rPr>
          <w:t>23</w:t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35A4C0B" w14:textId="314E6C11" w:rsidR="00C83461" w:rsidRPr="00787827" w:rsidRDefault="002E2DAE">
      <w:pPr>
        <w:pStyle w:val="Spistreci4"/>
        <w:rPr>
          <w:rFonts w:asciiTheme="minorHAnsi" w:eastAsiaTheme="minorEastAsia" w:hAnsiTheme="minorHAnsi" w:cstheme="minorHAnsi"/>
        </w:rPr>
      </w:pPr>
      <w:hyperlink w:anchor="_Toc97726329" w:history="1">
        <w:r w:rsidR="00C83461" w:rsidRPr="00787827">
          <w:rPr>
            <w:rStyle w:val="Hipercze"/>
            <w:rFonts w:asciiTheme="minorHAnsi" w:hAnsiTheme="minorHAnsi" w:cstheme="minorHAnsi"/>
          </w:rPr>
          <w:t>2.4.2.1</w:t>
        </w:r>
        <w:r w:rsidR="00C83461" w:rsidRPr="00787827">
          <w:rPr>
            <w:rFonts w:asciiTheme="minorHAnsi" w:eastAsiaTheme="minorEastAsia" w:hAnsiTheme="minorHAnsi" w:cstheme="minorHAnsi"/>
          </w:rPr>
          <w:tab/>
        </w:r>
        <w:r w:rsidR="00C83461" w:rsidRPr="00787827">
          <w:rPr>
            <w:rStyle w:val="Hipercze"/>
            <w:rFonts w:asciiTheme="minorHAnsi" w:hAnsiTheme="minorHAnsi" w:cstheme="minorHAnsi"/>
          </w:rPr>
          <w:t>Charakterystyka działalności p</w:t>
        </w:r>
        <w:r w:rsidR="003072F9">
          <w:rPr>
            <w:rStyle w:val="Hipercze"/>
            <w:rFonts w:asciiTheme="minorHAnsi" w:hAnsiTheme="minorHAnsi" w:cstheme="minorHAnsi"/>
          </w:rPr>
          <w:t xml:space="preserve">oręczeniowo-gwarancyjnej Banku </w:t>
        </w:r>
        <w:r w:rsidR="00C83461" w:rsidRPr="00787827">
          <w:rPr>
            <w:rStyle w:val="Hipercze"/>
            <w:rFonts w:asciiTheme="minorHAnsi" w:hAnsiTheme="minorHAnsi" w:cstheme="minorHAnsi"/>
          </w:rPr>
          <w:t>Gospodarstwa Krajowego w ramach Funduszu Gwarancji Płynnościowych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_Toc97726329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23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2A2404C2" w14:textId="400AE11E" w:rsidR="00C83461" w:rsidRPr="00787827" w:rsidRDefault="002E2DAE">
      <w:pPr>
        <w:pStyle w:val="Spistreci4"/>
        <w:rPr>
          <w:rFonts w:asciiTheme="minorHAnsi" w:eastAsiaTheme="minorEastAsia" w:hAnsiTheme="minorHAnsi" w:cstheme="minorHAnsi"/>
        </w:rPr>
      </w:pPr>
      <w:hyperlink w:anchor="_Toc97726330" w:history="1">
        <w:r w:rsidR="00C83461" w:rsidRPr="00787827">
          <w:rPr>
            <w:rStyle w:val="Hipercze"/>
            <w:rFonts w:asciiTheme="minorHAnsi" w:hAnsiTheme="minorHAnsi" w:cstheme="minorHAnsi"/>
          </w:rPr>
          <w:t>2.4.2.2</w:t>
        </w:r>
        <w:r w:rsidR="00C83461" w:rsidRPr="00787827">
          <w:rPr>
            <w:rFonts w:asciiTheme="minorHAnsi" w:eastAsiaTheme="minorEastAsia" w:hAnsiTheme="minorHAnsi" w:cstheme="minorHAnsi"/>
          </w:rPr>
          <w:tab/>
        </w:r>
        <w:r w:rsidR="00C83461" w:rsidRPr="00787827">
          <w:rPr>
            <w:rStyle w:val="Hipercze"/>
            <w:rFonts w:asciiTheme="minorHAnsi" w:hAnsiTheme="minorHAnsi" w:cstheme="minorHAnsi"/>
          </w:rPr>
          <w:t>Gwarancje udzielone w 2021 r. w ramach Funduszu Gwarancji Płynnościowych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_Toc97726330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24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5AADFF92" w14:textId="542B6A70" w:rsidR="00C83461" w:rsidRPr="00787827" w:rsidRDefault="002E2DAE" w:rsidP="00754092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97726331" w:history="1">
        <w:r w:rsidR="00C83461" w:rsidRPr="00787827">
          <w:rPr>
            <w:rStyle w:val="Hipercze"/>
            <w:rFonts w:asciiTheme="minorHAnsi" w:hAnsiTheme="minorHAnsi" w:cstheme="minorHAnsi"/>
            <w:noProof/>
          </w:rPr>
          <w:t xml:space="preserve">2.4.3 </w:t>
        </w:r>
        <w:r w:rsidR="00C83461" w:rsidRPr="00787827">
          <w:rPr>
            <w:rFonts w:asciiTheme="minorHAnsi" w:eastAsiaTheme="minorEastAsia" w:hAnsiTheme="minorHAnsi" w:cstheme="minorHAnsi"/>
            <w:noProof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  <w:noProof/>
          </w:rPr>
          <w:t>Ekologiczny Fundusz Poręczeń i Gwarancji</w:t>
        </w:r>
        <w:r w:rsidR="00C83461" w:rsidRPr="00787827">
          <w:rPr>
            <w:rFonts w:asciiTheme="minorHAnsi" w:hAnsiTheme="minorHAnsi" w:cstheme="minorHAnsi"/>
            <w:noProof/>
            <w:webHidden/>
          </w:rPr>
          <w:tab/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noProof/>
            <w:webHidden/>
          </w:rPr>
          <w:instrText xml:space="preserve"> PAGEREF _Toc97726331 \h </w:instrText>
        </w:r>
        <w:r w:rsidR="00C83461" w:rsidRPr="00787827">
          <w:rPr>
            <w:rFonts w:asciiTheme="minorHAnsi" w:hAnsiTheme="minorHAnsi" w:cstheme="minorHAnsi"/>
            <w:noProof/>
            <w:webHidden/>
          </w:rPr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separate"/>
        </w:r>
        <w:r w:rsidR="004919E4">
          <w:rPr>
            <w:rFonts w:asciiTheme="minorHAnsi" w:hAnsiTheme="minorHAnsi" w:cstheme="minorHAnsi"/>
            <w:noProof/>
            <w:webHidden/>
          </w:rPr>
          <w:t>25</w:t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end"/>
        </w:r>
      </w:hyperlink>
      <w:r w:rsidR="00754092">
        <w:rPr>
          <w:rFonts w:asciiTheme="minorHAnsi" w:eastAsiaTheme="minorEastAsia" w:hAnsiTheme="minorHAnsi" w:cstheme="minorHAnsi"/>
          <w:noProof/>
          <w:lang w:eastAsia="pl-PL"/>
        </w:rPr>
        <w:t xml:space="preserve"> </w:t>
      </w:r>
      <w:hyperlink w:anchor="_Toc97726332" w:history="1">
        <w:r w:rsidR="003072F9">
          <w:rPr>
            <w:rStyle w:val="Hipercze"/>
            <w:rFonts w:asciiTheme="minorHAnsi" w:hAnsiTheme="minorHAnsi" w:cstheme="minorHAnsi"/>
            <w:noProof/>
          </w:rPr>
          <w:t xml:space="preserve">(Program gwarancyjny Czyste </w:t>
        </w:r>
        <w:r w:rsidR="00C83461" w:rsidRPr="00787827">
          <w:rPr>
            <w:rStyle w:val="Hipercze"/>
            <w:rFonts w:asciiTheme="minorHAnsi" w:hAnsiTheme="minorHAnsi" w:cstheme="minorHAnsi"/>
            <w:noProof/>
          </w:rPr>
          <w:t>Powietrze)</w:t>
        </w:r>
        <w:r w:rsidR="00C83461" w:rsidRPr="00787827">
          <w:rPr>
            <w:rFonts w:asciiTheme="minorHAnsi" w:hAnsiTheme="minorHAnsi" w:cstheme="minorHAnsi"/>
            <w:noProof/>
            <w:webHidden/>
          </w:rPr>
          <w:tab/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noProof/>
            <w:webHidden/>
          </w:rPr>
          <w:instrText xml:space="preserve"> PAGEREF _Toc97726332 \h </w:instrText>
        </w:r>
        <w:r w:rsidR="00C83461" w:rsidRPr="00787827">
          <w:rPr>
            <w:rFonts w:asciiTheme="minorHAnsi" w:hAnsiTheme="minorHAnsi" w:cstheme="minorHAnsi"/>
            <w:noProof/>
            <w:webHidden/>
          </w:rPr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separate"/>
        </w:r>
        <w:r w:rsidR="004919E4">
          <w:rPr>
            <w:rFonts w:asciiTheme="minorHAnsi" w:hAnsiTheme="minorHAnsi" w:cstheme="minorHAnsi"/>
            <w:noProof/>
            <w:webHidden/>
          </w:rPr>
          <w:t>25</w:t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0327853" w14:textId="3E55F619" w:rsidR="00C83461" w:rsidRPr="00787827" w:rsidRDefault="002E2DAE">
      <w:pPr>
        <w:pStyle w:val="Spistreci4"/>
        <w:rPr>
          <w:rFonts w:asciiTheme="minorHAnsi" w:eastAsiaTheme="minorEastAsia" w:hAnsiTheme="minorHAnsi" w:cstheme="minorHAnsi"/>
        </w:rPr>
      </w:pPr>
      <w:hyperlink w:anchor="_Toc97726333" w:history="1">
        <w:r w:rsidR="00C83461" w:rsidRPr="00787827">
          <w:rPr>
            <w:rStyle w:val="Hipercze"/>
            <w:rFonts w:asciiTheme="minorHAnsi" w:hAnsiTheme="minorHAnsi" w:cstheme="minorHAnsi"/>
          </w:rPr>
          <w:t>2.4.3.1</w:t>
        </w:r>
        <w:r w:rsidR="00C83461" w:rsidRPr="00787827">
          <w:rPr>
            <w:rFonts w:asciiTheme="minorHAnsi" w:eastAsiaTheme="minorEastAsia" w:hAnsiTheme="minorHAnsi" w:cstheme="minorHAnsi"/>
          </w:rPr>
          <w:tab/>
        </w:r>
        <w:r w:rsidR="00C83461" w:rsidRPr="00787827">
          <w:rPr>
            <w:rStyle w:val="Hipercze"/>
            <w:rFonts w:asciiTheme="minorHAnsi" w:hAnsiTheme="minorHAnsi" w:cstheme="minorHAnsi"/>
          </w:rPr>
          <w:t>Charakterystyka działalności gwarancyjnej Banku Gospodarstwa Krajowego w ramach Ekologicznego Funduszu Poręczeń i Gwarancji (Program gwarancyjny Czyste Powietrze)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_Toc97726333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25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0BA662F1" w14:textId="5FBC4C39" w:rsidR="00C83461" w:rsidRPr="00787827" w:rsidRDefault="002E2DAE">
      <w:pPr>
        <w:pStyle w:val="Spistreci4"/>
        <w:rPr>
          <w:rFonts w:asciiTheme="minorHAnsi" w:eastAsiaTheme="minorEastAsia" w:hAnsiTheme="minorHAnsi" w:cstheme="minorHAnsi"/>
        </w:rPr>
      </w:pPr>
      <w:hyperlink w:anchor="_Toc97726335" w:history="1">
        <w:r w:rsidR="00C83461" w:rsidRPr="00787827">
          <w:rPr>
            <w:rStyle w:val="Hipercze"/>
            <w:rFonts w:asciiTheme="minorHAnsi" w:hAnsiTheme="minorHAnsi" w:cstheme="minorHAnsi"/>
          </w:rPr>
          <w:t>2.4.3.2 Gwarancje udzielone w 2021 r. w ramach Ekologicznego Funduszu Poręczeń i Gwarancji (program „Czyste Powietrze”)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_Toc97726335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26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092E7093" w14:textId="2F7EA269" w:rsidR="00C83461" w:rsidRPr="00787827" w:rsidRDefault="002E2DAE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97726336" w:history="1">
        <w:r w:rsidR="00C83461" w:rsidRPr="00787827">
          <w:rPr>
            <w:rStyle w:val="Hipercze"/>
            <w:rFonts w:asciiTheme="minorHAnsi" w:hAnsiTheme="minorHAnsi" w:cstheme="minorHAnsi"/>
            <w:noProof/>
          </w:rPr>
          <w:t xml:space="preserve">2.4.4 </w:t>
        </w:r>
        <w:r w:rsidR="00C83461" w:rsidRPr="00787827">
          <w:rPr>
            <w:rFonts w:asciiTheme="minorHAnsi" w:eastAsiaTheme="minorEastAsia" w:hAnsiTheme="minorHAnsi" w:cstheme="minorHAnsi"/>
            <w:noProof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  <w:noProof/>
          </w:rPr>
          <w:t>Program Wsparcia Prywatyzacji</w:t>
        </w:r>
        <w:r w:rsidR="00C83461" w:rsidRPr="00787827">
          <w:rPr>
            <w:rFonts w:asciiTheme="minorHAnsi" w:hAnsiTheme="minorHAnsi" w:cstheme="minorHAnsi"/>
            <w:noProof/>
            <w:webHidden/>
          </w:rPr>
          <w:tab/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noProof/>
            <w:webHidden/>
          </w:rPr>
          <w:instrText xml:space="preserve"> PAGEREF _Toc97726336 \h </w:instrText>
        </w:r>
        <w:r w:rsidR="00C83461" w:rsidRPr="00787827">
          <w:rPr>
            <w:rFonts w:asciiTheme="minorHAnsi" w:hAnsiTheme="minorHAnsi" w:cstheme="minorHAnsi"/>
            <w:noProof/>
            <w:webHidden/>
          </w:rPr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separate"/>
        </w:r>
        <w:r w:rsidR="004919E4">
          <w:rPr>
            <w:rFonts w:asciiTheme="minorHAnsi" w:hAnsiTheme="minorHAnsi" w:cstheme="minorHAnsi"/>
            <w:noProof/>
            <w:webHidden/>
          </w:rPr>
          <w:t>26</w:t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5A173A5" w14:textId="3DB19306" w:rsidR="00C83461" w:rsidRPr="00787827" w:rsidRDefault="002E2DAE">
      <w:pPr>
        <w:pStyle w:val="Spistreci3"/>
        <w:rPr>
          <w:rFonts w:asciiTheme="minorHAnsi" w:eastAsiaTheme="minorEastAsia" w:hAnsiTheme="minorHAnsi" w:cstheme="minorHAnsi"/>
          <w:noProof/>
          <w:lang w:eastAsia="pl-PL"/>
        </w:rPr>
      </w:pPr>
      <w:hyperlink w:anchor="_Toc97726337" w:history="1">
        <w:r w:rsidR="00C83461" w:rsidRPr="00787827">
          <w:rPr>
            <w:rStyle w:val="Hipercze"/>
            <w:rFonts w:asciiTheme="minorHAnsi" w:hAnsiTheme="minorHAnsi" w:cstheme="minorHAnsi"/>
            <w:noProof/>
          </w:rPr>
          <w:t>2.4.</w:t>
        </w:r>
        <w:r w:rsidR="00F05667">
          <w:rPr>
            <w:rStyle w:val="Hipercze"/>
            <w:rFonts w:asciiTheme="minorHAnsi" w:hAnsiTheme="minorHAnsi" w:cstheme="minorHAnsi"/>
            <w:noProof/>
          </w:rPr>
          <w:t>5</w:t>
        </w:r>
        <w:r w:rsidR="00C83461" w:rsidRPr="00787827">
          <w:rPr>
            <w:rStyle w:val="Hipercze"/>
            <w:rFonts w:asciiTheme="minorHAnsi" w:hAnsiTheme="minorHAnsi" w:cstheme="minorHAnsi"/>
            <w:noProof/>
          </w:rPr>
          <w:t xml:space="preserve"> </w:t>
        </w:r>
        <w:r w:rsidR="00C83461" w:rsidRPr="00787827">
          <w:rPr>
            <w:rFonts w:asciiTheme="minorHAnsi" w:eastAsiaTheme="minorEastAsia" w:hAnsiTheme="minorHAnsi" w:cstheme="minorHAnsi"/>
            <w:noProof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  <w:noProof/>
          </w:rPr>
          <w:t>Akcje i udziały przekazane nieodpłatnie Bankowi Gospodarstwa Krajowego</w:t>
        </w:r>
        <w:r w:rsidR="00C83461" w:rsidRPr="00787827">
          <w:rPr>
            <w:rFonts w:asciiTheme="minorHAnsi" w:hAnsiTheme="minorHAnsi" w:cstheme="minorHAnsi"/>
            <w:noProof/>
            <w:webHidden/>
          </w:rPr>
          <w:tab/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noProof/>
            <w:webHidden/>
          </w:rPr>
          <w:instrText xml:space="preserve"> PAGEREF _Toc97726337 \h </w:instrText>
        </w:r>
        <w:r w:rsidR="00C83461" w:rsidRPr="00787827">
          <w:rPr>
            <w:rFonts w:asciiTheme="minorHAnsi" w:hAnsiTheme="minorHAnsi" w:cstheme="minorHAnsi"/>
            <w:noProof/>
            <w:webHidden/>
          </w:rPr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separate"/>
        </w:r>
        <w:r w:rsidR="004919E4">
          <w:rPr>
            <w:rFonts w:asciiTheme="minorHAnsi" w:hAnsiTheme="minorHAnsi" w:cstheme="minorHAnsi"/>
            <w:noProof/>
            <w:webHidden/>
          </w:rPr>
          <w:t>26</w:t>
        </w:r>
        <w:r w:rsidR="00C83461" w:rsidRPr="00787827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DDE5C48" w14:textId="396DC98C" w:rsidR="00C83461" w:rsidRPr="00787827" w:rsidRDefault="002E2DAE">
      <w:pPr>
        <w:pStyle w:val="Spistreci2"/>
        <w:rPr>
          <w:rFonts w:asciiTheme="minorHAnsi" w:eastAsiaTheme="minorEastAsia" w:hAnsiTheme="minorHAnsi" w:cstheme="minorHAnsi"/>
          <w:bCs w:val="0"/>
          <w:lang w:eastAsia="pl-PL"/>
        </w:rPr>
      </w:pPr>
      <w:hyperlink w:anchor="_Toc97726338" w:history="1">
        <w:r w:rsidR="00C83461" w:rsidRPr="00787827">
          <w:rPr>
            <w:rStyle w:val="Hipercze"/>
            <w:rFonts w:asciiTheme="minorHAnsi" w:hAnsiTheme="minorHAnsi" w:cstheme="minorHAnsi"/>
          </w:rPr>
          <w:t xml:space="preserve">2.5 </w:t>
        </w:r>
        <w:r w:rsidR="00C83461" w:rsidRPr="00787827">
          <w:rPr>
            <w:rFonts w:asciiTheme="minorHAnsi" w:eastAsiaTheme="minorEastAsia" w:hAnsiTheme="minorHAnsi" w:cstheme="minorHAnsi"/>
            <w:bCs w:val="0"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</w:rPr>
          <w:t>Informacja o liczbie i wartości akcji składających się na zasób majątkowy Skarbu Państwa przeznaczony na zaspokaja</w:t>
        </w:r>
        <w:r w:rsidR="003072F9">
          <w:rPr>
            <w:rStyle w:val="Hipercze"/>
            <w:rFonts w:asciiTheme="minorHAnsi" w:hAnsiTheme="minorHAnsi" w:cstheme="minorHAnsi"/>
          </w:rPr>
          <w:t xml:space="preserve">nie roszczeń z tytułu poręczeń </w:t>
        </w:r>
        <w:r w:rsidR="00C83461" w:rsidRPr="00787827">
          <w:rPr>
            <w:rStyle w:val="Hipercze"/>
            <w:rFonts w:asciiTheme="minorHAnsi" w:hAnsiTheme="minorHAnsi" w:cstheme="minorHAnsi"/>
          </w:rPr>
          <w:t>i gwarancji udzielonych przez Skarb Państwa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_Toc97726338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27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4686F9BE" w14:textId="5752D81E" w:rsidR="00C83461" w:rsidRPr="00787827" w:rsidRDefault="002E2DAE">
      <w:pPr>
        <w:pStyle w:val="Spistreci2"/>
        <w:rPr>
          <w:rFonts w:asciiTheme="minorHAnsi" w:eastAsiaTheme="minorEastAsia" w:hAnsiTheme="minorHAnsi" w:cstheme="minorHAnsi"/>
          <w:bCs w:val="0"/>
          <w:lang w:eastAsia="pl-PL"/>
        </w:rPr>
      </w:pPr>
      <w:hyperlink w:anchor="_Toc97726339" w:history="1">
        <w:r w:rsidR="00C83461" w:rsidRPr="00787827">
          <w:rPr>
            <w:rStyle w:val="Hipercze"/>
            <w:rFonts w:asciiTheme="minorHAnsi" w:hAnsiTheme="minorHAnsi" w:cstheme="minorHAnsi"/>
          </w:rPr>
          <w:t xml:space="preserve">2.6 </w:t>
        </w:r>
        <w:r w:rsidR="00C83461" w:rsidRPr="00787827">
          <w:rPr>
            <w:rFonts w:asciiTheme="minorHAnsi" w:eastAsiaTheme="minorEastAsia" w:hAnsiTheme="minorHAnsi" w:cstheme="minorHAnsi"/>
            <w:bCs w:val="0"/>
            <w:lang w:eastAsia="pl-PL"/>
          </w:rPr>
          <w:tab/>
        </w:r>
        <w:r w:rsidR="00C83461" w:rsidRPr="00787827">
          <w:rPr>
            <w:rStyle w:val="Hipercze"/>
            <w:rFonts w:asciiTheme="minorHAnsi" w:hAnsiTheme="minorHAnsi" w:cstheme="minorHAnsi"/>
          </w:rPr>
          <w:t>Informacja o wykorzystaniu środków gromadzonych na rachunku rezerw poręczeniowych i gwarancyjnych Skarbu Państwa</w:t>
        </w:r>
        <w:r w:rsidR="00C83461" w:rsidRPr="00787827">
          <w:rPr>
            <w:rFonts w:asciiTheme="minorHAnsi" w:hAnsiTheme="minorHAnsi" w:cstheme="minorHAnsi"/>
            <w:webHidden/>
          </w:rPr>
          <w:tab/>
        </w:r>
        <w:r w:rsidR="00C83461" w:rsidRPr="00787827">
          <w:rPr>
            <w:rFonts w:asciiTheme="minorHAnsi" w:hAnsiTheme="minorHAnsi" w:cstheme="minorHAnsi"/>
            <w:webHidden/>
          </w:rPr>
          <w:fldChar w:fldCharType="begin"/>
        </w:r>
        <w:r w:rsidR="00C83461" w:rsidRPr="00787827">
          <w:rPr>
            <w:rFonts w:asciiTheme="minorHAnsi" w:hAnsiTheme="minorHAnsi" w:cstheme="minorHAnsi"/>
            <w:webHidden/>
          </w:rPr>
          <w:instrText xml:space="preserve"> PAGEREF _Toc97726339 \h </w:instrText>
        </w:r>
        <w:r w:rsidR="00C83461" w:rsidRPr="00787827">
          <w:rPr>
            <w:rFonts w:asciiTheme="minorHAnsi" w:hAnsiTheme="minorHAnsi" w:cstheme="minorHAnsi"/>
            <w:webHidden/>
          </w:rPr>
        </w:r>
        <w:r w:rsidR="00C83461" w:rsidRPr="00787827">
          <w:rPr>
            <w:rFonts w:asciiTheme="minorHAnsi" w:hAnsiTheme="minorHAnsi" w:cstheme="minorHAnsi"/>
            <w:webHidden/>
          </w:rPr>
          <w:fldChar w:fldCharType="separate"/>
        </w:r>
        <w:r w:rsidR="004919E4">
          <w:rPr>
            <w:rFonts w:asciiTheme="minorHAnsi" w:hAnsiTheme="minorHAnsi" w:cstheme="minorHAnsi"/>
            <w:webHidden/>
          </w:rPr>
          <w:t>28</w:t>
        </w:r>
        <w:r w:rsidR="00C83461" w:rsidRPr="00787827">
          <w:rPr>
            <w:rFonts w:asciiTheme="minorHAnsi" w:hAnsiTheme="minorHAnsi" w:cstheme="minorHAnsi"/>
            <w:webHidden/>
          </w:rPr>
          <w:fldChar w:fldCharType="end"/>
        </w:r>
      </w:hyperlink>
    </w:p>
    <w:p w14:paraId="2495AEAF" w14:textId="3E5F878D" w:rsidR="00D71D5A" w:rsidRPr="00787827" w:rsidRDefault="00A508C1" w:rsidP="00906CBC">
      <w:pPr>
        <w:spacing w:before="120" w:after="120"/>
        <w:ind w:right="-285"/>
        <w:rPr>
          <w:rFonts w:asciiTheme="minorHAnsi" w:hAnsiTheme="minorHAnsi" w:cstheme="minorHAnsi"/>
          <w:b/>
        </w:rPr>
        <w:sectPr w:rsidR="00D71D5A" w:rsidRPr="00787827" w:rsidSect="00F42B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65" w:right="1700" w:bottom="1628" w:left="1418" w:header="709" w:footer="709" w:gutter="284"/>
          <w:paperSrc w:first="7" w:other="7"/>
          <w:cols w:space="708"/>
          <w:titlePg/>
          <w:docGrid w:linePitch="326"/>
        </w:sectPr>
      </w:pPr>
      <w:r w:rsidRPr="00787827">
        <w:rPr>
          <w:rFonts w:asciiTheme="minorHAnsi" w:hAnsiTheme="minorHAnsi" w:cstheme="minorHAnsi"/>
          <w:b/>
          <w:noProof/>
        </w:rPr>
        <w:fldChar w:fldCharType="end"/>
      </w:r>
    </w:p>
    <w:p w14:paraId="1A6110F7" w14:textId="77777777" w:rsidR="00294BA4" w:rsidRPr="002E1622" w:rsidRDefault="00294BA4" w:rsidP="00294BA4">
      <w:pPr>
        <w:pStyle w:val="Nagwek1"/>
        <w:numPr>
          <w:ilvl w:val="0"/>
          <w:numId w:val="1"/>
        </w:numPr>
        <w:spacing w:before="0" w:after="300" w:line="276" w:lineRule="auto"/>
        <w:ind w:left="567" w:hanging="567"/>
        <w:jc w:val="both"/>
        <w:rPr>
          <w:rFonts w:asciiTheme="minorHAnsi" w:hAnsiTheme="minorHAnsi" w:cstheme="minorHAnsi"/>
          <w:color w:val="FF0000"/>
        </w:rPr>
      </w:pPr>
      <w:bookmarkStart w:id="1" w:name="_Toc351990860"/>
      <w:bookmarkStart w:id="2" w:name="_Toc352076138"/>
      <w:bookmarkStart w:id="3" w:name="_Toc352237510"/>
      <w:bookmarkStart w:id="4" w:name="_Toc97726313"/>
      <w:r w:rsidRPr="002E1622">
        <w:rPr>
          <w:rFonts w:asciiTheme="minorHAnsi" w:hAnsiTheme="minorHAnsi" w:cstheme="minorHAnsi"/>
          <w:color w:val="FF0000"/>
        </w:rPr>
        <w:lastRenderedPageBreak/>
        <w:t>Streszczenie najważniejszych informacji</w:t>
      </w:r>
      <w:bookmarkEnd w:id="1"/>
      <w:bookmarkEnd w:id="2"/>
      <w:bookmarkEnd w:id="3"/>
      <w:r w:rsidRPr="002E1622">
        <w:rPr>
          <w:rFonts w:asciiTheme="minorHAnsi" w:hAnsiTheme="minorHAnsi" w:cstheme="minorHAnsi"/>
          <w:color w:val="FF0000"/>
        </w:rPr>
        <w:t xml:space="preserve"> o gwarancjach i poręczeniach Skarbu Państwa.</w:t>
      </w:r>
      <w:bookmarkEnd w:id="4"/>
      <w:r w:rsidRPr="002E1622">
        <w:rPr>
          <w:rFonts w:asciiTheme="minorHAnsi" w:hAnsiTheme="minorHAnsi" w:cstheme="minorHAnsi"/>
          <w:color w:val="FF0000"/>
        </w:rPr>
        <w:t xml:space="preserve"> </w:t>
      </w:r>
    </w:p>
    <w:p w14:paraId="18D48184" w14:textId="77777777" w:rsidR="00294BA4" w:rsidRPr="00787827" w:rsidRDefault="00294BA4" w:rsidP="00294BA4">
      <w:pPr>
        <w:pStyle w:val="Akapitzlist"/>
        <w:numPr>
          <w:ilvl w:val="0"/>
          <w:numId w:val="8"/>
        </w:numPr>
        <w:spacing w:after="300" w:line="276" w:lineRule="auto"/>
        <w:ind w:left="357" w:hanging="357"/>
        <w:contextualSpacing w:val="0"/>
        <w:rPr>
          <w:rFonts w:asciiTheme="minorHAnsi" w:hAnsiTheme="minorHAnsi" w:cstheme="minorHAnsi"/>
          <w:bCs/>
          <w:iCs/>
        </w:rPr>
      </w:pPr>
      <w:r w:rsidRPr="00787827">
        <w:rPr>
          <w:rFonts w:asciiTheme="minorHAnsi" w:hAnsiTheme="minorHAnsi" w:cstheme="minorHAnsi"/>
          <w:bCs/>
          <w:iCs/>
        </w:rPr>
        <w:t xml:space="preserve">W 2021 r. Skarb Państwa udzielił gwarancji na łączną kwotę </w:t>
      </w:r>
      <w:r w:rsidRPr="00EB563A">
        <w:rPr>
          <w:rFonts w:asciiTheme="minorHAnsi" w:hAnsiTheme="minorHAnsi" w:cstheme="minorHAnsi"/>
          <w:b/>
          <w:bCs/>
          <w:iCs/>
        </w:rPr>
        <w:t>63 615 975 835 zł</w:t>
      </w:r>
      <w:r w:rsidRPr="00787827">
        <w:rPr>
          <w:rFonts w:asciiTheme="minorHAnsi" w:hAnsiTheme="minorHAnsi" w:cstheme="minorHAnsi"/>
          <w:bCs/>
          <w:iCs/>
        </w:rPr>
        <w:t>, w</w:t>
      </w:r>
      <w:r>
        <w:rPr>
          <w:rFonts w:asciiTheme="minorHAnsi" w:hAnsiTheme="minorHAnsi" w:cstheme="minorHAnsi"/>
          <w:bCs/>
          <w:iCs/>
        </w:rPr>
        <w:t> </w:t>
      </w:r>
      <w:r w:rsidRPr="00787827">
        <w:rPr>
          <w:rFonts w:asciiTheme="minorHAnsi" w:hAnsiTheme="minorHAnsi" w:cstheme="minorHAnsi"/>
          <w:bCs/>
          <w:iCs/>
        </w:rPr>
        <w:t>tym</w:t>
      </w:r>
      <w:r w:rsidRPr="00787827">
        <w:rPr>
          <w:rFonts w:asciiTheme="minorHAnsi" w:hAnsiTheme="minorHAnsi" w:cstheme="minorHAnsi"/>
          <w:bCs/>
        </w:rPr>
        <w:t xml:space="preserve">: </w:t>
      </w:r>
    </w:p>
    <w:p w14:paraId="2B7957C2" w14:textId="0B2FE4B1" w:rsidR="00294BA4" w:rsidRPr="00787827" w:rsidRDefault="00294BA4" w:rsidP="00F03E4A">
      <w:pPr>
        <w:pStyle w:val="Akapitzlist"/>
        <w:numPr>
          <w:ilvl w:val="0"/>
          <w:numId w:val="9"/>
        </w:numPr>
        <w:spacing w:after="120" w:line="276" w:lineRule="auto"/>
        <w:ind w:left="714" w:hanging="357"/>
        <w:contextualSpacing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</w:t>
      </w:r>
      <w:r w:rsidRPr="00787827">
        <w:rPr>
          <w:rFonts w:asciiTheme="minorHAnsi" w:hAnsiTheme="minorHAnsi" w:cstheme="minorHAnsi"/>
          <w:bCs/>
        </w:rPr>
        <w:t>a podstawie ustawy z dnia 8 maja 1997 r. o poręczeniach i gwarancjach udzielanych przez Skarb Państwa oraz niektóre osoby prawne</w:t>
      </w:r>
      <w:r w:rsidRPr="00085980">
        <w:rPr>
          <w:rStyle w:val="Odwoanieprzypisudolnego"/>
          <w:rFonts w:asciiTheme="minorHAnsi" w:hAnsiTheme="minorHAnsi" w:cstheme="minorHAnsi"/>
          <w:bCs/>
        </w:rPr>
        <w:footnoteReference w:id="1"/>
      </w:r>
      <w:r w:rsidR="00085980" w:rsidRPr="003101C3">
        <w:rPr>
          <w:rFonts w:asciiTheme="minorHAnsi" w:hAnsiTheme="minorHAnsi" w:cstheme="minorHAnsi"/>
          <w:bCs/>
          <w:vertAlign w:val="superscript"/>
        </w:rPr>
        <w:t>)</w:t>
      </w:r>
      <w:r w:rsidRPr="00787827">
        <w:rPr>
          <w:rFonts w:asciiTheme="minorHAnsi" w:hAnsiTheme="minorHAnsi" w:cstheme="minorHAnsi"/>
          <w:bCs/>
        </w:rPr>
        <w:t>, zwanej dalej „ustawą o poręczeniach i gwarancjach”, udzielono 3</w:t>
      </w:r>
      <w:r>
        <w:rPr>
          <w:rFonts w:asciiTheme="minorHAnsi" w:hAnsiTheme="minorHAnsi" w:cstheme="minorHAnsi"/>
          <w:bCs/>
        </w:rPr>
        <w:t> </w:t>
      </w:r>
      <w:r w:rsidRPr="00787827">
        <w:rPr>
          <w:rFonts w:asciiTheme="minorHAnsi" w:hAnsiTheme="minorHAnsi" w:cstheme="minorHAnsi"/>
          <w:bCs/>
        </w:rPr>
        <w:t xml:space="preserve">gwarancji na łączną kwotę </w:t>
      </w:r>
      <w:r w:rsidRPr="00EB563A">
        <w:rPr>
          <w:rFonts w:asciiTheme="minorHAnsi" w:hAnsiTheme="minorHAnsi" w:cstheme="minorHAnsi"/>
          <w:b/>
          <w:bCs/>
        </w:rPr>
        <w:t>2</w:t>
      </w:r>
      <w:r w:rsidR="003101C3">
        <w:rPr>
          <w:rFonts w:asciiTheme="minorHAnsi" w:hAnsiTheme="minorHAnsi" w:cstheme="minorHAnsi"/>
          <w:b/>
          <w:bCs/>
        </w:rPr>
        <w:t> </w:t>
      </w:r>
      <w:r w:rsidRPr="00EB563A">
        <w:rPr>
          <w:rFonts w:asciiTheme="minorHAnsi" w:hAnsiTheme="minorHAnsi" w:cstheme="minorHAnsi"/>
          <w:b/>
          <w:bCs/>
        </w:rPr>
        <w:t>785 954 000 zł</w:t>
      </w:r>
      <w:r w:rsidRPr="00787827">
        <w:rPr>
          <w:rFonts w:asciiTheme="minorHAnsi" w:hAnsiTheme="minorHAnsi" w:cstheme="minorHAnsi"/>
          <w:bCs/>
        </w:rPr>
        <w:t>;</w:t>
      </w:r>
    </w:p>
    <w:p w14:paraId="692866CB" w14:textId="6A3883BC" w:rsidR="00294BA4" w:rsidRPr="00787827" w:rsidRDefault="00294BA4" w:rsidP="00F03E4A">
      <w:pPr>
        <w:pStyle w:val="Akapitzlist"/>
        <w:numPr>
          <w:ilvl w:val="0"/>
          <w:numId w:val="9"/>
        </w:numPr>
        <w:spacing w:after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787827">
        <w:rPr>
          <w:rFonts w:asciiTheme="minorHAnsi" w:hAnsiTheme="minorHAnsi" w:cstheme="minorHAnsi"/>
        </w:rPr>
        <w:t>a podstawie art. 67 ust. 4 ustawy z dnia 31 marca 2020 r. o zmianie ustawy o</w:t>
      </w:r>
      <w:r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szczególnych rozwiązaniach związanych z zapobieganiem, przeciwdziałaniem i zwalczaniem COVID-19, innych chorób zakaźnych oraz wywołanych nimi sytuacji kryzysowych oraz niektórych innych ustaw</w:t>
      </w:r>
      <w:r>
        <w:rPr>
          <w:rStyle w:val="Odwoanieprzypisudolnego"/>
          <w:rFonts w:asciiTheme="minorHAnsi" w:hAnsiTheme="minorHAnsi" w:cstheme="minorHAnsi"/>
        </w:rPr>
        <w:footnoteReference w:id="2"/>
      </w:r>
      <w:r w:rsidR="00085980" w:rsidRPr="003101C3">
        <w:rPr>
          <w:rFonts w:asciiTheme="minorHAnsi" w:hAnsiTheme="minorHAnsi" w:cstheme="minorHAnsi"/>
          <w:vertAlign w:val="superscript"/>
        </w:rPr>
        <w:t>)</w:t>
      </w:r>
      <w:r w:rsidRPr="0078782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zwanej dalej „ustawą z dnia 31 marca 2020 r. o zmianie ustawy o szczególnych rozwiązaniach”, </w:t>
      </w:r>
      <w:r w:rsidRPr="00787827">
        <w:rPr>
          <w:rFonts w:asciiTheme="minorHAnsi" w:hAnsiTheme="minorHAnsi" w:cstheme="minorHAnsi"/>
        </w:rPr>
        <w:t xml:space="preserve">gwarancjami Skarbu Państwa zostały objęte zobowiązania Banku Gospodarstwa Krajowego wynikające z obligacji wyemitowanych na rzecz Funduszu Przeciwdziałania COVID-19 na łączną kwotę </w:t>
      </w:r>
      <w:r w:rsidRPr="00EB563A">
        <w:rPr>
          <w:rFonts w:asciiTheme="minorHAnsi" w:hAnsiTheme="minorHAnsi" w:cstheme="minorHAnsi"/>
          <w:b/>
        </w:rPr>
        <w:t>50 808 303 517,50 zł</w:t>
      </w:r>
      <w:r w:rsidRPr="00787827">
        <w:rPr>
          <w:rFonts w:asciiTheme="minorHAnsi" w:hAnsiTheme="minorHAnsi" w:cstheme="minorHAnsi"/>
        </w:rPr>
        <w:t>;</w:t>
      </w:r>
    </w:p>
    <w:p w14:paraId="4DFC7839" w14:textId="5623D82A" w:rsidR="00294BA4" w:rsidRPr="00787827" w:rsidRDefault="00294BA4" w:rsidP="00294BA4">
      <w:pPr>
        <w:pStyle w:val="Akapitzlist"/>
        <w:numPr>
          <w:ilvl w:val="0"/>
          <w:numId w:val="9"/>
        </w:numPr>
        <w:spacing w:after="300" w:line="276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787827">
        <w:rPr>
          <w:rFonts w:asciiTheme="minorHAnsi" w:hAnsiTheme="minorHAnsi" w:cstheme="minorHAnsi"/>
        </w:rPr>
        <w:t>a podstawie art. 21aa ust. 2 ustawy z dnia 4 lipca 2019 r. o systemie instytucji rozwoju</w:t>
      </w:r>
      <w:r>
        <w:rPr>
          <w:rStyle w:val="Odwoanieprzypisudolnego"/>
          <w:rFonts w:asciiTheme="minorHAnsi" w:hAnsiTheme="minorHAnsi" w:cstheme="minorHAnsi"/>
        </w:rPr>
        <w:footnoteReference w:id="3"/>
      </w:r>
      <w:r w:rsidR="00085980" w:rsidRPr="003101C3">
        <w:rPr>
          <w:rFonts w:asciiTheme="minorHAnsi" w:hAnsiTheme="minorHAnsi" w:cstheme="minorHAnsi"/>
          <w:vertAlign w:val="superscript"/>
        </w:rPr>
        <w:t>)</w:t>
      </w:r>
      <w:r>
        <w:rPr>
          <w:rFonts w:asciiTheme="minorHAnsi" w:hAnsiTheme="minorHAnsi" w:cstheme="minorHAnsi"/>
        </w:rPr>
        <w:t>, zwanej dalej „ustawą o SIR”,</w:t>
      </w:r>
      <w:r w:rsidRPr="00787827">
        <w:rPr>
          <w:rFonts w:asciiTheme="minorHAnsi" w:hAnsiTheme="minorHAnsi" w:cstheme="minorHAnsi"/>
        </w:rPr>
        <w:t xml:space="preserve"> gwarancjami Skarbu Państwa zostały objęte zobowiąza</w:t>
      </w:r>
      <w:r w:rsidR="003072F9">
        <w:rPr>
          <w:rFonts w:asciiTheme="minorHAnsi" w:hAnsiTheme="minorHAnsi" w:cstheme="minorHAnsi"/>
        </w:rPr>
        <w:t xml:space="preserve">nia Polskiego Funduszu Rozwoju </w:t>
      </w:r>
      <w:r w:rsidRPr="00787827">
        <w:rPr>
          <w:rFonts w:asciiTheme="minorHAnsi" w:hAnsiTheme="minorHAnsi" w:cstheme="minorHAnsi"/>
        </w:rPr>
        <w:t>S.A. wynikające z obligacji wyemitowanych na r</w:t>
      </w:r>
      <w:r w:rsidR="003072F9">
        <w:rPr>
          <w:rFonts w:asciiTheme="minorHAnsi" w:hAnsiTheme="minorHAnsi" w:cstheme="minorHAnsi"/>
        </w:rPr>
        <w:t xml:space="preserve">ealizację programów rządowych: </w:t>
      </w:r>
      <w:r w:rsidRPr="00787827">
        <w:rPr>
          <w:rFonts w:asciiTheme="minorHAnsi" w:hAnsiTheme="minorHAnsi" w:cstheme="minorHAnsi"/>
        </w:rPr>
        <w:t xml:space="preserve">„Tarcza finansowa Polskiego Funduszu Rozwoju dla dużych firm”, „Tarcza finansowa 2.0 Polskiego Funduszu Rozwoju dla mikro, małych i średnich firm” oraz „Programu wsparcia Polskich Linii Lotniczych LOT S.A.” na łączną kwotę </w:t>
      </w:r>
      <w:r w:rsidRPr="00EB563A">
        <w:rPr>
          <w:rFonts w:asciiTheme="minorHAnsi" w:hAnsiTheme="minorHAnsi" w:cstheme="minorHAnsi"/>
          <w:b/>
        </w:rPr>
        <w:t>10 021 718 317,50 zł</w:t>
      </w:r>
      <w:r>
        <w:rPr>
          <w:rFonts w:asciiTheme="minorHAnsi" w:hAnsiTheme="minorHAnsi" w:cstheme="minorHAnsi"/>
        </w:rPr>
        <w:t>.</w:t>
      </w:r>
    </w:p>
    <w:p w14:paraId="699D13EC" w14:textId="1A2A2378" w:rsidR="00294BA4" w:rsidRPr="0035669F" w:rsidRDefault="00294BA4" w:rsidP="00294BA4">
      <w:pPr>
        <w:pStyle w:val="Akapitzlist"/>
        <w:numPr>
          <w:ilvl w:val="0"/>
          <w:numId w:val="8"/>
        </w:numPr>
        <w:spacing w:after="300" w:line="276" w:lineRule="auto"/>
        <w:ind w:left="357" w:hanging="357"/>
        <w:contextualSpacing w:val="0"/>
        <w:rPr>
          <w:rFonts w:asciiTheme="minorHAnsi" w:hAnsiTheme="minorHAnsi" w:cstheme="minorHAnsi"/>
          <w:bCs/>
        </w:rPr>
      </w:pPr>
      <w:r w:rsidRPr="0035669F">
        <w:rPr>
          <w:rFonts w:asciiTheme="minorHAnsi" w:hAnsiTheme="minorHAnsi" w:cstheme="minorHAnsi"/>
        </w:rPr>
        <w:t>Potencjalne, niewymagalne zobowiązania Skarbu Państwa z tytułu ud</w:t>
      </w:r>
      <w:r w:rsidR="003072F9">
        <w:rPr>
          <w:rFonts w:asciiTheme="minorHAnsi" w:hAnsiTheme="minorHAnsi" w:cstheme="minorHAnsi"/>
        </w:rPr>
        <w:t xml:space="preserve">zielonych poręczeń i gwarancji </w:t>
      </w:r>
      <w:r w:rsidRPr="0035669F">
        <w:rPr>
          <w:rFonts w:asciiTheme="minorHAnsi" w:hAnsiTheme="minorHAnsi" w:cstheme="minorHAnsi"/>
        </w:rPr>
        <w:t xml:space="preserve">na 31.12.2021 r. wyniosły łącznie </w:t>
      </w:r>
      <w:r w:rsidRPr="0035669F">
        <w:rPr>
          <w:rFonts w:asciiTheme="minorHAnsi" w:hAnsiTheme="minorHAnsi" w:cstheme="minorHAnsi"/>
          <w:b/>
        </w:rPr>
        <w:t>356 327 067 881 zł</w:t>
      </w:r>
      <w:r w:rsidRPr="0035669F">
        <w:rPr>
          <w:rFonts w:asciiTheme="minorHAnsi" w:hAnsiTheme="minorHAnsi" w:cstheme="minorHAnsi"/>
        </w:rPr>
        <w:t>, z tego:</w:t>
      </w:r>
    </w:p>
    <w:p w14:paraId="4A12302E" w14:textId="77777777" w:rsidR="00294BA4" w:rsidRPr="0035669F" w:rsidRDefault="00294BA4" w:rsidP="00F03E4A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Theme="minorHAnsi" w:hAnsiTheme="minorHAnsi" w:cstheme="minorHAnsi"/>
          <w:bCs/>
        </w:rPr>
      </w:pPr>
      <w:r w:rsidRPr="0035669F">
        <w:rPr>
          <w:rFonts w:asciiTheme="minorHAnsi" w:hAnsiTheme="minorHAnsi" w:cstheme="minorHAnsi"/>
          <w:bCs/>
        </w:rPr>
        <w:t xml:space="preserve"> kwota zobowiązań wynikająca z udzielonych poręczeń i gwarancji na podstawie ustawy o poręczeniach i gwarancjach, wyniosła </w:t>
      </w:r>
      <w:r w:rsidRPr="0035669F">
        <w:rPr>
          <w:rFonts w:asciiTheme="minorHAnsi" w:hAnsiTheme="minorHAnsi" w:cstheme="minorHAnsi"/>
          <w:b/>
          <w:bCs/>
        </w:rPr>
        <w:t>114 378 192 850 zł</w:t>
      </w:r>
      <w:r w:rsidRPr="0035669F">
        <w:rPr>
          <w:rFonts w:asciiTheme="minorHAnsi" w:hAnsiTheme="minorHAnsi" w:cstheme="minorHAnsi"/>
          <w:bCs/>
        </w:rPr>
        <w:t>;</w:t>
      </w:r>
    </w:p>
    <w:p w14:paraId="36CF40AF" w14:textId="77777777" w:rsidR="00294BA4" w:rsidRPr="0035669F" w:rsidRDefault="00294BA4" w:rsidP="009D6DFF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Theme="minorHAnsi" w:hAnsiTheme="minorHAnsi" w:cstheme="minorHAnsi"/>
          <w:bCs/>
        </w:rPr>
      </w:pPr>
      <w:r w:rsidRPr="0035669F">
        <w:rPr>
          <w:rFonts w:asciiTheme="minorHAnsi" w:hAnsiTheme="minorHAnsi" w:cstheme="minorHAnsi"/>
          <w:bCs/>
        </w:rPr>
        <w:t>kwota zobowiązań z tytułu udzielonych gwarancji na podstawie art. 67 ust. 4 ustawy z dnia 31 marca 2020 r. o zmianie ustawy o szczególnych rozwiązaniach</w:t>
      </w:r>
      <w:r w:rsidRPr="00CD6705">
        <w:rPr>
          <w:rFonts w:ascii="Calibri" w:hAnsi="Calibri" w:cs="Calibri"/>
        </w:rPr>
        <w:t xml:space="preserve"> </w:t>
      </w:r>
      <w:r w:rsidRPr="0035669F">
        <w:rPr>
          <w:rFonts w:asciiTheme="minorHAnsi" w:hAnsiTheme="minorHAnsi" w:cstheme="minorHAnsi"/>
        </w:rPr>
        <w:t xml:space="preserve">wyniosła </w:t>
      </w:r>
      <w:r w:rsidRPr="0035669F">
        <w:rPr>
          <w:rFonts w:asciiTheme="minorHAnsi" w:hAnsiTheme="minorHAnsi" w:cstheme="minorHAnsi"/>
          <w:b/>
        </w:rPr>
        <w:t>162 580 496 021 zł</w:t>
      </w:r>
      <w:r w:rsidRPr="0035669F">
        <w:rPr>
          <w:rFonts w:asciiTheme="minorHAnsi" w:hAnsiTheme="minorHAnsi" w:cstheme="minorHAnsi"/>
        </w:rPr>
        <w:t>;</w:t>
      </w:r>
    </w:p>
    <w:p w14:paraId="47F14999" w14:textId="77777777" w:rsidR="00294BA4" w:rsidRPr="0035669F" w:rsidRDefault="00294BA4" w:rsidP="00294BA4">
      <w:pPr>
        <w:pStyle w:val="Akapitzlist"/>
        <w:numPr>
          <w:ilvl w:val="0"/>
          <w:numId w:val="7"/>
        </w:numPr>
        <w:spacing w:after="300" w:line="276" w:lineRule="auto"/>
        <w:ind w:left="714" w:hanging="357"/>
        <w:contextualSpacing w:val="0"/>
        <w:rPr>
          <w:rFonts w:asciiTheme="minorHAnsi" w:hAnsiTheme="minorHAnsi" w:cstheme="minorHAnsi"/>
          <w:bCs/>
        </w:rPr>
      </w:pPr>
      <w:r w:rsidRPr="0035669F">
        <w:rPr>
          <w:rFonts w:asciiTheme="minorHAnsi" w:hAnsiTheme="minorHAnsi" w:cstheme="minorHAnsi"/>
        </w:rPr>
        <w:t xml:space="preserve">kwota zobowiązań z tytułu udzielonych gwarancji na podstawie art. 21aa ust. 2 ustawy o SIR wyniosła </w:t>
      </w:r>
      <w:r w:rsidRPr="0035669F">
        <w:rPr>
          <w:rFonts w:asciiTheme="minorHAnsi" w:hAnsiTheme="minorHAnsi" w:cstheme="minorHAnsi"/>
          <w:b/>
        </w:rPr>
        <w:t>79 368 379 010 zł</w:t>
      </w:r>
      <w:r w:rsidRPr="0035669F">
        <w:rPr>
          <w:rFonts w:asciiTheme="minorHAnsi" w:hAnsiTheme="minorHAnsi" w:cstheme="minorHAnsi"/>
        </w:rPr>
        <w:t>.</w:t>
      </w:r>
    </w:p>
    <w:p w14:paraId="0EA14C20" w14:textId="77777777" w:rsidR="00294BA4" w:rsidRPr="0035669F" w:rsidRDefault="00294BA4" w:rsidP="00294BA4">
      <w:pPr>
        <w:pStyle w:val="akapit"/>
        <w:numPr>
          <w:ilvl w:val="0"/>
          <w:numId w:val="8"/>
        </w:numPr>
        <w:tabs>
          <w:tab w:val="left" w:pos="851"/>
        </w:tabs>
        <w:spacing w:after="300" w:line="276" w:lineRule="auto"/>
        <w:ind w:left="357" w:hanging="357"/>
        <w:jc w:val="left"/>
        <w:rPr>
          <w:rFonts w:asciiTheme="minorHAnsi" w:hAnsiTheme="minorHAnsi" w:cstheme="minorHAnsi"/>
          <w:sz w:val="24"/>
        </w:rPr>
      </w:pPr>
      <w:r w:rsidRPr="0035669F">
        <w:rPr>
          <w:rFonts w:asciiTheme="minorHAnsi" w:hAnsiTheme="minorHAnsi" w:cstheme="minorHAnsi"/>
          <w:sz w:val="24"/>
        </w:rPr>
        <w:lastRenderedPageBreak/>
        <w:t xml:space="preserve">W 2021 r., </w:t>
      </w:r>
      <w:r w:rsidRPr="0035669F">
        <w:rPr>
          <w:rFonts w:asciiTheme="minorHAnsi" w:eastAsia="Calibri" w:hAnsiTheme="minorHAnsi" w:cstheme="minorHAnsi"/>
          <w:sz w:val="24"/>
          <w:szCs w:val="22"/>
          <w:lang w:eastAsia="en-US"/>
        </w:rPr>
        <w:t xml:space="preserve">podobnie jak w roku 2020, </w:t>
      </w:r>
      <w:r w:rsidRPr="0035669F">
        <w:rPr>
          <w:rFonts w:asciiTheme="minorHAnsi" w:hAnsiTheme="minorHAnsi" w:cstheme="minorHAnsi"/>
          <w:sz w:val="24"/>
        </w:rPr>
        <w:t>Skarb Państwa nie wydatkował środków na spłatę gwarantowanych i poręczonych zobowiązań.</w:t>
      </w:r>
    </w:p>
    <w:p w14:paraId="5CF21D6C" w14:textId="60AA2A4F" w:rsidR="00294BA4" w:rsidRDefault="00294BA4" w:rsidP="00294BA4">
      <w:pPr>
        <w:pStyle w:val="Akapitzlist"/>
        <w:numPr>
          <w:ilvl w:val="0"/>
          <w:numId w:val="8"/>
        </w:numPr>
        <w:tabs>
          <w:tab w:val="left" w:pos="851"/>
        </w:tabs>
        <w:spacing w:after="300" w:line="276" w:lineRule="auto"/>
        <w:ind w:left="357" w:hanging="357"/>
        <w:contextualSpacing w:val="0"/>
        <w:rPr>
          <w:rFonts w:asciiTheme="minorHAnsi" w:hAnsiTheme="minorHAnsi" w:cstheme="minorHAnsi"/>
          <w:bCs/>
        </w:rPr>
      </w:pPr>
      <w:r w:rsidRPr="0046131E">
        <w:rPr>
          <w:rFonts w:asciiTheme="minorHAnsi" w:hAnsiTheme="minorHAnsi" w:cstheme="minorHAnsi"/>
        </w:rPr>
        <w:t>Na 31.12.2021 r. relacja potencjalnych zobowiązań z tytułu udzielonych przez Skarb Państwa gwarancji i poręczeń do PKB za 2021 r.</w:t>
      </w:r>
      <w:r w:rsidRPr="00787827">
        <w:rPr>
          <w:rFonts w:asciiTheme="minorHAnsi" w:hAnsiTheme="minorHAnsi" w:cstheme="minorHAnsi"/>
          <w:vertAlign w:val="superscript"/>
        </w:rPr>
        <w:footnoteReference w:id="4"/>
      </w:r>
      <w:r w:rsidR="00085980" w:rsidRPr="003101C3">
        <w:rPr>
          <w:rFonts w:asciiTheme="minorHAnsi" w:hAnsiTheme="minorHAnsi" w:cstheme="minorHAnsi"/>
          <w:vertAlign w:val="superscript"/>
        </w:rPr>
        <w:t>)</w:t>
      </w:r>
      <w:r w:rsidRPr="0046131E">
        <w:rPr>
          <w:rFonts w:asciiTheme="minorHAnsi" w:hAnsiTheme="minorHAnsi" w:cstheme="minorHAnsi"/>
        </w:rPr>
        <w:t xml:space="preserve"> wyniosła ok. </w:t>
      </w:r>
      <w:r w:rsidRPr="0046131E">
        <w:rPr>
          <w:rFonts w:asciiTheme="minorHAnsi" w:hAnsiTheme="minorHAnsi" w:cstheme="minorHAnsi"/>
          <w:b/>
        </w:rPr>
        <w:t>13,7%</w:t>
      </w:r>
      <w:r w:rsidRPr="0046131E">
        <w:rPr>
          <w:rFonts w:asciiTheme="minorHAnsi" w:hAnsiTheme="minorHAnsi" w:cstheme="minorHAnsi"/>
        </w:rPr>
        <w:t>, tj. nastąpił wzrost w stosunku do wysokości tej relacji wg stanu na 31.12.2020 r., kiedy wynosiła 13,0%.</w:t>
      </w:r>
    </w:p>
    <w:p w14:paraId="4F5FA21C" w14:textId="77777777" w:rsidR="00294BA4" w:rsidRPr="0046131E" w:rsidRDefault="00294BA4" w:rsidP="00294BA4">
      <w:pPr>
        <w:pStyle w:val="Akapitzlist"/>
        <w:numPr>
          <w:ilvl w:val="0"/>
          <w:numId w:val="8"/>
        </w:numPr>
        <w:tabs>
          <w:tab w:val="left" w:pos="851"/>
        </w:tabs>
        <w:spacing w:after="300" w:line="276" w:lineRule="auto"/>
        <w:ind w:left="357" w:hanging="357"/>
        <w:contextualSpacing w:val="0"/>
        <w:rPr>
          <w:rFonts w:asciiTheme="minorHAnsi" w:hAnsiTheme="minorHAnsi" w:cstheme="minorHAnsi"/>
          <w:bCs/>
        </w:rPr>
      </w:pPr>
      <w:r w:rsidRPr="0046131E">
        <w:rPr>
          <w:rFonts w:asciiTheme="minorHAnsi" w:hAnsiTheme="minorHAnsi" w:cstheme="minorHAnsi"/>
        </w:rPr>
        <w:t xml:space="preserve">W 2021 r. nastąpił spadek średniego ryzyka portfela udzielonych poręczeń i gwarancji Skarbu Państwa w stosunku do roku 2020: z 2,2% do </w:t>
      </w:r>
      <w:r w:rsidRPr="0046131E">
        <w:rPr>
          <w:rFonts w:asciiTheme="minorHAnsi" w:hAnsiTheme="minorHAnsi" w:cstheme="minorHAnsi"/>
          <w:b/>
        </w:rPr>
        <w:t>1,9%</w:t>
      </w:r>
      <w:r w:rsidRPr="0046131E">
        <w:rPr>
          <w:rFonts w:asciiTheme="minorHAnsi" w:hAnsiTheme="minorHAnsi" w:cstheme="minorHAnsi"/>
        </w:rPr>
        <w:t>.</w:t>
      </w:r>
    </w:p>
    <w:p w14:paraId="22DAD8E7" w14:textId="644FB295" w:rsidR="00294BA4" w:rsidRPr="00B63E78" w:rsidRDefault="00294BA4" w:rsidP="00294BA4">
      <w:pPr>
        <w:pStyle w:val="Akapitzlist"/>
        <w:numPr>
          <w:ilvl w:val="0"/>
          <w:numId w:val="8"/>
        </w:numPr>
        <w:tabs>
          <w:tab w:val="left" w:pos="851"/>
        </w:tabs>
        <w:spacing w:after="300" w:line="276" w:lineRule="auto"/>
        <w:ind w:left="357" w:hanging="357"/>
        <w:contextualSpacing w:val="0"/>
        <w:rPr>
          <w:rFonts w:asciiTheme="minorHAnsi" w:hAnsiTheme="minorHAnsi" w:cstheme="minorHAnsi"/>
          <w:bCs/>
        </w:rPr>
      </w:pPr>
      <w:r w:rsidRPr="00B63E78">
        <w:rPr>
          <w:rFonts w:asciiTheme="minorHAnsi" w:hAnsiTheme="minorHAnsi" w:cstheme="minorHAnsi"/>
        </w:rPr>
        <w:t xml:space="preserve">Należności z tytułu udzielonych przez Skarb Państwa gwarancji i poręczeń, wg stanu na 31.12.2021 r., wyniosły </w:t>
      </w:r>
      <w:r w:rsidRPr="00B63E78">
        <w:rPr>
          <w:rFonts w:asciiTheme="minorHAnsi" w:hAnsiTheme="minorHAnsi" w:cstheme="minorHAnsi"/>
          <w:b/>
        </w:rPr>
        <w:t>28 472 857 zł</w:t>
      </w:r>
      <w:r w:rsidRPr="00B63E78">
        <w:rPr>
          <w:rFonts w:asciiTheme="minorHAnsi" w:hAnsiTheme="minorHAnsi" w:cstheme="minorHAnsi"/>
        </w:rPr>
        <w:t>. Na 31.12.2020 r. należności te wynosiły 28</w:t>
      </w:r>
      <w:r w:rsidR="003101C3">
        <w:rPr>
          <w:rFonts w:asciiTheme="minorHAnsi" w:hAnsiTheme="minorHAnsi" w:cstheme="minorHAnsi"/>
        </w:rPr>
        <w:t> </w:t>
      </w:r>
      <w:r w:rsidRPr="00B63E78">
        <w:rPr>
          <w:rFonts w:asciiTheme="minorHAnsi" w:hAnsiTheme="minorHAnsi" w:cstheme="minorHAnsi"/>
        </w:rPr>
        <w:t xml:space="preserve">205 721 zł. W stosunku do roku 2020 pozycja ta wzrosła o 0,9%. </w:t>
      </w:r>
    </w:p>
    <w:p w14:paraId="40BFC965" w14:textId="77777777" w:rsidR="00294BA4" w:rsidRPr="00B63E78" w:rsidRDefault="00294BA4" w:rsidP="00294BA4">
      <w:pPr>
        <w:pStyle w:val="Akapitzlist"/>
        <w:numPr>
          <w:ilvl w:val="0"/>
          <w:numId w:val="8"/>
        </w:numPr>
        <w:tabs>
          <w:tab w:val="left" w:pos="851"/>
        </w:tabs>
        <w:spacing w:after="30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B63E78">
        <w:rPr>
          <w:rFonts w:asciiTheme="minorHAnsi" w:hAnsiTheme="minorHAnsi" w:cstheme="minorHAnsi"/>
        </w:rPr>
        <w:t xml:space="preserve"> W rezultacie działań windykacyjnych, podjętych w 2021 roku oraz w latach poprzednich, których skutkiem był zwrot do budżetu kwot wierzytelności Skarbu Państwa, w roku 2021 Skarb Państwa uzyskał dochody w wysokości 7 246 zł.</w:t>
      </w:r>
    </w:p>
    <w:p w14:paraId="189DF95E" w14:textId="77777777" w:rsidR="00294BA4" w:rsidRPr="00590C9A" w:rsidRDefault="00294BA4" w:rsidP="00294BA4">
      <w:pPr>
        <w:tabs>
          <w:tab w:val="left" w:pos="851"/>
        </w:tabs>
        <w:spacing w:after="300" w:line="276" w:lineRule="auto"/>
        <w:jc w:val="both"/>
        <w:rPr>
          <w:rFonts w:asciiTheme="minorHAnsi" w:hAnsiTheme="minorHAnsi" w:cstheme="minorHAnsi"/>
          <w:bCs/>
        </w:rPr>
      </w:pPr>
    </w:p>
    <w:p w14:paraId="7F743E2C" w14:textId="77777777" w:rsidR="00294BA4" w:rsidRPr="00590C9A" w:rsidRDefault="00294BA4" w:rsidP="00294BA4">
      <w:pPr>
        <w:tabs>
          <w:tab w:val="left" w:pos="851"/>
        </w:tabs>
        <w:spacing w:after="300" w:line="276" w:lineRule="auto"/>
        <w:jc w:val="both"/>
        <w:rPr>
          <w:rFonts w:asciiTheme="minorHAnsi" w:hAnsiTheme="minorHAnsi" w:cstheme="minorHAnsi"/>
          <w:bCs/>
        </w:rPr>
      </w:pPr>
    </w:p>
    <w:p w14:paraId="29821293" w14:textId="77777777" w:rsidR="00294BA4" w:rsidRPr="00590C9A" w:rsidRDefault="00294BA4" w:rsidP="00294BA4">
      <w:pPr>
        <w:tabs>
          <w:tab w:val="left" w:pos="851"/>
        </w:tabs>
        <w:spacing w:after="300" w:line="276" w:lineRule="auto"/>
        <w:jc w:val="both"/>
        <w:rPr>
          <w:rFonts w:asciiTheme="minorHAnsi" w:hAnsiTheme="minorHAnsi" w:cstheme="minorHAnsi"/>
          <w:bCs/>
        </w:rPr>
      </w:pPr>
    </w:p>
    <w:p w14:paraId="7E0F5D27" w14:textId="77777777" w:rsidR="00294BA4" w:rsidRPr="00590C9A" w:rsidRDefault="00294BA4" w:rsidP="00294BA4">
      <w:pPr>
        <w:tabs>
          <w:tab w:val="left" w:pos="851"/>
        </w:tabs>
        <w:spacing w:after="300" w:line="276" w:lineRule="auto"/>
        <w:jc w:val="both"/>
        <w:rPr>
          <w:rFonts w:asciiTheme="minorHAnsi" w:hAnsiTheme="minorHAnsi" w:cstheme="minorHAnsi"/>
          <w:bCs/>
        </w:rPr>
      </w:pPr>
    </w:p>
    <w:p w14:paraId="2E759383" w14:textId="77777777" w:rsidR="00294BA4" w:rsidRPr="00590C9A" w:rsidRDefault="00294BA4" w:rsidP="00294BA4">
      <w:pPr>
        <w:tabs>
          <w:tab w:val="left" w:pos="851"/>
        </w:tabs>
        <w:spacing w:after="300" w:line="276" w:lineRule="auto"/>
        <w:jc w:val="both"/>
        <w:rPr>
          <w:rFonts w:asciiTheme="minorHAnsi" w:hAnsiTheme="minorHAnsi" w:cstheme="minorHAnsi"/>
          <w:bCs/>
        </w:rPr>
      </w:pPr>
    </w:p>
    <w:p w14:paraId="6FA8C342" w14:textId="77777777" w:rsidR="00294BA4" w:rsidRPr="00590C9A" w:rsidRDefault="00294BA4" w:rsidP="00294BA4">
      <w:pPr>
        <w:tabs>
          <w:tab w:val="left" w:pos="851"/>
        </w:tabs>
        <w:spacing w:after="300" w:line="276" w:lineRule="auto"/>
        <w:jc w:val="both"/>
        <w:rPr>
          <w:rFonts w:asciiTheme="minorHAnsi" w:hAnsiTheme="minorHAnsi" w:cstheme="minorHAnsi"/>
          <w:bCs/>
        </w:rPr>
      </w:pPr>
    </w:p>
    <w:p w14:paraId="38579D6F" w14:textId="77777777" w:rsidR="00294BA4" w:rsidRPr="00590C9A" w:rsidRDefault="00294BA4" w:rsidP="00294BA4">
      <w:pPr>
        <w:tabs>
          <w:tab w:val="left" w:pos="851"/>
        </w:tabs>
        <w:spacing w:after="300" w:line="276" w:lineRule="auto"/>
        <w:jc w:val="both"/>
        <w:rPr>
          <w:rFonts w:asciiTheme="minorHAnsi" w:hAnsiTheme="minorHAnsi" w:cstheme="minorHAnsi"/>
          <w:bCs/>
        </w:rPr>
      </w:pPr>
    </w:p>
    <w:p w14:paraId="143F78E1" w14:textId="77777777" w:rsidR="00294BA4" w:rsidRPr="00590C9A" w:rsidRDefault="00294BA4" w:rsidP="00294BA4">
      <w:pPr>
        <w:tabs>
          <w:tab w:val="left" w:pos="851"/>
        </w:tabs>
        <w:spacing w:after="300" w:line="276" w:lineRule="auto"/>
        <w:jc w:val="both"/>
        <w:rPr>
          <w:rFonts w:asciiTheme="minorHAnsi" w:hAnsiTheme="minorHAnsi" w:cstheme="minorHAnsi"/>
          <w:bCs/>
        </w:rPr>
      </w:pPr>
    </w:p>
    <w:p w14:paraId="620D0323" w14:textId="77777777" w:rsidR="00294BA4" w:rsidRPr="00590C9A" w:rsidRDefault="00294BA4" w:rsidP="00294BA4">
      <w:pPr>
        <w:tabs>
          <w:tab w:val="left" w:pos="851"/>
        </w:tabs>
        <w:spacing w:after="300" w:line="276" w:lineRule="auto"/>
        <w:jc w:val="both"/>
        <w:rPr>
          <w:rFonts w:asciiTheme="minorHAnsi" w:hAnsiTheme="minorHAnsi" w:cstheme="minorHAnsi"/>
          <w:bCs/>
        </w:rPr>
      </w:pPr>
    </w:p>
    <w:p w14:paraId="283E46C9" w14:textId="77777777" w:rsidR="00294BA4" w:rsidRDefault="00294BA4" w:rsidP="00294BA4">
      <w:pPr>
        <w:tabs>
          <w:tab w:val="left" w:pos="851"/>
        </w:tabs>
        <w:spacing w:after="300" w:line="276" w:lineRule="auto"/>
        <w:jc w:val="both"/>
        <w:rPr>
          <w:rFonts w:asciiTheme="minorHAnsi" w:hAnsiTheme="minorHAnsi" w:cstheme="minorHAnsi"/>
          <w:bCs/>
        </w:rPr>
      </w:pPr>
    </w:p>
    <w:p w14:paraId="6ADCE86B" w14:textId="77777777" w:rsidR="009D6DFF" w:rsidRPr="00590C9A" w:rsidRDefault="009D6DFF" w:rsidP="00294BA4">
      <w:pPr>
        <w:tabs>
          <w:tab w:val="left" w:pos="851"/>
        </w:tabs>
        <w:spacing w:after="300" w:line="276" w:lineRule="auto"/>
        <w:jc w:val="both"/>
        <w:rPr>
          <w:rFonts w:asciiTheme="minorHAnsi" w:hAnsiTheme="minorHAnsi" w:cstheme="minorHAnsi"/>
          <w:bCs/>
        </w:rPr>
      </w:pPr>
    </w:p>
    <w:p w14:paraId="782E442A" w14:textId="26947A70" w:rsidR="00294BA4" w:rsidRPr="002E1622" w:rsidRDefault="00294BA4" w:rsidP="00294BA4">
      <w:pPr>
        <w:pStyle w:val="Nagwek1"/>
        <w:numPr>
          <w:ilvl w:val="0"/>
          <w:numId w:val="1"/>
        </w:numPr>
        <w:spacing w:before="0" w:after="300" w:line="276" w:lineRule="auto"/>
        <w:ind w:left="567" w:hanging="567"/>
        <w:rPr>
          <w:rFonts w:asciiTheme="minorHAnsi" w:hAnsiTheme="minorHAnsi" w:cstheme="minorHAnsi"/>
          <w:color w:val="FF0000"/>
        </w:rPr>
      </w:pPr>
      <w:bookmarkStart w:id="5" w:name="_Toc97726314"/>
      <w:r w:rsidRPr="002E1622">
        <w:rPr>
          <w:rFonts w:asciiTheme="minorHAnsi" w:hAnsiTheme="minorHAnsi" w:cstheme="minorHAnsi"/>
          <w:color w:val="FF0000"/>
        </w:rPr>
        <w:lastRenderedPageBreak/>
        <w:t>Informacja sporządzona w oparciu o ustawę o</w:t>
      </w:r>
      <w:r w:rsidR="002E1622">
        <w:rPr>
          <w:rFonts w:asciiTheme="minorHAnsi" w:hAnsiTheme="minorHAnsi" w:cstheme="minorHAnsi"/>
          <w:color w:val="FF0000"/>
        </w:rPr>
        <w:t xml:space="preserve"> </w:t>
      </w:r>
      <w:r w:rsidRPr="002E1622">
        <w:rPr>
          <w:rFonts w:asciiTheme="minorHAnsi" w:hAnsiTheme="minorHAnsi" w:cstheme="minorHAnsi"/>
          <w:color w:val="FF0000"/>
        </w:rPr>
        <w:t>poręczeniach i gwarancjach na temat poręczeń i gwarancji udzielonych w 2021 r. przez Skarb Państwa, niektóre osoby prawne oraz Bank Gospodarstwa Krajowego</w:t>
      </w:r>
      <w:bookmarkEnd w:id="5"/>
    </w:p>
    <w:p w14:paraId="21F9F379" w14:textId="77777777" w:rsidR="00294BA4" w:rsidRPr="00034C9E" w:rsidRDefault="00294BA4" w:rsidP="00F03E4A">
      <w:pPr>
        <w:pStyle w:val="Nagwek2"/>
        <w:tabs>
          <w:tab w:val="left" w:pos="567"/>
        </w:tabs>
        <w:spacing w:before="360" w:after="300" w:line="276" w:lineRule="auto"/>
        <w:rPr>
          <w:rFonts w:asciiTheme="minorHAnsi" w:hAnsiTheme="minorHAnsi" w:cstheme="minorHAnsi"/>
          <w:i w:val="0"/>
          <w:sz w:val="32"/>
          <w:szCs w:val="32"/>
        </w:rPr>
      </w:pPr>
      <w:bookmarkStart w:id="6" w:name="_Toc97726315"/>
      <w:r w:rsidRPr="00034C9E">
        <w:rPr>
          <w:rFonts w:asciiTheme="minorHAnsi" w:hAnsiTheme="minorHAnsi" w:cstheme="minorHAnsi"/>
          <w:i w:val="0"/>
          <w:sz w:val="32"/>
          <w:szCs w:val="32"/>
        </w:rPr>
        <w:t>2.1</w:t>
      </w:r>
      <w:r w:rsidRPr="00034C9E">
        <w:rPr>
          <w:rFonts w:asciiTheme="minorHAnsi" w:hAnsiTheme="minorHAnsi" w:cstheme="minorHAnsi"/>
          <w:i w:val="0"/>
          <w:sz w:val="32"/>
          <w:szCs w:val="32"/>
        </w:rPr>
        <w:tab/>
        <w:t>Regulacje prawne dotyczące obowiązku sprawozdawczego</w:t>
      </w:r>
      <w:bookmarkEnd w:id="6"/>
      <w:r w:rsidRPr="00034C9E">
        <w:rPr>
          <w:rFonts w:asciiTheme="minorHAnsi" w:hAnsiTheme="minorHAnsi" w:cstheme="minorHAnsi"/>
          <w:i w:val="0"/>
          <w:sz w:val="32"/>
          <w:szCs w:val="32"/>
        </w:rPr>
        <w:t xml:space="preserve"> </w:t>
      </w:r>
    </w:p>
    <w:p w14:paraId="0CFE384F" w14:textId="5B5B7AA4" w:rsidR="00294BA4" w:rsidRPr="00787827" w:rsidRDefault="00294BA4" w:rsidP="009D6DFF">
      <w:pPr>
        <w:pStyle w:val="akapit"/>
        <w:tabs>
          <w:tab w:val="num" w:pos="960"/>
        </w:tabs>
        <w:spacing w:line="276" w:lineRule="auto"/>
        <w:ind w:firstLine="0"/>
        <w:jc w:val="left"/>
        <w:rPr>
          <w:rFonts w:asciiTheme="minorHAnsi" w:hAnsiTheme="minorHAnsi" w:cstheme="minorHAnsi"/>
          <w:sz w:val="24"/>
        </w:rPr>
      </w:pPr>
      <w:r w:rsidRPr="00787827">
        <w:rPr>
          <w:rFonts w:asciiTheme="minorHAnsi" w:hAnsiTheme="minorHAnsi" w:cstheme="minorHAnsi"/>
          <w:sz w:val="24"/>
        </w:rPr>
        <w:t>Udzielanie poręczeń i gwarancji to podejmowanie ryzyka finansowego, z reguły na rachunek przyszłych okresów. Art. 216 ust. 5 Konstytucji Rzeczypospolitej Polskiej stanowi, że nie wolno zaciągać pożyczek lub udzielać gwarancji i poręczeń finansowych, w</w:t>
      </w:r>
      <w:r w:rsidR="003101C3">
        <w:rPr>
          <w:rFonts w:asciiTheme="minorHAnsi" w:hAnsiTheme="minorHAnsi" w:cstheme="minorHAnsi"/>
          <w:sz w:val="24"/>
        </w:rPr>
        <w:t> </w:t>
      </w:r>
      <w:r w:rsidRPr="00787827">
        <w:rPr>
          <w:rFonts w:asciiTheme="minorHAnsi" w:hAnsiTheme="minorHAnsi" w:cstheme="minorHAnsi"/>
          <w:sz w:val="24"/>
        </w:rPr>
        <w:t xml:space="preserve">następstwie których państwowy dług publiczny przekroczy 3/5 wartości rocznego produktu krajowego brutto. </w:t>
      </w:r>
    </w:p>
    <w:p w14:paraId="0FC2EFE4" w14:textId="6E48FE7C" w:rsidR="00294BA4" w:rsidRPr="00787827" w:rsidRDefault="00294BA4" w:rsidP="009D6DFF">
      <w:pPr>
        <w:pStyle w:val="akapit"/>
        <w:tabs>
          <w:tab w:val="num" w:pos="960"/>
        </w:tabs>
        <w:spacing w:line="276" w:lineRule="auto"/>
        <w:ind w:firstLine="0"/>
        <w:jc w:val="left"/>
        <w:rPr>
          <w:rFonts w:asciiTheme="minorHAnsi" w:hAnsiTheme="minorHAnsi" w:cstheme="minorHAnsi"/>
          <w:sz w:val="24"/>
        </w:rPr>
      </w:pPr>
      <w:r w:rsidRPr="00787827">
        <w:rPr>
          <w:rFonts w:asciiTheme="minorHAnsi" w:hAnsiTheme="minorHAnsi" w:cstheme="minorHAnsi"/>
          <w:sz w:val="24"/>
        </w:rPr>
        <w:t xml:space="preserve">W związku z powyższym kontrola narastania zobowiązań z tytułu udzielanych poręczeń i gwarancji ma szczególne znaczenie z punktu widzenia bezpieczeństwa finansów publicznych. </w:t>
      </w:r>
    </w:p>
    <w:p w14:paraId="4479B25A" w14:textId="77777777" w:rsidR="00294BA4" w:rsidRPr="00787827" w:rsidRDefault="00294BA4" w:rsidP="009D6DFF">
      <w:pPr>
        <w:pStyle w:val="pktmyslnw0"/>
        <w:tabs>
          <w:tab w:val="clear" w:pos="284"/>
          <w:tab w:val="left" w:pos="540"/>
          <w:tab w:val="num" w:pos="960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87827">
        <w:rPr>
          <w:rFonts w:asciiTheme="minorHAnsi" w:hAnsiTheme="minorHAnsi" w:cstheme="minorHAnsi"/>
          <w:sz w:val="24"/>
        </w:rPr>
        <w:t>Ustawa o poręczeniach i gwarancjach, w art. 46, nałożyła na Radę Ministrów obowiązek przedstawiania corocznie Sejmowi, w terminie właściwym do przedstawienia sprawozdania z wykonania budżetu państwa, informacji o:</w:t>
      </w:r>
    </w:p>
    <w:p w14:paraId="0BBC0D33" w14:textId="77777777" w:rsidR="00294BA4" w:rsidRDefault="00294BA4" w:rsidP="00F03E4A">
      <w:pPr>
        <w:pStyle w:val="pktmyslnw0"/>
        <w:numPr>
          <w:ilvl w:val="0"/>
          <w:numId w:val="15"/>
        </w:numPr>
        <w:tabs>
          <w:tab w:val="clear" w:pos="284"/>
        </w:tabs>
        <w:spacing w:line="276" w:lineRule="auto"/>
        <w:ind w:left="357" w:hanging="357"/>
        <w:jc w:val="left"/>
        <w:rPr>
          <w:rFonts w:asciiTheme="minorHAnsi" w:hAnsiTheme="minorHAnsi" w:cstheme="minorHAnsi"/>
          <w:sz w:val="24"/>
        </w:rPr>
      </w:pPr>
      <w:r w:rsidRPr="00787827">
        <w:rPr>
          <w:rFonts w:asciiTheme="minorHAnsi" w:hAnsiTheme="minorHAnsi" w:cstheme="minorHAnsi"/>
          <w:sz w:val="24"/>
        </w:rPr>
        <w:t xml:space="preserve">poręczeniach i gwarancjach udzielonych przez Skarb Państwa, </w:t>
      </w:r>
    </w:p>
    <w:p w14:paraId="48532396" w14:textId="77777777" w:rsidR="00294BA4" w:rsidRDefault="00294BA4" w:rsidP="00F03E4A">
      <w:pPr>
        <w:pStyle w:val="pktmyslnw0"/>
        <w:numPr>
          <w:ilvl w:val="0"/>
          <w:numId w:val="15"/>
        </w:numPr>
        <w:tabs>
          <w:tab w:val="clear" w:pos="284"/>
        </w:tabs>
        <w:spacing w:line="276" w:lineRule="auto"/>
        <w:ind w:left="357" w:hanging="357"/>
        <w:jc w:val="left"/>
        <w:rPr>
          <w:rFonts w:asciiTheme="minorHAnsi" w:hAnsiTheme="minorHAnsi" w:cstheme="minorHAnsi"/>
          <w:sz w:val="24"/>
        </w:rPr>
      </w:pPr>
      <w:r w:rsidRPr="00AD56D7">
        <w:rPr>
          <w:rFonts w:asciiTheme="minorHAnsi" w:hAnsiTheme="minorHAnsi" w:cstheme="minorHAnsi"/>
          <w:sz w:val="24"/>
        </w:rPr>
        <w:t xml:space="preserve">poręczeniach i gwarancjach udzielonych przez niektóre osoby prawne, </w:t>
      </w:r>
    </w:p>
    <w:p w14:paraId="388904F7" w14:textId="0157CD9E" w:rsidR="00294BA4" w:rsidRDefault="00294BA4" w:rsidP="00F03E4A">
      <w:pPr>
        <w:pStyle w:val="pktmyslnw0"/>
        <w:numPr>
          <w:ilvl w:val="0"/>
          <w:numId w:val="15"/>
        </w:numPr>
        <w:tabs>
          <w:tab w:val="clear" w:pos="284"/>
        </w:tabs>
        <w:spacing w:after="0" w:line="276" w:lineRule="auto"/>
        <w:ind w:left="357" w:hanging="357"/>
        <w:jc w:val="left"/>
        <w:rPr>
          <w:rFonts w:asciiTheme="minorHAnsi" w:hAnsiTheme="minorHAnsi" w:cstheme="minorHAnsi"/>
          <w:sz w:val="24"/>
        </w:rPr>
      </w:pPr>
      <w:r w:rsidRPr="00AD56D7">
        <w:rPr>
          <w:rFonts w:asciiTheme="minorHAnsi" w:hAnsiTheme="minorHAnsi" w:cstheme="minorHAnsi"/>
          <w:sz w:val="24"/>
        </w:rPr>
        <w:t xml:space="preserve">poręczeniach i gwarancjach udzielonych przez Bank Gospodarstwa Krajowego w ramach programów rządowych, </w:t>
      </w:r>
      <w:r w:rsidRPr="009D59D5">
        <w:rPr>
          <w:rFonts w:asciiTheme="minorHAnsi" w:hAnsiTheme="minorHAnsi" w:cstheme="minorHAnsi"/>
          <w:sz w:val="24"/>
        </w:rPr>
        <w:t>Funduszu Gwarancji Płynnościowych, o którym mowa w art. 70 ust. 1 ustawy o zmianie ustaw</w:t>
      </w:r>
      <w:r>
        <w:rPr>
          <w:rFonts w:asciiTheme="minorHAnsi" w:hAnsiTheme="minorHAnsi" w:cstheme="minorHAnsi"/>
          <w:sz w:val="24"/>
        </w:rPr>
        <w:t>y o szczególnych rozwiązaniach oraz</w:t>
      </w:r>
      <w:r w:rsidRPr="009D59D5">
        <w:rPr>
          <w:rFonts w:asciiTheme="minorHAnsi" w:hAnsiTheme="minorHAnsi" w:cstheme="minorHAnsi"/>
          <w:sz w:val="24"/>
        </w:rPr>
        <w:t xml:space="preserve"> Rządowego Funduszu Mieszkaniowego, o którym mowa w art. 11 ust. 1 ustawy z</w:t>
      </w:r>
      <w:r>
        <w:rPr>
          <w:rFonts w:asciiTheme="minorHAnsi" w:hAnsiTheme="minorHAnsi" w:cstheme="minorHAnsi"/>
          <w:sz w:val="24"/>
        </w:rPr>
        <w:t> </w:t>
      </w:r>
      <w:r w:rsidRPr="009D59D5">
        <w:rPr>
          <w:rFonts w:asciiTheme="minorHAnsi" w:hAnsiTheme="minorHAnsi" w:cstheme="minorHAnsi"/>
          <w:sz w:val="24"/>
        </w:rPr>
        <w:t>dnia</w:t>
      </w:r>
      <w:r w:rsidRPr="001B151B">
        <w:rPr>
          <w:rFonts w:asciiTheme="minorHAnsi" w:hAnsiTheme="minorHAnsi" w:cstheme="minorHAnsi"/>
          <w:sz w:val="24"/>
        </w:rPr>
        <w:t xml:space="preserve"> 1 października 2021 r. o gwarantowanym kredycie </w:t>
      </w:r>
      <w:r w:rsidRPr="009C73B1">
        <w:rPr>
          <w:rFonts w:asciiTheme="minorHAnsi" w:hAnsiTheme="minorHAnsi" w:cstheme="minorHAnsi"/>
          <w:sz w:val="24"/>
        </w:rPr>
        <w:t>mieszkaniowym, zwanej dalej „ustawą o gwarantowanym kredycie mieszkaniowym”</w:t>
      </w:r>
      <w:r>
        <w:rPr>
          <w:rStyle w:val="Odwoanieprzypisudolnego"/>
          <w:rFonts w:asciiTheme="minorHAnsi" w:hAnsiTheme="minorHAnsi" w:cstheme="minorHAnsi"/>
          <w:sz w:val="24"/>
        </w:rPr>
        <w:footnoteReference w:id="5"/>
      </w:r>
      <w:r w:rsidR="00085980" w:rsidRPr="003101C3">
        <w:rPr>
          <w:rFonts w:asciiTheme="minorHAnsi" w:hAnsiTheme="minorHAnsi" w:cstheme="minorHAnsi"/>
          <w:sz w:val="24"/>
          <w:vertAlign w:val="superscript"/>
        </w:rPr>
        <w:t>)</w:t>
      </w:r>
      <w:r>
        <w:rPr>
          <w:rFonts w:asciiTheme="minorHAnsi" w:hAnsiTheme="minorHAnsi" w:cstheme="minorHAnsi"/>
          <w:sz w:val="24"/>
        </w:rPr>
        <w:t>,</w:t>
      </w:r>
    </w:p>
    <w:p w14:paraId="7B90388A" w14:textId="77777777" w:rsidR="00294BA4" w:rsidRDefault="00294BA4" w:rsidP="00F03E4A">
      <w:pPr>
        <w:pStyle w:val="pktmyslnw0"/>
        <w:numPr>
          <w:ilvl w:val="0"/>
          <w:numId w:val="15"/>
        </w:numPr>
        <w:tabs>
          <w:tab w:val="clear" w:pos="284"/>
        </w:tabs>
        <w:spacing w:line="276" w:lineRule="auto"/>
        <w:ind w:left="357" w:hanging="357"/>
        <w:jc w:val="left"/>
        <w:rPr>
          <w:rFonts w:asciiTheme="minorHAnsi" w:hAnsiTheme="minorHAnsi" w:cstheme="minorHAnsi"/>
          <w:sz w:val="24"/>
        </w:rPr>
      </w:pPr>
      <w:r w:rsidRPr="00AD56D7">
        <w:rPr>
          <w:rFonts w:asciiTheme="minorHAnsi" w:hAnsiTheme="minorHAnsi" w:cstheme="minorHAnsi"/>
          <w:sz w:val="24"/>
        </w:rPr>
        <w:t xml:space="preserve">liczbie i wartości akcji (udziałów) składających się na zasób majątkowy przeznaczony na zaspokojenie roszczeń z tytułu poręczeń i gwarancji udzielonych przez Skarb Państwa, </w:t>
      </w:r>
    </w:p>
    <w:p w14:paraId="66D60AE7" w14:textId="77777777" w:rsidR="00294BA4" w:rsidRPr="00AD56D7" w:rsidRDefault="00294BA4" w:rsidP="009D6DFF">
      <w:pPr>
        <w:pStyle w:val="pktmyslnw0"/>
        <w:numPr>
          <w:ilvl w:val="0"/>
          <w:numId w:val="15"/>
        </w:numPr>
        <w:tabs>
          <w:tab w:val="clear" w:pos="284"/>
        </w:tabs>
        <w:spacing w:after="240" w:line="276" w:lineRule="auto"/>
        <w:ind w:left="357" w:hanging="357"/>
        <w:jc w:val="left"/>
        <w:rPr>
          <w:rFonts w:asciiTheme="minorHAnsi" w:hAnsiTheme="minorHAnsi" w:cstheme="minorHAnsi"/>
          <w:sz w:val="24"/>
        </w:rPr>
      </w:pPr>
      <w:r w:rsidRPr="00AD56D7">
        <w:rPr>
          <w:rFonts w:asciiTheme="minorHAnsi" w:hAnsiTheme="minorHAnsi" w:cstheme="minorHAnsi"/>
          <w:sz w:val="24"/>
        </w:rPr>
        <w:t>wykorzystaniu środków gromadzonych na rachunku rezerw poręczeniowych i gwarancyjnych Skarbu Państwa w Banku Gospodarstwa Krajowego.</w:t>
      </w:r>
    </w:p>
    <w:p w14:paraId="3C6D3B07" w14:textId="77777777" w:rsidR="00294BA4" w:rsidRPr="00787827" w:rsidRDefault="00294BA4" w:rsidP="00294BA4">
      <w:pPr>
        <w:pStyle w:val="pktmyslnw0"/>
        <w:tabs>
          <w:tab w:val="clear" w:pos="284"/>
          <w:tab w:val="left" w:pos="540"/>
        </w:tabs>
        <w:spacing w:after="300"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87827">
        <w:rPr>
          <w:rFonts w:asciiTheme="minorHAnsi" w:hAnsiTheme="minorHAnsi" w:cstheme="minorHAnsi"/>
          <w:sz w:val="24"/>
        </w:rPr>
        <w:t>Powyżej wymieniony art. 46 ustawy o poręczeniach i gwarancjach stosuje się również do gwarancji Skarbu Państwa obejmujących:</w:t>
      </w:r>
    </w:p>
    <w:p w14:paraId="457E3FBA" w14:textId="77777777" w:rsidR="00294BA4" w:rsidRDefault="00294BA4" w:rsidP="009D6DFF">
      <w:pPr>
        <w:pStyle w:val="pktmyslnw0"/>
        <w:numPr>
          <w:ilvl w:val="0"/>
          <w:numId w:val="16"/>
        </w:numPr>
        <w:tabs>
          <w:tab w:val="clear" w:pos="284"/>
        </w:tabs>
        <w:spacing w:line="276" w:lineRule="auto"/>
        <w:ind w:left="357" w:hanging="357"/>
        <w:jc w:val="left"/>
        <w:rPr>
          <w:rFonts w:asciiTheme="minorHAnsi" w:hAnsiTheme="minorHAnsi" w:cstheme="minorHAnsi"/>
          <w:sz w:val="24"/>
        </w:rPr>
      </w:pPr>
      <w:r w:rsidRPr="00787827">
        <w:rPr>
          <w:rFonts w:asciiTheme="minorHAnsi" w:hAnsiTheme="minorHAnsi" w:cstheme="minorHAnsi"/>
          <w:sz w:val="24"/>
        </w:rPr>
        <w:t xml:space="preserve">zobowiązania Banku Gospodarstwa Krajowego wynikające z obligacji emitowanych na rzecz Funduszu Przeciwdziałania COVID-19 (zgodnie z </w:t>
      </w:r>
      <w:r>
        <w:rPr>
          <w:rFonts w:asciiTheme="minorHAnsi" w:hAnsiTheme="minorHAnsi" w:cstheme="minorHAnsi"/>
          <w:sz w:val="24"/>
        </w:rPr>
        <w:t>art. 67 ust. 5 ustawy z dnia 31 </w:t>
      </w:r>
      <w:r w:rsidRPr="00787827">
        <w:rPr>
          <w:rFonts w:asciiTheme="minorHAnsi" w:hAnsiTheme="minorHAnsi" w:cstheme="minorHAnsi"/>
          <w:sz w:val="24"/>
        </w:rPr>
        <w:t xml:space="preserve">marca 2020 r. o zmianie ustawy </w:t>
      </w:r>
      <w:r>
        <w:rPr>
          <w:rFonts w:asciiTheme="minorHAnsi" w:hAnsiTheme="minorHAnsi" w:cstheme="minorHAnsi"/>
          <w:sz w:val="24"/>
        </w:rPr>
        <w:t>o szczególnych rozwiązaniach</w:t>
      </w:r>
      <w:r w:rsidRPr="00787827">
        <w:rPr>
          <w:rFonts w:asciiTheme="minorHAnsi" w:hAnsiTheme="minorHAnsi" w:cstheme="minorHAnsi"/>
          <w:sz w:val="24"/>
        </w:rPr>
        <w:t>),</w:t>
      </w:r>
    </w:p>
    <w:p w14:paraId="175FA7A7" w14:textId="37F89F62" w:rsidR="00294BA4" w:rsidRPr="00AD56D7" w:rsidRDefault="00294BA4" w:rsidP="009D6DFF">
      <w:pPr>
        <w:pStyle w:val="pktmyslnw0"/>
        <w:numPr>
          <w:ilvl w:val="0"/>
          <w:numId w:val="16"/>
        </w:numPr>
        <w:tabs>
          <w:tab w:val="clear" w:pos="284"/>
        </w:tabs>
        <w:spacing w:line="276" w:lineRule="auto"/>
        <w:ind w:left="357" w:hanging="357"/>
        <w:jc w:val="left"/>
        <w:rPr>
          <w:rFonts w:asciiTheme="minorHAnsi" w:hAnsiTheme="minorHAnsi" w:cstheme="minorHAnsi"/>
          <w:sz w:val="24"/>
        </w:rPr>
      </w:pPr>
      <w:r w:rsidRPr="00AD56D7">
        <w:rPr>
          <w:rFonts w:asciiTheme="minorHAnsi" w:hAnsiTheme="minorHAnsi" w:cstheme="minorHAnsi"/>
          <w:sz w:val="24"/>
        </w:rPr>
        <w:t>zobowiąza</w:t>
      </w:r>
      <w:r w:rsidR="003072F9">
        <w:rPr>
          <w:rFonts w:asciiTheme="minorHAnsi" w:hAnsiTheme="minorHAnsi" w:cstheme="minorHAnsi"/>
          <w:sz w:val="24"/>
        </w:rPr>
        <w:t>nia Polskiego Funduszu Rozwoju </w:t>
      </w:r>
      <w:r w:rsidRPr="00AD56D7">
        <w:rPr>
          <w:rFonts w:asciiTheme="minorHAnsi" w:hAnsiTheme="minorHAnsi" w:cstheme="minorHAnsi"/>
          <w:sz w:val="24"/>
        </w:rPr>
        <w:t>S.A. wynikające z obligacji emitowanych na realizację programów rządowych „Tarcza finansowa Polskiego Funduszu Rozwoju dla dużych firm”, „Tarcza finansowa 2.0 Polskiego Funduszu Rozwoju dla mikro, małych i średnich firm” oraz „Programu wsparcia Polskich Linii Lotniczych LOT S.A.” (zgodnie</w:t>
      </w:r>
      <w:r w:rsidR="003101C3">
        <w:rPr>
          <w:rFonts w:asciiTheme="minorHAnsi" w:hAnsiTheme="minorHAnsi" w:cstheme="minorHAnsi"/>
          <w:sz w:val="24"/>
        </w:rPr>
        <w:t> </w:t>
      </w:r>
      <w:r w:rsidRPr="00AD56D7">
        <w:rPr>
          <w:rFonts w:asciiTheme="minorHAnsi" w:hAnsiTheme="minorHAnsi" w:cstheme="minorHAnsi"/>
          <w:sz w:val="24"/>
        </w:rPr>
        <w:t>z</w:t>
      </w:r>
      <w:r w:rsidR="003101C3">
        <w:rPr>
          <w:rFonts w:asciiTheme="minorHAnsi" w:hAnsiTheme="minorHAnsi" w:cstheme="minorHAnsi"/>
          <w:sz w:val="24"/>
        </w:rPr>
        <w:t> </w:t>
      </w:r>
      <w:r w:rsidRPr="00AD56D7">
        <w:rPr>
          <w:rFonts w:asciiTheme="minorHAnsi" w:hAnsiTheme="minorHAnsi" w:cstheme="minorHAnsi"/>
          <w:sz w:val="24"/>
        </w:rPr>
        <w:t xml:space="preserve">art. 21aa ust. 3 ustawy </w:t>
      </w:r>
      <w:r>
        <w:rPr>
          <w:rFonts w:asciiTheme="minorHAnsi" w:hAnsiTheme="minorHAnsi" w:cstheme="minorHAnsi"/>
          <w:sz w:val="24"/>
        </w:rPr>
        <w:t>o SIR</w:t>
      </w:r>
      <w:r w:rsidRPr="00AD56D7">
        <w:rPr>
          <w:rFonts w:asciiTheme="minorHAnsi" w:hAnsiTheme="minorHAnsi" w:cstheme="minorHAnsi"/>
          <w:sz w:val="24"/>
        </w:rPr>
        <w:t>).</w:t>
      </w:r>
    </w:p>
    <w:p w14:paraId="4BAF666B" w14:textId="1D63A818" w:rsidR="00294BA4" w:rsidRPr="00787827" w:rsidRDefault="00294BA4" w:rsidP="009D6DFF">
      <w:pPr>
        <w:pStyle w:val="akapit"/>
        <w:tabs>
          <w:tab w:val="num" w:pos="960"/>
          <w:tab w:val="left" w:pos="8760"/>
        </w:tabs>
        <w:spacing w:line="276" w:lineRule="auto"/>
        <w:ind w:firstLine="0"/>
        <w:jc w:val="left"/>
        <w:rPr>
          <w:rFonts w:asciiTheme="minorHAnsi" w:hAnsiTheme="minorHAnsi" w:cstheme="minorHAnsi"/>
          <w:sz w:val="24"/>
        </w:rPr>
      </w:pPr>
      <w:r w:rsidRPr="00787827">
        <w:rPr>
          <w:rFonts w:asciiTheme="minorHAnsi" w:hAnsiTheme="minorHAnsi" w:cstheme="minorHAnsi"/>
          <w:sz w:val="24"/>
        </w:rPr>
        <w:t>Obok obowiązków sprawozdawczych wynikających z ustawy o poręczeniach i</w:t>
      </w:r>
      <w:r>
        <w:rPr>
          <w:rFonts w:asciiTheme="minorHAnsi" w:hAnsiTheme="minorHAnsi" w:cstheme="minorHAnsi"/>
          <w:sz w:val="24"/>
        </w:rPr>
        <w:t> </w:t>
      </w:r>
      <w:r w:rsidRPr="00787827">
        <w:rPr>
          <w:rFonts w:asciiTheme="minorHAnsi" w:hAnsiTheme="minorHAnsi" w:cstheme="minorHAnsi"/>
          <w:sz w:val="24"/>
        </w:rPr>
        <w:t>gwarancjach, których wykonanie następuje w formie przedłożenia Sejmowi niniejszej Informacji, istnieją również obowiązki wprowadzone przez art. 36 ust. 2 oraz art. 38 ustawy z dnia 27 sierpnia 2009 r. o</w:t>
      </w:r>
      <w:r>
        <w:rPr>
          <w:rFonts w:asciiTheme="minorHAnsi" w:hAnsiTheme="minorHAnsi" w:cstheme="minorHAnsi"/>
          <w:sz w:val="24"/>
        </w:rPr>
        <w:t xml:space="preserve"> </w:t>
      </w:r>
      <w:r w:rsidRPr="00787827">
        <w:rPr>
          <w:rFonts w:asciiTheme="minorHAnsi" w:hAnsiTheme="minorHAnsi" w:cstheme="minorHAnsi"/>
          <w:sz w:val="24"/>
        </w:rPr>
        <w:t>finansach publicznych</w:t>
      </w:r>
      <w:bookmarkStart w:id="7" w:name="_Ref98341241"/>
      <w:r>
        <w:rPr>
          <w:rStyle w:val="Odwoanieprzypisudolnego"/>
          <w:rFonts w:asciiTheme="minorHAnsi" w:hAnsiTheme="minorHAnsi" w:cstheme="minorHAnsi"/>
          <w:sz w:val="24"/>
        </w:rPr>
        <w:footnoteReference w:id="6"/>
      </w:r>
      <w:bookmarkEnd w:id="7"/>
      <w:r w:rsidR="00085980" w:rsidRPr="003101C3">
        <w:rPr>
          <w:rFonts w:asciiTheme="minorHAnsi" w:hAnsiTheme="minorHAnsi" w:cstheme="minorHAnsi"/>
          <w:sz w:val="24"/>
          <w:vertAlign w:val="superscript"/>
        </w:rPr>
        <w:t>)</w:t>
      </w:r>
      <w:r w:rsidRPr="00787827">
        <w:rPr>
          <w:rFonts w:asciiTheme="minorHAnsi" w:hAnsiTheme="minorHAnsi" w:cstheme="minorHAnsi"/>
          <w:sz w:val="24"/>
        </w:rPr>
        <w:t>. Obowiązki te polegają m.in.</w:t>
      </w:r>
      <w:r w:rsidR="003101C3">
        <w:rPr>
          <w:rFonts w:asciiTheme="minorHAnsi" w:hAnsiTheme="minorHAnsi" w:cstheme="minorHAnsi"/>
          <w:sz w:val="24"/>
        </w:rPr>
        <w:t> </w:t>
      </w:r>
      <w:r w:rsidRPr="00787827">
        <w:rPr>
          <w:rFonts w:asciiTheme="minorHAnsi" w:hAnsiTheme="minorHAnsi" w:cstheme="minorHAnsi"/>
          <w:sz w:val="24"/>
        </w:rPr>
        <w:t xml:space="preserve">na: </w:t>
      </w:r>
    </w:p>
    <w:p w14:paraId="22F8EBEB" w14:textId="77777777" w:rsidR="00294BA4" w:rsidRDefault="00294BA4" w:rsidP="00F03E4A">
      <w:pPr>
        <w:pStyle w:val="pktmyslnw0"/>
        <w:numPr>
          <w:ilvl w:val="0"/>
          <w:numId w:val="17"/>
        </w:numPr>
        <w:tabs>
          <w:tab w:val="clear" w:pos="284"/>
          <w:tab w:val="left" w:pos="8760"/>
        </w:tabs>
        <w:spacing w:line="276" w:lineRule="auto"/>
        <w:ind w:left="357" w:hanging="357"/>
        <w:jc w:val="left"/>
        <w:rPr>
          <w:rFonts w:asciiTheme="minorHAnsi" w:hAnsiTheme="minorHAnsi" w:cstheme="minorHAnsi"/>
          <w:sz w:val="24"/>
        </w:rPr>
      </w:pPr>
      <w:r w:rsidRPr="00787827">
        <w:rPr>
          <w:rFonts w:asciiTheme="minorHAnsi" w:hAnsiTheme="minorHAnsi" w:cstheme="minorHAnsi"/>
          <w:sz w:val="24"/>
        </w:rPr>
        <w:t>podawaniu do publicznej wiadomości wykazu udzielonych przez Skarb Państwa gwarancji i poręczeń, wskazując osoby prawne i fizyczne oraz jednostki organizacyjne, nieposiadające osobowości prawnej, których te poręczenia i</w:t>
      </w:r>
      <w:r>
        <w:rPr>
          <w:rFonts w:asciiTheme="minorHAnsi" w:hAnsiTheme="minorHAnsi" w:cstheme="minorHAnsi"/>
          <w:sz w:val="24"/>
        </w:rPr>
        <w:t> </w:t>
      </w:r>
      <w:r w:rsidRPr="00787827">
        <w:rPr>
          <w:rFonts w:asciiTheme="minorHAnsi" w:hAnsiTheme="minorHAnsi" w:cstheme="minorHAnsi"/>
          <w:sz w:val="24"/>
        </w:rPr>
        <w:t xml:space="preserve">gwarancje dotyczą, </w:t>
      </w:r>
    </w:p>
    <w:p w14:paraId="427F5011" w14:textId="77777777" w:rsidR="00294BA4" w:rsidRDefault="00294BA4" w:rsidP="00F03E4A">
      <w:pPr>
        <w:pStyle w:val="pktmyslnw0"/>
        <w:numPr>
          <w:ilvl w:val="0"/>
          <w:numId w:val="17"/>
        </w:numPr>
        <w:tabs>
          <w:tab w:val="clear" w:pos="284"/>
          <w:tab w:val="left" w:pos="8760"/>
        </w:tabs>
        <w:spacing w:line="276" w:lineRule="auto"/>
        <w:ind w:left="357" w:hanging="357"/>
        <w:jc w:val="left"/>
        <w:rPr>
          <w:rFonts w:asciiTheme="minorHAnsi" w:hAnsiTheme="minorHAnsi" w:cstheme="minorHAnsi"/>
          <w:sz w:val="24"/>
        </w:rPr>
      </w:pPr>
      <w:r w:rsidRPr="00AD56D7">
        <w:rPr>
          <w:rFonts w:asciiTheme="minorHAnsi" w:hAnsiTheme="minorHAnsi" w:cstheme="minorHAnsi"/>
          <w:sz w:val="24"/>
        </w:rPr>
        <w:t>ogłaszaniu kwoty i relacji do produktu krajowego brutto niewymagalnych zobowiązań z tytułu poręczeń i gwarancji udzielonych przez Skarb Państwa,</w:t>
      </w:r>
    </w:p>
    <w:p w14:paraId="292F70C6" w14:textId="77777777" w:rsidR="00294BA4" w:rsidRPr="00AD56D7" w:rsidRDefault="00294BA4" w:rsidP="009D6DFF">
      <w:pPr>
        <w:pStyle w:val="pktmyslnw0"/>
        <w:numPr>
          <w:ilvl w:val="0"/>
          <w:numId w:val="17"/>
        </w:numPr>
        <w:tabs>
          <w:tab w:val="clear" w:pos="284"/>
          <w:tab w:val="left" w:pos="8760"/>
        </w:tabs>
        <w:spacing w:line="276" w:lineRule="auto"/>
        <w:ind w:left="357" w:hanging="357"/>
        <w:jc w:val="left"/>
        <w:rPr>
          <w:rFonts w:asciiTheme="minorHAnsi" w:hAnsiTheme="minorHAnsi" w:cstheme="minorHAnsi"/>
          <w:sz w:val="24"/>
        </w:rPr>
      </w:pPr>
      <w:r w:rsidRPr="00AD56D7">
        <w:rPr>
          <w:rFonts w:asciiTheme="minorHAnsi" w:hAnsiTheme="minorHAnsi" w:cstheme="minorHAnsi"/>
          <w:sz w:val="24"/>
        </w:rPr>
        <w:t xml:space="preserve">ogłaszaniu kwoty niewymagalnych zobowiązań z tytułu poręczeń i gwarancji udzielonych przez jednostki sektora finansów publicznych. </w:t>
      </w:r>
    </w:p>
    <w:p w14:paraId="1C06122E" w14:textId="2077CF89" w:rsidR="00294BA4" w:rsidRPr="00787827" w:rsidRDefault="00294BA4" w:rsidP="009D6DFF">
      <w:pPr>
        <w:pStyle w:val="akapit"/>
        <w:tabs>
          <w:tab w:val="num" w:pos="960"/>
          <w:tab w:val="left" w:pos="8760"/>
        </w:tabs>
        <w:spacing w:line="276" w:lineRule="auto"/>
        <w:ind w:firstLine="0"/>
        <w:jc w:val="left"/>
        <w:rPr>
          <w:rFonts w:asciiTheme="minorHAnsi" w:hAnsiTheme="minorHAnsi" w:cstheme="minorHAnsi"/>
          <w:sz w:val="24"/>
        </w:rPr>
      </w:pPr>
      <w:r w:rsidRPr="00787827">
        <w:rPr>
          <w:rFonts w:asciiTheme="minorHAnsi" w:hAnsiTheme="minorHAnsi" w:cstheme="minorHAnsi"/>
          <w:sz w:val="24"/>
        </w:rPr>
        <w:t xml:space="preserve">Należy mieć na uwadze fakt, że zakres wyżej wspomnianej sprawozdawczości jest różny od tego, jaki wynika z niniejszej Informacji. Do sektora finansów publicznych nie jest bowiem zaliczany Bank Gospodarstwa Krajowego. Obowiązki wynikające z ustawy o finansach publicznych są wykonywane w formie stosownych obwieszczeń. </w:t>
      </w:r>
    </w:p>
    <w:p w14:paraId="2FF435AB" w14:textId="77777777" w:rsidR="00294BA4" w:rsidRPr="00787827" w:rsidRDefault="00294BA4" w:rsidP="00294BA4">
      <w:pPr>
        <w:pStyle w:val="akapit"/>
        <w:tabs>
          <w:tab w:val="num" w:pos="960"/>
          <w:tab w:val="left" w:pos="8760"/>
        </w:tabs>
        <w:spacing w:after="300" w:line="276" w:lineRule="auto"/>
        <w:ind w:firstLine="0"/>
        <w:jc w:val="left"/>
        <w:rPr>
          <w:rFonts w:asciiTheme="minorHAnsi" w:hAnsiTheme="minorHAnsi" w:cstheme="minorHAnsi"/>
          <w:sz w:val="24"/>
        </w:rPr>
      </w:pPr>
      <w:r w:rsidRPr="00787827">
        <w:rPr>
          <w:rFonts w:asciiTheme="minorHAnsi" w:hAnsiTheme="minorHAnsi" w:cstheme="minorHAnsi"/>
          <w:sz w:val="24"/>
        </w:rPr>
        <w:t>Zaprezentowane w poniższym opracowaniu dane liczbowe wskazują, że omawiana problematyka powinna podlegać stałej kontroli z uwagi na wysoki poziom potencjalnych, niewymagalnych zobowiązań Skarbu Państwa z tytułu ud</w:t>
      </w:r>
      <w:bookmarkStart w:id="9" w:name="_Toc351982305"/>
      <w:bookmarkStart w:id="10" w:name="_Toc351982475"/>
      <w:bookmarkStart w:id="11" w:name="_Toc351982625"/>
      <w:bookmarkStart w:id="12" w:name="_Toc351982930"/>
      <w:bookmarkStart w:id="13" w:name="_Toc351990862"/>
      <w:bookmarkStart w:id="14" w:name="_Toc352076140"/>
      <w:r w:rsidRPr="00787827">
        <w:rPr>
          <w:rFonts w:asciiTheme="minorHAnsi" w:hAnsiTheme="minorHAnsi" w:cstheme="minorHAnsi"/>
          <w:sz w:val="24"/>
        </w:rPr>
        <w:t>zielonych poręczeń i gwarancji.</w:t>
      </w:r>
    </w:p>
    <w:p w14:paraId="46BBBB7C" w14:textId="2F6189E5" w:rsidR="00294BA4" w:rsidRPr="00034C9E" w:rsidRDefault="00294BA4" w:rsidP="00F03E4A">
      <w:pPr>
        <w:pStyle w:val="Nagwek2"/>
        <w:spacing w:before="360" w:after="300" w:line="276" w:lineRule="auto"/>
        <w:ind w:left="709" w:hanging="709"/>
        <w:rPr>
          <w:rFonts w:asciiTheme="minorHAnsi" w:hAnsiTheme="minorHAnsi" w:cstheme="minorHAnsi"/>
          <w:i w:val="0"/>
          <w:sz w:val="32"/>
          <w:szCs w:val="32"/>
        </w:rPr>
      </w:pPr>
      <w:bookmarkStart w:id="15" w:name="_Toc352237512"/>
      <w:bookmarkStart w:id="16" w:name="_Toc97726316"/>
      <w:r w:rsidRPr="00034C9E">
        <w:rPr>
          <w:rFonts w:asciiTheme="minorHAnsi" w:hAnsiTheme="minorHAnsi" w:cstheme="minorHAnsi"/>
          <w:i w:val="0"/>
          <w:sz w:val="32"/>
          <w:szCs w:val="32"/>
        </w:rPr>
        <w:t xml:space="preserve">2.2 </w:t>
      </w:r>
      <w:r w:rsidRPr="00034C9E">
        <w:rPr>
          <w:rFonts w:asciiTheme="minorHAnsi" w:hAnsiTheme="minorHAnsi" w:cstheme="minorHAnsi"/>
          <w:i w:val="0"/>
          <w:sz w:val="32"/>
          <w:szCs w:val="32"/>
        </w:rPr>
        <w:tab/>
        <w:t>Szczegółowe informacje dotyczące gwarancji udzielonych w 2021 r. przez Skarb Państwa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34C9E">
        <w:rPr>
          <w:rFonts w:asciiTheme="minorHAnsi" w:hAnsiTheme="minorHAnsi" w:cstheme="minorHAnsi"/>
          <w:i w:val="0"/>
          <w:sz w:val="32"/>
          <w:szCs w:val="32"/>
        </w:rPr>
        <w:t xml:space="preserve"> </w:t>
      </w:r>
    </w:p>
    <w:p w14:paraId="2B146023" w14:textId="77777777" w:rsidR="00294BA4" w:rsidRPr="00034C9E" w:rsidRDefault="00294BA4" w:rsidP="00294BA4">
      <w:pPr>
        <w:pStyle w:val="Nagwek3"/>
        <w:spacing w:before="0" w:after="300"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bookmarkStart w:id="17" w:name="_Toc351990863"/>
      <w:bookmarkStart w:id="18" w:name="_Toc352076141"/>
      <w:bookmarkStart w:id="19" w:name="_Toc352237513"/>
      <w:bookmarkStart w:id="20" w:name="_Toc97726317"/>
      <w:r w:rsidRPr="00034C9E">
        <w:rPr>
          <w:rFonts w:asciiTheme="minorHAnsi" w:hAnsiTheme="minorHAnsi" w:cstheme="minorHAnsi"/>
          <w:sz w:val="28"/>
          <w:szCs w:val="28"/>
        </w:rPr>
        <w:t xml:space="preserve">2.2.1 </w:t>
      </w:r>
      <w:r w:rsidRPr="00034C9E">
        <w:rPr>
          <w:rFonts w:asciiTheme="minorHAnsi" w:hAnsiTheme="minorHAnsi" w:cstheme="minorHAnsi"/>
          <w:sz w:val="28"/>
          <w:szCs w:val="28"/>
        </w:rPr>
        <w:tab/>
        <w:t>Udzielone gwarancje Skarbu Państwa</w:t>
      </w:r>
      <w:bookmarkEnd w:id="17"/>
      <w:bookmarkEnd w:id="18"/>
      <w:bookmarkEnd w:id="19"/>
      <w:bookmarkEnd w:id="20"/>
    </w:p>
    <w:p w14:paraId="47B8DB42" w14:textId="77777777" w:rsidR="00294BA4" w:rsidRPr="00787827" w:rsidRDefault="00294BA4" w:rsidP="00294BA4">
      <w:pPr>
        <w:pStyle w:val="Tekstpodstawowywcity"/>
        <w:numPr>
          <w:ilvl w:val="0"/>
          <w:numId w:val="10"/>
        </w:numPr>
        <w:tabs>
          <w:tab w:val="left" w:pos="709"/>
        </w:tabs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Na podstawie ustawy o poręczeniach i gwarancjach udzielono 3 gwarancji Skarbu Państwa na łączną kwotę </w:t>
      </w:r>
      <w:r w:rsidRPr="00EB563A">
        <w:rPr>
          <w:rFonts w:asciiTheme="minorHAnsi" w:hAnsiTheme="minorHAnsi" w:cstheme="minorHAnsi"/>
          <w:b/>
        </w:rPr>
        <w:t xml:space="preserve">2 785 954 000 </w:t>
      </w:r>
      <w:r w:rsidRPr="00EB563A">
        <w:rPr>
          <w:rFonts w:asciiTheme="minorHAnsi" w:hAnsiTheme="minorHAnsi" w:cstheme="minorHAnsi"/>
          <w:b/>
          <w:bCs/>
        </w:rPr>
        <w:t>zł</w:t>
      </w:r>
      <w:r w:rsidRPr="00787827">
        <w:rPr>
          <w:rFonts w:asciiTheme="minorHAnsi" w:hAnsiTheme="minorHAnsi" w:cstheme="minorHAnsi"/>
          <w:bCs/>
        </w:rPr>
        <w:t>.</w:t>
      </w:r>
      <w:r w:rsidRPr="00787827">
        <w:rPr>
          <w:rFonts w:asciiTheme="minorHAnsi" w:hAnsiTheme="minorHAnsi" w:cstheme="minorHAnsi"/>
        </w:rPr>
        <w:t xml:space="preserve"> </w:t>
      </w:r>
    </w:p>
    <w:p w14:paraId="6ED60DCF" w14:textId="77777777" w:rsidR="00294BA4" w:rsidRDefault="00294BA4" w:rsidP="00294BA4">
      <w:pPr>
        <w:spacing w:after="120"/>
        <w:rPr>
          <w:rFonts w:asciiTheme="minorHAnsi" w:hAnsiTheme="minorHAnsi" w:cstheme="minorHAnsi"/>
          <w:sz w:val="18"/>
          <w:szCs w:val="18"/>
        </w:rPr>
      </w:pPr>
    </w:p>
    <w:p w14:paraId="24DCB556" w14:textId="6D2B5221" w:rsidR="00294BA4" w:rsidRPr="00034C9E" w:rsidRDefault="00294BA4" w:rsidP="00294BA4">
      <w:pPr>
        <w:spacing w:after="300"/>
        <w:rPr>
          <w:rFonts w:asciiTheme="minorHAnsi" w:hAnsiTheme="minorHAnsi" w:cstheme="minorHAnsi"/>
          <w:b/>
          <w:snapToGrid w:val="0"/>
        </w:rPr>
      </w:pPr>
      <w:r w:rsidRPr="00034C9E">
        <w:rPr>
          <w:rFonts w:asciiTheme="minorHAnsi" w:hAnsiTheme="minorHAnsi" w:cstheme="minorHAnsi"/>
          <w:b/>
          <w:snapToGrid w:val="0"/>
        </w:rPr>
        <w:t xml:space="preserve">Tabela 1: Gwarancje Skarbu Państwa </w:t>
      </w:r>
      <w:r w:rsidR="00F03E4A">
        <w:rPr>
          <w:rFonts w:asciiTheme="minorHAnsi" w:hAnsiTheme="minorHAnsi" w:cstheme="minorHAnsi"/>
          <w:b/>
          <w:snapToGrid w:val="0"/>
        </w:rPr>
        <w:t>udzielone w 2021 roku</w:t>
      </w:r>
    </w:p>
    <w:tbl>
      <w:tblPr>
        <w:tblW w:w="8616" w:type="dxa"/>
        <w:tblInd w:w="-5" w:type="dxa"/>
        <w:tblLayout w:type="fixed"/>
        <w:tblLook w:val="01E0" w:firstRow="1" w:lastRow="1" w:firstColumn="1" w:lastColumn="1" w:noHBand="0" w:noVBand="0"/>
        <w:tblCaption w:val="Gwarancje Skarbu Państwa udzielone w 2021 r."/>
        <w:tblDescription w:val="Kredytobiorca/Wnioskodawca, Kredytodawca, Kwota objęta gwarancją w zł, Uchwała Rady Ministrów, Data podpisania umowy gwarancji, Organ udzielający gwarancji"/>
      </w:tblPr>
      <w:tblGrid>
        <w:gridCol w:w="1548"/>
        <w:gridCol w:w="33"/>
        <w:gridCol w:w="1396"/>
        <w:gridCol w:w="1383"/>
        <w:gridCol w:w="1877"/>
        <w:gridCol w:w="1237"/>
        <w:gridCol w:w="1142"/>
      </w:tblGrid>
      <w:tr w:rsidR="00294BA4" w:rsidRPr="00787827" w14:paraId="1A90E741" w14:textId="77777777" w:rsidTr="009D6DFF">
        <w:trPr>
          <w:trHeight w:val="239"/>
        </w:trPr>
        <w:tc>
          <w:tcPr>
            <w:tcW w:w="1581" w:type="dxa"/>
            <w:gridSpan w:val="2"/>
            <w:tcBorders>
              <w:bottom w:val="single" w:sz="12" w:space="0" w:color="auto"/>
            </w:tcBorders>
            <w:hideMark/>
          </w:tcPr>
          <w:p w14:paraId="41220B35" w14:textId="4BF3F457" w:rsidR="00CD149B" w:rsidRDefault="00294BA4" w:rsidP="00CD149B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787827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Kredytobiorca/</w:t>
            </w:r>
          </w:p>
          <w:p w14:paraId="422576E3" w14:textId="457553F1" w:rsidR="00294BA4" w:rsidRPr="00787827" w:rsidRDefault="00294BA4" w:rsidP="00CD149B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787827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Wnioskodawca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14:paraId="324EC9B8" w14:textId="77777777" w:rsidR="00294BA4" w:rsidRPr="00787827" w:rsidRDefault="00294BA4" w:rsidP="009D6DFF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787827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Kredytodawca</w:t>
            </w:r>
          </w:p>
          <w:p w14:paraId="139D56DD" w14:textId="77777777" w:rsidR="00294BA4" w:rsidRPr="00787827" w:rsidRDefault="00294BA4" w:rsidP="009D6DFF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  <w:hideMark/>
          </w:tcPr>
          <w:p w14:paraId="161A068C" w14:textId="68F17D24" w:rsidR="00294BA4" w:rsidRPr="00787827" w:rsidRDefault="00294BA4" w:rsidP="00CD149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787827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Kwota objęta gwarancj</w:t>
            </w:r>
            <w: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i</w:t>
            </w:r>
            <w:r w:rsidR="00CD149B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 </w:t>
            </w:r>
            <w:r w:rsidRPr="00787827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w zł*</w:t>
            </w:r>
          </w:p>
        </w:tc>
        <w:tc>
          <w:tcPr>
            <w:tcW w:w="1877" w:type="dxa"/>
            <w:tcBorders>
              <w:bottom w:val="single" w:sz="12" w:space="0" w:color="auto"/>
            </w:tcBorders>
            <w:hideMark/>
          </w:tcPr>
          <w:p w14:paraId="7F79ED6A" w14:textId="77777777" w:rsidR="00294BA4" w:rsidRPr="00787827" w:rsidRDefault="00294BA4" w:rsidP="00F03E4A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787827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Uchwała Rady Ministrów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hideMark/>
          </w:tcPr>
          <w:p w14:paraId="0396036F" w14:textId="77777777" w:rsidR="00294BA4" w:rsidRPr="00787827" w:rsidRDefault="00294BA4" w:rsidP="009D6DFF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787827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Data podpisania umowy gwarancji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hideMark/>
          </w:tcPr>
          <w:p w14:paraId="2D0E599F" w14:textId="77777777" w:rsidR="00294BA4" w:rsidRPr="00787827" w:rsidRDefault="00294BA4" w:rsidP="009D6DFF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787827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>Organ udzielający gwarancji</w:t>
            </w:r>
          </w:p>
        </w:tc>
      </w:tr>
      <w:tr w:rsidR="00294BA4" w:rsidRPr="00787827" w14:paraId="3C95AD4F" w14:textId="77777777" w:rsidTr="009D6DFF">
        <w:trPr>
          <w:trHeight w:val="396"/>
        </w:trPr>
        <w:tc>
          <w:tcPr>
            <w:tcW w:w="1548" w:type="dxa"/>
            <w:tcBorders>
              <w:top w:val="single" w:sz="12" w:space="0" w:color="auto"/>
              <w:bottom w:val="inset" w:sz="6" w:space="0" w:color="auto"/>
            </w:tcBorders>
            <w:vAlign w:val="center"/>
            <w:hideMark/>
          </w:tcPr>
          <w:p w14:paraId="44046ED2" w14:textId="77777777" w:rsidR="00294BA4" w:rsidRPr="00787827" w:rsidRDefault="00294BA4" w:rsidP="009D6DFF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Bank Gospodarstwa Krajowego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bottom w:val="inset" w:sz="6" w:space="0" w:color="auto"/>
            </w:tcBorders>
            <w:vAlign w:val="center"/>
            <w:hideMark/>
          </w:tcPr>
          <w:p w14:paraId="791C4FB1" w14:textId="77777777" w:rsidR="00294BA4" w:rsidRPr="00787827" w:rsidRDefault="00294BA4" w:rsidP="009D6DFF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Europejski Bank Inwestycyjny</w:t>
            </w:r>
          </w:p>
        </w:tc>
        <w:tc>
          <w:tcPr>
            <w:tcW w:w="1383" w:type="dxa"/>
            <w:tcBorders>
              <w:top w:val="single" w:sz="12" w:space="0" w:color="auto"/>
              <w:bottom w:val="inset" w:sz="6" w:space="0" w:color="auto"/>
            </w:tcBorders>
            <w:vAlign w:val="center"/>
            <w:hideMark/>
          </w:tcPr>
          <w:p w14:paraId="4E2A3E99" w14:textId="77777777" w:rsidR="00294BA4" w:rsidRPr="00787827" w:rsidRDefault="00294BA4" w:rsidP="009D6DFF">
            <w:pPr>
              <w:jc w:val="righ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1 899 954 000</w:t>
            </w:r>
          </w:p>
        </w:tc>
        <w:tc>
          <w:tcPr>
            <w:tcW w:w="1877" w:type="dxa"/>
            <w:tcBorders>
              <w:top w:val="single" w:sz="12" w:space="0" w:color="auto"/>
              <w:bottom w:val="inset" w:sz="6" w:space="0" w:color="auto"/>
            </w:tcBorders>
            <w:vAlign w:val="center"/>
            <w:hideMark/>
          </w:tcPr>
          <w:p w14:paraId="45B052D1" w14:textId="77777777" w:rsidR="00294BA4" w:rsidRPr="00787827" w:rsidRDefault="00294BA4" w:rsidP="009D6DFF">
            <w:pP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112/2020 z 04.08.2020 r.</w:t>
            </w:r>
          </w:p>
        </w:tc>
        <w:tc>
          <w:tcPr>
            <w:tcW w:w="1237" w:type="dxa"/>
            <w:tcBorders>
              <w:top w:val="single" w:sz="12" w:space="0" w:color="auto"/>
              <w:bottom w:val="inset" w:sz="6" w:space="0" w:color="auto"/>
            </w:tcBorders>
            <w:vAlign w:val="center"/>
            <w:hideMark/>
          </w:tcPr>
          <w:p w14:paraId="1865F099" w14:textId="77777777" w:rsidR="00294BA4" w:rsidRPr="00787827" w:rsidRDefault="00294BA4" w:rsidP="009D6DFF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21.01 2021 r.</w:t>
            </w:r>
          </w:p>
        </w:tc>
        <w:tc>
          <w:tcPr>
            <w:tcW w:w="1142" w:type="dxa"/>
            <w:tcBorders>
              <w:top w:val="single" w:sz="12" w:space="0" w:color="auto"/>
              <w:bottom w:val="inset" w:sz="6" w:space="0" w:color="auto"/>
            </w:tcBorders>
            <w:vAlign w:val="center"/>
            <w:hideMark/>
          </w:tcPr>
          <w:p w14:paraId="19CBDACD" w14:textId="77777777" w:rsidR="00294BA4" w:rsidRPr="00787827" w:rsidRDefault="00294BA4" w:rsidP="009D6DFF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Rada Ministrów</w:t>
            </w:r>
          </w:p>
        </w:tc>
      </w:tr>
      <w:tr w:rsidR="00294BA4" w:rsidRPr="00787827" w14:paraId="7E019892" w14:textId="77777777" w:rsidTr="009D6DFF">
        <w:trPr>
          <w:trHeight w:val="396"/>
        </w:trPr>
        <w:tc>
          <w:tcPr>
            <w:tcW w:w="1548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55268A70" w14:textId="77777777" w:rsidR="00294BA4" w:rsidRPr="00787827" w:rsidRDefault="00294BA4" w:rsidP="009D6DFF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PKP Intercity S.A.</w:t>
            </w:r>
          </w:p>
        </w:tc>
        <w:tc>
          <w:tcPr>
            <w:tcW w:w="1429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4299C341" w14:textId="77777777" w:rsidR="00294BA4" w:rsidRPr="00787827" w:rsidRDefault="00294BA4" w:rsidP="009D6DFF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Europejski Bank Inwestycyjny</w:t>
            </w:r>
          </w:p>
        </w:tc>
        <w:tc>
          <w:tcPr>
            <w:tcW w:w="1383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1FE462EA" w14:textId="77777777" w:rsidR="00294BA4" w:rsidRPr="00787827" w:rsidRDefault="00294BA4" w:rsidP="009D6DFF">
            <w:pPr>
              <w:jc w:val="righ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336 000 000</w:t>
            </w:r>
          </w:p>
        </w:tc>
        <w:tc>
          <w:tcPr>
            <w:tcW w:w="1877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17B37DBB" w14:textId="77777777" w:rsidR="00294BA4" w:rsidRPr="00787827" w:rsidRDefault="00294BA4" w:rsidP="009D6DFF">
            <w:pP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45/2021 z 08.04.2021 r.</w:t>
            </w:r>
          </w:p>
        </w:tc>
        <w:tc>
          <w:tcPr>
            <w:tcW w:w="1237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5BEB36CA" w14:textId="77777777" w:rsidR="00294BA4" w:rsidRPr="00787827" w:rsidRDefault="00294BA4" w:rsidP="009D6DFF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29.11.2021 r.</w:t>
            </w:r>
          </w:p>
        </w:tc>
        <w:tc>
          <w:tcPr>
            <w:tcW w:w="114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69A1C4A3" w14:textId="77777777" w:rsidR="00294BA4" w:rsidRPr="00787827" w:rsidRDefault="00294BA4" w:rsidP="009D6DFF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Rada Ministrów</w:t>
            </w:r>
          </w:p>
        </w:tc>
      </w:tr>
      <w:tr w:rsidR="00294BA4" w:rsidRPr="00787827" w14:paraId="7028BB41" w14:textId="77777777" w:rsidTr="009D6DFF">
        <w:trPr>
          <w:trHeight w:val="396"/>
        </w:trPr>
        <w:tc>
          <w:tcPr>
            <w:tcW w:w="1548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1E4726CE" w14:textId="77777777" w:rsidR="00294BA4" w:rsidRPr="00787827" w:rsidRDefault="00294BA4" w:rsidP="009D6DFF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Polska Agencja Żeglugi Powietrznej</w:t>
            </w:r>
          </w:p>
        </w:tc>
        <w:tc>
          <w:tcPr>
            <w:tcW w:w="1429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2AA879CA" w14:textId="77777777" w:rsidR="00294BA4" w:rsidRPr="00787827" w:rsidRDefault="00294BA4" w:rsidP="009D6DFF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Bank Gospodarstwa Krajowego</w:t>
            </w:r>
          </w:p>
        </w:tc>
        <w:tc>
          <w:tcPr>
            <w:tcW w:w="1383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1C5502C4" w14:textId="77777777" w:rsidR="00294BA4" w:rsidRPr="00787827" w:rsidRDefault="00294BA4" w:rsidP="009D6DFF">
            <w:pPr>
              <w:jc w:val="righ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550 000 000</w:t>
            </w:r>
          </w:p>
        </w:tc>
        <w:tc>
          <w:tcPr>
            <w:tcW w:w="1877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0457DE84" w14:textId="77777777" w:rsidR="00294BA4" w:rsidRPr="00787827" w:rsidRDefault="00294BA4" w:rsidP="009D6DFF">
            <w:pP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133/2021 z 15.10.2021 r.</w:t>
            </w:r>
          </w:p>
        </w:tc>
        <w:tc>
          <w:tcPr>
            <w:tcW w:w="1237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3A00221B" w14:textId="77777777" w:rsidR="00294BA4" w:rsidRPr="00787827" w:rsidRDefault="00294BA4" w:rsidP="009D6DFF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16.12.2021 r.</w:t>
            </w:r>
          </w:p>
        </w:tc>
        <w:tc>
          <w:tcPr>
            <w:tcW w:w="114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32292978" w14:textId="77777777" w:rsidR="00294BA4" w:rsidRPr="00787827" w:rsidRDefault="00294BA4" w:rsidP="009D6DFF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787827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Rada Ministrów</w:t>
            </w:r>
          </w:p>
        </w:tc>
      </w:tr>
      <w:tr w:rsidR="00294BA4" w:rsidRPr="00787827" w14:paraId="5A66E9DE" w14:textId="77777777" w:rsidTr="009D6DFF">
        <w:trPr>
          <w:trHeight w:val="131"/>
        </w:trPr>
        <w:tc>
          <w:tcPr>
            <w:tcW w:w="2977" w:type="dxa"/>
            <w:gridSpan w:val="3"/>
            <w:tcBorders>
              <w:top w:val="inset" w:sz="6" w:space="0" w:color="auto"/>
            </w:tcBorders>
            <w:vAlign w:val="center"/>
            <w:hideMark/>
          </w:tcPr>
          <w:p w14:paraId="65A4A492" w14:textId="77777777" w:rsidR="00294BA4" w:rsidRPr="00787827" w:rsidRDefault="00294BA4" w:rsidP="009D6DFF">
            <w:pPr>
              <w:tabs>
                <w:tab w:val="left" w:pos="511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878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Ogółem udzielone gwarancje </w:t>
            </w:r>
          </w:p>
        </w:tc>
        <w:tc>
          <w:tcPr>
            <w:tcW w:w="5639" w:type="dxa"/>
            <w:gridSpan w:val="4"/>
            <w:tcBorders>
              <w:top w:val="inset" w:sz="6" w:space="0" w:color="auto"/>
            </w:tcBorders>
            <w:vAlign w:val="center"/>
            <w:hideMark/>
          </w:tcPr>
          <w:p w14:paraId="784A6DE5" w14:textId="48804F08" w:rsidR="00294BA4" w:rsidRPr="00787827" w:rsidRDefault="003072F9" w:rsidP="009D6DFF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94BA4" w:rsidRPr="00787827"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  <w:t xml:space="preserve">2 785 954 000 </w:t>
            </w:r>
          </w:p>
        </w:tc>
      </w:tr>
    </w:tbl>
    <w:p w14:paraId="3926D745" w14:textId="77777777" w:rsidR="00294BA4" w:rsidRPr="00034C9E" w:rsidRDefault="00294BA4" w:rsidP="004C1823">
      <w:pPr>
        <w:spacing w:before="120" w:line="276" w:lineRule="auto"/>
        <w:rPr>
          <w:rFonts w:asciiTheme="minorHAnsi" w:hAnsiTheme="minorHAnsi" w:cstheme="minorHAnsi"/>
          <w:sz w:val="18"/>
          <w:szCs w:val="18"/>
        </w:rPr>
      </w:pPr>
      <w:r w:rsidRPr="00787827">
        <w:rPr>
          <w:rFonts w:asciiTheme="minorHAnsi" w:hAnsiTheme="minorHAnsi" w:cstheme="minorHAnsi"/>
          <w:sz w:val="18"/>
          <w:szCs w:val="18"/>
        </w:rPr>
        <w:t>* Kwoty gwarancji udzielonych w walutach obcych zostały przeliczone wg średnich kursów walut obcych opublikowanych przez NBP w dniu poprzedzającym dzień podpisania umów gwarancji.</w:t>
      </w:r>
    </w:p>
    <w:p w14:paraId="221D41F1" w14:textId="43B50E07" w:rsidR="00294BA4" w:rsidRPr="00294BA4" w:rsidRDefault="00294BA4" w:rsidP="004C1823">
      <w:pPr>
        <w:pStyle w:val="Akapitzlist"/>
        <w:numPr>
          <w:ilvl w:val="0"/>
          <w:numId w:val="18"/>
        </w:numPr>
        <w:spacing w:before="240" w:line="276" w:lineRule="auto"/>
        <w:ind w:left="425" w:hanging="425"/>
        <w:contextualSpacing w:val="0"/>
        <w:rPr>
          <w:rFonts w:asciiTheme="minorHAnsi" w:hAnsiTheme="minorHAnsi" w:cstheme="minorHAnsi"/>
          <w:bCs/>
          <w:iCs/>
        </w:rPr>
      </w:pPr>
      <w:bookmarkStart w:id="21" w:name="_Toc351990864"/>
      <w:bookmarkStart w:id="22" w:name="_Toc352076142"/>
      <w:bookmarkStart w:id="23" w:name="_Toc352237514"/>
      <w:r w:rsidRPr="00AD353A">
        <w:rPr>
          <w:rFonts w:asciiTheme="minorHAnsi" w:hAnsiTheme="minorHAnsi" w:cstheme="minorHAnsi"/>
          <w:bCs/>
          <w:iCs/>
        </w:rPr>
        <w:t>Gwarancja udzielona na podstawie uchwały Rady Ministrów 112/2020 z</w:t>
      </w:r>
      <w:r>
        <w:rPr>
          <w:rFonts w:asciiTheme="minorHAnsi" w:hAnsiTheme="minorHAnsi" w:cstheme="minorHAnsi"/>
          <w:bCs/>
          <w:iCs/>
        </w:rPr>
        <w:t> </w:t>
      </w:r>
      <w:r w:rsidRPr="00AD353A">
        <w:rPr>
          <w:rFonts w:asciiTheme="minorHAnsi" w:hAnsiTheme="minorHAnsi" w:cstheme="minorHAnsi"/>
          <w:bCs/>
          <w:iCs/>
        </w:rPr>
        <w:t>04.08.2020</w:t>
      </w:r>
      <w:r w:rsidR="00F519D4">
        <w:rPr>
          <w:rFonts w:asciiTheme="minorHAnsi" w:hAnsiTheme="minorHAnsi" w:cstheme="minorHAnsi"/>
          <w:bCs/>
          <w:iCs/>
        </w:rPr>
        <w:t> </w:t>
      </w:r>
      <w:r w:rsidRPr="00AD353A">
        <w:rPr>
          <w:rFonts w:asciiTheme="minorHAnsi" w:hAnsiTheme="minorHAnsi" w:cstheme="minorHAnsi"/>
          <w:bCs/>
          <w:iCs/>
        </w:rPr>
        <w:t>r., obejmująca spłatę kredytu zagranicznego, zaciągniętego przez Bank Gospodarstwa Krajowego w Europejskim Banku Inwestycyjnym, na rzecz Krajowego Funduszu Drogowego, przeznaczonego na częściowe finansowanie projektu inwestycyjnego pod nazwą „Autostrada A1 Tuszyn – Częstochowa (TEN-T)”na wsparcie przedsięwzięcia „Modernizacja linii kolejowej E59 Poznań Szczecin – A”. Stanowi ona zobowiązanie Skarbu Państwa wobec EBI do spłaty 100% kwoty kredytu w wysokości 300 000 000 EUR oraz 100% odsetek od tego kredytu i 100% kosztów bezpośrednio związanych z tym kredytem, łącznie do kwoty 420 000 000 EUR</w:t>
      </w:r>
      <w:r w:rsidRPr="00AD353A">
        <w:rPr>
          <w:rFonts w:asciiTheme="minorHAnsi" w:hAnsiTheme="minorHAnsi" w:cstheme="minorHAnsi"/>
          <w:bCs/>
        </w:rPr>
        <w:t>;</w:t>
      </w:r>
    </w:p>
    <w:p w14:paraId="57778627" w14:textId="0C343401" w:rsidR="00294BA4" w:rsidRDefault="00294BA4" w:rsidP="004C1823">
      <w:pPr>
        <w:pStyle w:val="Akapitzlist"/>
        <w:numPr>
          <w:ilvl w:val="0"/>
          <w:numId w:val="18"/>
        </w:numPr>
        <w:spacing w:before="120" w:line="276" w:lineRule="auto"/>
        <w:ind w:left="425" w:hanging="425"/>
        <w:contextualSpacing w:val="0"/>
        <w:rPr>
          <w:rFonts w:asciiTheme="minorHAnsi" w:hAnsiTheme="minorHAnsi" w:cstheme="minorHAnsi"/>
          <w:bCs/>
          <w:iCs/>
        </w:rPr>
      </w:pPr>
      <w:r w:rsidRPr="00AD56D7">
        <w:rPr>
          <w:rFonts w:asciiTheme="minorHAnsi" w:hAnsiTheme="minorHAnsi" w:cstheme="minorHAnsi"/>
          <w:bCs/>
          <w:iCs/>
        </w:rPr>
        <w:t>Gwarancja udzielona na podstawie uchwały Rady Ministrów nr 45/2021 z 08.04.2021</w:t>
      </w:r>
      <w:r w:rsidR="003101C3">
        <w:rPr>
          <w:rFonts w:asciiTheme="minorHAnsi" w:hAnsiTheme="minorHAnsi" w:cstheme="minorHAnsi"/>
          <w:bCs/>
          <w:iCs/>
        </w:rPr>
        <w:t> </w:t>
      </w:r>
      <w:r w:rsidRPr="00AD56D7">
        <w:rPr>
          <w:rFonts w:asciiTheme="minorHAnsi" w:hAnsiTheme="minorHAnsi" w:cstheme="minorHAnsi"/>
          <w:bCs/>
          <w:iCs/>
        </w:rPr>
        <w:t>r., obejmująca spłatę pierwszej części kredytu zaciągniętego przez PKP Intercity S.A. w Europejskim Banku Inwestycyjnym, przeznaczonego na częściowe finansowanie realizacji projektu inwestycyjnego pod nazwą „Program na rzecz konkurencyjności PKP Intercity”. Stanowi ona zobowiązanie Skarbu Państwa wobec EBI do spła</w:t>
      </w:r>
      <w:r w:rsidR="003072F9">
        <w:rPr>
          <w:rFonts w:asciiTheme="minorHAnsi" w:hAnsiTheme="minorHAnsi" w:cstheme="minorHAnsi"/>
          <w:bCs/>
          <w:iCs/>
        </w:rPr>
        <w:t>ty 80% pierwszej części kredytu</w:t>
      </w:r>
      <w:r w:rsidRPr="00AD56D7">
        <w:rPr>
          <w:rFonts w:asciiTheme="minorHAnsi" w:hAnsiTheme="minorHAnsi" w:cstheme="minorHAnsi"/>
          <w:bCs/>
          <w:iCs/>
        </w:rPr>
        <w:t xml:space="preserve"> w wysokości 350 000 000 zł lub równowartości tej kwoty w EUR oraz 80% odsetek </w:t>
      </w:r>
      <w:r>
        <w:rPr>
          <w:rFonts w:asciiTheme="minorHAnsi" w:hAnsiTheme="minorHAnsi" w:cstheme="minorHAnsi"/>
          <w:bCs/>
          <w:iCs/>
        </w:rPr>
        <w:t>od tej części kredytu i </w:t>
      </w:r>
      <w:r w:rsidRPr="00AD56D7">
        <w:rPr>
          <w:rFonts w:asciiTheme="minorHAnsi" w:hAnsiTheme="minorHAnsi" w:cstheme="minorHAnsi"/>
          <w:bCs/>
          <w:iCs/>
        </w:rPr>
        <w:t>80% innych kosztów bezpośrednio związanych z tą częścią kredytu, łącznie do kwoty 336</w:t>
      </w:r>
      <w:r w:rsidR="00285499">
        <w:rPr>
          <w:rFonts w:asciiTheme="minorHAnsi" w:hAnsiTheme="minorHAnsi" w:cstheme="minorHAnsi"/>
          <w:bCs/>
          <w:iCs/>
        </w:rPr>
        <w:t> </w:t>
      </w:r>
      <w:r w:rsidRPr="00AD56D7">
        <w:rPr>
          <w:rFonts w:asciiTheme="minorHAnsi" w:hAnsiTheme="minorHAnsi" w:cstheme="minorHAnsi"/>
          <w:bCs/>
          <w:iCs/>
        </w:rPr>
        <w:t>000</w:t>
      </w:r>
      <w:r w:rsidR="00285499">
        <w:rPr>
          <w:rFonts w:asciiTheme="minorHAnsi" w:hAnsiTheme="minorHAnsi" w:cstheme="minorHAnsi"/>
          <w:bCs/>
          <w:iCs/>
        </w:rPr>
        <w:t> </w:t>
      </w:r>
      <w:r w:rsidRPr="00AD56D7">
        <w:rPr>
          <w:rFonts w:asciiTheme="minorHAnsi" w:hAnsiTheme="minorHAnsi" w:cstheme="minorHAnsi"/>
          <w:bCs/>
          <w:iCs/>
        </w:rPr>
        <w:t>000</w:t>
      </w:r>
      <w:r w:rsidR="00285499">
        <w:rPr>
          <w:rFonts w:asciiTheme="minorHAnsi" w:hAnsiTheme="minorHAnsi" w:cstheme="minorHAnsi"/>
          <w:bCs/>
          <w:iCs/>
        </w:rPr>
        <w:t> </w:t>
      </w:r>
      <w:r w:rsidRPr="00AD56D7">
        <w:rPr>
          <w:rFonts w:asciiTheme="minorHAnsi" w:hAnsiTheme="minorHAnsi" w:cstheme="minorHAnsi"/>
          <w:bCs/>
          <w:iCs/>
        </w:rPr>
        <w:t>zł;</w:t>
      </w:r>
    </w:p>
    <w:p w14:paraId="1F626A93" w14:textId="4975C93D" w:rsidR="00294BA4" w:rsidRPr="00AD56D7" w:rsidRDefault="00294BA4" w:rsidP="004C1823">
      <w:pPr>
        <w:pStyle w:val="Akapitzlist"/>
        <w:numPr>
          <w:ilvl w:val="0"/>
          <w:numId w:val="18"/>
        </w:numPr>
        <w:spacing w:before="120" w:line="276" w:lineRule="auto"/>
        <w:ind w:left="425" w:hanging="425"/>
        <w:contextualSpacing w:val="0"/>
        <w:rPr>
          <w:rFonts w:asciiTheme="minorHAnsi" w:hAnsiTheme="minorHAnsi" w:cstheme="minorHAnsi"/>
          <w:bCs/>
          <w:iCs/>
        </w:rPr>
      </w:pPr>
      <w:r w:rsidRPr="00AD56D7">
        <w:rPr>
          <w:rFonts w:asciiTheme="minorHAnsi" w:hAnsiTheme="minorHAnsi" w:cstheme="minorHAnsi"/>
          <w:bCs/>
          <w:iCs/>
        </w:rPr>
        <w:t xml:space="preserve">Gwarancja udzielona na podstawie uchwały Rady Ministrów nr 133/2021 </w:t>
      </w:r>
      <w:r>
        <w:rPr>
          <w:rFonts w:asciiTheme="minorHAnsi" w:hAnsiTheme="minorHAnsi" w:cstheme="minorHAnsi"/>
          <w:bCs/>
          <w:iCs/>
        </w:rPr>
        <w:t>z </w:t>
      </w:r>
      <w:r w:rsidRPr="00AD56D7">
        <w:rPr>
          <w:rFonts w:asciiTheme="minorHAnsi" w:hAnsiTheme="minorHAnsi" w:cstheme="minorHAnsi"/>
          <w:bCs/>
          <w:iCs/>
        </w:rPr>
        <w:t>15.10.2021 r., obejmująca spłatę kredytu zaciągniętego przez Polską Agencję Żeglugi Powietrznej w Banku Gospodarstwa Krajowego, przeznaczonego na finansowanie lub refinansowanie działalności inwe</w:t>
      </w:r>
      <w:r>
        <w:rPr>
          <w:rFonts w:asciiTheme="minorHAnsi" w:hAnsiTheme="minorHAnsi" w:cstheme="minorHAnsi"/>
          <w:bCs/>
          <w:iCs/>
        </w:rPr>
        <w:t>stycyjnej służącej utrzymaniu i </w:t>
      </w:r>
      <w:r w:rsidRPr="00AD56D7">
        <w:rPr>
          <w:rFonts w:asciiTheme="minorHAnsi" w:hAnsiTheme="minorHAnsi" w:cstheme="minorHAnsi"/>
          <w:bCs/>
          <w:iCs/>
        </w:rPr>
        <w:t>rozwojowi infrastruktury krytycznej wykorzystywanej w procesie zapewniania służb żeglugi powietrznej w polskiej przestrzeni powietrznej. Stanowi ona zobowiązanie Skarbu Państwa wobec BGK do spłaty 100% kwoty kapitału kredytu</w:t>
      </w:r>
      <w:r w:rsidR="0034317E">
        <w:rPr>
          <w:rFonts w:asciiTheme="minorHAnsi" w:hAnsiTheme="minorHAnsi" w:cstheme="minorHAnsi"/>
          <w:bCs/>
          <w:iCs/>
        </w:rPr>
        <w:t>,</w:t>
      </w:r>
      <w:r w:rsidRPr="00AD56D7">
        <w:rPr>
          <w:rFonts w:asciiTheme="minorHAnsi" w:hAnsiTheme="minorHAnsi" w:cstheme="minorHAnsi"/>
          <w:bCs/>
          <w:iCs/>
        </w:rPr>
        <w:t xml:space="preserve"> tj. do wysokości 550 000 000 zł</w:t>
      </w:r>
      <w:r w:rsidRPr="00AD56D7">
        <w:rPr>
          <w:rFonts w:asciiTheme="minorHAnsi" w:hAnsiTheme="minorHAnsi" w:cstheme="minorHAnsi"/>
          <w:bCs/>
        </w:rPr>
        <w:t>.</w:t>
      </w:r>
    </w:p>
    <w:p w14:paraId="1D9F4C2A" w14:textId="77777777" w:rsidR="00294BA4" w:rsidRPr="00787827" w:rsidRDefault="00294BA4" w:rsidP="004C1823">
      <w:pPr>
        <w:pStyle w:val="Akapitzlist"/>
        <w:numPr>
          <w:ilvl w:val="0"/>
          <w:numId w:val="10"/>
        </w:numPr>
        <w:spacing w:before="24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Na podstawie art. 67 ust. 4 ustawy z dnia 31 </w:t>
      </w:r>
      <w:r>
        <w:rPr>
          <w:rFonts w:asciiTheme="minorHAnsi" w:hAnsiTheme="minorHAnsi" w:cstheme="minorHAnsi"/>
        </w:rPr>
        <w:t>marca 2020 r. o zmianie ustawy o szczególnych rozwiązaniach</w:t>
      </w:r>
      <w:r w:rsidRPr="00787827">
        <w:rPr>
          <w:rFonts w:asciiTheme="minorHAnsi" w:hAnsiTheme="minorHAnsi" w:cstheme="minorHAnsi"/>
        </w:rPr>
        <w:t xml:space="preserve"> gwarancjami Skarbu Państwa na łączną kwotę </w:t>
      </w:r>
      <w:r>
        <w:rPr>
          <w:rFonts w:asciiTheme="minorHAnsi" w:hAnsiTheme="minorHAnsi" w:cstheme="minorHAnsi"/>
          <w:b/>
        </w:rPr>
        <w:t>50 808 303 </w:t>
      </w:r>
      <w:r w:rsidRPr="00EB563A">
        <w:rPr>
          <w:rFonts w:asciiTheme="minorHAnsi" w:hAnsiTheme="minorHAnsi" w:cstheme="minorHAnsi"/>
          <w:b/>
        </w:rPr>
        <w:t>517,50 zł</w:t>
      </w:r>
      <w:r w:rsidRPr="00787827">
        <w:rPr>
          <w:rFonts w:asciiTheme="minorHAnsi" w:hAnsiTheme="minorHAnsi" w:cstheme="minorHAnsi"/>
        </w:rPr>
        <w:t xml:space="preserve"> zostały objęte zobowiązania Banku Gospodarstwa Krajowego wynikające z obligacji wyemitowanych na rzecz Funduszu Przeciwdziałania </w:t>
      </w:r>
      <w:r>
        <w:rPr>
          <w:rFonts w:asciiTheme="minorHAnsi" w:hAnsiTheme="minorHAnsi" w:cstheme="minorHAnsi"/>
        </w:rPr>
        <w:t xml:space="preserve">COVID-19 </w:t>
      </w:r>
      <w:r w:rsidRPr="00787827">
        <w:rPr>
          <w:rFonts w:asciiTheme="minorHAnsi" w:hAnsiTheme="minorHAnsi" w:cstheme="minorHAnsi"/>
        </w:rPr>
        <w:t>na podstawie następujących listów emisyjnych:</w:t>
      </w:r>
    </w:p>
    <w:p w14:paraId="0339BB08" w14:textId="04810610" w:rsidR="00294BA4" w:rsidRDefault="00294BA4" w:rsidP="004C1823">
      <w:pPr>
        <w:pStyle w:val="Akapitzlist"/>
        <w:numPr>
          <w:ilvl w:val="0"/>
          <w:numId w:val="5"/>
        </w:numPr>
        <w:spacing w:before="120" w:line="276" w:lineRule="auto"/>
        <w:ind w:left="578" w:hanging="357"/>
        <w:contextualSpacing w:val="0"/>
        <w:rPr>
          <w:rFonts w:asciiTheme="minorHAnsi" w:hAnsiTheme="minorHAnsi" w:cstheme="minorHAnsi"/>
        </w:rPr>
      </w:pPr>
      <w:r w:rsidRPr="007B6610">
        <w:rPr>
          <w:rFonts w:asciiTheme="minorHAnsi" w:hAnsiTheme="minorHAnsi" w:cstheme="minorHAnsi"/>
        </w:rPr>
        <w:t>listu emisyjnego Nr 1/2021 z 1 marca 2021 r., dotyczącego obligacji o skróconej nazwie FPC0328 (oświadczenia gwaranta: z 11.03.2021 r. na kwotę 6</w:t>
      </w:r>
      <w:r w:rsidR="002815F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381</w:t>
      </w:r>
      <w:r w:rsidR="002815F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339</w:t>
      </w:r>
      <w:r w:rsidR="002815F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537,50 zł, z 01.04.2021 r. na kwotę 2 667 509 000 zł, z 16.04.2021 r. na kwotę 1</w:t>
      </w:r>
      <w:r w:rsidR="003101C3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727</w:t>
      </w:r>
      <w:r w:rsidR="003101C3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905 782,50 zł, z 28.04.2021 r. na kwotę 3 343 366 250 zł, z 08.06.2021 r. na</w:t>
      </w:r>
      <w:r w:rsidR="003101C3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kwotę 1 086 299 375 zł, z 01.07.2021 r. na kwotę 496 421 135 zł, z 15.07.2021 r. na kwotę 626 523 375 zł, z 29.07.2021 r. na kwotę 159 619 500,00 zł, z 12.08.2021 r. na kwotę 202 050 000,00 zł, z 09.09.2021 r. na kwotę 535</w:t>
      </w:r>
      <w:r w:rsidR="002815F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993</w:t>
      </w:r>
      <w:r w:rsidR="002815F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750,00</w:t>
      </w:r>
      <w:r w:rsidR="002815F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zł, z 23.09.2021 r. na kwotę 261 542 500,00 zł, z</w:t>
      </w:r>
      <w:r w:rsidR="007B661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12.10.2021 r. na</w:t>
      </w:r>
      <w:r w:rsidR="002815F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kwotę 11 225 000 zł i</w:t>
      </w:r>
      <w:r w:rsidR="003101C3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z</w:t>
      </w:r>
      <w:r w:rsidR="003101C3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26.10.2021 r. na kwotę 56 125 000 zł);</w:t>
      </w:r>
    </w:p>
    <w:p w14:paraId="58C8D83A" w14:textId="0B2ABE47" w:rsidR="00294BA4" w:rsidRDefault="00294BA4" w:rsidP="004C1823">
      <w:pPr>
        <w:pStyle w:val="Akapitzlist"/>
        <w:numPr>
          <w:ilvl w:val="0"/>
          <w:numId w:val="5"/>
        </w:numPr>
        <w:spacing w:before="120" w:line="276" w:lineRule="auto"/>
        <w:ind w:left="578" w:hanging="357"/>
        <w:contextualSpacing w:val="0"/>
        <w:rPr>
          <w:rFonts w:asciiTheme="minorHAnsi" w:hAnsiTheme="minorHAnsi" w:cstheme="minorHAnsi"/>
        </w:rPr>
      </w:pPr>
      <w:r w:rsidRPr="007B6610">
        <w:rPr>
          <w:rFonts w:asciiTheme="minorHAnsi" w:hAnsiTheme="minorHAnsi" w:cstheme="minorHAnsi"/>
        </w:rPr>
        <w:t>listu emisyjnego Nr 2/2021 z 4 maja 2021 r., dotyczącego obligacji o skróconej nazwie FPC0631 (oświadczenia gwaranta: z 11.05.2021 r. na kwotę 6 271 818 000 zł, z 25.05.2021 r. na kwotę 3 083 920 000 zł, z 08.06.2021 r. na kwotę 1 828 993</w:t>
      </w:r>
      <w:r w:rsidR="002815F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600</w:t>
      </w:r>
      <w:r w:rsidR="002815F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zł, z 01.07.2021 r. na kwotę 1 591 100 000 zł, z 15.07.2021 r. na kwotę 1</w:t>
      </w:r>
      <w:r w:rsidR="007B661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155</w:t>
      </w:r>
      <w:r w:rsidR="007B661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060</w:t>
      </w:r>
      <w:r w:rsidR="007B661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200,00 zł, z 2</w:t>
      </w:r>
      <w:r w:rsidR="003072F9">
        <w:rPr>
          <w:rFonts w:asciiTheme="minorHAnsi" w:hAnsiTheme="minorHAnsi" w:cstheme="minorHAnsi"/>
        </w:rPr>
        <w:t>9.07.2021 r. na kwotę 1 422 820</w:t>
      </w:r>
      <w:r w:rsidRPr="007B6610">
        <w:rPr>
          <w:rFonts w:asciiTheme="minorHAnsi" w:hAnsiTheme="minorHAnsi" w:cstheme="minorHAnsi"/>
        </w:rPr>
        <w:t> 000,00 zł, z 12.08.2021 r. na kwotę 744 100 000 zł, z 09.09.2021 r. na kwotę 1</w:t>
      </w:r>
      <w:r w:rsidR="002815F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866</w:t>
      </w:r>
      <w:r w:rsidR="002815F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900</w:t>
      </w:r>
      <w:r w:rsidR="002815F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000,00</w:t>
      </w:r>
      <w:r w:rsidR="002815F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zł, z 23.09.2021</w:t>
      </w:r>
      <w:r w:rsidR="007B661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r. na kwotę 272 440 000 zł, z 12.10.2021 r. na kwotę 590 240 000,00 zł, z</w:t>
      </w:r>
      <w:r w:rsidR="007B661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26.10.2021 r. na kwot</w:t>
      </w:r>
      <w:r w:rsidR="003072F9">
        <w:rPr>
          <w:rFonts w:asciiTheme="minorHAnsi" w:hAnsiTheme="minorHAnsi" w:cstheme="minorHAnsi"/>
        </w:rPr>
        <w:t>ę 537 180 000 zł i</w:t>
      </w:r>
      <w:r w:rsidRPr="007B6610">
        <w:rPr>
          <w:rFonts w:asciiTheme="minorHAnsi" w:hAnsiTheme="minorHAnsi" w:cstheme="minorHAnsi"/>
        </w:rPr>
        <w:t> z 09.11.2021 r. na kwotę 296 100 000 zł);</w:t>
      </w:r>
    </w:p>
    <w:p w14:paraId="2C1C1D5D" w14:textId="5184EA31" w:rsidR="00294BA4" w:rsidRDefault="00294BA4" w:rsidP="007B6610">
      <w:pPr>
        <w:pStyle w:val="Akapitzlist"/>
        <w:numPr>
          <w:ilvl w:val="0"/>
          <w:numId w:val="5"/>
        </w:numPr>
        <w:spacing w:before="120" w:line="276" w:lineRule="auto"/>
        <w:ind w:left="578" w:hanging="357"/>
        <w:contextualSpacing w:val="0"/>
        <w:rPr>
          <w:rFonts w:asciiTheme="minorHAnsi" w:hAnsiTheme="minorHAnsi" w:cstheme="minorHAnsi"/>
        </w:rPr>
      </w:pPr>
      <w:r w:rsidRPr="007B6610">
        <w:rPr>
          <w:rFonts w:asciiTheme="minorHAnsi" w:hAnsiTheme="minorHAnsi" w:cstheme="minorHAnsi"/>
        </w:rPr>
        <w:t>listu emisyjnego Nr 3/2020 z 25 czerwca 2020 r. ze zm., dotyczącego obligacji o skróconej nazwie FPC0725 (oświadczenia gwaranta: z 09.09.2021 r. na kwotę 152</w:t>
      </w:r>
      <w:r w:rsidR="007B661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250 000 zł, z 23.09.2021 r. na kwotę 278 937 750 zł i z 12.10.2021 r. na kwotę 1</w:t>
      </w:r>
      <w:r w:rsidR="007B661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050 000 zł);</w:t>
      </w:r>
    </w:p>
    <w:p w14:paraId="4D9F3FAB" w14:textId="7FACB638" w:rsidR="00294BA4" w:rsidRDefault="00294BA4" w:rsidP="007B6610">
      <w:pPr>
        <w:pStyle w:val="Akapitzlist"/>
        <w:numPr>
          <w:ilvl w:val="0"/>
          <w:numId w:val="5"/>
        </w:numPr>
        <w:spacing w:before="120" w:line="276" w:lineRule="auto"/>
        <w:ind w:left="578" w:hanging="357"/>
        <w:contextualSpacing w:val="0"/>
        <w:rPr>
          <w:rFonts w:asciiTheme="minorHAnsi" w:hAnsiTheme="minorHAnsi" w:cstheme="minorHAnsi"/>
        </w:rPr>
      </w:pPr>
      <w:r w:rsidRPr="007B6610">
        <w:rPr>
          <w:rFonts w:asciiTheme="minorHAnsi" w:hAnsiTheme="minorHAnsi" w:cstheme="minorHAnsi"/>
        </w:rPr>
        <w:t>listu emisyjnego Nr 4/2020 z 16 lipca 2020 r. ze zm., dotyczącego obligacji o skróconej nazwie FPC0733 (oświadczenia gwaranta: z 11.03.2021 r. na kwotę 420</w:t>
      </w:r>
      <w:r w:rsidR="007B661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534 262,50 zł, z 01.04.2021 r. na kwotę 640 433 750 zł, z 16.04.2021 r. na kwotę 415 538 750 zł, z 28.04.2021 r. na kwotę 40 067 500,00 zł, z 28.09.2021 r. na kwotę 889 000 000 zł, z 12.10.2021 r. na kwotę 212 090 000,00 zł i z 29.11.2021 r. na kwotę 571 500 000);</w:t>
      </w:r>
    </w:p>
    <w:p w14:paraId="715A5683" w14:textId="0D55D964" w:rsidR="00294BA4" w:rsidRDefault="00294BA4" w:rsidP="007B6610">
      <w:pPr>
        <w:pStyle w:val="Akapitzlist"/>
        <w:numPr>
          <w:ilvl w:val="0"/>
          <w:numId w:val="5"/>
        </w:numPr>
        <w:spacing w:before="120" w:line="276" w:lineRule="auto"/>
        <w:ind w:left="578" w:hanging="357"/>
        <w:contextualSpacing w:val="0"/>
        <w:rPr>
          <w:rFonts w:asciiTheme="minorHAnsi" w:hAnsiTheme="minorHAnsi" w:cstheme="minorHAnsi"/>
        </w:rPr>
      </w:pPr>
      <w:r w:rsidRPr="007B6610">
        <w:rPr>
          <w:rFonts w:asciiTheme="minorHAnsi" w:hAnsiTheme="minorHAnsi" w:cstheme="minorHAnsi"/>
        </w:rPr>
        <w:t xml:space="preserve">listu emisyjnego Nr 5/2020 z 19 listopada 2020 r. </w:t>
      </w:r>
      <w:r w:rsidR="003072F9">
        <w:rPr>
          <w:rFonts w:asciiTheme="minorHAnsi" w:hAnsiTheme="minorHAnsi" w:cstheme="minorHAnsi"/>
        </w:rPr>
        <w:t>ze zm., dotyczącego obligacji o</w:t>
      </w:r>
      <w:r w:rsidRPr="007B6610">
        <w:rPr>
          <w:rFonts w:asciiTheme="minorHAnsi" w:hAnsiTheme="minorHAnsi" w:cstheme="minorHAnsi"/>
        </w:rPr>
        <w:t> skróconej nazwie FPC1140 (oświadczenia gwaranta: z 11.03.2021 r. na kwotę 308</w:t>
      </w:r>
      <w:r w:rsidR="007B6610">
        <w:rPr>
          <w:rFonts w:asciiTheme="minorHAnsi" w:hAnsiTheme="minorHAnsi" w:cstheme="minorHAnsi"/>
        </w:rPr>
        <w:t> </w:t>
      </w:r>
      <w:r w:rsidRPr="007B6610">
        <w:rPr>
          <w:rFonts w:asciiTheme="minorHAnsi" w:hAnsiTheme="minorHAnsi" w:cstheme="minorHAnsi"/>
        </w:rPr>
        <w:t>717 500,00 zł, z 01.04.2021 r. na kwotę 253 700 000,00 zł, z 28.04.2021 r. na kwotę 147 500 000 zł, z 11.05.2021 r. na kwotę 7 375 000 zł, z 09.09.2021 r. na kwotę 336 300 000 zł, z 26.10.2021 r. na kwotę 182 900 000,00 zł i z 09.11.2021 r. na kwotę 148 975 000);</w:t>
      </w:r>
    </w:p>
    <w:p w14:paraId="31B5E62A" w14:textId="1FD78BB1" w:rsidR="00294BA4" w:rsidRDefault="00294BA4" w:rsidP="007B6610">
      <w:pPr>
        <w:pStyle w:val="Akapitzlist"/>
        <w:numPr>
          <w:ilvl w:val="0"/>
          <w:numId w:val="5"/>
        </w:numPr>
        <w:spacing w:before="120" w:line="276" w:lineRule="auto"/>
        <w:ind w:left="578" w:hanging="357"/>
        <w:contextualSpacing w:val="0"/>
        <w:rPr>
          <w:rFonts w:asciiTheme="minorHAnsi" w:hAnsiTheme="minorHAnsi" w:cstheme="minorHAnsi"/>
        </w:rPr>
      </w:pPr>
      <w:r w:rsidRPr="007B6610">
        <w:rPr>
          <w:rFonts w:asciiTheme="minorHAnsi" w:hAnsiTheme="minorHAnsi" w:cstheme="minorHAnsi"/>
        </w:rPr>
        <w:t>listu emisyjnego Nr 3/2021 z 1 lipca 2021 r. (oświadczenie gwaranta z 06.07.2021 r. na kwotę 700 000 000 EUR, czyli 3 155 810 000 zł);</w:t>
      </w:r>
    </w:p>
    <w:p w14:paraId="2A4B956D" w14:textId="2B16C25E" w:rsidR="00294BA4" w:rsidRDefault="00294BA4" w:rsidP="007B6610">
      <w:pPr>
        <w:pStyle w:val="Akapitzlist"/>
        <w:numPr>
          <w:ilvl w:val="0"/>
          <w:numId w:val="5"/>
        </w:numPr>
        <w:spacing w:before="120" w:line="276" w:lineRule="auto"/>
        <w:ind w:left="578" w:hanging="357"/>
        <w:contextualSpacing w:val="0"/>
        <w:rPr>
          <w:rFonts w:asciiTheme="minorHAnsi" w:hAnsiTheme="minorHAnsi" w:cstheme="minorHAnsi"/>
        </w:rPr>
      </w:pPr>
      <w:r w:rsidRPr="007B6610">
        <w:rPr>
          <w:rFonts w:asciiTheme="minorHAnsi" w:hAnsiTheme="minorHAnsi" w:cstheme="minorHAnsi"/>
        </w:rPr>
        <w:t>listu emisyjnego Nr 4/2021 z 6 października 2021 r. (oświadczenie gwaranta z 11.10.2021 r. na kwotę 700 000 000 EUR, czyli 3 216 920 000 zł);</w:t>
      </w:r>
    </w:p>
    <w:p w14:paraId="30B04AF8" w14:textId="232B6B6A" w:rsidR="00294BA4" w:rsidRPr="007B6610" w:rsidRDefault="00294BA4" w:rsidP="007B6610">
      <w:pPr>
        <w:pStyle w:val="Akapitzlist"/>
        <w:numPr>
          <w:ilvl w:val="0"/>
          <w:numId w:val="5"/>
        </w:numPr>
        <w:spacing w:before="120" w:line="276" w:lineRule="auto"/>
        <w:ind w:left="578" w:hanging="357"/>
        <w:contextualSpacing w:val="0"/>
        <w:rPr>
          <w:rFonts w:asciiTheme="minorHAnsi" w:hAnsiTheme="minorHAnsi" w:cstheme="minorHAnsi"/>
        </w:rPr>
      </w:pPr>
      <w:r w:rsidRPr="007B6610">
        <w:rPr>
          <w:rFonts w:asciiTheme="minorHAnsi" w:hAnsiTheme="minorHAnsi" w:cstheme="minorHAnsi"/>
        </w:rPr>
        <w:t>listu emisyjnego Nr 5/2021 z 21 października 2021 r. (oświadczenie gwaranta z 26.10.2021 r. na kwotę 560 000 000 USD, czyli 2 212 112 000,00 zł).</w:t>
      </w:r>
    </w:p>
    <w:p w14:paraId="7638D3CC" w14:textId="459366F5" w:rsidR="00294BA4" w:rsidRPr="00787827" w:rsidRDefault="00294BA4" w:rsidP="004C1823">
      <w:pPr>
        <w:pStyle w:val="Akapitzlist"/>
        <w:numPr>
          <w:ilvl w:val="0"/>
          <w:numId w:val="10"/>
        </w:numPr>
        <w:spacing w:before="240" w:line="276" w:lineRule="auto"/>
        <w:ind w:left="357" w:hanging="357"/>
        <w:contextualSpacing w:val="0"/>
        <w:rPr>
          <w:rFonts w:asciiTheme="minorHAnsi" w:hAnsiTheme="minorHAnsi" w:cstheme="minorHAnsi"/>
          <w:bCs/>
          <w:iCs/>
        </w:rPr>
      </w:pPr>
      <w:r w:rsidRPr="00AD353A">
        <w:rPr>
          <w:rFonts w:asciiTheme="minorHAnsi" w:hAnsiTheme="minorHAnsi" w:cstheme="minorHAnsi"/>
        </w:rPr>
        <w:t>Na podstawie</w:t>
      </w:r>
      <w:r w:rsidRPr="00787827">
        <w:rPr>
          <w:rFonts w:asciiTheme="minorHAnsi" w:hAnsiTheme="minorHAnsi" w:cstheme="minorHAnsi"/>
        </w:rPr>
        <w:t xml:space="preserve"> art. 21aa ust. 2 ustawy </w:t>
      </w:r>
      <w:r>
        <w:rPr>
          <w:rFonts w:asciiTheme="minorHAnsi" w:hAnsiTheme="minorHAnsi" w:cstheme="minorHAnsi"/>
        </w:rPr>
        <w:t>o SIR</w:t>
      </w:r>
      <w:r w:rsidRPr="00787827">
        <w:rPr>
          <w:rFonts w:asciiTheme="minorHAnsi" w:hAnsiTheme="minorHAnsi" w:cstheme="minorHAnsi"/>
        </w:rPr>
        <w:t xml:space="preserve"> gwarancjami</w:t>
      </w:r>
      <w:r w:rsidR="003072F9">
        <w:rPr>
          <w:rFonts w:asciiTheme="minorHAnsi" w:hAnsiTheme="minorHAnsi" w:cstheme="minorHAnsi"/>
        </w:rPr>
        <w:t xml:space="preserve"> Skarbu Państwa na łączną kwotę</w:t>
      </w:r>
      <w:r w:rsidRPr="00787827">
        <w:rPr>
          <w:rFonts w:asciiTheme="minorHAnsi" w:hAnsiTheme="minorHAnsi" w:cstheme="minorHAnsi"/>
        </w:rPr>
        <w:t xml:space="preserve"> </w:t>
      </w:r>
      <w:r w:rsidRPr="00CA7D91">
        <w:rPr>
          <w:rFonts w:asciiTheme="minorHAnsi" w:hAnsiTheme="minorHAnsi" w:cstheme="minorHAnsi"/>
          <w:b/>
        </w:rPr>
        <w:t>10 021 718 317,50 zł</w:t>
      </w:r>
      <w:r w:rsidRPr="00787827">
        <w:rPr>
          <w:rFonts w:asciiTheme="minorHAnsi" w:hAnsiTheme="minorHAnsi" w:cstheme="minorHAnsi"/>
        </w:rPr>
        <w:t xml:space="preserve"> zostały objęte zobowiązania Polskiego Funduszu Rozwoju S.A. wynikające z</w:t>
      </w:r>
      <w:r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obligacji wyemitowanych na realizację programów rządowych „Tarcza finansowa Polskiego Funduszu Rozwoju dla dużych firm”, „Tarcza finansowa 2.0 Polskiego Funduszu Rozwoju dla mikro, małych i średnich firm” oraz „Programu wsparcia Polskich Linii Lotniczych LOT S.A.”, na podstawie następujących listów emisyjnych:</w:t>
      </w:r>
    </w:p>
    <w:p w14:paraId="7D2232CA" w14:textId="030BEFDA" w:rsidR="00294BA4" w:rsidRPr="00787827" w:rsidRDefault="00294BA4" w:rsidP="004C1823">
      <w:pPr>
        <w:pStyle w:val="Akapitzlist"/>
        <w:numPr>
          <w:ilvl w:val="0"/>
          <w:numId w:val="6"/>
        </w:numPr>
        <w:spacing w:before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listu emisyjnego Nr 1/2021 z 15 stycznia 2021 r., dotyczącego obligacji o skróconej nazwie PFR0827 (oświadczenie gwaranta z </w:t>
      </w:r>
      <w:r>
        <w:rPr>
          <w:rFonts w:asciiTheme="minorHAnsi" w:hAnsiTheme="minorHAnsi" w:cstheme="minorHAnsi"/>
        </w:rPr>
        <w:t>15.01.2021 r. na kwotę 5 </w:t>
      </w:r>
      <w:r w:rsidRPr="00787827">
        <w:rPr>
          <w:rFonts w:asciiTheme="minorHAnsi" w:hAnsiTheme="minorHAnsi" w:cstheme="minorHAnsi"/>
        </w:rPr>
        <w:t>728</w:t>
      </w:r>
      <w:r w:rsidR="002815F0"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019</w:t>
      </w:r>
      <w:r w:rsidR="002815F0"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692,50 zł);</w:t>
      </w:r>
    </w:p>
    <w:p w14:paraId="24036EFD" w14:textId="4C5FB6F5" w:rsidR="00294BA4" w:rsidRPr="00787827" w:rsidRDefault="00294BA4" w:rsidP="007B6610">
      <w:pPr>
        <w:pStyle w:val="Akapitzlist"/>
        <w:numPr>
          <w:ilvl w:val="0"/>
          <w:numId w:val="6"/>
        </w:numPr>
        <w:spacing w:before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listu emisyjnego Nr 2/2021 z 28 stycznia 2021 r., dotyczącego obligacji o skróconej nazwie PFR0228 (oświadczenie gwaranta z 05.02.2021 r. na kwotę 1 400 000</w:t>
      </w:r>
      <w:r w:rsidR="002815F0"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000</w:t>
      </w:r>
      <w:r w:rsidR="002815F0"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zł);</w:t>
      </w:r>
    </w:p>
    <w:p w14:paraId="32C5A046" w14:textId="090AFCB4" w:rsidR="00294BA4" w:rsidRPr="00787827" w:rsidRDefault="00294BA4" w:rsidP="007B6610">
      <w:pPr>
        <w:pStyle w:val="Akapitzlist"/>
        <w:numPr>
          <w:ilvl w:val="0"/>
          <w:numId w:val="6"/>
        </w:numPr>
        <w:spacing w:before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listu emisyjnego Nr 3/2021 z 3 lutego 2021 r., dotyczącego obligacji o skróconej nazwie PFR0330B (oświadczenie gwaranta z 03.02.2021 r. na kwotę 1</w:t>
      </w:r>
      <w:r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493</w:t>
      </w:r>
      <w:r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698</w:t>
      </w:r>
      <w:r w:rsidR="00F519D4"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625</w:t>
      </w:r>
      <w:r w:rsidR="00F519D4"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zł);</w:t>
      </w:r>
    </w:p>
    <w:p w14:paraId="62A27864" w14:textId="79E4B95E" w:rsidR="00294BA4" w:rsidRPr="00787827" w:rsidRDefault="00294BA4" w:rsidP="007B6610">
      <w:pPr>
        <w:pStyle w:val="Akapitzlist"/>
        <w:numPr>
          <w:ilvl w:val="0"/>
          <w:numId w:val="6"/>
        </w:numPr>
        <w:spacing w:before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listu emisyjnego Nr 4/2021 z 5 lutego 2021 r., dotyczącego obligacji o skróconej nazwie PFR0228B (oświadczenie gwaranta z 12.02.2021 r. na kwotę 1 400 000</w:t>
      </w:r>
      <w:r w:rsidR="002815F0"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000</w:t>
      </w:r>
      <w:r w:rsidR="002815F0"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zł).</w:t>
      </w:r>
    </w:p>
    <w:p w14:paraId="0DF181CD" w14:textId="77777777" w:rsidR="00294BA4" w:rsidRPr="00034C9E" w:rsidRDefault="00294BA4" w:rsidP="007B6610">
      <w:pPr>
        <w:pStyle w:val="Nagwek3"/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8"/>
          <w:szCs w:val="28"/>
        </w:rPr>
      </w:pPr>
      <w:bookmarkStart w:id="24" w:name="_Toc97726318"/>
      <w:r w:rsidRPr="00034C9E">
        <w:rPr>
          <w:rFonts w:asciiTheme="minorHAnsi" w:hAnsiTheme="minorHAnsi" w:cstheme="minorHAnsi"/>
          <w:sz w:val="28"/>
          <w:szCs w:val="28"/>
        </w:rPr>
        <w:t>2.2.2 Wykorzystanie ustawowego limitu poręczeń i gwarancji Skarbu Państwa na rok 20</w:t>
      </w:r>
      <w:bookmarkEnd w:id="21"/>
      <w:bookmarkEnd w:id="22"/>
      <w:bookmarkEnd w:id="23"/>
      <w:r w:rsidRPr="00034C9E">
        <w:rPr>
          <w:rFonts w:asciiTheme="minorHAnsi" w:hAnsiTheme="minorHAnsi" w:cstheme="minorHAnsi"/>
          <w:sz w:val="28"/>
          <w:szCs w:val="28"/>
        </w:rPr>
        <w:t>21</w:t>
      </w:r>
      <w:bookmarkEnd w:id="24"/>
      <w:r w:rsidRPr="00034C9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50D576A" w14:textId="77777777" w:rsidR="00294BA4" w:rsidRPr="00787827" w:rsidRDefault="00294BA4" w:rsidP="007B6610">
      <w:pPr>
        <w:tabs>
          <w:tab w:val="left" w:pos="539"/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bookmarkStart w:id="25" w:name="_Toc351990865"/>
      <w:bookmarkStart w:id="26" w:name="_Toc352076143"/>
      <w:bookmarkStart w:id="27" w:name="_Toc352237515"/>
      <w:r w:rsidRPr="00787827">
        <w:rPr>
          <w:rFonts w:asciiTheme="minorHAnsi" w:hAnsiTheme="minorHAnsi" w:cstheme="minorHAnsi"/>
        </w:rPr>
        <w:t>Na podstawie art. 31 ustawy o poręczeniach i gwarancjach, łączna kwota, do wysokości której mogą być udzielane przez Skarb Państwa poręczenia i gwarancje, określana jest corocznie w ustawie budżetowej</w:t>
      </w:r>
      <w:r>
        <w:rPr>
          <w:rFonts w:asciiTheme="minorHAnsi" w:hAnsiTheme="minorHAnsi" w:cstheme="minorHAnsi"/>
        </w:rPr>
        <w:t>.</w:t>
      </w:r>
      <w:r w:rsidRPr="00787827">
        <w:rPr>
          <w:rFonts w:asciiTheme="minorHAnsi" w:hAnsiTheme="minorHAnsi" w:cstheme="minorHAnsi"/>
        </w:rPr>
        <w:t xml:space="preserve"> Do powyższego limitu budżetowego nie są wliczane następujące gwarancje Skarbu Państwa:</w:t>
      </w:r>
    </w:p>
    <w:p w14:paraId="6BDF2AFD" w14:textId="427A9D42" w:rsidR="00294BA4" w:rsidRPr="00787827" w:rsidRDefault="00294BA4" w:rsidP="004C182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obejmujące zobowiązania Banku Gospodarstwa Krajowego wynikające z obligacji wyemitowanych na rzecz Funduszu Przeciwdziałania COVID-19;</w:t>
      </w:r>
    </w:p>
    <w:p w14:paraId="6B810F90" w14:textId="6FD2E878" w:rsidR="00294BA4" w:rsidRPr="00787827" w:rsidRDefault="00294BA4" w:rsidP="004C182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obejmujące zobowiąza</w:t>
      </w:r>
      <w:r w:rsidR="003072F9">
        <w:rPr>
          <w:rFonts w:asciiTheme="minorHAnsi" w:hAnsiTheme="minorHAnsi" w:cstheme="minorHAnsi"/>
        </w:rPr>
        <w:t xml:space="preserve">nia Polskiego Funduszu Rozwoju </w:t>
      </w:r>
      <w:r w:rsidRPr="00787827">
        <w:rPr>
          <w:rFonts w:asciiTheme="minorHAnsi" w:hAnsiTheme="minorHAnsi" w:cstheme="minorHAnsi"/>
        </w:rPr>
        <w:t>S.A. wynikające z obligacji wyemitowanych na realizację programów rządowych „Tarcza finansowa Polskiego Funduszu Rozwoju dla dużych firm”, „Tarcza finansowa 2.0 Polskiego Funduszu Rozwoju dla mikro, małych i średnich firm” oraz „Programu wsparcia Polskich Linii Lotniczych LOT S.A.”.</w:t>
      </w:r>
    </w:p>
    <w:p w14:paraId="513EF7A1" w14:textId="6D98F9AF" w:rsidR="00294BA4" w:rsidRDefault="00294BA4" w:rsidP="004C1823">
      <w:pPr>
        <w:tabs>
          <w:tab w:val="left" w:pos="539"/>
          <w:tab w:val="left" w:pos="567"/>
        </w:tabs>
        <w:spacing w:before="24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W ustawie budżetowej na rok 2021 limit gwarancji i poręczeń Skarbu Państwa został ustalony na kwotę 500 mld zł. Głównym czynnikiem, który wpłynął na </w:t>
      </w:r>
      <w:r>
        <w:rPr>
          <w:rFonts w:asciiTheme="minorHAnsi" w:hAnsiTheme="minorHAnsi" w:cstheme="minorHAnsi"/>
        </w:rPr>
        <w:t xml:space="preserve">wysokość tego </w:t>
      </w:r>
      <w:r w:rsidRPr="00787827">
        <w:rPr>
          <w:rFonts w:asciiTheme="minorHAnsi" w:hAnsiTheme="minorHAnsi" w:cstheme="minorHAnsi"/>
        </w:rPr>
        <w:t>limitu, była możliwość jego wykorzystania do działań, które mogłyby się pojawić</w:t>
      </w:r>
      <w:r>
        <w:rPr>
          <w:rFonts w:asciiTheme="minorHAnsi" w:hAnsiTheme="minorHAnsi" w:cstheme="minorHAnsi"/>
        </w:rPr>
        <w:t>:</w:t>
      </w:r>
    </w:p>
    <w:p w14:paraId="77AEC01D" w14:textId="77777777" w:rsidR="00294BA4" w:rsidRDefault="00294BA4" w:rsidP="004C1823">
      <w:pPr>
        <w:pStyle w:val="Akapitzlist"/>
        <w:numPr>
          <w:ilvl w:val="0"/>
          <w:numId w:val="40"/>
        </w:numPr>
        <w:spacing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8F4F37">
        <w:rPr>
          <w:rFonts w:asciiTheme="minorHAnsi" w:hAnsiTheme="minorHAnsi" w:cstheme="minorHAnsi"/>
        </w:rPr>
        <w:t xml:space="preserve">w związku ze stanem pandemii COVID-19 </w:t>
      </w:r>
      <w:r>
        <w:rPr>
          <w:rFonts w:asciiTheme="minorHAnsi" w:hAnsiTheme="minorHAnsi" w:cstheme="minorHAnsi"/>
        </w:rPr>
        <w:t>lub</w:t>
      </w:r>
      <w:r w:rsidRPr="008F4F37">
        <w:rPr>
          <w:rFonts w:asciiTheme="minorHAnsi" w:hAnsiTheme="minorHAnsi" w:cstheme="minorHAnsi"/>
        </w:rPr>
        <w:t xml:space="preserve"> </w:t>
      </w:r>
    </w:p>
    <w:p w14:paraId="060D1692" w14:textId="49627D44" w:rsidR="00294BA4" w:rsidRPr="008F4F37" w:rsidRDefault="00294BA4" w:rsidP="007B6610">
      <w:pPr>
        <w:pStyle w:val="Akapitzlist"/>
        <w:numPr>
          <w:ilvl w:val="0"/>
          <w:numId w:val="40"/>
        </w:numPr>
        <w:tabs>
          <w:tab w:val="left" w:pos="539"/>
          <w:tab w:val="left" w:pos="567"/>
        </w:tabs>
        <w:spacing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8F4F37">
        <w:rPr>
          <w:rFonts w:asciiTheme="minorHAnsi" w:hAnsiTheme="minorHAnsi" w:cstheme="minorHAnsi"/>
        </w:rPr>
        <w:t xml:space="preserve">w przypadku ewentualnego pogorszenia warunków działania polskiego systemu finansowego w przypadku kryzysu finansowego lub gospodarczego, </w:t>
      </w:r>
      <w:r>
        <w:rPr>
          <w:rFonts w:asciiTheme="minorHAnsi" w:hAnsiTheme="minorHAnsi" w:cstheme="minorHAnsi"/>
        </w:rPr>
        <w:t xml:space="preserve">kiedy to istnieje </w:t>
      </w:r>
      <w:r w:rsidRPr="008F4F37">
        <w:rPr>
          <w:rFonts w:asciiTheme="minorHAnsi" w:hAnsiTheme="minorHAnsi" w:cstheme="minorHAnsi"/>
        </w:rPr>
        <w:t xml:space="preserve">możliwość wspierania podmiotów należących do sektora </w:t>
      </w:r>
      <w:r>
        <w:rPr>
          <w:rFonts w:asciiTheme="minorHAnsi" w:hAnsiTheme="minorHAnsi" w:cstheme="minorHAnsi"/>
        </w:rPr>
        <w:t xml:space="preserve">finansowego </w:t>
      </w:r>
      <w:r w:rsidRPr="008F4F3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8F4F37">
        <w:rPr>
          <w:rFonts w:asciiTheme="minorHAnsi" w:hAnsiTheme="minorHAnsi" w:cstheme="minorHAnsi"/>
        </w:rPr>
        <w:t xml:space="preserve">oparciu o przepisy ustawy </w:t>
      </w:r>
      <w:r>
        <w:rPr>
          <w:rFonts w:asciiTheme="minorHAnsi" w:hAnsiTheme="minorHAnsi" w:cstheme="minorHAnsi"/>
        </w:rPr>
        <w:t xml:space="preserve">z dnia 12 lutego 2009 r. </w:t>
      </w:r>
      <w:r w:rsidRPr="008F4F37">
        <w:rPr>
          <w:rFonts w:asciiTheme="minorHAnsi" w:hAnsiTheme="minorHAnsi" w:cstheme="minorHAnsi"/>
        </w:rPr>
        <w:t>o udzielaniu przez Skarb Państwa wsparcia instytucjom finansowym</w:t>
      </w:r>
      <w:r>
        <w:rPr>
          <w:rStyle w:val="Odwoanieprzypisudolnego"/>
          <w:rFonts w:asciiTheme="minorHAnsi" w:hAnsiTheme="minorHAnsi" w:cstheme="minorHAnsi"/>
        </w:rPr>
        <w:footnoteReference w:id="7"/>
      </w:r>
      <w:r w:rsidR="00085980" w:rsidRPr="003101C3">
        <w:rPr>
          <w:rFonts w:asciiTheme="minorHAnsi" w:hAnsiTheme="minorHAnsi" w:cstheme="minorHAnsi"/>
          <w:vertAlign w:val="superscript"/>
        </w:rPr>
        <w:t>)</w:t>
      </w:r>
      <w:r w:rsidRPr="008F4F37">
        <w:rPr>
          <w:rFonts w:asciiTheme="minorHAnsi" w:hAnsiTheme="minorHAnsi" w:cstheme="minorHAnsi"/>
        </w:rPr>
        <w:t xml:space="preserve"> oraz ustawy</w:t>
      </w:r>
      <w:r>
        <w:rPr>
          <w:rFonts w:asciiTheme="minorHAnsi" w:hAnsiTheme="minorHAnsi" w:cstheme="minorHAnsi"/>
        </w:rPr>
        <w:t xml:space="preserve"> z dnia 12 lutego 2010 r.</w:t>
      </w:r>
      <w:r w:rsidRPr="008F4F37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> </w:t>
      </w:r>
      <w:r w:rsidRPr="008F4F37">
        <w:rPr>
          <w:rFonts w:asciiTheme="minorHAnsi" w:hAnsiTheme="minorHAnsi" w:cstheme="minorHAnsi"/>
        </w:rPr>
        <w:t>rekapitalizacji niektórych instytucji oraz o rządowych instrumentach stabilizacji finansowej</w:t>
      </w:r>
      <w:r>
        <w:rPr>
          <w:rStyle w:val="Odwoanieprzypisudolnego"/>
          <w:rFonts w:asciiTheme="minorHAnsi" w:hAnsiTheme="minorHAnsi" w:cstheme="minorHAnsi"/>
        </w:rPr>
        <w:footnoteReference w:id="8"/>
      </w:r>
      <w:r w:rsidR="00085980" w:rsidRPr="003101C3">
        <w:rPr>
          <w:rFonts w:asciiTheme="minorHAnsi" w:hAnsiTheme="minorHAnsi" w:cstheme="minorHAnsi"/>
          <w:vertAlign w:val="superscript"/>
        </w:rPr>
        <w:t>)</w:t>
      </w:r>
      <w:r w:rsidRPr="008F4F37">
        <w:rPr>
          <w:rFonts w:asciiTheme="minorHAnsi" w:hAnsiTheme="minorHAnsi" w:cstheme="minorHAnsi"/>
        </w:rPr>
        <w:t>.</w:t>
      </w:r>
    </w:p>
    <w:p w14:paraId="3F27803C" w14:textId="77777777" w:rsidR="00294BA4" w:rsidRPr="00787827" w:rsidRDefault="00294BA4" w:rsidP="007B6610">
      <w:pPr>
        <w:tabs>
          <w:tab w:val="left" w:pos="539"/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kwocie tej została uwzględniona potencjalna możliwość udzielania poręczeń i</w:t>
      </w:r>
      <w:r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gwarancji Skarbu Państwa zarówno w oparciu o obowiązujące</w:t>
      </w:r>
      <w:r>
        <w:rPr>
          <w:rFonts w:asciiTheme="minorHAnsi" w:hAnsiTheme="minorHAnsi" w:cstheme="minorHAnsi"/>
        </w:rPr>
        <w:t xml:space="preserve"> w tym zakresie przepisy, jak i </w:t>
      </w:r>
      <w:r w:rsidRPr="00787827">
        <w:rPr>
          <w:rFonts w:asciiTheme="minorHAnsi" w:hAnsiTheme="minorHAnsi" w:cstheme="minorHAnsi"/>
        </w:rPr>
        <w:t>poręczeń i gwarancji, których udzielenie mogłoby być ewentualnie przewidziane w</w:t>
      </w:r>
      <w:r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 xml:space="preserve">nowoprojektowanych przepisach, np. dedykowanych dla sektora finansowego lub poszczególnych branż. </w:t>
      </w:r>
    </w:p>
    <w:p w14:paraId="696F432E" w14:textId="77777777" w:rsidR="00294BA4" w:rsidRPr="00787827" w:rsidRDefault="00294BA4" w:rsidP="007B6610">
      <w:pPr>
        <w:tabs>
          <w:tab w:val="left" w:pos="539"/>
          <w:tab w:val="left" w:pos="567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Na podstawie ustawy o poręczeniach i gwarancjach w 2021 r. udzielono gwarancji Skarbu Państwa na łączną kwotę </w:t>
      </w:r>
      <w:r w:rsidRPr="00CA7D91">
        <w:rPr>
          <w:rFonts w:asciiTheme="minorHAnsi" w:hAnsiTheme="minorHAnsi" w:cstheme="minorHAnsi"/>
          <w:b/>
        </w:rPr>
        <w:t>2 785 954 000 zł</w:t>
      </w:r>
      <w:r w:rsidRPr="00787827">
        <w:rPr>
          <w:rFonts w:asciiTheme="minorHAnsi" w:hAnsiTheme="minorHAnsi" w:cstheme="minorHAnsi"/>
        </w:rPr>
        <w:t xml:space="preserve">, co stanowi 0,56% kwoty limitu zaplanowanej na 2021 r. </w:t>
      </w:r>
    </w:p>
    <w:p w14:paraId="6C711D31" w14:textId="74EFD772" w:rsidR="00294BA4" w:rsidRPr="00787827" w:rsidRDefault="00294BA4" w:rsidP="00294BA4">
      <w:pPr>
        <w:tabs>
          <w:tab w:val="left" w:pos="539"/>
          <w:tab w:val="left" w:pos="567"/>
        </w:tabs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porównaniu z rokiem 2020 wykorzystanie limitu gwarancji i poręczeń Skarbu Państwa w 2021 r. jest niższe. Limit w 2020 r., zaplanowany również w wysokości 500 mld zł, wykorzystano w kwocie 5 094 341 000 zł, co stanowi ok. 1,02% kwoty tego limitu . Najpoważniejszym czynnikiem mającym wpływ na tak niskie wykorzystanie limitu jest przede wszystkim udzielanie gwarancji związanych z przeciwdziałaniem COVID-19 niewliczanych do limitu (na podstawie przepisów covidowych, innych niż ustawa o poręczeniach i gwarancjach) przy jego znacznej wysokości, tj. 500 mld zł.</w:t>
      </w:r>
    </w:p>
    <w:p w14:paraId="4A79C6B4" w14:textId="77777777" w:rsidR="00294BA4" w:rsidRPr="00034C9E" w:rsidRDefault="00294BA4" w:rsidP="00294BA4">
      <w:pPr>
        <w:pStyle w:val="Nagwek3"/>
        <w:spacing w:before="0" w:after="300" w:line="276" w:lineRule="auto"/>
        <w:ind w:left="709" w:hanging="709"/>
        <w:jc w:val="both"/>
        <w:rPr>
          <w:rFonts w:asciiTheme="minorHAnsi" w:hAnsiTheme="minorHAnsi" w:cstheme="minorHAnsi"/>
          <w:sz w:val="28"/>
          <w:szCs w:val="28"/>
        </w:rPr>
      </w:pPr>
      <w:bookmarkStart w:id="28" w:name="_Toc97726319"/>
      <w:r w:rsidRPr="00034C9E">
        <w:rPr>
          <w:rFonts w:asciiTheme="minorHAnsi" w:hAnsiTheme="minorHAnsi" w:cstheme="minorHAnsi"/>
          <w:sz w:val="28"/>
          <w:szCs w:val="28"/>
        </w:rPr>
        <w:t>2.2.3</w:t>
      </w:r>
      <w:r w:rsidRPr="00034C9E">
        <w:rPr>
          <w:rFonts w:asciiTheme="minorHAnsi" w:hAnsiTheme="minorHAnsi" w:cstheme="minorHAnsi"/>
          <w:sz w:val="28"/>
          <w:szCs w:val="28"/>
        </w:rPr>
        <w:tab/>
        <w:t>Opłaty prowizyjne od udzielonych gwarancji i poręczeń wpłacane na rachunek rezerw poręczeniowych i gwarancyjnych Skarbu Państwa</w:t>
      </w:r>
      <w:bookmarkEnd w:id="25"/>
      <w:bookmarkEnd w:id="26"/>
      <w:bookmarkEnd w:id="27"/>
      <w:bookmarkEnd w:id="28"/>
      <w:r w:rsidRPr="00034C9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CC8C26E" w14:textId="77777777" w:rsidR="00294BA4" w:rsidRPr="00787827" w:rsidRDefault="00294BA4" w:rsidP="007B6610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W 2021 roku, z tytułu udzielonych gwarancji Skarbu Państwa, wniesione zostały opłaty prowizyjne w łącznej kwocie </w:t>
      </w:r>
      <w:r w:rsidRPr="00CA7D91">
        <w:rPr>
          <w:rFonts w:asciiTheme="minorHAnsi" w:hAnsiTheme="minorHAnsi" w:cstheme="minorHAnsi"/>
          <w:b/>
        </w:rPr>
        <w:t>24 440 296,32</w:t>
      </w:r>
      <w:r>
        <w:rPr>
          <w:rFonts w:asciiTheme="minorHAnsi" w:hAnsiTheme="minorHAnsi" w:cstheme="minorHAnsi"/>
          <w:b/>
        </w:rPr>
        <w:t xml:space="preserve"> </w:t>
      </w:r>
      <w:r w:rsidRPr="00CA7D91">
        <w:rPr>
          <w:rFonts w:asciiTheme="minorHAnsi" w:hAnsiTheme="minorHAnsi" w:cstheme="minorHAnsi"/>
          <w:b/>
        </w:rPr>
        <w:t>zł</w:t>
      </w:r>
      <w:r w:rsidRPr="00787827">
        <w:rPr>
          <w:rFonts w:asciiTheme="minorHAnsi" w:hAnsiTheme="minorHAnsi" w:cstheme="minorHAnsi"/>
        </w:rPr>
        <w:t>, w związku z:</w:t>
      </w:r>
    </w:p>
    <w:p w14:paraId="7CD7C408" w14:textId="77D76AA3" w:rsidR="00294BA4" w:rsidRDefault="00294BA4" w:rsidP="004C1823">
      <w:pPr>
        <w:pStyle w:val="Akapitzlist"/>
        <w:numPr>
          <w:ilvl w:val="0"/>
          <w:numId w:val="19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83507">
        <w:rPr>
          <w:rFonts w:asciiTheme="minorHAnsi" w:hAnsiTheme="minorHAnsi" w:cstheme="minorHAnsi"/>
        </w:rPr>
        <w:t>gwarancją za zobowiązania PKP Intercity S.A. wynikające z</w:t>
      </w:r>
      <w:r>
        <w:rPr>
          <w:rFonts w:asciiTheme="minorHAnsi" w:hAnsiTheme="minorHAnsi" w:cstheme="minorHAnsi"/>
        </w:rPr>
        <w:t> </w:t>
      </w:r>
      <w:r w:rsidRPr="00783507">
        <w:rPr>
          <w:rFonts w:asciiTheme="minorHAnsi" w:hAnsiTheme="minorHAnsi" w:cstheme="minorHAnsi"/>
        </w:rPr>
        <w:t>pierwszej części kredytu zaciągniętego przez PKP Intercity S.A. w Europejskim Banku Inwestycyjnym, przeznaczonego na częściowe finansowanie realizacji projektu inwestycyjnego pod nazwą „Program na rzecz konkurencyjności P</w:t>
      </w:r>
      <w:r w:rsidR="003072F9">
        <w:rPr>
          <w:rFonts w:asciiTheme="minorHAnsi" w:hAnsiTheme="minorHAnsi" w:cstheme="minorHAnsi"/>
        </w:rPr>
        <w:t xml:space="preserve">KP Intercity”, stanowiąca 1,2% </w:t>
      </w:r>
      <w:r w:rsidRPr="00783507">
        <w:rPr>
          <w:rFonts w:asciiTheme="minorHAnsi" w:hAnsiTheme="minorHAnsi" w:cstheme="minorHAnsi"/>
        </w:rPr>
        <w:t>kwoty pierwszej części kredytu, tj. 430 816,44 zł, wniesiona 23 listopada 2021 r. (naliczana od dnia jej wniesienia do dnia 31 grudnia tego roku);</w:t>
      </w:r>
    </w:p>
    <w:p w14:paraId="7C887172" w14:textId="77777777" w:rsidR="00294BA4" w:rsidRDefault="00294BA4" w:rsidP="004C1823">
      <w:pPr>
        <w:pStyle w:val="Akapitzlist"/>
        <w:numPr>
          <w:ilvl w:val="0"/>
          <w:numId w:val="19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83507">
        <w:rPr>
          <w:rFonts w:asciiTheme="minorHAnsi" w:hAnsiTheme="minorHAnsi" w:cstheme="minorHAnsi"/>
        </w:rPr>
        <w:t>gwarancją za zobowiązania Polskiej Agencji Żeglugi Powietrznej wynikające z</w:t>
      </w:r>
      <w:r>
        <w:rPr>
          <w:rFonts w:asciiTheme="minorHAnsi" w:hAnsiTheme="minorHAnsi" w:cstheme="minorHAnsi"/>
        </w:rPr>
        <w:t> </w:t>
      </w:r>
      <w:r w:rsidRPr="00783507">
        <w:rPr>
          <w:rFonts w:asciiTheme="minorHAnsi" w:hAnsiTheme="minorHAnsi" w:cstheme="minorHAnsi"/>
        </w:rPr>
        <w:t>kredytu zaciągniętego w Banku Gospodarstwa Krajowego, przeznaczonego na finansowanie lub refinansowanie działalności inwestycyjnej służącej utrzymaniu i</w:t>
      </w:r>
      <w:r>
        <w:rPr>
          <w:rFonts w:asciiTheme="minorHAnsi" w:hAnsiTheme="minorHAnsi" w:cstheme="minorHAnsi"/>
        </w:rPr>
        <w:t> </w:t>
      </w:r>
      <w:r w:rsidRPr="00783507">
        <w:rPr>
          <w:rFonts w:asciiTheme="minorHAnsi" w:hAnsiTheme="minorHAnsi" w:cstheme="minorHAnsi"/>
        </w:rPr>
        <w:t>rozwojowi infrastruktury krytycznej wykorzystywanej w procesie zapewniania służb żeglugi powietrznej w polskiej przestrzeni powietrznej, w wysokości 1,2% kwoty zobowiązania objętego gwarancją, tj. 6 600 000 zł (prowizja jednorazowa), wniesiona 3 listopada 2021 r.;</w:t>
      </w:r>
    </w:p>
    <w:p w14:paraId="19751D13" w14:textId="302934E3" w:rsidR="00294BA4" w:rsidRDefault="00294BA4" w:rsidP="007B6610">
      <w:pPr>
        <w:pStyle w:val="Akapitzlist"/>
        <w:numPr>
          <w:ilvl w:val="0"/>
          <w:numId w:val="19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83507">
        <w:rPr>
          <w:rFonts w:asciiTheme="minorHAnsi" w:hAnsiTheme="minorHAnsi" w:cstheme="minorHAnsi"/>
        </w:rPr>
        <w:t xml:space="preserve">gwarancją za zobowiązania PKP Intercity S.A. wynikające z kredytu A zaciągniętego w Europejskim Banku Inwestycyjnym na sfinansowanie projektu „PKP Intercity - tabor kolejowy dużych prędkości” - opłata prowizyjna w kwocie 7 </w:t>
      </w:r>
      <w:r w:rsidR="003072F9">
        <w:rPr>
          <w:rFonts w:asciiTheme="minorHAnsi" w:hAnsiTheme="minorHAnsi" w:cstheme="minorHAnsi"/>
        </w:rPr>
        <w:t xml:space="preserve">864 705,91 zł, stanowiąca 1,2% </w:t>
      </w:r>
      <w:r w:rsidRPr="00783507">
        <w:rPr>
          <w:rFonts w:asciiTheme="minorHAnsi" w:hAnsiTheme="minorHAnsi" w:cstheme="minorHAnsi"/>
        </w:rPr>
        <w:t>kwoty zobowiązania gwaranta według stanu na 31 grudnia roku poprzedniego, tj. kwoty 655 392 159,44 zł, wniesiona 31 marca 2021 r.;</w:t>
      </w:r>
    </w:p>
    <w:p w14:paraId="3CE922B7" w14:textId="37DEC7B3" w:rsidR="00294BA4" w:rsidRDefault="00294BA4" w:rsidP="007B6610">
      <w:pPr>
        <w:pStyle w:val="Akapitzlist"/>
        <w:numPr>
          <w:ilvl w:val="0"/>
          <w:numId w:val="19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83507">
        <w:rPr>
          <w:rFonts w:asciiTheme="minorHAnsi" w:hAnsiTheme="minorHAnsi" w:cstheme="minorHAnsi"/>
        </w:rPr>
        <w:t xml:space="preserve">gwarancją </w:t>
      </w:r>
      <w:r>
        <w:rPr>
          <w:rFonts w:asciiTheme="minorHAnsi" w:hAnsiTheme="minorHAnsi" w:cstheme="minorHAnsi"/>
        </w:rPr>
        <w:t>z</w:t>
      </w:r>
      <w:r w:rsidRPr="00783507">
        <w:rPr>
          <w:rFonts w:asciiTheme="minorHAnsi" w:hAnsiTheme="minorHAnsi" w:cstheme="minorHAnsi"/>
        </w:rPr>
        <w:t xml:space="preserve">a zobowiązania PKP Intercity S.A. wynikające z kredytu B zaciągniętego w Europejskim Banku Inwestycyjnym na sfinansowanie projektu „PKP Intercity - tabor kolejowy dużych prędkości” - opłata prowizyjna w kwocie 4 </w:t>
      </w:r>
      <w:r w:rsidR="003072F9">
        <w:rPr>
          <w:rFonts w:asciiTheme="minorHAnsi" w:hAnsiTheme="minorHAnsi" w:cstheme="minorHAnsi"/>
        </w:rPr>
        <w:t xml:space="preserve">335 032,16 zł, stanowiąca 1,2% </w:t>
      </w:r>
      <w:r w:rsidRPr="00783507">
        <w:rPr>
          <w:rFonts w:asciiTheme="minorHAnsi" w:hAnsiTheme="minorHAnsi" w:cstheme="minorHAnsi"/>
        </w:rPr>
        <w:t>kwoty zobowiązania gwaranta według stanu na 31 grudnia roku poprzedniego, tj. kwoty 361 252 680,13 zł, wniesiona 31 marca 2021 r.;</w:t>
      </w:r>
    </w:p>
    <w:p w14:paraId="56E5A4E4" w14:textId="6E64D7ED" w:rsidR="00294BA4" w:rsidRDefault="00294BA4" w:rsidP="007B6610">
      <w:pPr>
        <w:pStyle w:val="Akapitzlist"/>
        <w:numPr>
          <w:ilvl w:val="0"/>
          <w:numId w:val="19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83507">
        <w:rPr>
          <w:rFonts w:asciiTheme="minorHAnsi" w:hAnsiTheme="minorHAnsi" w:cstheme="minorHAnsi"/>
        </w:rPr>
        <w:t>gwarancją za zobowiązania PKP Intercity S.A. wynikające z kredytu zaciągniętego w Europejskim Banku Inwestycyjnym na sfinansowanie projektu Tabor kolejowy PKP Intercity - opłata prowizyjna w kwocie 2 673 580</w:t>
      </w:r>
      <w:r w:rsidR="003072F9">
        <w:rPr>
          <w:rFonts w:asciiTheme="minorHAnsi" w:hAnsiTheme="minorHAnsi" w:cstheme="minorHAnsi"/>
        </w:rPr>
        <w:t xml:space="preserve">,40 zł, stanowiąca 1,2% </w:t>
      </w:r>
      <w:r w:rsidRPr="00783507">
        <w:rPr>
          <w:rFonts w:asciiTheme="minorHAnsi" w:hAnsiTheme="minorHAnsi" w:cstheme="minorHAnsi"/>
        </w:rPr>
        <w:t>kwoty zobowiązania gwaranta według stanu na 31</w:t>
      </w:r>
      <w:r>
        <w:rPr>
          <w:rFonts w:asciiTheme="minorHAnsi" w:hAnsiTheme="minorHAnsi" w:cstheme="minorHAnsi"/>
        </w:rPr>
        <w:t> </w:t>
      </w:r>
      <w:r w:rsidRPr="00783507">
        <w:rPr>
          <w:rFonts w:asciiTheme="minorHAnsi" w:hAnsiTheme="minorHAnsi" w:cstheme="minorHAnsi"/>
        </w:rPr>
        <w:t>grudnia roku poprzedniego, tj. kwoty 222</w:t>
      </w:r>
      <w:r w:rsidR="00F47D02">
        <w:rPr>
          <w:rFonts w:asciiTheme="minorHAnsi" w:hAnsiTheme="minorHAnsi" w:cstheme="minorHAnsi"/>
        </w:rPr>
        <w:t> </w:t>
      </w:r>
      <w:r w:rsidRPr="00783507">
        <w:rPr>
          <w:rFonts w:asciiTheme="minorHAnsi" w:hAnsiTheme="minorHAnsi" w:cstheme="minorHAnsi"/>
        </w:rPr>
        <w:t>798 366,50 zł, wniesiona 31 marca 2021 r.;</w:t>
      </w:r>
    </w:p>
    <w:p w14:paraId="42F39392" w14:textId="0719ADD8" w:rsidR="00294BA4" w:rsidRPr="00783507" w:rsidRDefault="00294BA4" w:rsidP="007B6610">
      <w:pPr>
        <w:pStyle w:val="Akapitzlist"/>
        <w:numPr>
          <w:ilvl w:val="0"/>
          <w:numId w:val="19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83507">
        <w:rPr>
          <w:rFonts w:asciiTheme="minorHAnsi" w:hAnsiTheme="minorHAnsi" w:cstheme="minorHAnsi"/>
        </w:rPr>
        <w:t xml:space="preserve">gwarancją za zobowiązania PKP Intercity S.A. wynikające z kredytu zaciągniętego w Europejskim Banku Inwestycyjnym na sfinansowanie projektu Tabor kolejowy PKP Intercity - opłata prowizyjna w kwocie 2 </w:t>
      </w:r>
      <w:r w:rsidR="003072F9">
        <w:rPr>
          <w:rFonts w:asciiTheme="minorHAnsi" w:hAnsiTheme="minorHAnsi" w:cstheme="minorHAnsi"/>
        </w:rPr>
        <w:t xml:space="preserve">536 161,41 zł, stanowiąca 1,2% </w:t>
      </w:r>
      <w:r w:rsidRPr="00783507">
        <w:rPr>
          <w:rFonts w:asciiTheme="minorHAnsi" w:hAnsiTheme="minorHAnsi" w:cstheme="minorHAnsi"/>
        </w:rPr>
        <w:t>kwoty zobowiązania gwaranta według stanu na 31 grudnia roku poprzedniego, tj. kwoty 211</w:t>
      </w:r>
      <w:r w:rsidR="00F47D02">
        <w:rPr>
          <w:rFonts w:asciiTheme="minorHAnsi" w:hAnsiTheme="minorHAnsi" w:cstheme="minorHAnsi"/>
        </w:rPr>
        <w:t> </w:t>
      </w:r>
      <w:r w:rsidRPr="00783507">
        <w:rPr>
          <w:rFonts w:asciiTheme="minorHAnsi" w:hAnsiTheme="minorHAnsi" w:cstheme="minorHAnsi"/>
        </w:rPr>
        <w:t>346 784,01 zł, wniesiona 31 marca 2021</w:t>
      </w:r>
      <w:r>
        <w:rPr>
          <w:rFonts w:asciiTheme="minorHAnsi" w:hAnsiTheme="minorHAnsi" w:cstheme="minorHAnsi"/>
        </w:rPr>
        <w:t> </w:t>
      </w:r>
      <w:r w:rsidRPr="00783507">
        <w:rPr>
          <w:rFonts w:asciiTheme="minorHAnsi" w:hAnsiTheme="minorHAnsi" w:cstheme="minorHAnsi"/>
        </w:rPr>
        <w:t>r.</w:t>
      </w:r>
    </w:p>
    <w:p w14:paraId="15713297" w14:textId="68B6EE6E" w:rsidR="00294BA4" w:rsidRPr="00787827" w:rsidRDefault="00294BA4" w:rsidP="007B6610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Powyższe opłaty prowizyjne zostały wyliczone i pobrane zgodnie z przepisami rozporządzenia z dnia 8 czerwca 2012 r. Rady Ministrów w sprawie opłaty prowizyjnej od poręczenia i gwarancji udzielanych przez Skarb Państwa</w:t>
      </w:r>
      <w:r>
        <w:rPr>
          <w:rStyle w:val="Odwoanieprzypisudolnego"/>
          <w:rFonts w:asciiTheme="minorHAnsi" w:hAnsiTheme="minorHAnsi" w:cstheme="minorHAnsi"/>
        </w:rPr>
        <w:footnoteReference w:id="9"/>
      </w:r>
      <w:r w:rsidR="00085980" w:rsidRPr="003101C3">
        <w:rPr>
          <w:rFonts w:asciiTheme="minorHAnsi" w:hAnsiTheme="minorHAnsi" w:cstheme="minorHAnsi"/>
          <w:vertAlign w:val="superscript"/>
        </w:rPr>
        <w:t>)</w:t>
      </w:r>
      <w:r w:rsidRPr="00787827">
        <w:rPr>
          <w:rFonts w:asciiTheme="minorHAnsi" w:hAnsiTheme="minorHAnsi" w:cstheme="minorHAnsi"/>
        </w:rPr>
        <w:t>.</w:t>
      </w:r>
    </w:p>
    <w:p w14:paraId="32AE8992" w14:textId="77777777" w:rsidR="00294BA4" w:rsidRPr="00787827" w:rsidRDefault="00294BA4" w:rsidP="007B6610">
      <w:pPr>
        <w:spacing w:after="120" w:line="276" w:lineRule="auto"/>
        <w:rPr>
          <w:rFonts w:asciiTheme="minorHAnsi" w:eastAsia="Calibri" w:hAnsiTheme="minorHAnsi" w:cstheme="minorHAnsi"/>
        </w:rPr>
      </w:pPr>
      <w:r w:rsidRPr="00787827">
        <w:rPr>
          <w:rFonts w:asciiTheme="minorHAnsi" w:eastAsia="Calibri" w:hAnsiTheme="minorHAnsi" w:cstheme="minorHAnsi"/>
        </w:rPr>
        <w:t>W 2021 r. z wniesienia opłaty prowizyjnej zwolnione były następujące gwarancje,</w:t>
      </w:r>
      <w:r>
        <w:rPr>
          <w:rFonts w:asciiTheme="minorHAnsi" w:eastAsia="Calibri" w:hAnsiTheme="minorHAnsi" w:cstheme="minorHAnsi"/>
        </w:rPr>
        <w:t xml:space="preserve"> </w:t>
      </w:r>
      <w:r w:rsidRPr="00787827">
        <w:rPr>
          <w:rFonts w:asciiTheme="minorHAnsi" w:eastAsia="Calibri" w:hAnsiTheme="minorHAnsi" w:cstheme="minorHAnsi"/>
        </w:rPr>
        <w:t>na podstawie:</w:t>
      </w:r>
    </w:p>
    <w:p w14:paraId="6CE08126" w14:textId="2CA1458D" w:rsidR="00294BA4" w:rsidRDefault="00294BA4" w:rsidP="007B6610">
      <w:pPr>
        <w:pStyle w:val="Akapitzlist"/>
        <w:numPr>
          <w:ilvl w:val="0"/>
          <w:numId w:val="20"/>
        </w:numPr>
        <w:spacing w:after="120" w:line="276" w:lineRule="auto"/>
        <w:ind w:left="357" w:hanging="357"/>
        <w:contextualSpacing w:val="0"/>
        <w:rPr>
          <w:rFonts w:asciiTheme="minorHAnsi" w:eastAsia="Calibri" w:hAnsiTheme="minorHAnsi" w:cstheme="minorHAnsi"/>
        </w:rPr>
      </w:pPr>
      <w:r w:rsidRPr="00783507">
        <w:rPr>
          <w:rFonts w:asciiTheme="minorHAnsi" w:eastAsia="Calibri" w:hAnsiTheme="minorHAnsi" w:cstheme="minorHAnsi"/>
        </w:rPr>
        <w:t>art. 2c ust. 4 ustawy z dnia 8 maja 1997 r. o poręczeniach i gwarancjach, zwolnienie z obowiązku wniesienia opłaty prowizyjnej dotyczyło jednej gwarancji spłaty kredytu zaciągniętego przez Bank Gospodarstwa Krajowego w Europejskim Banku Inwestycyjnym. Zwolnienie z opłaty prowizyjnej z tytułu takich gwarancji następuje również na podstawie art. 39d ust. 3 ustawy z dnia 27 października 1994 r. o autostradach płatnych oraz o Krajowym Funduszu Drogowym</w:t>
      </w:r>
      <w:r>
        <w:rPr>
          <w:rStyle w:val="Odwoanieprzypisudolnego"/>
          <w:rFonts w:asciiTheme="minorHAnsi" w:eastAsia="Calibri" w:hAnsiTheme="minorHAnsi" w:cstheme="minorHAnsi"/>
        </w:rPr>
        <w:footnoteReference w:id="10"/>
      </w:r>
      <w:r w:rsidR="00085980" w:rsidRPr="003101C3">
        <w:rPr>
          <w:rFonts w:asciiTheme="minorHAnsi" w:eastAsia="Calibri" w:hAnsiTheme="minorHAnsi" w:cstheme="minorHAnsi"/>
          <w:vertAlign w:val="superscript"/>
        </w:rPr>
        <w:t>)</w:t>
      </w:r>
      <w:r w:rsidRPr="00783507">
        <w:rPr>
          <w:rFonts w:asciiTheme="minorHAnsi" w:eastAsia="Calibri" w:hAnsiTheme="minorHAnsi" w:cstheme="minorHAnsi"/>
        </w:rPr>
        <w:t>;</w:t>
      </w:r>
    </w:p>
    <w:p w14:paraId="7BC78A35" w14:textId="77777777" w:rsidR="00294BA4" w:rsidRPr="00783507" w:rsidRDefault="00294BA4" w:rsidP="007B6610">
      <w:pPr>
        <w:pStyle w:val="Akapitzlist"/>
        <w:numPr>
          <w:ilvl w:val="0"/>
          <w:numId w:val="20"/>
        </w:numPr>
        <w:spacing w:after="120" w:line="276" w:lineRule="auto"/>
        <w:ind w:left="357" w:hanging="357"/>
        <w:contextualSpacing w:val="0"/>
        <w:rPr>
          <w:rFonts w:asciiTheme="minorHAnsi" w:eastAsia="Calibri" w:hAnsiTheme="minorHAnsi" w:cstheme="minorHAnsi"/>
        </w:rPr>
      </w:pPr>
      <w:r w:rsidRPr="00783507">
        <w:rPr>
          <w:rFonts w:asciiTheme="minorHAnsi" w:eastAsia="Calibri" w:hAnsiTheme="minorHAnsi" w:cstheme="minorHAnsi"/>
        </w:rPr>
        <w:t xml:space="preserve">art. 67 ust. 7 </w:t>
      </w:r>
      <w:r w:rsidRPr="00783507">
        <w:rPr>
          <w:rFonts w:asciiTheme="minorHAnsi" w:hAnsiTheme="minorHAnsi" w:cstheme="minorHAnsi"/>
        </w:rPr>
        <w:t xml:space="preserve">ustawy z dnia 31 marca 2020 r. o zmianie ustawy o </w:t>
      </w:r>
      <w:r>
        <w:rPr>
          <w:rFonts w:asciiTheme="minorHAnsi" w:hAnsiTheme="minorHAnsi" w:cstheme="minorHAnsi"/>
        </w:rPr>
        <w:t>szczególnych rozwiązaniach</w:t>
      </w:r>
      <w:r w:rsidRPr="00783507">
        <w:rPr>
          <w:rFonts w:asciiTheme="minorHAnsi" w:hAnsiTheme="minorHAnsi" w:cstheme="minorHAnsi"/>
        </w:rPr>
        <w:t xml:space="preserve"> z obowiązku wniesienia opłaty prowizyjnej zwolnione są gwarancje wypłaty zobowiązań z wyemitowanych przez BGK obligacji na rzecz Funduszu Przeciwdziałania COVID-19;</w:t>
      </w:r>
    </w:p>
    <w:p w14:paraId="310E19C0" w14:textId="77777777" w:rsidR="00294BA4" w:rsidRPr="00783507" w:rsidRDefault="00294BA4" w:rsidP="00294BA4">
      <w:pPr>
        <w:pStyle w:val="Akapitzlist"/>
        <w:numPr>
          <w:ilvl w:val="0"/>
          <w:numId w:val="20"/>
        </w:numPr>
        <w:spacing w:after="300" w:line="276" w:lineRule="auto"/>
        <w:ind w:left="357" w:hanging="357"/>
        <w:contextualSpacing w:val="0"/>
        <w:rPr>
          <w:rFonts w:asciiTheme="minorHAnsi" w:eastAsia="Calibri" w:hAnsiTheme="minorHAnsi" w:cstheme="minorHAnsi"/>
        </w:rPr>
      </w:pPr>
      <w:r w:rsidRPr="00783507">
        <w:rPr>
          <w:rFonts w:asciiTheme="minorHAnsi" w:eastAsia="Calibri" w:hAnsiTheme="minorHAnsi" w:cstheme="minorHAnsi"/>
        </w:rPr>
        <w:t xml:space="preserve">art. 21aa ust. 5 ustawy </w:t>
      </w:r>
      <w:r>
        <w:rPr>
          <w:rFonts w:asciiTheme="minorHAnsi" w:eastAsia="Calibri" w:hAnsiTheme="minorHAnsi" w:cstheme="minorHAnsi"/>
        </w:rPr>
        <w:t>o SIR</w:t>
      </w:r>
      <w:r w:rsidRPr="00783507">
        <w:rPr>
          <w:rFonts w:asciiTheme="minorHAnsi" w:eastAsia="Calibri" w:hAnsiTheme="minorHAnsi" w:cstheme="minorHAnsi"/>
        </w:rPr>
        <w:t xml:space="preserve"> </w:t>
      </w:r>
      <w:r w:rsidRPr="00783507">
        <w:rPr>
          <w:rFonts w:asciiTheme="minorHAnsi" w:hAnsiTheme="minorHAnsi" w:cstheme="minorHAnsi"/>
        </w:rPr>
        <w:t>z obowiązku wniesienia opłaty prowizyjnej zwolnione są gwarancje wypłaty zobowiązań z wyemitowanych przez PFR obligacji na realizację programów rządowych.</w:t>
      </w:r>
    </w:p>
    <w:p w14:paraId="04FEB664" w14:textId="77777777" w:rsidR="00294BA4" w:rsidRPr="008F4F37" w:rsidRDefault="00294BA4" w:rsidP="00294BA4">
      <w:pPr>
        <w:pStyle w:val="Nagwek3"/>
        <w:spacing w:before="0" w:after="300"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bookmarkStart w:id="29" w:name="_Toc351990866"/>
      <w:bookmarkStart w:id="30" w:name="_Toc352076144"/>
      <w:bookmarkStart w:id="31" w:name="_Toc352237516"/>
      <w:bookmarkStart w:id="32" w:name="_Toc97726320"/>
      <w:r w:rsidRPr="008F4F37">
        <w:rPr>
          <w:rFonts w:asciiTheme="minorHAnsi" w:hAnsiTheme="minorHAnsi" w:cstheme="minorHAnsi"/>
          <w:sz w:val="28"/>
          <w:szCs w:val="28"/>
        </w:rPr>
        <w:t xml:space="preserve">2.2.4 </w:t>
      </w:r>
      <w:r w:rsidRPr="008F4F37">
        <w:rPr>
          <w:rFonts w:asciiTheme="minorHAnsi" w:hAnsiTheme="minorHAnsi" w:cstheme="minorHAnsi"/>
          <w:sz w:val="28"/>
          <w:szCs w:val="28"/>
        </w:rPr>
        <w:tab/>
        <w:t>Niewymagalne zobowiązania Skarbu Państwa</w:t>
      </w:r>
      <w:bookmarkEnd w:id="29"/>
      <w:bookmarkEnd w:id="30"/>
      <w:bookmarkEnd w:id="31"/>
      <w:bookmarkEnd w:id="32"/>
    </w:p>
    <w:p w14:paraId="3AA7D36D" w14:textId="57545A5E" w:rsidR="00294BA4" w:rsidRPr="008F4F37" w:rsidRDefault="00294BA4" w:rsidP="00D00CF2">
      <w:pPr>
        <w:pStyle w:val="akapit"/>
        <w:tabs>
          <w:tab w:val="left" w:pos="840"/>
          <w:tab w:val="num" w:pos="960"/>
        </w:tabs>
        <w:spacing w:after="240" w:line="276" w:lineRule="auto"/>
        <w:ind w:firstLine="0"/>
        <w:jc w:val="left"/>
        <w:rPr>
          <w:rFonts w:asciiTheme="minorHAnsi" w:hAnsiTheme="minorHAnsi" w:cstheme="minorHAnsi"/>
          <w:sz w:val="24"/>
        </w:rPr>
      </w:pPr>
      <w:r w:rsidRPr="008F4F37">
        <w:rPr>
          <w:rFonts w:asciiTheme="minorHAnsi" w:hAnsiTheme="minorHAnsi" w:cstheme="minorHAnsi"/>
          <w:sz w:val="24"/>
        </w:rPr>
        <w:t xml:space="preserve">Potencjalne, niewymagalne zobowiązania Skarbu Państwa z tytułu udzielonych poręczeń </w:t>
      </w:r>
      <w:r w:rsidR="003072F9">
        <w:rPr>
          <w:rFonts w:asciiTheme="minorHAnsi" w:hAnsiTheme="minorHAnsi" w:cstheme="minorHAnsi"/>
          <w:sz w:val="24"/>
        </w:rPr>
        <w:t>i gwarancji</w:t>
      </w:r>
      <w:r w:rsidRPr="008F4F37">
        <w:rPr>
          <w:rFonts w:asciiTheme="minorHAnsi" w:hAnsiTheme="minorHAnsi" w:cstheme="minorHAnsi"/>
          <w:sz w:val="24"/>
        </w:rPr>
        <w:t xml:space="preserve"> na 31.12.2021 r. wyniosły łącznie </w:t>
      </w:r>
      <w:r w:rsidRPr="008F4F37">
        <w:rPr>
          <w:rFonts w:asciiTheme="minorHAnsi" w:hAnsiTheme="minorHAnsi" w:cstheme="minorHAnsi"/>
          <w:b/>
          <w:sz w:val="24"/>
        </w:rPr>
        <w:t>356 327 067 881 zł</w:t>
      </w:r>
      <w:r w:rsidRPr="008F4F37">
        <w:rPr>
          <w:rFonts w:asciiTheme="minorHAnsi" w:hAnsiTheme="minorHAnsi" w:cstheme="minorHAnsi"/>
          <w:sz w:val="24"/>
        </w:rPr>
        <w:t>, z czego:</w:t>
      </w:r>
    </w:p>
    <w:p w14:paraId="5366BFCF" w14:textId="77777777" w:rsidR="00294BA4" w:rsidRPr="008F4F37" w:rsidRDefault="00294BA4" w:rsidP="004C1823">
      <w:pPr>
        <w:pStyle w:val="Akapitzlist"/>
        <w:numPr>
          <w:ilvl w:val="0"/>
          <w:numId w:val="21"/>
        </w:numPr>
        <w:spacing w:line="276" w:lineRule="auto"/>
        <w:ind w:left="357" w:hanging="357"/>
        <w:contextualSpacing w:val="0"/>
        <w:rPr>
          <w:rFonts w:asciiTheme="minorHAnsi" w:hAnsiTheme="minorHAnsi" w:cstheme="minorHAnsi"/>
          <w:bCs/>
        </w:rPr>
      </w:pPr>
      <w:r w:rsidRPr="008F4F37">
        <w:rPr>
          <w:rFonts w:asciiTheme="minorHAnsi" w:hAnsiTheme="minorHAnsi" w:cstheme="minorHAnsi"/>
          <w:bCs/>
        </w:rPr>
        <w:t xml:space="preserve">kwota zobowiązań Skarbu Państwa wynikająca z udzielonych poręczeń i gwarancji na podstawie ustawy o poręczeniach i gwarancjach wyniosła </w:t>
      </w:r>
      <w:r w:rsidRPr="008F4F37">
        <w:rPr>
          <w:rFonts w:asciiTheme="minorHAnsi" w:hAnsiTheme="minorHAnsi" w:cstheme="minorHAnsi"/>
          <w:b/>
          <w:bCs/>
        </w:rPr>
        <w:t>114 378 192 850 zł</w:t>
      </w:r>
      <w:r w:rsidRPr="008F4F37">
        <w:rPr>
          <w:rFonts w:asciiTheme="minorHAnsi" w:hAnsiTheme="minorHAnsi" w:cstheme="minorHAnsi"/>
          <w:bCs/>
        </w:rPr>
        <w:t>, w tym:</w:t>
      </w:r>
    </w:p>
    <w:p w14:paraId="27D93F6B" w14:textId="77777777" w:rsidR="00294BA4" w:rsidRPr="008F4F37" w:rsidRDefault="00294BA4" w:rsidP="004C1823">
      <w:pPr>
        <w:pStyle w:val="Akapitzlist"/>
        <w:numPr>
          <w:ilvl w:val="0"/>
          <w:numId w:val="22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8F4F37">
        <w:rPr>
          <w:rFonts w:asciiTheme="minorHAnsi" w:hAnsiTheme="minorHAnsi" w:cstheme="minorHAnsi"/>
          <w:bCs/>
        </w:rPr>
        <w:t>gwarancje i poręczenia krajowe 11 046 099 158 zł,</w:t>
      </w:r>
    </w:p>
    <w:p w14:paraId="5462AFD5" w14:textId="77777777" w:rsidR="00294BA4" w:rsidRPr="008F4F37" w:rsidRDefault="00294BA4" w:rsidP="004C1823">
      <w:pPr>
        <w:pStyle w:val="Akapitzlist"/>
        <w:numPr>
          <w:ilvl w:val="0"/>
          <w:numId w:val="22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8F4F37">
        <w:rPr>
          <w:rFonts w:asciiTheme="minorHAnsi" w:hAnsiTheme="minorHAnsi" w:cstheme="minorHAnsi"/>
          <w:bCs/>
        </w:rPr>
        <w:t>gwarancje zagraniczne 103 332 093 692 zł,</w:t>
      </w:r>
    </w:p>
    <w:p w14:paraId="69004E8D" w14:textId="77777777" w:rsidR="00294BA4" w:rsidRPr="008F4F37" w:rsidRDefault="00294BA4" w:rsidP="004C1823">
      <w:pPr>
        <w:pStyle w:val="Akapitzlist"/>
        <w:numPr>
          <w:ilvl w:val="0"/>
          <w:numId w:val="21"/>
        </w:numPr>
        <w:spacing w:line="276" w:lineRule="auto"/>
        <w:ind w:left="357" w:hanging="357"/>
        <w:contextualSpacing w:val="0"/>
        <w:rPr>
          <w:rFonts w:asciiTheme="minorHAnsi" w:hAnsiTheme="minorHAnsi" w:cstheme="minorHAnsi"/>
          <w:bCs/>
        </w:rPr>
      </w:pPr>
      <w:r w:rsidRPr="008F4F37">
        <w:rPr>
          <w:rFonts w:asciiTheme="minorHAnsi" w:hAnsiTheme="minorHAnsi" w:cstheme="minorHAnsi"/>
          <w:bCs/>
        </w:rPr>
        <w:t>kwota zobowiązań Skarbu Państwa z tytułu udzielonych gwarancji na podstawie art. 67 ust. 4 ustawy z dnia 31 marca 2020 r. o zmianie ustawy o szczególnych rozwiązaniach</w:t>
      </w:r>
      <w:r w:rsidRPr="008F4F37">
        <w:rPr>
          <w:rFonts w:asciiTheme="minorHAnsi" w:hAnsiTheme="minorHAnsi" w:cstheme="minorHAnsi"/>
        </w:rPr>
        <w:t xml:space="preserve"> wyniosła </w:t>
      </w:r>
      <w:r w:rsidRPr="008F4F37">
        <w:rPr>
          <w:rFonts w:asciiTheme="minorHAnsi" w:hAnsiTheme="minorHAnsi" w:cstheme="minorHAnsi"/>
          <w:b/>
        </w:rPr>
        <w:t>162 580 496 021 zł</w:t>
      </w:r>
      <w:r w:rsidRPr="008F4F37">
        <w:rPr>
          <w:rFonts w:asciiTheme="minorHAnsi" w:hAnsiTheme="minorHAnsi" w:cstheme="minorHAnsi"/>
        </w:rPr>
        <w:t>, w tym:</w:t>
      </w:r>
    </w:p>
    <w:p w14:paraId="4BD25EB3" w14:textId="77777777" w:rsidR="00294BA4" w:rsidRPr="008F4F37" w:rsidRDefault="00294BA4" w:rsidP="00D00CF2">
      <w:pPr>
        <w:pStyle w:val="Akapitzlist"/>
        <w:numPr>
          <w:ilvl w:val="0"/>
          <w:numId w:val="23"/>
        </w:numPr>
        <w:spacing w:before="120" w:after="24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8F4F37">
        <w:rPr>
          <w:rFonts w:asciiTheme="minorHAnsi" w:hAnsiTheme="minorHAnsi" w:cstheme="minorHAnsi"/>
        </w:rPr>
        <w:t>gwarancje krajowe 156 068 063 896 zł,</w:t>
      </w:r>
    </w:p>
    <w:p w14:paraId="6087CCF2" w14:textId="77777777" w:rsidR="00294BA4" w:rsidRPr="008F4F37" w:rsidRDefault="00294BA4" w:rsidP="00D00CF2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8F4F37">
        <w:rPr>
          <w:rFonts w:asciiTheme="minorHAnsi" w:hAnsiTheme="minorHAnsi" w:cstheme="minorHAnsi"/>
        </w:rPr>
        <w:t>gwarancje zagraniczne 6 512 432 125 zł,</w:t>
      </w:r>
    </w:p>
    <w:p w14:paraId="54CE4A89" w14:textId="760C287A" w:rsidR="00294BA4" w:rsidRPr="008F4F37" w:rsidRDefault="00294BA4" w:rsidP="004C1823">
      <w:pPr>
        <w:pStyle w:val="Akapitzlist"/>
        <w:numPr>
          <w:ilvl w:val="0"/>
          <w:numId w:val="21"/>
        </w:numPr>
        <w:spacing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8F4F37">
        <w:rPr>
          <w:rFonts w:asciiTheme="minorHAnsi" w:hAnsiTheme="minorHAnsi" w:cstheme="minorHAnsi"/>
        </w:rPr>
        <w:t>kwota zobowiązań Skarbu Państwa z tytułu udzielonych gwarancji na podstawie art.</w:t>
      </w:r>
      <w:r w:rsidR="00F47D02">
        <w:rPr>
          <w:rFonts w:asciiTheme="minorHAnsi" w:hAnsiTheme="minorHAnsi" w:cstheme="minorHAnsi"/>
        </w:rPr>
        <w:t> </w:t>
      </w:r>
      <w:r w:rsidRPr="008F4F37">
        <w:rPr>
          <w:rFonts w:asciiTheme="minorHAnsi" w:hAnsiTheme="minorHAnsi" w:cstheme="minorHAnsi"/>
        </w:rPr>
        <w:t xml:space="preserve">21aa ust. 2 ustawy o SIR wyniosła </w:t>
      </w:r>
      <w:r w:rsidRPr="003B7809">
        <w:rPr>
          <w:rFonts w:asciiTheme="minorHAnsi" w:hAnsiTheme="minorHAnsi" w:cstheme="minorHAnsi"/>
          <w:b/>
        </w:rPr>
        <w:t xml:space="preserve">79 368 379 010 </w:t>
      </w:r>
      <w:r w:rsidRPr="008F4F37">
        <w:rPr>
          <w:rFonts w:asciiTheme="minorHAnsi" w:hAnsiTheme="minorHAnsi" w:cstheme="minorHAnsi"/>
          <w:b/>
        </w:rPr>
        <w:t>zł</w:t>
      </w:r>
      <w:r w:rsidRPr="008F4F37">
        <w:rPr>
          <w:rFonts w:asciiTheme="minorHAnsi" w:hAnsiTheme="minorHAnsi" w:cstheme="minorHAnsi"/>
        </w:rPr>
        <w:t>, w tym:</w:t>
      </w:r>
    </w:p>
    <w:p w14:paraId="090E55D2" w14:textId="77777777" w:rsidR="00294BA4" w:rsidRPr="008F4F37" w:rsidRDefault="00294BA4" w:rsidP="00294BA4">
      <w:pPr>
        <w:pStyle w:val="Akapitzlist"/>
        <w:numPr>
          <w:ilvl w:val="0"/>
          <w:numId w:val="24"/>
        </w:numPr>
        <w:spacing w:after="300" w:line="276" w:lineRule="auto"/>
        <w:rPr>
          <w:rFonts w:asciiTheme="minorHAnsi" w:hAnsiTheme="minorHAnsi" w:cstheme="minorHAnsi"/>
          <w:bCs/>
        </w:rPr>
      </w:pPr>
      <w:r w:rsidRPr="008F4F37">
        <w:rPr>
          <w:rFonts w:asciiTheme="minorHAnsi" w:hAnsiTheme="minorHAnsi" w:cstheme="minorHAnsi"/>
        </w:rPr>
        <w:t>gwarancje krajowe 76 639 129 010 zł,</w:t>
      </w:r>
    </w:p>
    <w:p w14:paraId="05FF09EC" w14:textId="77777777" w:rsidR="00294BA4" w:rsidRPr="008F4F37" w:rsidRDefault="00294BA4" w:rsidP="004C1823">
      <w:pPr>
        <w:pStyle w:val="Akapitzlist"/>
        <w:numPr>
          <w:ilvl w:val="0"/>
          <w:numId w:val="24"/>
        </w:numPr>
        <w:spacing w:after="120" w:line="276" w:lineRule="auto"/>
        <w:ind w:left="714" w:hanging="357"/>
        <w:rPr>
          <w:rFonts w:asciiTheme="minorHAnsi" w:hAnsiTheme="minorHAnsi" w:cstheme="minorHAnsi"/>
          <w:bCs/>
        </w:rPr>
      </w:pPr>
      <w:r w:rsidRPr="008F4F37">
        <w:rPr>
          <w:rFonts w:asciiTheme="minorHAnsi" w:hAnsiTheme="minorHAnsi" w:cstheme="minorHAnsi"/>
        </w:rPr>
        <w:t>gwarancje zagraniczne 2 729 250 000 zł.</w:t>
      </w:r>
    </w:p>
    <w:p w14:paraId="242C51CB" w14:textId="77777777" w:rsidR="00294BA4" w:rsidRPr="008F4F37" w:rsidRDefault="00294BA4" w:rsidP="00294BA4">
      <w:pPr>
        <w:pStyle w:val="pktmyslnw0"/>
        <w:tabs>
          <w:tab w:val="clear" w:pos="284"/>
          <w:tab w:val="left" w:pos="567"/>
          <w:tab w:val="left" w:pos="840"/>
          <w:tab w:val="right" w:pos="8505"/>
        </w:tabs>
        <w:spacing w:after="300"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F4F37">
        <w:rPr>
          <w:rFonts w:asciiTheme="minorHAnsi" w:hAnsiTheme="minorHAnsi" w:cstheme="minorHAnsi"/>
          <w:sz w:val="24"/>
        </w:rPr>
        <w:t>Stan potencjalnych zobowiązań na koniec 2021 roku odnotował wzrost w stosunku do 2020 r. o 17,6%, ponieważ kwota potencjalnych, niewymagalnych zobowiązań Skarbu Państwa z tytułu udzielonych poręczeń i gwarancji na 31.12.2020 r. wynosiła 302 875 056 817 zł.</w:t>
      </w:r>
    </w:p>
    <w:p w14:paraId="534A8EEB" w14:textId="77777777" w:rsidR="00294BA4" w:rsidRPr="005643F7" w:rsidRDefault="00294BA4" w:rsidP="00294BA4">
      <w:pPr>
        <w:pStyle w:val="akapit"/>
        <w:tabs>
          <w:tab w:val="left" w:pos="567"/>
        </w:tabs>
        <w:spacing w:after="300" w:line="240" w:lineRule="auto"/>
        <w:ind w:firstLine="0"/>
        <w:jc w:val="left"/>
        <w:rPr>
          <w:rFonts w:asciiTheme="minorHAnsi" w:hAnsiTheme="minorHAnsi" w:cstheme="minorHAnsi"/>
          <w:b/>
          <w:sz w:val="24"/>
        </w:rPr>
      </w:pPr>
      <w:r w:rsidRPr="005643F7">
        <w:rPr>
          <w:rFonts w:asciiTheme="minorHAnsi" w:hAnsiTheme="minorHAnsi" w:cstheme="minorHAnsi"/>
          <w:b/>
          <w:sz w:val="24"/>
        </w:rPr>
        <w:t>Tabela 2: Potencjalne, niewymagalne zobowiązania Skarbu Państwa z tytułu udzielonych poręczeń i gwarancji wg stanu na 31.12.2021 r., z wyszczególnieni</w:t>
      </w:r>
      <w:r>
        <w:rPr>
          <w:rFonts w:asciiTheme="minorHAnsi" w:hAnsiTheme="minorHAnsi" w:cstheme="minorHAnsi"/>
          <w:b/>
          <w:sz w:val="24"/>
        </w:rPr>
        <w:t>em największych kwotowo pozycji</w:t>
      </w:r>
    </w:p>
    <w:tbl>
      <w:tblPr>
        <w:tblpPr w:leftFromText="141" w:rightFromText="141" w:vertAnchor="text" w:tblpXSpec="center" w:tblpY="1"/>
        <w:tblOverlap w:val="never"/>
        <w:tblW w:w="498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tencjalne, niewymagalne zobowiązania Skarbu Państwa z tytułu udzielonych poręczeń i gwarancji wg stanu na 31.12.2021 r., z wyszczególnieniem największych kwotowo pozycji"/>
        <w:tblDescription w:val="Kredytobiorca, kwota potencjalnych zobowiązań w zł; Międzylinie: krajowe wyszczególnione po podmiotach, krajowe ogółem, zagraniczne wyszczególnione po podmiotach, zagraniczne ogółem, wszystkie ogółem"/>
      </w:tblPr>
      <w:tblGrid>
        <w:gridCol w:w="4679"/>
        <w:gridCol w:w="4080"/>
      </w:tblGrid>
      <w:tr w:rsidR="00294BA4" w:rsidRPr="00582972" w14:paraId="08DCE165" w14:textId="77777777" w:rsidTr="009D6DFF">
        <w:trPr>
          <w:trHeight w:val="309"/>
        </w:trPr>
        <w:tc>
          <w:tcPr>
            <w:tcW w:w="2671" w:type="pct"/>
            <w:tcBorders>
              <w:bottom w:val="single" w:sz="12" w:space="0" w:color="auto"/>
            </w:tcBorders>
            <w:vAlign w:val="center"/>
            <w:hideMark/>
          </w:tcPr>
          <w:p w14:paraId="6E59B3B8" w14:textId="77777777" w:rsidR="00294BA4" w:rsidRPr="008F4F37" w:rsidRDefault="00294BA4" w:rsidP="009D6DFF">
            <w:pPr>
              <w:tabs>
                <w:tab w:val="left" w:pos="840"/>
              </w:tabs>
              <w:ind w:left="120" w:right="-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b/>
                <w:sz w:val="22"/>
                <w:szCs w:val="22"/>
              </w:rPr>
              <w:t>Kredytobiorca</w:t>
            </w:r>
          </w:p>
        </w:tc>
        <w:tc>
          <w:tcPr>
            <w:tcW w:w="2329" w:type="pct"/>
            <w:tcBorders>
              <w:bottom w:val="single" w:sz="12" w:space="0" w:color="auto"/>
            </w:tcBorders>
            <w:vAlign w:val="center"/>
            <w:hideMark/>
          </w:tcPr>
          <w:p w14:paraId="02509EB2" w14:textId="77777777" w:rsidR="00294BA4" w:rsidRDefault="00294BA4" w:rsidP="009D6DFF">
            <w:pPr>
              <w:tabs>
                <w:tab w:val="left" w:pos="840"/>
              </w:tabs>
              <w:ind w:right="-1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b/>
                <w:sz w:val="22"/>
                <w:szCs w:val="22"/>
              </w:rPr>
              <w:t>Kwota potencjalnych zobowiązań</w:t>
            </w:r>
          </w:p>
          <w:p w14:paraId="69E4C816" w14:textId="77777777" w:rsidR="00294BA4" w:rsidRPr="008F4F37" w:rsidRDefault="00294BA4" w:rsidP="009D6DFF">
            <w:pPr>
              <w:tabs>
                <w:tab w:val="left" w:pos="840"/>
              </w:tabs>
              <w:ind w:right="-1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Skarbu</w:t>
            </w:r>
            <w:r w:rsidRPr="008F4F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8F4F37">
              <w:rPr>
                <w:rFonts w:asciiTheme="minorHAnsi" w:hAnsiTheme="minorHAnsi" w:cstheme="minorHAnsi"/>
                <w:b/>
                <w:sz w:val="22"/>
                <w:szCs w:val="22"/>
              </w:rPr>
              <w:t>aństwa w zł*</w:t>
            </w:r>
          </w:p>
        </w:tc>
      </w:tr>
      <w:tr w:rsidR="00294BA4" w:rsidRPr="00582972" w14:paraId="41196A1E" w14:textId="77777777" w:rsidTr="009D6DFF">
        <w:trPr>
          <w:trHeight w:val="278"/>
        </w:trPr>
        <w:tc>
          <w:tcPr>
            <w:tcW w:w="2671" w:type="pct"/>
            <w:tcBorders>
              <w:top w:val="single" w:sz="12" w:space="0" w:color="auto"/>
              <w:bottom w:val="inset" w:sz="6" w:space="0" w:color="auto"/>
            </w:tcBorders>
            <w:vAlign w:val="center"/>
            <w:hideMark/>
          </w:tcPr>
          <w:p w14:paraId="1CBF8B4D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left="120" w:right="-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b/>
                <w:sz w:val="22"/>
                <w:szCs w:val="22"/>
              </w:rPr>
              <w:t>Poręczenia i gwarancje krajowe</w:t>
            </w:r>
          </w:p>
        </w:tc>
        <w:tc>
          <w:tcPr>
            <w:tcW w:w="2329" w:type="pct"/>
            <w:tcBorders>
              <w:top w:val="single" w:sz="12" w:space="0" w:color="auto"/>
              <w:bottom w:val="inset" w:sz="6" w:space="0" w:color="auto"/>
            </w:tcBorders>
            <w:vAlign w:val="center"/>
          </w:tcPr>
          <w:p w14:paraId="7B4FD7DE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4BA4" w:rsidRPr="00582972" w14:paraId="6B1356A2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0708CE27" w14:textId="77777777" w:rsidR="00294BA4" w:rsidRPr="008F4F37" w:rsidRDefault="00294BA4" w:rsidP="009D6DFF">
            <w:pPr>
              <w:tabs>
                <w:tab w:val="left" w:pos="840"/>
              </w:tabs>
              <w:ind w:left="120"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Bank Gospodarstwa Krajowego – FP Covid -19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77D96C0E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156 068 063 896</w:t>
            </w:r>
          </w:p>
        </w:tc>
      </w:tr>
      <w:tr w:rsidR="00294BA4" w:rsidRPr="00582972" w14:paraId="75D4A374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5FEF874D" w14:textId="77777777" w:rsidR="00294BA4" w:rsidRPr="008F4F37" w:rsidRDefault="00294BA4" w:rsidP="009D6DFF">
            <w:pPr>
              <w:tabs>
                <w:tab w:val="left" w:pos="840"/>
              </w:tabs>
              <w:ind w:left="120"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Polski Fundusz Rozwoju SA – Tarcz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 xml:space="preserve"> finansow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032677F5" w14:textId="63914013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76 639 129 010</w:t>
            </w:r>
          </w:p>
        </w:tc>
      </w:tr>
      <w:tr w:rsidR="00294BA4" w:rsidRPr="00582972" w14:paraId="176391E7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798F94D9" w14:textId="77777777" w:rsidR="00294BA4" w:rsidRPr="008F4F37" w:rsidRDefault="00294BA4" w:rsidP="009D6DFF">
            <w:pPr>
              <w:tabs>
                <w:tab w:val="left" w:pos="840"/>
              </w:tabs>
              <w:ind w:left="120"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Bank Gospodarstwa Krajowego – wsparcie KFD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144E3568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9 414 275 000</w:t>
            </w:r>
          </w:p>
        </w:tc>
      </w:tr>
      <w:tr w:rsidR="00294BA4" w:rsidRPr="00582972" w14:paraId="6BF07392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61E10A75" w14:textId="77777777" w:rsidR="00294BA4" w:rsidRPr="008F4F37" w:rsidRDefault="00294BA4" w:rsidP="009D6DFF">
            <w:pPr>
              <w:tabs>
                <w:tab w:val="left" w:pos="840"/>
              </w:tabs>
              <w:ind w:left="120"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PKP Polskie Linie Kolejowe S.A.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115B058C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1 033 131 356</w:t>
            </w:r>
          </w:p>
        </w:tc>
      </w:tr>
      <w:tr w:rsidR="00294BA4" w:rsidRPr="00582972" w14:paraId="4B729851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028E8C39" w14:textId="77777777" w:rsidR="00294BA4" w:rsidRPr="008F4F37" w:rsidRDefault="00294BA4" w:rsidP="009D6DFF">
            <w:pPr>
              <w:tabs>
                <w:tab w:val="left" w:pos="840"/>
              </w:tabs>
              <w:ind w:left="120"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Polska Agencja Żeglugi Powietrznej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31A614A4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550 000 000</w:t>
            </w:r>
          </w:p>
        </w:tc>
      </w:tr>
      <w:tr w:rsidR="00294BA4" w:rsidRPr="00582972" w14:paraId="16CB5333" w14:textId="77777777" w:rsidTr="009D6DFF">
        <w:trPr>
          <w:trHeight w:val="277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064A49E0" w14:textId="77777777" w:rsidR="00294BA4" w:rsidRPr="008F4F37" w:rsidRDefault="00294BA4" w:rsidP="009D6DFF">
            <w:pPr>
              <w:pStyle w:val="Nagwek9"/>
              <w:tabs>
                <w:tab w:val="left" w:pos="840"/>
              </w:tabs>
              <w:spacing w:before="0"/>
              <w:ind w:left="120" w:right="-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b w:val="0"/>
                <w:sz w:val="22"/>
                <w:szCs w:val="22"/>
              </w:rPr>
              <w:t>Agencja Rozwoju Przemysłu S.A.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6B00BFCF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48 692 802</w:t>
            </w:r>
          </w:p>
        </w:tc>
      </w:tr>
      <w:tr w:rsidR="00294BA4" w:rsidRPr="00582972" w14:paraId="6D3F143A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11438DB1" w14:textId="77777777" w:rsidR="00294BA4" w:rsidRPr="008F4F37" w:rsidRDefault="00294BA4" w:rsidP="009D6DFF">
            <w:pPr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b/>
                <w:sz w:val="22"/>
                <w:szCs w:val="22"/>
              </w:rPr>
              <w:t>Ogółem poręczenia i gwarancje krajowe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679F81AF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243 753 292 064</w:t>
            </w:r>
          </w:p>
        </w:tc>
      </w:tr>
      <w:tr w:rsidR="00294BA4" w:rsidRPr="00582972" w14:paraId="6C167E97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27F7E65D" w14:textId="77777777" w:rsidR="00294BA4" w:rsidRPr="008F4F37" w:rsidRDefault="00294BA4" w:rsidP="009D6DFF">
            <w:pPr>
              <w:ind w:left="14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b/>
                <w:sz w:val="22"/>
                <w:szCs w:val="22"/>
              </w:rPr>
              <w:t>Gwarancje zagraniczne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6C4D49D6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94BA4" w:rsidRPr="00582972" w14:paraId="36567964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36035DC5" w14:textId="77777777" w:rsidR="00294BA4" w:rsidRPr="008F4F37" w:rsidRDefault="00294BA4" w:rsidP="009D6DFF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 xml:space="preserve">Bank Gospodarstwa Krajowego – </w:t>
            </w:r>
          </w:p>
          <w:p w14:paraId="3A310C3C" w14:textId="77777777" w:rsidR="00294BA4" w:rsidRPr="008F4F37" w:rsidRDefault="00294BA4" w:rsidP="009D6DFF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- w tym wsparcie KFD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06AF2015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75 689 057 168</w:t>
            </w:r>
          </w:p>
          <w:p w14:paraId="076E87A5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75 150 396 504</w:t>
            </w:r>
          </w:p>
        </w:tc>
      </w:tr>
      <w:tr w:rsidR="00294BA4" w:rsidRPr="00582972" w14:paraId="63024053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2E7BD0DD" w14:textId="77777777" w:rsidR="00294BA4" w:rsidRPr="008F4F37" w:rsidRDefault="00294BA4" w:rsidP="009D6DFF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PKP Polskie Linie Kolejowe S.A.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5F087876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13 424 897 843</w:t>
            </w:r>
          </w:p>
        </w:tc>
      </w:tr>
      <w:tr w:rsidR="00294BA4" w:rsidRPr="00582972" w14:paraId="4FC07CB4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686A9AD9" w14:textId="0518CDEF" w:rsidR="00294BA4" w:rsidRPr="008F4F37" w:rsidRDefault="00294BA4" w:rsidP="009D6DFF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Gdańsk Transport Company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S.A.</w:t>
            </w: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− gwarancja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ypła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z KFD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5CC369D8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6 681 520 591</w:t>
            </w:r>
          </w:p>
        </w:tc>
      </w:tr>
      <w:tr w:rsidR="00294BA4" w:rsidRPr="00582972" w14:paraId="2FD90B1B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267CDB2F" w14:textId="77777777" w:rsidR="00294BA4" w:rsidRPr="008F4F37" w:rsidRDefault="00294BA4" w:rsidP="009D6DFF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Bank Gospodarstwa Krajowego – FP Covid -19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1EF17317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6 512 432 125</w:t>
            </w:r>
          </w:p>
        </w:tc>
      </w:tr>
      <w:tr w:rsidR="00294BA4" w:rsidRPr="00582972" w14:paraId="6AAB3CAA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348BC4CE" w14:textId="77777777" w:rsidR="00294BA4" w:rsidRDefault="00294BA4" w:rsidP="009D6DFF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Autostrada Wielkopolska S.A. 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09DCF0" w14:textId="77777777" w:rsidR="00294BA4" w:rsidRPr="008F4F37" w:rsidRDefault="00294BA4" w:rsidP="009D6DFF">
            <w:pPr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gwarancja wypłat z KFD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226DD5AE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5 657 926 449</w:t>
            </w:r>
          </w:p>
        </w:tc>
      </w:tr>
      <w:tr w:rsidR="00294BA4" w:rsidRPr="00582972" w14:paraId="340E3AD0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46433866" w14:textId="77777777" w:rsidR="00294BA4" w:rsidRPr="008F4F37" w:rsidRDefault="00294BA4" w:rsidP="009D6DFF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PKP Intercity S.A.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1BD77773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1 859 905 755</w:t>
            </w:r>
          </w:p>
        </w:tc>
      </w:tr>
      <w:tr w:rsidR="00294BA4" w:rsidRPr="00582972" w14:paraId="23EB13AF" w14:textId="77777777" w:rsidTr="009D6DFF">
        <w:trPr>
          <w:trHeight w:val="180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20F314B5" w14:textId="77777777" w:rsidR="00294BA4" w:rsidRPr="008F4F37" w:rsidRDefault="00294BA4" w:rsidP="009D6DFF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Polski Fundusz Rozwoju S.A. – Tarcz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 xml:space="preserve"> finansow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286E20BF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2 729 250 000</w:t>
            </w:r>
          </w:p>
        </w:tc>
      </w:tr>
      <w:tr w:rsidR="00294BA4" w:rsidRPr="00582972" w14:paraId="4438DABA" w14:textId="77777777" w:rsidTr="009D6DFF">
        <w:trPr>
          <w:trHeight w:val="297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0C5EE151" w14:textId="77777777" w:rsidR="00294BA4" w:rsidRPr="008F4F37" w:rsidRDefault="00294BA4" w:rsidP="009D6DFF">
            <w:pPr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</w:rPr>
              <w:t>Polskie Koleje Państwowe S.A.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2EF69181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18 785 886</w:t>
            </w:r>
          </w:p>
        </w:tc>
      </w:tr>
      <w:tr w:rsidR="00294BA4" w:rsidRPr="00582972" w14:paraId="716A137A" w14:textId="77777777" w:rsidTr="009D6DFF">
        <w:trPr>
          <w:trHeight w:val="258"/>
        </w:trPr>
        <w:tc>
          <w:tcPr>
            <w:tcW w:w="2671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542BFBBE" w14:textId="77777777" w:rsidR="00294BA4" w:rsidRPr="008F4F37" w:rsidRDefault="00294BA4" w:rsidP="009D6DFF">
            <w:pPr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b/>
                <w:sz w:val="22"/>
                <w:szCs w:val="22"/>
              </w:rPr>
              <w:t>Ogółem gwarancje zagraniczne</w:t>
            </w:r>
          </w:p>
        </w:tc>
        <w:tc>
          <w:tcPr>
            <w:tcW w:w="2329" w:type="pct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366590A0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112 573 775 817</w:t>
            </w:r>
          </w:p>
        </w:tc>
      </w:tr>
      <w:tr w:rsidR="00294BA4" w:rsidRPr="00582972" w14:paraId="5C5EBA8E" w14:textId="77777777" w:rsidTr="009D6DFF">
        <w:trPr>
          <w:trHeight w:val="258"/>
        </w:trPr>
        <w:tc>
          <w:tcPr>
            <w:tcW w:w="2671" w:type="pct"/>
            <w:tcBorders>
              <w:top w:val="inset" w:sz="6" w:space="0" w:color="auto"/>
            </w:tcBorders>
            <w:vAlign w:val="center"/>
          </w:tcPr>
          <w:p w14:paraId="0D7A28DC" w14:textId="77777777" w:rsidR="00294BA4" w:rsidRPr="008F4F37" w:rsidRDefault="00294BA4" w:rsidP="009D6DFF">
            <w:pPr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b/>
                <w:sz w:val="22"/>
                <w:szCs w:val="22"/>
              </w:rPr>
              <w:t>Ogółem potencjalne zobowiązania</w:t>
            </w:r>
          </w:p>
        </w:tc>
        <w:tc>
          <w:tcPr>
            <w:tcW w:w="2329" w:type="pct"/>
            <w:tcBorders>
              <w:top w:val="inset" w:sz="6" w:space="0" w:color="auto"/>
            </w:tcBorders>
            <w:vAlign w:val="center"/>
          </w:tcPr>
          <w:p w14:paraId="227E2503" w14:textId="77777777" w:rsidR="00294BA4" w:rsidRPr="008F4F37" w:rsidRDefault="00294BA4" w:rsidP="009D6DFF">
            <w:pPr>
              <w:pStyle w:val="tabelaw"/>
              <w:tabs>
                <w:tab w:val="left" w:pos="840"/>
              </w:tabs>
              <w:spacing w:after="0" w:line="240" w:lineRule="auto"/>
              <w:ind w:right="-1" w:firstLine="539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F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356 327 067 881</w:t>
            </w:r>
          </w:p>
        </w:tc>
      </w:tr>
    </w:tbl>
    <w:p w14:paraId="02924467" w14:textId="5E804695" w:rsidR="00294BA4" w:rsidRPr="00787827" w:rsidRDefault="00294BA4" w:rsidP="00B15290">
      <w:pPr>
        <w:pStyle w:val="akapit"/>
        <w:tabs>
          <w:tab w:val="left" w:pos="960"/>
        </w:tabs>
        <w:spacing w:after="0" w:line="240" w:lineRule="auto"/>
        <w:ind w:firstLine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8F4F37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Pr="008F4F37">
        <w:rPr>
          <w:rFonts w:asciiTheme="minorHAnsi" w:hAnsiTheme="minorHAnsi" w:cstheme="minorHAnsi"/>
          <w:bCs/>
          <w:sz w:val="20"/>
          <w:szCs w:val="20"/>
        </w:rPr>
        <w:t>Kwoty zobowiązań wyrażonych w walutach obcych zostały przeliczone wg Tabeli Kursów Średnich NBP Nr</w:t>
      </w:r>
      <w:r w:rsidR="00F47D02">
        <w:rPr>
          <w:rFonts w:asciiTheme="minorHAnsi" w:hAnsiTheme="minorHAnsi" w:cstheme="minorHAnsi"/>
          <w:bCs/>
          <w:sz w:val="20"/>
          <w:szCs w:val="20"/>
        </w:rPr>
        <w:t> </w:t>
      </w:r>
      <w:r w:rsidRPr="008F4F37">
        <w:rPr>
          <w:rFonts w:asciiTheme="minorHAnsi" w:hAnsiTheme="minorHAnsi" w:cstheme="minorHAnsi"/>
          <w:bCs/>
          <w:sz w:val="20"/>
          <w:szCs w:val="20"/>
        </w:rPr>
        <w:t>254/A/NBP/2021 z 31.12.2021 r.</w:t>
      </w:r>
    </w:p>
    <w:p w14:paraId="4056CF8D" w14:textId="77777777" w:rsidR="00294BA4" w:rsidRPr="00787827" w:rsidRDefault="00294BA4" w:rsidP="00B15290">
      <w:pPr>
        <w:pStyle w:val="akapit"/>
        <w:tabs>
          <w:tab w:val="left" w:pos="960"/>
        </w:tabs>
        <w:spacing w:before="240" w:after="0" w:line="276" w:lineRule="auto"/>
        <w:ind w:firstLine="0"/>
        <w:jc w:val="left"/>
        <w:rPr>
          <w:rFonts w:asciiTheme="minorHAnsi" w:hAnsiTheme="minorHAnsi" w:cstheme="minorHAnsi"/>
          <w:sz w:val="24"/>
        </w:rPr>
      </w:pPr>
      <w:r w:rsidRPr="00787827">
        <w:rPr>
          <w:rFonts w:asciiTheme="minorHAnsi" w:hAnsiTheme="minorHAnsi" w:cstheme="minorHAnsi"/>
          <w:sz w:val="24"/>
        </w:rPr>
        <w:t>W procesie oceny ryzyka dokonuje się kwalifikacji potencjalnych zobowiązań Skarbu Państwa do pięciu kategorii:</w:t>
      </w:r>
    </w:p>
    <w:p w14:paraId="6251E892" w14:textId="77777777" w:rsidR="00B15290" w:rsidRDefault="00294BA4" w:rsidP="00B15290">
      <w:pPr>
        <w:pStyle w:val="pktlitcyfw0"/>
        <w:numPr>
          <w:ilvl w:val="0"/>
          <w:numId w:val="25"/>
        </w:numPr>
        <w:tabs>
          <w:tab w:val="left" w:pos="851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87827">
        <w:rPr>
          <w:rFonts w:asciiTheme="minorHAnsi" w:hAnsiTheme="minorHAnsi" w:cstheme="minorHAnsi"/>
          <w:sz w:val="24"/>
          <w:szCs w:val="24"/>
        </w:rPr>
        <w:t xml:space="preserve">zobowiązania o niskim ryzyku ich spłaty ze środków budżetowych </w:t>
      </w:r>
    </w:p>
    <w:p w14:paraId="5D652D8A" w14:textId="7B5420FF" w:rsidR="00294BA4" w:rsidRDefault="00294BA4" w:rsidP="00B15290">
      <w:pPr>
        <w:pStyle w:val="pktlitcyfw0"/>
        <w:tabs>
          <w:tab w:val="left" w:pos="851"/>
        </w:tabs>
        <w:spacing w:after="0" w:line="276" w:lineRule="auto"/>
        <w:ind w:left="3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87827">
        <w:rPr>
          <w:rFonts w:asciiTheme="minorHAnsi" w:hAnsiTheme="minorHAnsi" w:cstheme="minorHAnsi"/>
          <w:sz w:val="24"/>
          <w:szCs w:val="24"/>
        </w:rPr>
        <w:t>(wsp. ryzyka od 0% do 30%),</w:t>
      </w:r>
    </w:p>
    <w:p w14:paraId="6582CF6B" w14:textId="77777777" w:rsidR="00B15290" w:rsidRDefault="00294BA4" w:rsidP="00D00CF2">
      <w:pPr>
        <w:pStyle w:val="pktlitcyfw0"/>
        <w:numPr>
          <w:ilvl w:val="0"/>
          <w:numId w:val="25"/>
        </w:numPr>
        <w:tabs>
          <w:tab w:val="left" w:pos="851"/>
        </w:tabs>
        <w:spacing w:after="0" w:line="276" w:lineRule="auto"/>
        <w:ind w:left="357" w:hanging="357"/>
        <w:jc w:val="left"/>
        <w:rPr>
          <w:rFonts w:asciiTheme="minorHAnsi" w:hAnsiTheme="minorHAnsi" w:cstheme="minorHAnsi"/>
          <w:sz w:val="24"/>
          <w:szCs w:val="24"/>
        </w:rPr>
      </w:pPr>
      <w:r w:rsidRPr="00F64BDE">
        <w:rPr>
          <w:rFonts w:asciiTheme="minorHAnsi" w:hAnsiTheme="minorHAnsi" w:cstheme="minorHAnsi"/>
          <w:sz w:val="24"/>
          <w:szCs w:val="24"/>
        </w:rPr>
        <w:t xml:space="preserve">zobowiązania o średnim ryzyku ich spłaty ze środków budżetowych </w:t>
      </w:r>
    </w:p>
    <w:p w14:paraId="0D90E565" w14:textId="665C3494" w:rsidR="00294BA4" w:rsidRDefault="00294BA4" w:rsidP="00B15290">
      <w:pPr>
        <w:pStyle w:val="pktlitcyfw0"/>
        <w:tabs>
          <w:tab w:val="left" w:pos="851"/>
        </w:tabs>
        <w:spacing w:after="0" w:line="276" w:lineRule="auto"/>
        <w:ind w:left="357" w:firstLine="0"/>
        <w:jc w:val="left"/>
        <w:rPr>
          <w:rFonts w:asciiTheme="minorHAnsi" w:hAnsiTheme="minorHAnsi" w:cstheme="minorHAnsi"/>
          <w:sz w:val="24"/>
          <w:szCs w:val="24"/>
        </w:rPr>
      </w:pPr>
      <w:r w:rsidRPr="00F64BDE">
        <w:rPr>
          <w:rFonts w:asciiTheme="minorHAnsi" w:hAnsiTheme="minorHAnsi" w:cstheme="minorHAnsi"/>
          <w:sz w:val="24"/>
          <w:szCs w:val="24"/>
        </w:rPr>
        <w:t>(wsp. ryzyka powyżej 30%, do 50%),</w:t>
      </w:r>
    </w:p>
    <w:p w14:paraId="7A5A0381" w14:textId="77777777" w:rsidR="00B15290" w:rsidRDefault="00294BA4" w:rsidP="00D00CF2">
      <w:pPr>
        <w:pStyle w:val="pktlitcyfw0"/>
        <w:numPr>
          <w:ilvl w:val="0"/>
          <w:numId w:val="25"/>
        </w:numPr>
        <w:tabs>
          <w:tab w:val="left" w:pos="851"/>
        </w:tabs>
        <w:spacing w:after="0" w:line="276" w:lineRule="auto"/>
        <w:ind w:left="357" w:hanging="357"/>
        <w:jc w:val="left"/>
        <w:rPr>
          <w:rFonts w:asciiTheme="minorHAnsi" w:hAnsiTheme="minorHAnsi" w:cstheme="minorHAnsi"/>
          <w:sz w:val="24"/>
          <w:szCs w:val="24"/>
        </w:rPr>
      </w:pPr>
      <w:r w:rsidRPr="00F64BDE">
        <w:rPr>
          <w:rFonts w:asciiTheme="minorHAnsi" w:hAnsiTheme="minorHAnsi" w:cstheme="minorHAnsi"/>
          <w:sz w:val="24"/>
          <w:szCs w:val="24"/>
        </w:rPr>
        <w:t xml:space="preserve">zobowiązania o podwyższonym ryzyku ich spłaty ze środków budżetowych </w:t>
      </w:r>
    </w:p>
    <w:p w14:paraId="0ABD1A81" w14:textId="6A4561B9" w:rsidR="00294BA4" w:rsidRDefault="00294BA4" w:rsidP="00B15290">
      <w:pPr>
        <w:pStyle w:val="pktlitcyfw0"/>
        <w:tabs>
          <w:tab w:val="left" w:pos="851"/>
        </w:tabs>
        <w:spacing w:after="0" w:line="276" w:lineRule="auto"/>
        <w:ind w:left="357" w:firstLine="0"/>
        <w:jc w:val="left"/>
        <w:rPr>
          <w:rFonts w:asciiTheme="minorHAnsi" w:hAnsiTheme="minorHAnsi" w:cstheme="minorHAnsi"/>
          <w:sz w:val="24"/>
          <w:szCs w:val="24"/>
        </w:rPr>
      </w:pPr>
      <w:r w:rsidRPr="00F64BDE">
        <w:rPr>
          <w:rFonts w:asciiTheme="minorHAnsi" w:hAnsiTheme="minorHAnsi" w:cstheme="minorHAnsi"/>
          <w:sz w:val="24"/>
          <w:szCs w:val="24"/>
        </w:rPr>
        <w:t>(wsp. ryzyka powyżej 50%, do 80%),</w:t>
      </w:r>
    </w:p>
    <w:p w14:paraId="13AE6CEE" w14:textId="5A1BBD43" w:rsidR="00294BA4" w:rsidRDefault="00294BA4" w:rsidP="00D00CF2">
      <w:pPr>
        <w:pStyle w:val="pktlitcyfw0"/>
        <w:numPr>
          <w:ilvl w:val="0"/>
          <w:numId w:val="25"/>
        </w:numPr>
        <w:tabs>
          <w:tab w:val="left" w:pos="851"/>
        </w:tabs>
        <w:spacing w:after="0" w:line="276" w:lineRule="auto"/>
        <w:ind w:left="357" w:hanging="357"/>
        <w:jc w:val="left"/>
        <w:rPr>
          <w:rFonts w:asciiTheme="minorHAnsi" w:hAnsiTheme="minorHAnsi" w:cstheme="minorHAnsi"/>
          <w:sz w:val="24"/>
          <w:szCs w:val="24"/>
        </w:rPr>
      </w:pPr>
      <w:r w:rsidRPr="00F64BDE">
        <w:rPr>
          <w:rFonts w:asciiTheme="minorHAnsi" w:hAnsiTheme="minorHAnsi" w:cstheme="minorHAnsi"/>
          <w:sz w:val="24"/>
          <w:szCs w:val="24"/>
        </w:rPr>
        <w:t>zobowiązania o wysokim ryzyku ich spłaty ze środków budżetowych (wsp. ryzyka powyżej 80%, mniej niż 100%),</w:t>
      </w:r>
    </w:p>
    <w:p w14:paraId="02C2EBC6" w14:textId="77777777" w:rsidR="00B15290" w:rsidRDefault="00294BA4" w:rsidP="00B15290">
      <w:pPr>
        <w:pStyle w:val="pktlitcyfw0"/>
        <w:numPr>
          <w:ilvl w:val="0"/>
          <w:numId w:val="25"/>
        </w:numPr>
        <w:tabs>
          <w:tab w:val="left" w:pos="851"/>
        </w:tabs>
        <w:spacing w:after="0" w:line="276" w:lineRule="auto"/>
        <w:ind w:left="357" w:hanging="357"/>
        <w:jc w:val="left"/>
        <w:rPr>
          <w:rFonts w:asciiTheme="minorHAnsi" w:hAnsiTheme="minorHAnsi" w:cstheme="minorHAnsi"/>
          <w:sz w:val="24"/>
          <w:szCs w:val="24"/>
        </w:rPr>
      </w:pPr>
      <w:r w:rsidRPr="00F64BDE">
        <w:rPr>
          <w:rFonts w:asciiTheme="minorHAnsi" w:hAnsiTheme="minorHAnsi" w:cstheme="minorHAnsi"/>
          <w:sz w:val="24"/>
          <w:szCs w:val="24"/>
        </w:rPr>
        <w:t xml:space="preserve">zobowiązania spłacane przez Skarb Państwa </w:t>
      </w:r>
    </w:p>
    <w:p w14:paraId="2595A46E" w14:textId="0ADBBE2F" w:rsidR="00294BA4" w:rsidRDefault="00294BA4" w:rsidP="00B15290">
      <w:pPr>
        <w:pStyle w:val="pktlitcyfw0"/>
        <w:tabs>
          <w:tab w:val="left" w:pos="851"/>
        </w:tabs>
        <w:spacing w:after="240" w:line="276" w:lineRule="auto"/>
        <w:ind w:left="357" w:firstLine="0"/>
        <w:jc w:val="left"/>
        <w:rPr>
          <w:rFonts w:asciiTheme="minorHAnsi" w:hAnsiTheme="minorHAnsi" w:cstheme="minorHAnsi"/>
          <w:sz w:val="24"/>
          <w:szCs w:val="24"/>
        </w:rPr>
      </w:pPr>
      <w:r w:rsidRPr="00F64BDE">
        <w:rPr>
          <w:rFonts w:asciiTheme="minorHAnsi" w:hAnsiTheme="minorHAnsi" w:cstheme="minorHAnsi"/>
          <w:sz w:val="24"/>
          <w:szCs w:val="24"/>
        </w:rPr>
        <w:t>(wsp. ryzyka =100%).</w:t>
      </w:r>
    </w:p>
    <w:p w14:paraId="78D1CBC0" w14:textId="77777777" w:rsidR="00294BA4" w:rsidRPr="005643F7" w:rsidRDefault="00294BA4" w:rsidP="00B15290">
      <w:pPr>
        <w:pStyle w:val="tabela"/>
        <w:tabs>
          <w:tab w:val="left" w:pos="960"/>
        </w:tabs>
        <w:spacing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643F7">
        <w:rPr>
          <w:rFonts w:asciiTheme="minorHAnsi" w:hAnsiTheme="minorHAnsi" w:cstheme="minorHAnsi"/>
          <w:b/>
          <w:sz w:val="24"/>
          <w:szCs w:val="24"/>
        </w:rPr>
        <w:t xml:space="preserve">Tabela 3: Struktura potencjalnych zobowiązań Skarbu Państwa według podziału ryzyka </w:t>
      </w:r>
    </w:p>
    <w:tbl>
      <w:tblPr>
        <w:tblW w:w="85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truktura potencjalnych zobowiązań Skarbu Państwa według podziału ryzyka "/>
        <w:tblDescription w:val="Kolumny: Kategoria ryzyka, Kwoty potencjalnych zobowiązań wg stanu na 31.12.2020 i 31.12.2021. Udział w sumie potencjalnych zobowiązań wg stanu na 31.12.2020 i 31.12.2021"/>
      </w:tblPr>
      <w:tblGrid>
        <w:gridCol w:w="1772"/>
        <w:gridCol w:w="1702"/>
        <w:gridCol w:w="1702"/>
        <w:gridCol w:w="1702"/>
        <w:gridCol w:w="1702"/>
      </w:tblGrid>
      <w:tr w:rsidR="00294BA4" w:rsidRPr="00787827" w14:paraId="70D77682" w14:textId="77777777" w:rsidTr="009D6DFF">
        <w:trPr>
          <w:trHeight w:val="416"/>
        </w:trPr>
        <w:tc>
          <w:tcPr>
            <w:tcW w:w="1772" w:type="dxa"/>
            <w:hideMark/>
          </w:tcPr>
          <w:p w14:paraId="23828302" w14:textId="75388981" w:rsidR="00294BA4" w:rsidRPr="00787827" w:rsidRDefault="00294BA4" w:rsidP="00CD149B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Kategoria ryzyka</w:t>
            </w:r>
          </w:p>
        </w:tc>
        <w:tc>
          <w:tcPr>
            <w:tcW w:w="3404" w:type="dxa"/>
            <w:gridSpan w:val="2"/>
            <w:hideMark/>
          </w:tcPr>
          <w:p w14:paraId="60E899C0" w14:textId="77777777" w:rsidR="00294BA4" w:rsidRPr="00787827" w:rsidRDefault="00294BA4" w:rsidP="009D6DFF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Kwota potencjalnych zobowiązań </w:t>
            </w:r>
          </w:p>
          <w:p w14:paraId="565F332A" w14:textId="77777777" w:rsidR="00294BA4" w:rsidRPr="00787827" w:rsidRDefault="00294BA4" w:rsidP="009D6DFF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w zł</w:t>
            </w:r>
          </w:p>
        </w:tc>
        <w:tc>
          <w:tcPr>
            <w:tcW w:w="3404" w:type="dxa"/>
            <w:gridSpan w:val="2"/>
            <w:hideMark/>
          </w:tcPr>
          <w:p w14:paraId="1D3AB8FD" w14:textId="77777777" w:rsidR="00294BA4" w:rsidRPr="00787827" w:rsidRDefault="00294BA4" w:rsidP="009D6DFF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Udział w sumie potencjalnych zobowiązań</w:t>
            </w:r>
          </w:p>
        </w:tc>
      </w:tr>
      <w:tr w:rsidR="00294BA4" w:rsidRPr="00787827" w14:paraId="5D87E878" w14:textId="77777777" w:rsidTr="009D6DFF">
        <w:trPr>
          <w:trHeight w:val="209"/>
        </w:trPr>
        <w:tc>
          <w:tcPr>
            <w:tcW w:w="1772" w:type="dxa"/>
            <w:tcBorders>
              <w:bottom w:val="single" w:sz="12" w:space="0" w:color="auto"/>
            </w:tcBorders>
          </w:tcPr>
          <w:p w14:paraId="14EA46B3" w14:textId="77777777" w:rsidR="00294BA4" w:rsidRPr="00787827" w:rsidRDefault="00294BA4" w:rsidP="009D6DFF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hideMark/>
          </w:tcPr>
          <w:p w14:paraId="7AA70309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31.12.2020</w:t>
            </w:r>
          </w:p>
        </w:tc>
        <w:tc>
          <w:tcPr>
            <w:tcW w:w="1702" w:type="dxa"/>
            <w:tcBorders>
              <w:bottom w:val="single" w:sz="12" w:space="0" w:color="auto"/>
            </w:tcBorders>
          </w:tcPr>
          <w:p w14:paraId="742C7171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31.12.2021</w:t>
            </w: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  <w:hideMark/>
          </w:tcPr>
          <w:p w14:paraId="680901F2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31.12.2020</w:t>
            </w: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14:paraId="3C9C9188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31.12.2021</w:t>
            </w:r>
          </w:p>
        </w:tc>
      </w:tr>
      <w:tr w:rsidR="00294BA4" w:rsidRPr="00787827" w14:paraId="08C526DD" w14:textId="77777777" w:rsidTr="009D6DFF">
        <w:trPr>
          <w:trHeight w:val="209"/>
        </w:trPr>
        <w:tc>
          <w:tcPr>
            <w:tcW w:w="1772" w:type="dxa"/>
            <w:tcBorders>
              <w:top w:val="single" w:sz="12" w:space="0" w:color="auto"/>
              <w:bottom w:val="inset" w:sz="6" w:space="0" w:color="auto"/>
            </w:tcBorders>
            <w:hideMark/>
          </w:tcPr>
          <w:p w14:paraId="41EE2A2C" w14:textId="77777777" w:rsidR="00294BA4" w:rsidRPr="00787827" w:rsidRDefault="00294BA4" w:rsidP="009D6DFF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I-niskie</w:t>
            </w:r>
          </w:p>
        </w:tc>
        <w:tc>
          <w:tcPr>
            <w:tcW w:w="1702" w:type="dxa"/>
            <w:tcBorders>
              <w:top w:val="single" w:sz="12" w:space="0" w:color="auto"/>
              <w:bottom w:val="inset" w:sz="6" w:space="0" w:color="auto"/>
            </w:tcBorders>
            <w:vAlign w:val="center"/>
            <w:hideMark/>
          </w:tcPr>
          <w:p w14:paraId="68D4A702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 xml:space="preserve">286 618 770 986 </w:t>
            </w:r>
          </w:p>
        </w:tc>
        <w:tc>
          <w:tcPr>
            <w:tcW w:w="1702" w:type="dxa"/>
            <w:tcBorders>
              <w:top w:val="single" w:sz="12" w:space="0" w:color="auto"/>
              <w:bottom w:val="inset" w:sz="6" w:space="0" w:color="auto"/>
            </w:tcBorders>
            <w:vAlign w:val="center"/>
          </w:tcPr>
          <w:p w14:paraId="4117ED70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 xml:space="preserve">339 440 347 041 </w:t>
            </w:r>
          </w:p>
        </w:tc>
        <w:tc>
          <w:tcPr>
            <w:tcW w:w="1702" w:type="dxa"/>
            <w:tcBorders>
              <w:top w:val="single" w:sz="12" w:space="0" w:color="auto"/>
              <w:bottom w:val="inset" w:sz="6" w:space="0" w:color="auto"/>
            </w:tcBorders>
            <w:vAlign w:val="center"/>
            <w:hideMark/>
          </w:tcPr>
          <w:p w14:paraId="4DFCC93D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94,63%</w:t>
            </w:r>
          </w:p>
        </w:tc>
        <w:tc>
          <w:tcPr>
            <w:tcW w:w="1702" w:type="dxa"/>
            <w:tcBorders>
              <w:top w:val="single" w:sz="12" w:space="0" w:color="auto"/>
              <w:bottom w:val="inset" w:sz="6" w:space="0" w:color="auto"/>
            </w:tcBorders>
            <w:vAlign w:val="center"/>
          </w:tcPr>
          <w:p w14:paraId="75C1040C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95,26%</w:t>
            </w:r>
          </w:p>
        </w:tc>
      </w:tr>
      <w:tr w:rsidR="00294BA4" w:rsidRPr="00787827" w14:paraId="2D8DE155" w14:textId="77777777" w:rsidTr="009D6DFF">
        <w:trPr>
          <w:trHeight w:val="220"/>
        </w:trPr>
        <w:tc>
          <w:tcPr>
            <w:tcW w:w="1772" w:type="dxa"/>
            <w:tcBorders>
              <w:top w:val="inset" w:sz="6" w:space="0" w:color="auto"/>
              <w:bottom w:val="inset" w:sz="6" w:space="0" w:color="auto"/>
            </w:tcBorders>
            <w:hideMark/>
          </w:tcPr>
          <w:p w14:paraId="0E70B259" w14:textId="77777777" w:rsidR="00294BA4" w:rsidRPr="00787827" w:rsidRDefault="00294BA4" w:rsidP="009D6DFF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II-średnie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1476AD71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16 256 285 831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27E888DE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16 886 720 840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1ED764B2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5,37%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483ED568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4,74%</w:t>
            </w:r>
          </w:p>
        </w:tc>
      </w:tr>
      <w:tr w:rsidR="00294BA4" w:rsidRPr="00787827" w14:paraId="25DBFA4B" w14:textId="77777777" w:rsidTr="009D6DFF">
        <w:trPr>
          <w:trHeight w:val="209"/>
        </w:trPr>
        <w:tc>
          <w:tcPr>
            <w:tcW w:w="1772" w:type="dxa"/>
            <w:tcBorders>
              <w:top w:val="inset" w:sz="6" w:space="0" w:color="auto"/>
              <w:bottom w:val="inset" w:sz="6" w:space="0" w:color="auto"/>
            </w:tcBorders>
            <w:hideMark/>
          </w:tcPr>
          <w:p w14:paraId="370A3898" w14:textId="77777777" w:rsidR="00294BA4" w:rsidRPr="00787827" w:rsidRDefault="00294BA4" w:rsidP="009D6DFF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III-podwyższone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1E29FA55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4B7563EC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718734CA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6B012456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94BA4" w:rsidRPr="00787827" w14:paraId="49809796" w14:textId="77777777" w:rsidTr="009D6DFF">
        <w:trPr>
          <w:trHeight w:val="209"/>
        </w:trPr>
        <w:tc>
          <w:tcPr>
            <w:tcW w:w="1772" w:type="dxa"/>
            <w:tcBorders>
              <w:top w:val="inset" w:sz="6" w:space="0" w:color="auto"/>
              <w:bottom w:val="inset" w:sz="6" w:space="0" w:color="auto"/>
            </w:tcBorders>
            <w:hideMark/>
          </w:tcPr>
          <w:p w14:paraId="031DDD40" w14:textId="77777777" w:rsidR="00294BA4" w:rsidRPr="00787827" w:rsidRDefault="00294BA4" w:rsidP="009D6DFF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IV-wysokie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2BBD9719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235A726D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5FE48FFE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5E74FFA7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94BA4" w:rsidRPr="00787827" w14:paraId="087CA957" w14:textId="77777777" w:rsidTr="009D6DFF">
        <w:trPr>
          <w:trHeight w:val="209"/>
        </w:trPr>
        <w:tc>
          <w:tcPr>
            <w:tcW w:w="1772" w:type="dxa"/>
            <w:tcBorders>
              <w:top w:val="inset" w:sz="6" w:space="0" w:color="auto"/>
              <w:bottom w:val="inset" w:sz="6" w:space="0" w:color="auto"/>
            </w:tcBorders>
            <w:hideMark/>
          </w:tcPr>
          <w:p w14:paraId="6544413D" w14:textId="77777777" w:rsidR="00294BA4" w:rsidRPr="00787827" w:rsidRDefault="00294BA4" w:rsidP="009D6DFF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V-wypłaty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0687A2A5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1C77537C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28CA70B9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79533747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94BA4" w:rsidRPr="00787827" w14:paraId="313E975F" w14:textId="77777777" w:rsidTr="009D6DFF">
        <w:trPr>
          <w:trHeight w:val="220"/>
        </w:trPr>
        <w:tc>
          <w:tcPr>
            <w:tcW w:w="1772" w:type="dxa"/>
            <w:tcBorders>
              <w:top w:val="inset" w:sz="6" w:space="0" w:color="auto"/>
            </w:tcBorders>
            <w:hideMark/>
          </w:tcPr>
          <w:p w14:paraId="31791C8A" w14:textId="77777777" w:rsidR="00294BA4" w:rsidRPr="00787827" w:rsidRDefault="00294BA4" w:rsidP="009D6DFF">
            <w:pPr>
              <w:ind w:right="-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2" w:type="dxa"/>
            <w:tcBorders>
              <w:top w:val="inset" w:sz="6" w:space="0" w:color="auto"/>
            </w:tcBorders>
            <w:vAlign w:val="center"/>
            <w:hideMark/>
          </w:tcPr>
          <w:p w14:paraId="0E489AE0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302 875 056 817</w:t>
            </w:r>
          </w:p>
        </w:tc>
        <w:tc>
          <w:tcPr>
            <w:tcW w:w="1702" w:type="dxa"/>
            <w:tcBorders>
              <w:top w:val="inset" w:sz="6" w:space="0" w:color="auto"/>
            </w:tcBorders>
            <w:vAlign w:val="center"/>
            <w:hideMark/>
          </w:tcPr>
          <w:p w14:paraId="126A3475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sz w:val="20"/>
                <w:szCs w:val="20"/>
              </w:rPr>
              <w:t>356 327 067 881</w:t>
            </w:r>
          </w:p>
        </w:tc>
        <w:tc>
          <w:tcPr>
            <w:tcW w:w="1702" w:type="dxa"/>
            <w:tcBorders>
              <w:top w:val="inset" w:sz="6" w:space="0" w:color="auto"/>
            </w:tcBorders>
            <w:vAlign w:val="center"/>
            <w:hideMark/>
          </w:tcPr>
          <w:p w14:paraId="0F6B1F02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702" w:type="dxa"/>
            <w:tcBorders>
              <w:top w:val="inset" w:sz="6" w:space="0" w:color="auto"/>
            </w:tcBorders>
            <w:vAlign w:val="center"/>
            <w:hideMark/>
          </w:tcPr>
          <w:p w14:paraId="1B91538A" w14:textId="77777777" w:rsidR="00294BA4" w:rsidRPr="00787827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78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100%</w:t>
            </w:r>
          </w:p>
        </w:tc>
      </w:tr>
    </w:tbl>
    <w:p w14:paraId="5B27AE69" w14:textId="150015B9" w:rsidR="00294BA4" w:rsidRPr="00787827" w:rsidRDefault="00294BA4" w:rsidP="00D00CF2">
      <w:pPr>
        <w:spacing w:before="300"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2021 r., wraz ze wzrostem kwoty potencjalnych zobowiązań, nastąpiło zwiększenie udziału w całym portfelu Skarbu Państwa zobowiązań o niskim ryzyku ich spłaty przez gwaranta. Zmiana ta jest efektem udzielenia w 2021 roku dalszych kwot gwarancji związanych z przeciwdziałaniem skutkom gospodarczym COVID-19, które z uwagi na przyjęty mechanizm zapewnienia środków na spłatę zagwarantowanych zobowiązań zaliczane są do kategorii zobowiązań o niskim ryzyku spłaty z tytułu gwarancji (za spłatę tych zobowiązań odpowiada budżet państwa mający zapewnić Polskiemu Funduszowi Rozwoju S.A. i BGK na rzecz Funduszu Przeciwdziałania COVID-19 środki na samodzielną obsługę wyemitowanych obligacji</w:t>
      </w:r>
      <w:r w:rsidR="003072F9">
        <w:rPr>
          <w:rFonts w:asciiTheme="minorHAnsi" w:hAnsiTheme="minorHAnsi" w:cstheme="minorHAnsi"/>
        </w:rPr>
        <w:t>, których spłata jest</w:t>
      </w:r>
      <w:r>
        <w:rPr>
          <w:rFonts w:asciiTheme="minorHAnsi" w:hAnsiTheme="minorHAnsi" w:cstheme="minorHAnsi"/>
        </w:rPr>
        <w:t xml:space="preserve"> gwarantowana przez Skarb Państwa</w:t>
      </w:r>
      <w:r w:rsidRPr="00787827">
        <w:rPr>
          <w:rFonts w:asciiTheme="minorHAnsi" w:hAnsiTheme="minorHAnsi" w:cstheme="minorHAnsi"/>
        </w:rPr>
        <w:t xml:space="preserve">). </w:t>
      </w:r>
    </w:p>
    <w:p w14:paraId="1C5AD667" w14:textId="3F4E176C" w:rsidR="00294BA4" w:rsidRPr="00787827" w:rsidRDefault="00294BA4" w:rsidP="00D00CF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Z uwagi na powyższe, łączny długoterminowy współczynnik ryzyka dla całego portfela również uległ spadkowi. Przy pominięciu ww. gwarancji udzielonych w związku z przeciwdziałaniem COVID-19, współczynnik ryzyka dla portfela na koniec 2021 r. wynosiłby 5,9%, w porównaniu do 5,7% na koniec 2020 r.</w:t>
      </w:r>
    </w:p>
    <w:p w14:paraId="63DFE23E" w14:textId="798BE9AB" w:rsidR="00294BA4" w:rsidRDefault="00294BA4" w:rsidP="00294BA4">
      <w:pPr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Według stanu na koniec 2021 r. portfel gwarancji zagranicznych, analogicznie jak w roku ubiegłym, charakteryzuje się większym ryzykiem w stosunku do portfela poręczeń i</w:t>
      </w:r>
      <w:r w:rsidR="00D00CF2"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gwarancji krajowych.</w:t>
      </w:r>
    </w:p>
    <w:p w14:paraId="079048EC" w14:textId="516BFE73" w:rsidR="00D00CF2" w:rsidRPr="00787827" w:rsidRDefault="00D00CF2" w:rsidP="00294BA4">
      <w:pPr>
        <w:spacing w:after="3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Tabela 4</w:t>
      </w:r>
      <w:r w:rsidRPr="00034C9E">
        <w:rPr>
          <w:rFonts w:asciiTheme="minorHAnsi" w:hAnsiTheme="minorHAnsi" w:cstheme="minorHAnsi"/>
          <w:b/>
        </w:rPr>
        <w:t>. Współczynniki ryzyka portfela por</w:t>
      </w:r>
      <w:r>
        <w:rPr>
          <w:rFonts w:asciiTheme="minorHAnsi" w:hAnsiTheme="minorHAnsi" w:cstheme="minorHAnsi"/>
          <w:b/>
        </w:rPr>
        <w:t>ęczeń i gwarancji Skarbu Państwa</w:t>
      </w:r>
    </w:p>
    <w:tbl>
      <w:tblPr>
        <w:tblW w:w="85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tencjalne zobowiązania z tytułu poręczeń i gwarancji Skarbu Państwa i współczynniki ryzyka portfela "/>
        <w:tblDescription w:val="Kwoty potencjalnych zobowiązań i Współczynniki ryzyka dla portfela wg stanów na 31.12.2020 i 31.12.2021; Wiersze: Razem, w tym dla poręczeń i gwarancji krajowych i dla gwarancji zagranicznych."/>
      </w:tblPr>
      <w:tblGrid>
        <w:gridCol w:w="756"/>
        <w:gridCol w:w="1611"/>
        <w:gridCol w:w="1611"/>
        <w:gridCol w:w="1611"/>
        <w:gridCol w:w="1495"/>
        <w:gridCol w:w="1496"/>
      </w:tblGrid>
      <w:tr w:rsidR="00294BA4" w:rsidRPr="00606194" w14:paraId="3C06314C" w14:textId="77777777" w:rsidTr="009D6DFF">
        <w:trPr>
          <w:trHeight w:val="466"/>
        </w:trPr>
        <w:tc>
          <w:tcPr>
            <w:tcW w:w="2367" w:type="dxa"/>
            <w:gridSpan w:val="2"/>
            <w:tcBorders>
              <w:bottom w:val="single" w:sz="4" w:space="0" w:color="auto"/>
            </w:tcBorders>
          </w:tcPr>
          <w:p w14:paraId="1EF7408A" w14:textId="77777777" w:rsidR="00294BA4" w:rsidRPr="00787827" w:rsidRDefault="00294BA4" w:rsidP="009D6DFF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tcBorders>
              <w:bottom w:val="single" w:sz="4" w:space="0" w:color="auto"/>
            </w:tcBorders>
            <w:hideMark/>
          </w:tcPr>
          <w:p w14:paraId="0E73A3B6" w14:textId="77777777" w:rsidR="00294BA4" w:rsidRPr="00606194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94">
              <w:rPr>
                <w:rFonts w:asciiTheme="minorHAnsi" w:hAnsiTheme="minorHAnsi" w:cstheme="minorHAnsi"/>
                <w:b/>
                <w:sz w:val="20"/>
                <w:szCs w:val="20"/>
              </w:rPr>
              <w:t>Kwota potencjalnych zobowiązań  w zł</w:t>
            </w:r>
          </w:p>
        </w:tc>
        <w:tc>
          <w:tcPr>
            <w:tcW w:w="2991" w:type="dxa"/>
            <w:gridSpan w:val="2"/>
            <w:tcBorders>
              <w:bottom w:val="single" w:sz="4" w:space="0" w:color="auto"/>
            </w:tcBorders>
            <w:hideMark/>
          </w:tcPr>
          <w:p w14:paraId="055C2BBA" w14:textId="77777777" w:rsidR="00294BA4" w:rsidRPr="00606194" w:rsidRDefault="00294BA4" w:rsidP="009D6DFF">
            <w:pPr>
              <w:ind w:left="-160" w:right="-1" w:firstLine="1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94">
              <w:rPr>
                <w:rFonts w:asciiTheme="minorHAnsi" w:hAnsiTheme="minorHAnsi" w:cstheme="minorHAnsi"/>
                <w:b/>
                <w:sz w:val="20"/>
                <w:szCs w:val="20"/>
              </w:rPr>
              <w:t>Współczynnik ryzyka dla całego portfela</w:t>
            </w:r>
          </w:p>
        </w:tc>
      </w:tr>
      <w:tr w:rsidR="00294BA4" w:rsidRPr="00606194" w14:paraId="528429DF" w14:textId="77777777" w:rsidTr="009D6DFF">
        <w:trPr>
          <w:trHeight w:val="360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49E0953" w14:textId="77777777" w:rsidR="00294BA4" w:rsidRPr="00606194" w:rsidRDefault="00294BA4" w:rsidP="009D6DFF">
            <w:pPr>
              <w:pStyle w:val="Nagwek6"/>
              <w:spacing w:after="0" w:line="240" w:lineRule="auto"/>
              <w:ind w:right="-1"/>
              <w:jc w:val="left"/>
              <w:rPr>
                <w:rFonts w:asciiTheme="minorHAnsi" w:hAnsiTheme="minorHAnsi" w:cstheme="minorHAnsi"/>
                <w:sz w:val="20"/>
              </w:rPr>
            </w:pPr>
            <w:r w:rsidRPr="00606194">
              <w:rPr>
                <w:rFonts w:asciiTheme="minorHAnsi" w:hAnsiTheme="minorHAnsi" w:cstheme="minorHAnsi"/>
                <w:sz w:val="20"/>
              </w:rPr>
              <w:t>Wg stanu na dzień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D89163" w14:textId="77777777" w:rsidR="00294BA4" w:rsidRPr="00606194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94">
              <w:rPr>
                <w:rFonts w:asciiTheme="minorHAnsi" w:hAnsiTheme="minorHAnsi" w:cstheme="minorHAnsi"/>
                <w:b/>
                <w:sz w:val="20"/>
                <w:szCs w:val="20"/>
              </w:rPr>
              <w:t>31.12.2020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4E73D0" w14:textId="77777777" w:rsidR="00294BA4" w:rsidRPr="00606194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94">
              <w:rPr>
                <w:rFonts w:asciiTheme="minorHAnsi" w:hAnsiTheme="minorHAnsi" w:cstheme="minorHAnsi"/>
                <w:b/>
                <w:sz w:val="20"/>
                <w:szCs w:val="20"/>
              </w:rPr>
              <w:t>31.12.2021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BD94CE" w14:textId="77777777" w:rsidR="00294BA4" w:rsidRPr="00606194" w:rsidRDefault="00294BA4" w:rsidP="009D6DFF">
            <w:pPr>
              <w:ind w:left="-18" w:right="-1" w:firstLine="1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94">
              <w:rPr>
                <w:rFonts w:asciiTheme="minorHAnsi" w:hAnsiTheme="minorHAnsi" w:cstheme="minorHAnsi"/>
                <w:b/>
                <w:sz w:val="20"/>
                <w:szCs w:val="20"/>
              </w:rPr>
              <w:t>31.12.2020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027D0D" w14:textId="77777777" w:rsidR="00294BA4" w:rsidRPr="00606194" w:rsidRDefault="00294BA4" w:rsidP="009D6DFF">
            <w:pPr>
              <w:ind w:left="-18" w:right="-1" w:firstLine="1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94">
              <w:rPr>
                <w:rFonts w:asciiTheme="minorHAnsi" w:hAnsiTheme="minorHAnsi" w:cstheme="minorHAnsi"/>
                <w:b/>
                <w:sz w:val="20"/>
                <w:szCs w:val="20"/>
              </w:rPr>
              <w:t>31.12.2021</w:t>
            </w:r>
          </w:p>
        </w:tc>
      </w:tr>
      <w:tr w:rsidR="00294BA4" w:rsidRPr="00606194" w14:paraId="396C2B37" w14:textId="77777777" w:rsidTr="009D6DFF">
        <w:trPr>
          <w:trHeight w:val="244"/>
        </w:trPr>
        <w:tc>
          <w:tcPr>
            <w:tcW w:w="2367" w:type="dxa"/>
            <w:gridSpan w:val="2"/>
            <w:tcBorders>
              <w:top w:val="single" w:sz="12" w:space="0" w:color="auto"/>
              <w:bottom w:val="inset" w:sz="6" w:space="0" w:color="auto"/>
            </w:tcBorders>
            <w:vAlign w:val="center"/>
            <w:hideMark/>
          </w:tcPr>
          <w:p w14:paraId="33473B29" w14:textId="77777777" w:rsidR="00294BA4" w:rsidRPr="00606194" w:rsidRDefault="00294BA4" w:rsidP="009D6DFF">
            <w:pPr>
              <w:pStyle w:val="Nagwek5"/>
              <w:ind w:right="-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061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611" w:type="dxa"/>
            <w:tcBorders>
              <w:top w:val="single" w:sz="12" w:space="0" w:color="auto"/>
              <w:bottom w:val="inset" w:sz="6" w:space="0" w:color="auto"/>
            </w:tcBorders>
            <w:vAlign w:val="center"/>
          </w:tcPr>
          <w:p w14:paraId="4EB563FE" w14:textId="77777777" w:rsidR="00294BA4" w:rsidRPr="00606194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94">
              <w:rPr>
                <w:rFonts w:asciiTheme="minorHAnsi" w:hAnsiTheme="minorHAnsi" w:cstheme="minorHAnsi"/>
                <w:b/>
                <w:sz w:val="20"/>
                <w:szCs w:val="20"/>
              </w:rPr>
              <w:t>302 875 056 817</w:t>
            </w:r>
          </w:p>
        </w:tc>
        <w:tc>
          <w:tcPr>
            <w:tcW w:w="1611" w:type="dxa"/>
            <w:tcBorders>
              <w:top w:val="single" w:sz="12" w:space="0" w:color="auto"/>
              <w:bottom w:val="inset" w:sz="6" w:space="0" w:color="auto"/>
            </w:tcBorders>
            <w:vAlign w:val="center"/>
          </w:tcPr>
          <w:p w14:paraId="1FC9E7C9" w14:textId="77777777" w:rsidR="00294BA4" w:rsidRPr="00606194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94">
              <w:rPr>
                <w:rFonts w:asciiTheme="minorHAnsi" w:hAnsiTheme="minorHAnsi" w:cstheme="minorHAnsi"/>
                <w:b/>
                <w:sz w:val="20"/>
                <w:szCs w:val="20"/>
              </w:rPr>
              <w:t>356 327 067 881</w:t>
            </w:r>
          </w:p>
        </w:tc>
        <w:tc>
          <w:tcPr>
            <w:tcW w:w="1495" w:type="dxa"/>
            <w:tcBorders>
              <w:top w:val="single" w:sz="12" w:space="0" w:color="auto"/>
              <w:bottom w:val="inset" w:sz="6" w:space="0" w:color="auto"/>
            </w:tcBorders>
            <w:vAlign w:val="center"/>
          </w:tcPr>
          <w:p w14:paraId="1FCDBBB3" w14:textId="77777777" w:rsidR="00294BA4" w:rsidRPr="00606194" w:rsidRDefault="00294BA4" w:rsidP="009D6DFF">
            <w:pPr>
              <w:ind w:left="-39"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94">
              <w:rPr>
                <w:rFonts w:asciiTheme="minorHAnsi" w:hAnsiTheme="minorHAnsi" w:cstheme="minorHAnsi"/>
                <w:b/>
                <w:sz w:val="20"/>
                <w:szCs w:val="20"/>
              </w:rPr>
              <w:t>2,2%</w:t>
            </w:r>
          </w:p>
        </w:tc>
        <w:tc>
          <w:tcPr>
            <w:tcW w:w="1496" w:type="dxa"/>
            <w:tcBorders>
              <w:top w:val="single" w:sz="12" w:space="0" w:color="auto"/>
              <w:bottom w:val="inset" w:sz="6" w:space="0" w:color="auto"/>
            </w:tcBorders>
            <w:vAlign w:val="center"/>
          </w:tcPr>
          <w:p w14:paraId="32A685EA" w14:textId="77777777" w:rsidR="00294BA4" w:rsidRPr="00606194" w:rsidRDefault="00294BA4" w:rsidP="009D6DFF">
            <w:pPr>
              <w:ind w:left="-39"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6194">
              <w:rPr>
                <w:rFonts w:asciiTheme="minorHAnsi" w:hAnsiTheme="minorHAnsi" w:cstheme="minorHAnsi"/>
                <w:b/>
                <w:sz w:val="20"/>
                <w:szCs w:val="20"/>
              </w:rPr>
              <w:t>1,9%</w:t>
            </w:r>
          </w:p>
        </w:tc>
      </w:tr>
      <w:tr w:rsidR="00294BA4" w:rsidRPr="00606194" w14:paraId="527D472A" w14:textId="77777777" w:rsidTr="009D6DFF">
        <w:trPr>
          <w:trHeight w:val="478"/>
        </w:trPr>
        <w:tc>
          <w:tcPr>
            <w:tcW w:w="756" w:type="dxa"/>
            <w:hideMark/>
          </w:tcPr>
          <w:p w14:paraId="05C2A238" w14:textId="77777777" w:rsidR="00294BA4" w:rsidRPr="00606194" w:rsidRDefault="00294BA4" w:rsidP="009D6DFF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606194">
              <w:rPr>
                <w:rFonts w:asciiTheme="minorHAnsi" w:hAnsiTheme="minorHAnsi" w:cstheme="minorHAnsi"/>
                <w:sz w:val="18"/>
                <w:szCs w:val="18"/>
              </w:rPr>
              <w:t>W tym:</w:t>
            </w:r>
          </w:p>
        </w:tc>
        <w:tc>
          <w:tcPr>
            <w:tcW w:w="1611" w:type="dxa"/>
            <w:tcBorders>
              <w:top w:val="inset" w:sz="6" w:space="0" w:color="auto"/>
              <w:bottom w:val="inset" w:sz="6" w:space="0" w:color="auto"/>
            </w:tcBorders>
            <w:vAlign w:val="center"/>
            <w:hideMark/>
          </w:tcPr>
          <w:p w14:paraId="16D5EB87" w14:textId="77777777" w:rsidR="00294BA4" w:rsidRPr="00606194" w:rsidRDefault="00294BA4" w:rsidP="009D6DFF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606194">
              <w:rPr>
                <w:rFonts w:asciiTheme="minorHAnsi" w:hAnsiTheme="minorHAnsi" w:cstheme="minorHAnsi"/>
                <w:sz w:val="18"/>
                <w:szCs w:val="18"/>
              </w:rPr>
              <w:t>poręczenia i</w:t>
            </w:r>
          </w:p>
          <w:p w14:paraId="27B961D3" w14:textId="77777777" w:rsidR="00294BA4" w:rsidRPr="00606194" w:rsidRDefault="00294BA4" w:rsidP="009D6DFF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606194">
              <w:rPr>
                <w:rFonts w:asciiTheme="minorHAnsi" w:hAnsiTheme="minorHAnsi" w:cstheme="minorHAnsi"/>
                <w:sz w:val="18"/>
                <w:szCs w:val="18"/>
              </w:rPr>
              <w:t>gwarancje krajowe</w:t>
            </w:r>
          </w:p>
        </w:tc>
        <w:tc>
          <w:tcPr>
            <w:tcW w:w="1611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0DEAB5F2" w14:textId="77777777" w:rsidR="00294BA4" w:rsidRPr="00606194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6194">
              <w:rPr>
                <w:rFonts w:asciiTheme="minorHAnsi" w:hAnsiTheme="minorHAnsi" w:cstheme="minorHAnsi"/>
                <w:sz w:val="18"/>
                <w:szCs w:val="18"/>
              </w:rPr>
              <w:t>198 278 816 381</w:t>
            </w:r>
          </w:p>
        </w:tc>
        <w:tc>
          <w:tcPr>
            <w:tcW w:w="1611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0052B3AC" w14:textId="77777777" w:rsidR="00294BA4" w:rsidRPr="00606194" w:rsidRDefault="00294BA4" w:rsidP="009D6DFF">
            <w:pPr>
              <w:ind w:left="-39" w:right="-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6194">
              <w:rPr>
                <w:rFonts w:asciiTheme="minorHAnsi" w:hAnsiTheme="minorHAnsi" w:cstheme="minorHAnsi"/>
                <w:sz w:val="18"/>
                <w:szCs w:val="18"/>
              </w:rPr>
              <w:t>243 753 292 064</w:t>
            </w:r>
          </w:p>
        </w:tc>
        <w:tc>
          <w:tcPr>
            <w:tcW w:w="1495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7FC38E25" w14:textId="77777777" w:rsidR="00294BA4" w:rsidRPr="00606194" w:rsidRDefault="00294BA4" w:rsidP="009D6DFF">
            <w:pPr>
              <w:ind w:left="-39" w:right="-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6194">
              <w:rPr>
                <w:rFonts w:asciiTheme="minorHAnsi" w:hAnsiTheme="minorHAnsi" w:cstheme="minorHAnsi"/>
                <w:sz w:val="18"/>
                <w:szCs w:val="18"/>
              </w:rPr>
              <w:t>0,2%</w:t>
            </w:r>
          </w:p>
        </w:tc>
        <w:tc>
          <w:tcPr>
            <w:tcW w:w="1496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14:paraId="0C311848" w14:textId="77777777" w:rsidR="00294BA4" w:rsidRPr="00606194" w:rsidRDefault="00294BA4" w:rsidP="009D6DFF">
            <w:pPr>
              <w:ind w:left="-39" w:right="-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6194">
              <w:rPr>
                <w:rFonts w:asciiTheme="minorHAnsi" w:hAnsiTheme="minorHAnsi" w:cstheme="minorHAnsi"/>
                <w:sz w:val="18"/>
                <w:szCs w:val="18"/>
              </w:rPr>
              <w:t>0,3%</w:t>
            </w:r>
          </w:p>
        </w:tc>
      </w:tr>
      <w:tr w:rsidR="00294BA4" w:rsidRPr="00787827" w14:paraId="2116A1C7" w14:textId="77777777" w:rsidTr="00CA64E0">
        <w:trPr>
          <w:trHeight w:val="49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2B1FFB43" w14:textId="77777777" w:rsidR="00294BA4" w:rsidRPr="00606194" w:rsidRDefault="00294BA4" w:rsidP="009D6DFF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inset" w:sz="6" w:space="0" w:color="auto"/>
              <w:bottom w:val="single" w:sz="4" w:space="0" w:color="auto"/>
            </w:tcBorders>
            <w:vAlign w:val="center"/>
            <w:hideMark/>
          </w:tcPr>
          <w:p w14:paraId="04F70D7D" w14:textId="77777777" w:rsidR="00294BA4" w:rsidRPr="00606194" w:rsidRDefault="00294BA4" w:rsidP="009D6DFF">
            <w:pPr>
              <w:ind w:righ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606194">
              <w:rPr>
                <w:rFonts w:asciiTheme="minorHAnsi" w:hAnsiTheme="minorHAnsi" w:cstheme="minorHAnsi"/>
                <w:sz w:val="18"/>
                <w:szCs w:val="18"/>
              </w:rPr>
              <w:t>gwarancje zagraniczne</w:t>
            </w:r>
          </w:p>
        </w:tc>
        <w:tc>
          <w:tcPr>
            <w:tcW w:w="1611" w:type="dxa"/>
            <w:tcBorders>
              <w:top w:val="inset" w:sz="6" w:space="0" w:color="auto"/>
              <w:bottom w:val="single" w:sz="4" w:space="0" w:color="auto"/>
            </w:tcBorders>
            <w:vAlign w:val="center"/>
          </w:tcPr>
          <w:p w14:paraId="14CD2737" w14:textId="77777777" w:rsidR="00294BA4" w:rsidRPr="00606194" w:rsidRDefault="00294BA4" w:rsidP="009D6DFF">
            <w:pPr>
              <w:ind w:right="-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6194">
              <w:rPr>
                <w:rFonts w:asciiTheme="minorHAnsi" w:hAnsiTheme="minorHAnsi" w:cstheme="minorHAnsi"/>
                <w:sz w:val="18"/>
                <w:szCs w:val="18"/>
              </w:rPr>
              <w:t>104 596 240 436</w:t>
            </w:r>
          </w:p>
        </w:tc>
        <w:tc>
          <w:tcPr>
            <w:tcW w:w="1611" w:type="dxa"/>
            <w:tcBorders>
              <w:top w:val="inset" w:sz="6" w:space="0" w:color="auto"/>
              <w:bottom w:val="single" w:sz="4" w:space="0" w:color="auto"/>
            </w:tcBorders>
            <w:vAlign w:val="center"/>
          </w:tcPr>
          <w:p w14:paraId="1D66224E" w14:textId="77777777" w:rsidR="00294BA4" w:rsidRPr="00606194" w:rsidRDefault="00294BA4" w:rsidP="009D6DFF">
            <w:pPr>
              <w:ind w:left="-39" w:right="-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6194">
              <w:rPr>
                <w:rFonts w:asciiTheme="minorHAnsi" w:hAnsiTheme="minorHAnsi" w:cstheme="minorHAnsi"/>
                <w:sz w:val="18"/>
                <w:szCs w:val="18"/>
              </w:rPr>
              <w:t>112 573 775 817</w:t>
            </w:r>
          </w:p>
        </w:tc>
        <w:tc>
          <w:tcPr>
            <w:tcW w:w="1495" w:type="dxa"/>
            <w:tcBorders>
              <w:top w:val="inset" w:sz="6" w:space="0" w:color="auto"/>
              <w:bottom w:val="single" w:sz="4" w:space="0" w:color="auto"/>
            </w:tcBorders>
            <w:vAlign w:val="center"/>
          </w:tcPr>
          <w:p w14:paraId="723EBC16" w14:textId="77777777" w:rsidR="00294BA4" w:rsidRPr="00606194" w:rsidRDefault="00294BA4" w:rsidP="009D6DFF">
            <w:pPr>
              <w:ind w:left="-39" w:right="-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6194">
              <w:rPr>
                <w:rFonts w:asciiTheme="minorHAnsi" w:hAnsiTheme="minorHAnsi" w:cstheme="minorHAnsi"/>
                <w:sz w:val="18"/>
                <w:szCs w:val="18"/>
              </w:rPr>
              <w:t>5,8%</w:t>
            </w:r>
          </w:p>
        </w:tc>
        <w:tc>
          <w:tcPr>
            <w:tcW w:w="1496" w:type="dxa"/>
            <w:tcBorders>
              <w:top w:val="inset" w:sz="6" w:space="0" w:color="auto"/>
              <w:bottom w:val="single" w:sz="4" w:space="0" w:color="auto"/>
            </w:tcBorders>
            <w:vAlign w:val="center"/>
          </w:tcPr>
          <w:p w14:paraId="6BC28935" w14:textId="77777777" w:rsidR="00294BA4" w:rsidRPr="00787827" w:rsidRDefault="00294BA4" w:rsidP="009D6DFF">
            <w:pPr>
              <w:ind w:left="-39" w:right="-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06194">
              <w:rPr>
                <w:rFonts w:asciiTheme="minorHAnsi" w:hAnsiTheme="minorHAnsi" w:cstheme="minorHAnsi"/>
                <w:sz w:val="18"/>
                <w:szCs w:val="18"/>
              </w:rPr>
              <w:t>5,4%</w:t>
            </w:r>
          </w:p>
        </w:tc>
      </w:tr>
    </w:tbl>
    <w:p w14:paraId="4C85B85C" w14:textId="31E5736F" w:rsidR="00294BA4" w:rsidRPr="00787827" w:rsidRDefault="00294BA4" w:rsidP="00294BA4">
      <w:pPr>
        <w:pStyle w:val="akapit"/>
        <w:tabs>
          <w:tab w:val="left" w:pos="960"/>
        </w:tabs>
        <w:spacing w:before="300" w:after="300" w:line="276" w:lineRule="auto"/>
        <w:ind w:firstLine="0"/>
        <w:jc w:val="left"/>
        <w:rPr>
          <w:rFonts w:asciiTheme="minorHAnsi" w:hAnsiTheme="minorHAnsi" w:cstheme="minorHAnsi"/>
          <w:sz w:val="24"/>
        </w:rPr>
      </w:pPr>
      <w:bookmarkStart w:id="33" w:name="_Toc351990867"/>
      <w:bookmarkStart w:id="34" w:name="_Toc352076145"/>
      <w:bookmarkStart w:id="35" w:name="_Toc352237517"/>
      <w:r w:rsidRPr="00787827">
        <w:rPr>
          <w:rFonts w:asciiTheme="minorHAnsi" w:hAnsiTheme="minorHAnsi" w:cstheme="minorHAnsi"/>
          <w:sz w:val="24"/>
        </w:rPr>
        <w:t>Według stanu na 31.12.2021 r. relacja potencjalnych zobowiązań z tytułu gwarancji i poręczeń udzielonych przez Skarb Państwa do PKB za 2021 r.</w:t>
      </w:r>
      <w:r w:rsidRPr="00787827">
        <w:rPr>
          <w:rFonts w:asciiTheme="minorHAnsi" w:hAnsiTheme="minorHAnsi" w:cstheme="minorHAnsi"/>
          <w:sz w:val="24"/>
          <w:vertAlign w:val="superscript"/>
        </w:rPr>
        <w:footnoteReference w:id="11"/>
      </w:r>
      <w:r w:rsidR="00085980" w:rsidRPr="003101C3">
        <w:rPr>
          <w:rFonts w:asciiTheme="minorHAnsi" w:hAnsiTheme="minorHAnsi" w:cstheme="minorHAnsi"/>
          <w:sz w:val="24"/>
          <w:vertAlign w:val="superscript"/>
        </w:rPr>
        <w:t>)</w:t>
      </w:r>
      <w:r w:rsidRPr="00787827">
        <w:rPr>
          <w:rFonts w:asciiTheme="minorHAnsi" w:hAnsiTheme="minorHAnsi" w:cstheme="minorHAnsi"/>
          <w:sz w:val="24"/>
        </w:rPr>
        <w:t xml:space="preserve"> wyniosła 13,7%. Oznacza to jej wzrost w stosunku do stanu na 31.12.2020 r., kiedy t</w:t>
      </w:r>
      <w:r>
        <w:rPr>
          <w:rFonts w:asciiTheme="minorHAnsi" w:hAnsiTheme="minorHAnsi" w:cstheme="minorHAnsi"/>
          <w:sz w:val="24"/>
        </w:rPr>
        <w:t>o wyniosła 13,0% (po korekcie z </w:t>
      </w:r>
      <w:r w:rsidRPr="00787827">
        <w:rPr>
          <w:rFonts w:asciiTheme="minorHAnsi" w:hAnsiTheme="minorHAnsi" w:cstheme="minorHAnsi"/>
          <w:sz w:val="24"/>
        </w:rPr>
        <w:t>13,1%).</w:t>
      </w:r>
    </w:p>
    <w:p w14:paraId="40FE7006" w14:textId="77777777" w:rsidR="00294BA4" w:rsidRPr="008F4F37" w:rsidRDefault="00294BA4" w:rsidP="00294BA4">
      <w:pPr>
        <w:pStyle w:val="Nagwek3"/>
        <w:tabs>
          <w:tab w:val="left" w:pos="567"/>
        </w:tabs>
        <w:spacing w:before="0" w:after="300" w:line="276" w:lineRule="auto"/>
        <w:rPr>
          <w:rFonts w:asciiTheme="minorHAnsi" w:hAnsiTheme="minorHAnsi" w:cstheme="minorHAnsi"/>
          <w:sz w:val="28"/>
          <w:szCs w:val="28"/>
        </w:rPr>
      </w:pPr>
      <w:bookmarkStart w:id="36" w:name="_Toc97726321"/>
      <w:r w:rsidRPr="008F4F37">
        <w:rPr>
          <w:rFonts w:asciiTheme="minorHAnsi" w:hAnsiTheme="minorHAnsi" w:cstheme="minorHAnsi"/>
          <w:sz w:val="28"/>
          <w:szCs w:val="28"/>
        </w:rPr>
        <w:t>2.2.5 Wydatki i należności Skarbu Państwa</w:t>
      </w:r>
      <w:bookmarkEnd w:id="33"/>
      <w:bookmarkEnd w:id="34"/>
      <w:bookmarkEnd w:id="35"/>
      <w:bookmarkEnd w:id="36"/>
    </w:p>
    <w:p w14:paraId="7C1C5E68" w14:textId="77777777" w:rsidR="00294BA4" w:rsidRPr="008F4F37" w:rsidRDefault="00294BA4" w:rsidP="00CA64E0">
      <w:pPr>
        <w:tabs>
          <w:tab w:val="left" w:pos="567"/>
          <w:tab w:val="left" w:pos="1134"/>
          <w:tab w:val="left" w:pos="8640"/>
        </w:tabs>
        <w:spacing w:after="120" w:line="276" w:lineRule="auto"/>
        <w:rPr>
          <w:rFonts w:asciiTheme="minorHAnsi" w:hAnsiTheme="minorHAnsi" w:cstheme="minorHAnsi"/>
        </w:rPr>
      </w:pPr>
      <w:r w:rsidRPr="008F4F37">
        <w:rPr>
          <w:rFonts w:asciiTheme="minorHAnsi" w:hAnsiTheme="minorHAnsi" w:cstheme="minorHAnsi"/>
        </w:rPr>
        <w:t xml:space="preserve">W 2021 r. Skarb Państwa nie wydatkował środków na spłatę gwarantowanych i poręczonych zobowiązań. </w:t>
      </w:r>
    </w:p>
    <w:p w14:paraId="675EBFE1" w14:textId="77777777" w:rsidR="00294BA4" w:rsidRPr="008F4F37" w:rsidRDefault="00294BA4" w:rsidP="00CA64E0">
      <w:pPr>
        <w:tabs>
          <w:tab w:val="left" w:pos="567"/>
          <w:tab w:val="left" w:pos="1134"/>
          <w:tab w:val="left" w:pos="8640"/>
        </w:tabs>
        <w:spacing w:after="120" w:line="276" w:lineRule="auto"/>
        <w:rPr>
          <w:rFonts w:asciiTheme="minorHAnsi" w:hAnsiTheme="minorHAnsi" w:cstheme="minorHAnsi"/>
        </w:rPr>
      </w:pPr>
      <w:r w:rsidRPr="008F4F37">
        <w:rPr>
          <w:rFonts w:asciiTheme="minorHAnsi" w:hAnsiTheme="minorHAnsi" w:cstheme="minorHAnsi"/>
        </w:rPr>
        <w:t xml:space="preserve">Należności z tytułu udzielonych przez Skarb Państwa gwarancji i poręczeń, wg stanu na 31.12.2021 r., wyniosły 28 472 857 zł, w tym odsetki ustawowe za opóźnienie stanowiły kwotę 23 778 497 zł. Oznacza to wzrost </w:t>
      </w:r>
      <w:r>
        <w:rPr>
          <w:rFonts w:asciiTheme="minorHAnsi" w:hAnsiTheme="minorHAnsi" w:cstheme="minorHAnsi"/>
        </w:rPr>
        <w:t xml:space="preserve">o </w:t>
      </w:r>
      <w:r w:rsidRPr="008F4F37">
        <w:rPr>
          <w:rFonts w:asciiTheme="minorHAnsi" w:hAnsiTheme="minorHAnsi" w:cstheme="minorHAnsi"/>
        </w:rPr>
        <w:t>0,9%, gdyż wg stanu na 31.12.2020 r. należności te wyniosły 28 205 721 zł. Wzrost ten wynikał ze:</w:t>
      </w:r>
    </w:p>
    <w:p w14:paraId="38F3FD92" w14:textId="77777777" w:rsidR="00294BA4" w:rsidRPr="008F4F37" w:rsidRDefault="00294BA4" w:rsidP="00CA64E0">
      <w:pPr>
        <w:pStyle w:val="pktlitcyfw00"/>
        <w:numPr>
          <w:ilvl w:val="0"/>
          <w:numId w:val="26"/>
        </w:numPr>
        <w:spacing w:after="0" w:line="276" w:lineRule="auto"/>
        <w:ind w:left="357" w:hanging="357"/>
        <w:jc w:val="left"/>
        <w:rPr>
          <w:rFonts w:asciiTheme="minorHAnsi" w:hAnsiTheme="minorHAnsi" w:cstheme="minorHAnsi"/>
          <w:sz w:val="24"/>
          <w:szCs w:val="24"/>
        </w:rPr>
      </w:pPr>
      <w:r w:rsidRPr="008F4F37">
        <w:rPr>
          <w:rFonts w:asciiTheme="minorHAnsi" w:hAnsiTheme="minorHAnsi" w:cstheme="minorHAnsi"/>
          <w:sz w:val="24"/>
          <w:szCs w:val="24"/>
        </w:rPr>
        <w:t xml:space="preserve">zwiększenia należności w wyniku zaewidencjonowania odsetek ustawowych za opóźnienie od należności Skarbu Państwa, </w:t>
      </w:r>
    </w:p>
    <w:p w14:paraId="035393EC" w14:textId="77777777" w:rsidR="00294BA4" w:rsidRPr="008F4F37" w:rsidRDefault="00294BA4" w:rsidP="00294BA4">
      <w:pPr>
        <w:pStyle w:val="pktlitcyfw00"/>
        <w:numPr>
          <w:ilvl w:val="0"/>
          <w:numId w:val="26"/>
        </w:numPr>
        <w:spacing w:after="300" w:line="276" w:lineRule="auto"/>
        <w:ind w:right="-1"/>
        <w:jc w:val="left"/>
        <w:rPr>
          <w:rFonts w:asciiTheme="minorHAnsi" w:hAnsiTheme="minorHAnsi" w:cstheme="minorHAnsi"/>
          <w:sz w:val="24"/>
          <w:szCs w:val="24"/>
        </w:rPr>
      </w:pPr>
      <w:r w:rsidRPr="008F4F37">
        <w:rPr>
          <w:rFonts w:asciiTheme="minorHAnsi" w:hAnsiTheme="minorHAnsi" w:cstheme="minorHAnsi"/>
          <w:sz w:val="24"/>
          <w:szCs w:val="24"/>
        </w:rPr>
        <w:t>zmniejszenia należności w wyniku prowadzonych działań windykacyjnych wobec dłużników Skarbu Państwa.</w:t>
      </w:r>
    </w:p>
    <w:p w14:paraId="385E7BF5" w14:textId="77777777" w:rsidR="00294BA4" w:rsidRPr="008F4F37" w:rsidRDefault="00294BA4" w:rsidP="00CA64E0">
      <w:pPr>
        <w:tabs>
          <w:tab w:val="left" w:pos="840"/>
          <w:tab w:val="left" w:pos="960"/>
        </w:tabs>
        <w:spacing w:after="120" w:line="276" w:lineRule="auto"/>
        <w:rPr>
          <w:rFonts w:asciiTheme="minorHAnsi" w:hAnsiTheme="minorHAnsi" w:cstheme="minorHAnsi"/>
        </w:rPr>
      </w:pPr>
      <w:r w:rsidRPr="008F4F37">
        <w:rPr>
          <w:rFonts w:asciiTheme="minorHAnsi" w:hAnsiTheme="minorHAnsi" w:cstheme="minorHAnsi"/>
        </w:rPr>
        <w:t xml:space="preserve">Należności regresowe Skarbu Państwa powstałe w wyniku spłaty poręczonych lub gwarantowanych zobowiązań, wg stanu na 31.12.2021 r., wyniosły: </w:t>
      </w:r>
    </w:p>
    <w:p w14:paraId="1BC63AD4" w14:textId="77777777" w:rsidR="00294BA4" w:rsidRPr="008F4F37" w:rsidRDefault="00294BA4" w:rsidP="00294BA4">
      <w:pPr>
        <w:pStyle w:val="Akapitzlist"/>
        <w:numPr>
          <w:ilvl w:val="0"/>
          <w:numId w:val="27"/>
        </w:numPr>
        <w:tabs>
          <w:tab w:val="left" w:pos="993"/>
          <w:tab w:val="right" w:pos="2268"/>
        </w:tabs>
        <w:spacing w:after="300" w:line="276" w:lineRule="auto"/>
        <w:rPr>
          <w:rFonts w:asciiTheme="minorHAnsi" w:hAnsiTheme="minorHAnsi" w:cstheme="minorHAnsi"/>
        </w:rPr>
      </w:pPr>
      <w:r w:rsidRPr="008F4F37">
        <w:rPr>
          <w:rFonts w:asciiTheme="minorHAnsi" w:hAnsiTheme="minorHAnsi" w:cstheme="minorHAnsi"/>
        </w:rPr>
        <w:t xml:space="preserve">18 030 247 zł z tytułu poręczeń i gwarancji krajowych, </w:t>
      </w:r>
    </w:p>
    <w:p w14:paraId="1ECB92D0" w14:textId="77777777" w:rsidR="00294BA4" w:rsidRPr="008F4F37" w:rsidRDefault="00294BA4" w:rsidP="00CA64E0">
      <w:pPr>
        <w:pStyle w:val="Akapitzlist"/>
        <w:numPr>
          <w:ilvl w:val="0"/>
          <w:numId w:val="27"/>
        </w:numPr>
        <w:tabs>
          <w:tab w:val="left" w:pos="993"/>
          <w:tab w:val="right" w:pos="2268"/>
        </w:tabs>
        <w:spacing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8F4F37">
        <w:rPr>
          <w:rFonts w:asciiTheme="minorHAnsi" w:hAnsiTheme="minorHAnsi" w:cstheme="minorHAnsi"/>
        </w:rPr>
        <w:t>10 442 610 zł z tytułu gwarancji zagranicznych,</w:t>
      </w:r>
    </w:p>
    <w:p w14:paraId="02CBE718" w14:textId="77777777" w:rsidR="00294BA4" w:rsidRPr="008F4F37" w:rsidRDefault="00294BA4" w:rsidP="00CA64E0">
      <w:pPr>
        <w:pStyle w:val="BlockQuotation"/>
        <w:widowControl/>
        <w:tabs>
          <w:tab w:val="left" w:pos="567"/>
        </w:tabs>
        <w:spacing w:after="120" w:line="276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8F4F37">
        <w:rPr>
          <w:rFonts w:asciiTheme="minorHAnsi" w:hAnsiTheme="minorHAnsi" w:cstheme="minorHAnsi"/>
          <w:sz w:val="24"/>
          <w:szCs w:val="24"/>
        </w:rPr>
        <w:t>i dotyczyły głównie dłużników znajdujących się w upadłości lub likwidacji.</w:t>
      </w:r>
    </w:p>
    <w:p w14:paraId="636D39AA" w14:textId="77777777" w:rsidR="00294BA4" w:rsidRPr="008F4F37" w:rsidRDefault="00294BA4" w:rsidP="00CA64E0">
      <w:pPr>
        <w:tabs>
          <w:tab w:val="left" w:pos="567"/>
          <w:tab w:val="left" w:pos="1134"/>
          <w:tab w:val="left" w:pos="8640"/>
        </w:tabs>
        <w:spacing w:after="120" w:line="276" w:lineRule="auto"/>
        <w:rPr>
          <w:rFonts w:asciiTheme="minorHAnsi" w:hAnsiTheme="minorHAnsi" w:cstheme="minorHAnsi"/>
        </w:rPr>
      </w:pPr>
      <w:r w:rsidRPr="008F4F37">
        <w:rPr>
          <w:rFonts w:asciiTheme="minorHAnsi" w:hAnsiTheme="minorHAnsi" w:cstheme="minorHAnsi"/>
        </w:rPr>
        <w:t>Kwota należności Skarbu Państwa, na 31.12.2021 r., stanowiła 0,01% łącznych, potencjalnych, niewymagalnych zobowiązań Skarbu Państwa z tytułu udzielonych poręczeń i gwarancji.</w:t>
      </w:r>
    </w:p>
    <w:p w14:paraId="704A2691" w14:textId="77777777" w:rsidR="00294BA4" w:rsidRPr="008F4F37" w:rsidRDefault="00294BA4" w:rsidP="00294BA4">
      <w:pPr>
        <w:tabs>
          <w:tab w:val="left" w:pos="567"/>
          <w:tab w:val="left" w:pos="1134"/>
          <w:tab w:val="left" w:pos="8640"/>
        </w:tabs>
        <w:spacing w:after="300" w:line="276" w:lineRule="auto"/>
        <w:rPr>
          <w:rFonts w:asciiTheme="minorHAnsi" w:hAnsiTheme="minorHAnsi" w:cstheme="minorHAnsi"/>
        </w:rPr>
      </w:pPr>
      <w:r w:rsidRPr="008F4F37">
        <w:rPr>
          <w:rFonts w:asciiTheme="minorHAnsi" w:hAnsiTheme="minorHAnsi" w:cstheme="minorHAnsi"/>
        </w:rPr>
        <w:t xml:space="preserve">W rezultacie działań windykacyjnych, podjętych w 2021 roku oraz w latach poprzednich, których skutkiem był zwrot do budżetu kwot wierzytelności Skarbu Państwa, w roku 2021 uzyskano dochody w wysokości 7 246 zł. </w:t>
      </w:r>
      <w:bookmarkStart w:id="37" w:name="_Toc351982307"/>
      <w:bookmarkStart w:id="38" w:name="_Toc351982477"/>
      <w:bookmarkStart w:id="39" w:name="_Toc351982627"/>
      <w:bookmarkStart w:id="40" w:name="_Toc351982932"/>
      <w:bookmarkStart w:id="41" w:name="_Toc351990869"/>
      <w:bookmarkStart w:id="42" w:name="_Toc352076148"/>
      <w:bookmarkStart w:id="43" w:name="_Toc352237520"/>
    </w:p>
    <w:p w14:paraId="67B68A86" w14:textId="77777777" w:rsidR="00294BA4" w:rsidRPr="00034C9E" w:rsidRDefault="00294BA4" w:rsidP="00CA64E0">
      <w:pPr>
        <w:pStyle w:val="Nagwek2"/>
        <w:tabs>
          <w:tab w:val="left" w:pos="567"/>
        </w:tabs>
        <w:spacing w:before="0" w:after="240" w:line="276" w:lineRule="auto"/>
        <w:rPr>
          <w:rFonts w:asciiTheme="minorHAnsi" w:hAnsiTheme="minorHAnsi" w:cstheme="minorHAnsi"/>
          <w:i w:val="0"/>
          <w:sz w:val="32"/>
          <w:szCs w:val="32"/>
          <w:u w:val="single"/>
        </w:rPr>
      </w:pPr>
      <w:bookmarkStart w:id="44" w:name="_Toc97726322"/>
      <w:bookmarkEnd w:id="37"/>
      <w:bookmarkEnd w:id="38"/>
      <w:bookmarkEnd w:id="39"/>
      <w:bookmarkEnd w:id="40"/>
      <w:bookmarkEnd w:id="41"/>
      <w:bookmarkEnd w:id="42"/>
      <w:bookmarkEnd w:id="43"/>
      <w:r w:rsidRPr="00034C9E">
        <w:rPr>
          <w:rFonts w:asciiTheme="minorHAnsi" w:hAnsiTheme="minorHAnsi" w:cstheme="minorHAnsi"/>
          <w:i w:val="0"/>
          <w:sz w:val="32"/>
          <w:szCs w:val="32"/>
        </w:rPr>
        <w:t xml:space="preserve">2.3 </w:t>
      </w:r>
      <w:r w:rsidRPr="00034C9E">
        <w:rPr>
          <w:rFonts w:asciiTheme="minorHAnsi" w:hAnsiTheme="minorHAnsi" w:cstheme="minorHAnsi"/>
          <w:i w:val="0"/>
          <w:sz w:val="32"/>
          <w:szCs w:val="32"/>
        </w:rPr>
        <w:tab/>
        <w:t>Poręczenia i gwarancje udzielone przez niektóre osoby prawne</w:t>
      </w:r>
      <w:bookmarkEnd w:id="44"/>
    </w:p>
    <w:p w14:paraId="60ED2EA3" w14:textId="77777777" w:rsidR="00294BA4" w:rsidRDefault="00294BA4" w:rsidP="00CA64E0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Ustawa </w:t>
      </w:r>
      <w:r w:rsidRPr="00787827">
        <w:rPr>
          <w:rFonts w:asciiTheme="minorHAnsi" w:hAnsiTheme="minorHAnsi" w:cstheme="minorHAnsi"/>
          <w:iCs/>
        </w:rPr>
        <w:t xml:space="preserve">o poręczeniach i gwarancjach </w:t>
      </w:r>
      <w:r w:rsidRPr="00787827">
        <w:rPr>
          <w:rFonts w:asciiTheme="minorHAnsi" w:hAnsiTheme="minorHAnsi" w:cstheme="minorHAnsi"/>
        </w:rPr>
        <w:t>określa</w:t>
      </w:r>
      <w:r w:rsidRPr="00787827">
        <w:rPr>
          <w:rFonts w:asciiTheme="minorHAnsi" w:hAnsiTheme="minorHAnsi" w:cstheme="minorHAnsi"/>
          <w:i/>
          <w:iCs/>
        </w:rPr>
        <w:t xml:space="preserve"> </w:t>
      </w:r>
      <w:r w:rsidRPr="00787827">
        <w:rPr>
          <w:rFonts w:asciiTheme="minorHAnsi" w:hAnsiTheme="minorHAnsi" w:cstheme="minorHAnsi"/>
        </w:rPr>
        <w:t>obowiązek sprawozdawczy niektórych osób prawnych wobec ministra właściwego do spraw finansów publicznych w zakresie</w:t>
      </w:r>
      <w:r w:rsidRPr="00787827">
        <w:rPr>
          <w:rFonts w:asciiTheme="minorHAnsi" w:hAnsiTheme="minorHAnsi" w:cstheme="minorHAnsi"/>
          <w:i/>
          <w:iCs/>
        </w:rPr>
        <w:t xml:space="preserve"> </w:t>
      </w:r>
      <w:r w:rsidRPr="00787827">
        <w:rPr>
          <w:rFonts w:asciiTheme="minorHAnsi" w:hAnsiTheme="minorHAnsi" w:cstheme="minorHAnsi"/>
        </w:rPr>
        <w:t xml:space="preserve">prowadzonej przez te podmioty działalności poręczeniowo-gwarancyjnej. </w:t>
      </w:r>
    </w:p>
    <w:p w14:paraId="06231C01" w14:textId="4A8A4410" w:rsidR="00294BA4" w:rsidRPr="00787827" w:rsidRDefault="00294BA4" w:rsidP="00CA64E0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Zgodnie z ww. ustawą niektóre osoby prawne (podmioty niebędące bankami oraz zakładami ubezpieczeń) uprawnione, na podstawie odrębnych przepisów, do udzielania poręczeń i gwarancji, w ramach powierzonych im zadań publicznych lub w zakresie prowadzonej przez </w:t>
      </w:r>
      <w:r w:rsidR="003072F9">
        <w:rPr>
          <w:rFonts w:asciiTheme="minorHAnsi" w:hAnsiTheme="minorHAnsi" w:cstheme="minorHAnsi"/>
        </w:rPr>
        <w:t xml:space="preserve">nie działalności gospodarczej, </w:t>
      </w:r>
      <w:r w:rsidRPr="00787827">
        <w:rPr>
          <w:rFonts w:asciiTheme="minorHAnsi" w:hAnsiTheme="minorHAnsi" w:cstheme="minorHAnsi"/>
        </w:rPr>
        <w:t>to:</w:t>
      </w:r>
    </w:p>
    <w:p w14:paraId="0BF5FE5A" w14:textId="77777777" w:rsidR="00294BA4" w:rsidRPr="00787827" w:rsidRDefault="00294BA4" w:rsidP="00294B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państwowe osoby prawne utworzone w drodze ustawy,</w:t>
      </w:r>
    </w:p>
    <w:p w14:paraId="772B67B5" w14:textId="77777777" w:rsidR="00294BA4" w:rsidRPr="00787827" w:rsidRDefault="00294BA4" w:rsidP="00CA64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fundacje, w których fundatorami są osoby prawne, o których mowa w lit. a.</w:t>
      </w:r>
    </w:p>
    <w:p w14:paraId="5736809D" w14:textId="77777777" w:rsidR="00294BA4" w:rsidRPr="00787827" w:rsidRDefault="00294BA4" w:rsidP="00CA64E0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Zgodnie z ustawą o poręczeniach i gwarancjach ww. osoby prawne mogą udzielać poręczeń i gwarancji do wysokości nie wyższej niż 60% wartości kapitałów (funduszy) własnych, określonych według stanu na koniec roku obrotowego poprzedzającego udzielenie poręczenia lub gwarancji, z zastrzeżeniem, że kwota poręczenia lub gwarancji udzielanych za zobowiązania określonego podmiotu nie może przekroczyć 20% wartości tych kapitałów (funduszy). Przekroczenie tych limitów wymaga uprzedniej zgody ministra właściwego do spraw finansów publicznych.</w:t>
      </w:r>
    </w:p>
    <w:p w14:paraId="60F0FC99" w14:textId="77777777" w:rsidR="00294BA4" w:rsidRPr="00787827" w:rsidRDefault="00294BA4" w:rsidP="00CA64E0">
      <w:pPr>
        <w:pStyle w:val="Tekstpodstawowy21"/>
        <w:spacing w:after="120" w:line="276" w:lineRule="auto"/>
        <w:ind w:firstLine="0"/>
        <w:jc w:val="left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2021 roku do Ministerstwa Finansów sprawozdania przekazały 3 podmioty podlegające ww. obowiązkowi sprawozdawczemu, tj.:</w:t>
      </w:r>
    </w:p>
    <w:p w14:paraId="18175333" w14:textId="77777777" w:rsidR="00294BA4" w:rsidRPr="00787827" w:rsidRDefault="00294BA4" w:rsidP="00CA64E0">
      <w:pPr>
        <w:pStyle w:val="Tekstpodstawowy21"/>
        <w:numPr>
          <w:ilvl w:val="0"/>
          <w:numId w:val="4"/>
        </w:numPr>
        <w:spacing w:line="276" w:lineRule="auto"/>
        <w:ind w:left="357" w:hanging="357"/>
        <w:jc w:val="left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Krajowy Ośrodek Wsparcia Rolnictwa (KOWR),</w:t>
      </w:r>
    </w:p>
    <w:p w14:paraId="51DF884B" w14:textId="77777777" w:rsidR="00294BA4" w:rsidRPr="00787827" w:rsidRDefault="00294BA4" w:rsidP="00CA64E0">
      <w:pPr>
        <w:pStyle w:val="Tekstpodstawowy21"/>
        <w:numPr>
          <w:ilvl w:val="0"/>
          <w:numId w:val="4"/>
        </w:numPr>
        <w:spacing w:line="276" w:lineRule="auto"/>
        <w:ind w:left="357" w:hanging="357"/>
        <w:jc w:val="left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Agencja Restrukturyzacji i Modernizacji Rolnictwa (ARiMR),</w:t>
      </w:r>
    </w:p>
    <w:p w14:paraId="077C8B01" w14:textId="77777777" w:rsidR="00294BA4" w:rsidRPr="00787827" w:rsidRDefault="00294BA4" w:rsidP="00CA64E0">
      <w:pPr>
        <w:pStyle w:val="Tekstpodstawowy21"/>
        <w:numPr>
          <w:ilvl w:val="0"/>
          <w:numId w:val="4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Narodowy Fundusz Ochrony Środowiska i Gospodarki Wodnej (NFOŚiGW).</w:t>
      </w:r>
    </w:p>
    <w:p w14:paraId="4FED4C1A" w14:textId="77777777" w:rsidR="00294BA4" w:rsidRPr="00787827" w:rsidRDefault="00294BA4" w:rsidP="00CA64E0">
      <w:pPr>
        <w:pStyle w:val="Tekstpodstawowy21"/>
        <w:spacing w:after="120" w:line="276" w:lineRule="auto"/>
        <w:ind w:firstLine="0"/>
        <w:jc w:val="left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Tym samym liczba podmiotów przesyłających za 2021 rok sprawozdania z zakresu prowadzonej działalności poręczeniowej i gwarancyjnej utrzymała się na analogicznym poziomie jak w roku 2020.</w:t>
      </w:r>
    </w:p>
    <w:p w14:paraId="5D8D57C3" w14:textId="77777777" w:rsidR="00294BA4" w:rsidRPr="00787827" w:rsidRDefault="00294BA4" w:rsidP="00CA64E0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Spośród w</w:t>
      </w:r>
      <w:r w:rsidRPr="0078782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.</w:t>
      </w:r>
      <w:r w:rsidRPr="00787827">
        <w:rPr>
          <w:rFonts w:asciiTheme="minorHAnsi" w:hAnsiTheme="minorHAnsi" w:cstheme="minorHAnsi"/>
        </w:rPr>
        <w:t xml:space="preserve"> podmiot</w:t>
      </w:r>
      <w:r>
        <w:rPr>
          <w:rFonts w:asciiTheme="minorHAnsi" w:hAnsiTheme="minorHAnsi" w:cstheme="minorHAnsi"/>
        </w:rPr>
        <w:t>ów</w:t>
      </w:r>
      <w:r w:rsidRPr="00787827">
        <w:rPr>
          <w:rFonts w:asciiTheme="minorHAnsi" w:hAnsiTheme="minorHAnsi" w:cstheme="minorHAnsi"/>
        </w:rPr>
        <w:t xml:space="preserve"> w 2021 r. </w:t>
      </w:r>
      <w:r>
        <w:rPr>
          <w:rFonts w:asciiTheme="minorHAnsi" w:hAnsiTheme="minorHAnsi" w:cstheme="minorHAnsi"/>
        </w:rPr>
        <w:t xml:space="preserve">jeden z nich (ARiMR) </w:t>
      </w:r>
      <w:r w:rsidRPr="00787827">
        <w:rPr>
          <w:rFonts w:asciiTheme="minorHAnsi" w:hAnsiTheme="minorHAnsi" w:cstheme="minorHAnsi"/>
        </w:rPr>
        <w:t xml:space="preserve">udzielił </w:t>
      </w:r>
      <w:r>
        <w:rPr>
          <w:rFonts w:asciiTheme="minorHAnsi" w:hAnsiTheme="minorHAnsi" w:cstheme="minorHAnsi"/>
        </w:rPr>
        <w:t>jednego</w:t>
      </w:r>
      <w:r w:rsidRPr="00787827">
        <w:rPr>
          <w:rFonts w:asciiTheme="minorHAnsi" w:hAnsiTheme="minorHAnsi" w:cstheme="minorHAnsi"/>
        </w:rPr>
        <w:t xml:space="preserve"> poręczenia na kwotę 47</w:t>
      </w:r>
      <w:r>
        <w:rPr>
          <w:rFonts w:asciiTheme="minorHAnsi" w:hAnsiTheme="minorHAnsi" w:cstheme="minorHAnsi"/>
        </w:rPr>
        <w:t xml:space="preserve"> </w:t>
      </w:r>
      <w:r w:rsidRPr="00787827">
        <w:rPr>
          <w:rFonts w:asciiTheme="minorHAnsi" w:hAnsiTheme="minorHAnsi" w:cstheme="minorHAnsi"/>
        </w:rPr>
        <w:t>200 zł. Tym samym wartość udzielonych w 2021 r. poręczeń zmniejszyła się o</w:t>
      </w:r>
      <w:r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 xml:space="preserve">33,52% względem wartości poręczeń i gwarancji udzielonych przez sprawozdające podmioty w roku 2020. </w:t>
      </w:r>
    </w:p>
    <w:p w14:paraId="126CB746" w14:textId="77777777" w:rsidR="00294BA4" w:rsidRPr="00787827" w:rsidRDefault="00294BA4" w:rsidP="00CA64E0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Powyższemu spadkowi towarzyszył również spadek o 4,19% (o blisko 2,4 mln zł) wartości potencjalnych zobowiązań wynikających z tytułu udzielonych </w:t>
      </w:r>
      <w:r>
        <w:rPr>
          <w:rFonts w:asciiTheme="minorHAnsi" w:hAnsiTheme="minorHAnsi" w:cstheme="minorHAnsi"/>
        </w:rPr>
        <w:t xml:space="preserve">przez ww. podmioty </w:t>
      </w:r>
      <w:r w:rsidRPr="00787827">
        <w:rPr>
          <w:rFonts w:asciiTheme="minorHAnsi" w:hAnsiTheme="minorHAnsi" w:cstheme="minorHAnsi"/>
        </w:rPr>
        <w:t>poręczeń i</w:t>
      </w:r>
      <w:r>
        <w:rPr>
          <w:rFonts w:asciiTheme="minorHAnsi" w:hAnsiTheme="minorHAnsi" w:cstheme="minorHAnsi"/>
        </w:rPr>
        <w:t xml:space="preserve"> </w:t>
      </w:r>
      <w:r w:rsidRPr="00787827">
        <w:rPr>
          <w:rFonts w:asciiTheme="minorHAnsi" w:hAnsiTheme="minorHAnsi" w:cstheme="minorHAnsi"/>
        </w:rPr>
        <w:t>gwarancji, któr</w:t>
      </w:r>
      <w:r>
        <w:rPr>
          <w:rFonts w:asciiTheme="minorHAnsi" w:hAnsiTheme="minorHAnsi" w:cstheme="minorHAnsi"/>
        </w:rPr>
        <w:t xml:space="preserve">e na dzień 31.12.2021 r. osiągnęły poziom </w:t>
      </w:r>
      <w:r w:rsidRPr="00EC772A">
        <w:rPr>
          <w:rFonts w:asciiTheme="minorHAnsi" w:hAnsiTheme="minorHAnsi" w:cstheme="minorHAnsi"/>
        </w:rPr>
        <w:t>54</w:t>
      </w:r>
      <w:r>
        <w:rPr>
          <w:rFonts w:asciiTheme="minorHAnsi" w:hAnsiTheme="minorHAnsi" w:cstheme="minorHAnsi"/>
        </w:rPr>
        <w:t> </w:t>
      </w:r>
      <w:r w:rsidRPr="00EC772A">
        <w:rPr>
          <w:rFonts w:asciiTheme="minorHAnsi" w:hAnsiTheme="minorHAnsi" w:cstheme="minorHAnsi"/>
        </w:rPr>
        <w:t>702</w:t>
      </w:r>
      <w:r>
        <w:rPr>
          <w:rFonts w:asciiTheme="minorHAnsi" w:hAnsiTheme="minorHAnsi" w:cstheme="minorHAnsi"/>
        </w:rPr>
        <w:t> </w:t>
      </w:r>
      <w:r w:rsidRPr="00EC772A">
        <w:rPr>
          <w:rFonts w:asciiTheme="minorHAnsi" w:hAnsiTheme="minorHAnsi" w:cstheme="minorHAnsi"/>
        </w:rPr>
        <w:t>659,55</w:t>
      </w:r>
      <w:r w:rsidRPr="007878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zł. Zmniejszenie wartości tych potencjalnych zobowiązań </w:t>
      </w:r>
      <w:r w:rsidRPr="00787827">
        <w:rPr>
          <w:rFonts w:asciiTheme="minorHAnsi" w:hAnsiTheme="minorHAnsi" w:cstheme="minorHAnsi"/>
        </w:rPr>
        <w:t>jest przede wszystkim wynikiem sukcesywnej spłaty zobowiązań objętych ww. zabezpieczeniami.</w:t>
      </w:r>
    </w:p>
    <w:p w14:paraId="6FBFAD54" w14:textId="099C418B" w:rsidR="00294BA4" w:rsidRPr="00787827" w:rsidRDefault="00294BA4" w:rsidP="00294BA4">
      <w:pPr>
        <w:autoSpaceDE w:val="0"/>
        <w:autoSpaceDN w:val="0"/>
        <w:adjustRightInd w:val="0"/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Jednocześnie, na koniec 2021 roku nastąpił spadek o ok. 16,98% ( o przeszło 9,7 mln zł) w stosunku do stanu na koniec 2020 roku, wartości należności z tytułu udzielonych</w:t>
      </w:r>
      <w:r>
        <w:rPr>
          <w:rFonts w:asciiTheme="minorHAnsi" w:hAnsiTheme="minorHAnsi" w:cstheme="minorHAnsi"/>
        </w:rPr>
        <w:t xml:space="preserve"> przez ww. podmioty</w:t>
      </w:r>
      <w:r w:rsidRPr="00787827">
        <w:rPr>
          <w:rFonts w:asciiTheme="minorHAnsi" w:hAnsiTheme="minorHAnsi" w:cstheme="minorHAnsi"/>
        </w:rPr>
        <w:t xml:space="preserve"> poręczeń i gwarancji</w:t>
      </w:r>
      <w:r>
        <w:rPr>
          <w:rFonts w:asciiTheme="minorHAnsi" w:hAnsiTheme="minorHAnsi" w:cstheme="minorHAnsi"/>
        </w:rPr>
        <w:t xml:space="preserve">, które na 31.12.2021 r. zostały wykazane w wysokości </w:t>
      </w:r>
      <w:r w:rsidRPr="00A24329">
        <w:rPr>
          <w:rFonts w:asciiTheme="minorHAnsi" w:hAnsiTheme="minorHAnsi" w:cstheme="minorHAnsi"/>
        </w:rPr>
        <w:t>47</w:t>
      </w:r>
      <w:r>
        <w:rPr>
          <w:rFonts w:asciiTheme="minorHAnsi" w:hAnsiTheme="minorHAnsi" w:cstheme="minorHAnsi"/>
        </w:rPr>
        <w:t> </w:t>
      </w:r>
      <w:r w:rsidRPr="00A24329">
        <w:rPr>
          <w:rFonts w:asciiTheme="minorHAnsi" w:hAnsiTheme="minorHAnsi" w:cstheme="minorHAnsi"/>
        </w:rPr>
        <w:t>573</w:t>
      </w:r>
      <w:r>
        <w:rPr>
          <w:rFonts w:asciiTheme="minorHAnsi" w:hAnsiTheme="minorHAnsi" w:cstheme="minorHAnsi"/>
        </w:rPr>
        <w:t xml:space="preserve"> </w:t>
      </w:r>
      <w:r w:rsidRPr="00A24329">
        <w:rPr>
          <w:rFonts w:asciiTheme="minorHAnsi" w:hAnsiTheme="minorHAnsi" w:cstheme="minorHAnsi"/>
        </w:rPr>
        <w:t>566,98 zł</w:t>
      </w:r>
      <w:r w:rsidRPr="00787827">
        <w:rPr>
          <w:rFonts w:asciiTheme="minorHAnsi" w:hAnsiTheme="minorHAnsi" w:cstheme="minorHAnsi"/>
        </w:rPr>
        <w:t>. Spadek ten wynika z egzekwowania powstałych wierzytelności zgodnie z obowiązującymi przepisami prawa.</w:t>
      </w:r>
    </w:p>
    <w:p w14:paraId="2769527F" w14:textId="77939F4A" w:rsidR="00294BA4" w:rsidRPr="00034C9E" w:rsidRDefault="00294BA4" w:rsidP="00294BA4">
      <w:pPr>
        <w:pStyle w:val="Nagwek2"/>
        <w:spacing w:before="0" w:after="300" w:line="276" w:lineRule="auto"/>
        <w:ind w:left="567" w:hanging="567"/>
        <w:rPr>
          <w:rFonts w:asciiTheme="minorHAnsi" w:hAnsiTheme="minorHAnsi" w:cstheme="minorHAnsi"/>
          <w:i w:val="0"/>
          <w:sz w:val="32"/>
          <w:szCs w:val="32"/>
        </w:rPr>
      </w:pPr>
      <w:bookmarkStart w:id="45" w:name="_Toc352237521"/>
      <w:bookmarkStart w:id="46" w:name="_Toc351982308"/>
      <w:bookmarkStart w:id="47" w:name="_Toc351982478"/>
      <w:bookmarkStart w:id="48" w:name="_Toc351982628"/>
      <w:bookmarkStart w:id="49" w:name="_Toc351982933"/>
      <w:bookmarkStart w:id="50" w:name="_Toc351990870"/>
      <w:bookmarkStart w:id="51" w:name="_Toc352076149"/>
      <w:bookmarkStart w:id="52" w:name="_Toc448315291"/>
      <w:bookmarkStart w:id="53" w:name="_Toc97726323"/>
      <w:bookmarkStart w:id="54" w:name="_Toc448315297"/>
      <w:r w:rsidRPr="00034C9E">
        <w:rPr>
          <w:rFonts w:asciiTheme="minorHAnsi" w:hAnsiTheme="minorHAnsi" w:cstheme="minorHAnsi"/>
          <w:i w:val="0"/>
          <w:sz w:val="32"/>
          <w:szCs w:val="32"/>
        </w:rPr>
        <w:t xml:space="preserve">2.4 </w:t>
      </w:r>
      <w:r w:rsidRPr="00034C9E">
        <w:rPr>
          <w:rFonts w:asciiTheme="minorHAnsi" w:hAnsiTheme="minorHAnsi" w:cstheme="minorHAnsi"/>
          <w:i w:val="0"/>
          <w:sz w:val="32"/>
          <w:szCs w:val="32"/>
        </w:rPr>
        <w:tab/>
        <w:t>Poręczenia i gwarancje Banku Gospodarstwa Krajowego</w:t>
      </w:r>
      <w:r w:rsidRPr="00034C9E">
        <w:rPr>
          <w:rFonts w:asciiTheme="minorHAnsi" w:hAnsiTheme="minorHAnsi" w:cstheme="minorHAnsi"/>
          <w:i w:val="0"/>
          <w:sz w:val="32"/>
          <w:szCs w:val="32"/>
          <w:vertAlign w:val="superscript"/>
        </w:rPr>
        <w:footnoteReference w:id="12"/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085980" w:rsidRPr="003101C3">
        <w:rPr>
          <w:rFonts w:asciiTheme="minorHAnsi" w:hAnsiTheme="minorHAnsi" w:cstheme="minorHAnsi"/>
          <w:i w:val="0"/>
          <w:sz w:val="32"/>
          <w:szCs w:val="32"/>
          <w:vertAlign w:val="superscript"/>
        </w:rPr>
        <w:t>)</w:t>
      </w:r>
    </w:p>
    <w:p w14:paraId="0E8EAA08" w14:textId="77777777" w:rsidR="00294BA4" w:rsidRPr="00787827" w:rsidRDefault="00294BA4" w:rsidP="00CA64E0">
      <w:pPr>
        <w:tabs>
          <w:tab w:val="left" w:pos="960"/>
        </w:tabs>
        <w:spacing w:after="120" w:line="276" w:lineRule="auto"/>
        <w:rPr>
          <w:rFonts w:asciiTheme="minorHAnsi" w:hAnsiTheme="minorHAnsi" w:cstheme="minorHAnsi"/>
        </w:rPr>
      </w:pPr>
      <w:bookmarkStart w:id="55" w:name="_Toc352237523"/>
      <w:bookmarkStart w:id="56" w:name="_Toc352076150"/>
      <w:r w:rsidRPr="00787827">
        <w:rPr>
          <w:rFonts w:asciiTheme="minorHAnsi" w:hAnsiTheme="minorHAnsi" w:cstheme="minorHAnsi"/>
        </w:rPr>
        <w:t>Działalność poręczeniowo-gwarancyjna Banku Gospodarstwa Krajowego (BGK) w ramach programów rządowych funkcjonuje w oparciu o przepisy ustawy o</w:t>
      </w:r>
      <w:r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poręczeniach i gwarancjach, a także o następujące programy rządowe:</w:t>
      </w:r>
    </w:p>
    <w:p w14:paraId="121DAADC" w14:textId="77777777" w:rsidR="00294BA4" w:rsidRDefault="00294BA4" w:rsidP="00294BA4">
      <w:pPr>
        <w:pStyle w:val="Akapitzlist"/>
        <w:numPr>
          <w:ilvl w:val="0"/>
          <w:numId w:val="28"/>
        </w:numPr>
        <w:tabs>
          <w:tab w:val="left" w:pos="851"/>
        </w:tabs>
        <w:spacing w:after="300" w:line="276" w:lineRule="auto"/>
        <w:ind w:right="-1"/>
        <w:rPr>
          <w:rFonts w:asciiTheme="minorHAnsi" w:hAnsiTheme="minorHAnsi" w:cstheme="minorHAnsi"/>
        </w:rPr>
      </w:pPr>
      <w:r w:rsidRPr="00125C32">
        <w:rPr>
          <w:rFonts w:asciiTheme="minorHAnsi" w:hAnsiTheme="minorHAnsi" w:cstheme="minorHAnsi"/>
        </w:rPr>
        <w:t xml:space="preserve">„Wspieranie przedsiębiorczości z wykorzystaniem poręczeń i gwarancji Banku Gospodarstwa Krajowego” - Program Wspierania Przedsiębiorczości, </w:t>
      </w:r>
    </w:p>
    <w:p w14:paraId="17306502" w14:textId="5605226A" w:rsidR="00294BA4" w:rsidRDefault="00294BA4" w:rsidP="00294BA4">
      <w:pPr>
        <w:pStyle w:val="Akapitzlist"/>
        <w:numPr>
          <w:ilvl w:val="0"/>
          <w:numId w:val="28"/>
        </w:numPr>
        <w:tabs>
          <w:tab w:val="left" w:pos="851"/>
        </w:tabs>
        <w:spacing w:after="300" w:line="276" w:lineRule="auto"/>
        <w:ind w:right="-1"/>
        <w:rPr>
          <w:rFonts w:asciiTheme="minorHAnsi" w:hAnsiTheme="minorHAnsi" w:cstheme="minorHAnsi"/>
        </w:rPr>
      </w:pPr>
      <w:r w:rsidRPr="00125C32">
        <w:rPr>
          <w:rFonts w:asciiTheme="minorHAnsi" w:hAnsiTheme="minorHAnsi" w:cstheme="minorHAnsi"/>
        </w:rPr>
        <w:t xml:space="preserve">„Wsparcie prywatyzacji poprzez udzielanie poręczeń i gwarancji spółkom z udziałem pracowników i jednostek samorządu terytorialnego (spółkom aktywności obywatelskiej)” - </w:t>
      </w:r>
      <w:r w:rsidR="003072F9">
        <w:rPr>
          <w:rFonts w:asciiTheme="minorHAnsi" w:hAnsiTheme="minorHAnsi" w:cstheme="minorHAnsi"/>
        </w:rPr>
        <w:t>Program Wsparcia Prywatyzacji,</w:t>
      </w:r>
      <w:r w:rsidRPr="00125C32">
        <w:rPr>
          <w:rFonts w:asciiTheme="minorHAnsi" w:hAnsiTheme="minorHAnsi" w:cstheme="minorHAnsi"/>
        </w:rPr>
        <w:t xml:space="preserve"> </w:t>
      </w:r>
    </w:p>
    <w:p w14:paraId="369FC236" w14:textId="77777777" w:rsidR="00294BA4" w:rsidRDefault="00294BA4" w:rsidP="00CA64E0">
      <w:pPr>
        <w:pStyle w:val="Akapitzlist"/>
        <w:numPr>
          <w:ilvl w:val="0"/>
          <w:numId w:val="28"/>
        </w:numPr>
        <w:tabs>
          <w:tab w:val="left" w:pos="851"/>
        </w:tabs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125C32">
        <w:rPr>
          <w:rFonts w:asciiTheme="minorHAnsi" w:hAnsiTheme="minorHAnsi" w:cstheme="minorHAnsi"/>
        </w:rPr>
        <w:t>„Program gwarancyjny „Czyste Powietrze” z wykorzystaniem gwarancji Banku Gospodarstwa Krajowego” – Program gwarancyjny Czyste Powietrze.</w:t>
      </w:r>
    </w:p>
    <w:p w14:paraId="29EA6C35" w14:textId="77777777" w:rsidR="00294BA4" w:rsidRPr="00787827" w:rsidRDefault="00294BA4" w:rsidP="00CA64E0">
      <w:pPr>
        <w:tabs>
          <w:tab w:val="left" w:pos="851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Działalność poręczeniowo-gwarancyjna BGK w ramach Funduszu Gwarancji Płynnościowych (FGP) funkcjonuje w oparciu o:</w:t>
      </w:r>
    </w:p>
    <w:p w14:paraId="2145F7E2" w14:textId="6BB0B933" w:rsidR="00294BA4" w:rsidRDefault="00294BA4" w:rsidP="00294BA4">
      <w:pPr>
        <w:pStyle w:val="Akapitzlist"/>
        <w:numPr>
          <w:ilvl w:val="0"/>
          <w:numId w:val="29"/>
        </w:numPr>
        <w:spacing w:after="300" w:line="276" w:lineRule="auto"/>
        <w:ind w:right="-1"/>
        <w:rPr>
          <w:rFonts w:asciiTheme="minorHAnsi" w:hAnsiTheme="minorHAnsi" w:cstheme="minorHAnsi"/>
        </w:rPr>
      </w:pPr>
      <w:r w:rsidRPr="00125C32">
        <w:rPr>
          <w:rFonts w:asciiTheme="minorHAnsi" w:hAnsiTheme="minorHAnsi" w:cstheme="minorHAnsi"/>
        </w:rPr>
        <w:t>art. 15zzzd ustawy z dnia 2 marca 2020 r. o szczególnych rozwiązaniach związanych z zapobieganiem, przeciwdziałaniem i zwalczaniem COVID-19, innych chorób zakaźnych oraz wywołanych nimi sytuacji kryzysowych</w:t>
      </w:r>
      <w:r>
        <w:rPr>
          <w:rFonts w:asciiTheme="minorHAnsi" w:hAnsiTheme="minorHAnsi" w:cstheme="minorHAnsi"/>
        </w:rPr>
        <w:t>, zwanej dalej „</w:t>
      </w:r>
      <w:r w:rsidRPr="00125C32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ą</w:t>
      </w:r>
      <w:r w:rsidRPr="00125C32">
        <w:rPr>
          <w:rFonts w:asciiTheme="minorHAnsi" w:hAnsiTheme="minorHAnsi" w:cstheme="minorHAnsi"/>
        </w:rPr>
        <w:t xml:space="preserve"> z dnia 2 marca 2020 r</w:t>
      </w:r>
      <w:r>
        <w:rPr>
          <w:rFonts w:asciiTheme="minorHAnsi" w:hAnsiTheme="minorHAnsi" w:cstheme="minorHAnsi"/>
        </w:rPr>
        <w:t>. o szczególnych rozwiązaniach”</w:t>
      </w:r>
      <w:r>
        <w:rPr>
          <w:rStyle w:val="Odwoanieprzypisudolnego"/>
          <w:rFonts w:asciiTheme="minorHAnsi" w:hAnsiTheme="minorHAnsi" w:cstheme="minorHAnsi"/>
        </w:rPr>
        <w:footnoteReference w:id="13"/>
      </w:r>
      <w:r w:rsidR="00085980" w:rsidRPr="003101C3">
        <w:rPr>
          <w:rFonts w:asciiTheme="minorHAnsi" w:hAnsiTheme="minorHAnsi" w:cstheme="minorHAnsi"/>
          <w:vertAlign w:val="superscript"/>
        </w:rPr>
        <w:t>)</w:t>
      </w:r>
      <w:r>
        <w:rPr>
          <w:rFonts w:asciiTheme="minorHAnsi" w:hAnsiTheme="minorHAnsi" w:cstheme="minorHAnsi"/>
        </w:rPr>
        <w:t>,</w:t>
      </w:r>
    </w:p>
    <w:p w14:paraId="14436FA6" w14:textId="77777777" w:rsidR="00294BA4" w:rsidRPr="00125C32" w:rsidRDefault="00294BA4" w:rsidP="00AA6252">
      <w:pPr>
        <w:pStyle w:val="Akapitzlist"/>
        <w:numPr>
          <w:ilvl w:val="0"/>
          <w:numId w:val="29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125C32">
        <w:rPr>
          <w:rFonts w:asciiTheme="minorHAnsi" w:hAnsiTheme="minorHAnsi" w:cstheme="minorHAnsi"/>
        </w:rPr>
        <w:t>art. 70-75 ustawy</w:t>
      </w:r>
      <w:r w:rsidRPr="00125C32" w:rsidDel="00195308">
        <w:rPr>
          <w:rFonts w:asciiTheme="minorHAnsi" w:hAnsiTheme="minorHAnsi" w:cstheme="minorHAnsi"/>
        </w:rPr>
        <w:t xml:space="preserve"> </w:t>
      </w:r>
      <w:r w:rsidRPr="00125C32">
        <w:rPr>
          <w:rFonts w:asciiTheme="minorHAnsi" w:hAnsiTheme="minorHAnsi" w:cstheme="minorHAnsi"/>
        </w:rPr>
        <w:t>z dnia 31 marca 2020 r. o zmianie ustawy o szczególnych rozwiązaniach.</w:t>
      </w:r>
    </w:p>
    <w:p w14:paraId="7A1EDEE9" w14:textId="7C42AE8A" w:rsidR="00294BA4" w:rsidRPr="00125C32" w:rsidRDefault="00294BA4" w:rsidP="00294BA4">
      <w:pPr>
        <w:spacing w:after="3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grudniu 2021 r. ustawa</w:t>
      </w:r>
      <w:r w:rsidRPr="00125C32">
        <w:rPr>
          <w:rFonts w:asciiTheme="minorHAnsi" w:hAnsiTheme="minorHAnsi" w:cstheme="minorHAnsi"/>
        </w:rPr>
        <w:t xml:space="preserve"> o gwarantowanym kredycie mieszkaniowym ustanowiła podstawę utworzenia w BGK Rządowego Funduszu Mieszkaniowego, w ramach którego począwszy od końca maja 2022 r., w oparciu o współpracę z bankami kredytującymi, udzielane będą w trybie portfelowym gwarancje na zabezpieczenie kredytów mieszkaniowych spełniających warunki określone w tej ustawie. Dodatkowo na rzecz gospodarstw domowych, które po zaciągnięciu kredytu mieszkaniowego z gwarancją BGK powiększą się o drugie albo kolejne dziecko</w:t>
      </w:r>
      <w:r>
        <w:rPr>
          <w:rFonts w:asciiTheme="minorHAnsi" w:hAnsiTheme="minorHAnsi" w:cstheme="minorHAnsi"/>
        </w:rPr>
        <w:t>,</w:t>
      </w:r>
      <w:r w:rsidRPr="00125C32">
        <w:rPr>
          <w:rFonts w:asciiTheme="minorHAnsi" w:hAnsiTheme="minorHAnsi" w:cstheme="minorHAnsi"/>
        </w:rPr>
        <w:t xml:space="preserve"> będzie dokonywana tzw. spłata rodzinna poprzez przekazanie bankowi kredytującemu środków na spłatę kapitału tego kredytu (20</w:t>
      </w:r>
      <w:r w:rsidR="00AA6252">
        <w:rPr>
          <w:rFonts w:asciiTheme="minorHAnsi" w:hAnsiTheme="minorHAnsi" w:cstheme="minorHAnsi"/>
        </w:rPr>
        <w:t> </w:t>
      </w:r>
      <w:r w:rsidRPr="00125C32">
        <w:rPr>
          <w:rFonts w:asciiTheme="minorHAnsi" w:hAnsiTheme="minorHAnsi" w:cstheme="minorHAnsi"/>
        </w:rPr>
        <w:t>tys. zł w przypadku powiększenia się gospodarstwa domowego o drugie dziecko, 60</w:t>
      </w:r>
      <w:r w:rsidR="00AA6252">
        <w:rPr>
          <w:rFonts w:asciiTheme="minorHAnsi" w:hAnsiTheme="minorHAnsi" w:cstheme="minorHAnsi"/>
        </w:rPr>
        <w:t> </w:t>
      </w:r>
      <w:r w:rsidRPr="00125C32">
        <w:rPr>
          <w:rFonts w:asciiTheme="minorHAnsi" w:hAnsiTheme="minorHAnsi" w:cstheme="minorHAnsi"/>
        </w:rPr>
        <w:t>tys. zł w przypadku trzeciego lub kolejnego dziecka).</w:t>
      </w:r>
    </w:p>
    <w:p w14:paraId="0D5A85E9" w14:textId="77777777" w:rsidR="00294BA4" w:rsidRPr="00034C9E" w:rsidRDefault="00294BA4" w:rsidP="00294BA4">
      <w:pPr>
        <w:pStyle w:val="Nagwek3"/>
        <w:spacing w:before="0" w:after="300"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bookmarkStart w:id="57" w:name="_Toc448315292"/>
      <w:bookmarkStart w:id="58" w:name="_Toc97726324"/>
      <w:bookmarkStart w:id="59" w:name="_Toc352237524"/>
      <w:bookmarkEnd w:id="55"/>
      <w:r w:rsidRPr="00034C9E">
        <w:rPr>
          <w:rFonts w:asciiTheme="minorHAnsi" w:hAnsiTheme="minorHAnsi" w:cstheme="minorHAnsi"/>
          <w:sz w:val="28"/>
          <w:szCs w:val="28"/>
        </w:rPr>
        <w:t xml:space="preserve">2.4.1 </w:t>
      </w:r>
      <w:r w:rsidRPr="00034C9E">
        <w:rPr>
          <w:rFonts w:asciiTheme="minorHAnsi" w:hAnsiTheme="minorHAnsi" w:cstheme="minorHAnsi"/>
          <w:sz w:val="28"/>
          <w:szCs w:val="28"/>
        </w:rPr>
        <w:tab/>
        <w:t>Program Wspierania Przedsiębiorczości</w:t>
      </w:r>
      <w:bookmarkEnd w:id="57"/>
      <w:bookmarkEnd w:id="58"/>
    </w:p>
    <w:p w14:paraId="64CFF975" w14:textId="77777777" w:rsidR="00294BA4" w:rsidRPr="00787827" w:rsidRDefault="00294BA4" w:rsidP="00294BA4">
      <w:pPr>
        <w:pStyle w:val="Nagwek4"/>
        <w:spacing w:after="300" w:line="276" w:lineRule="auto"/>
        <w:ind w:left="709" w:hanging="709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60" w:name="_Toc448315293"/>
      <w:bookmarkStart w:id="61" w:name="_Toc97726325"/>
      <w:bookmarkStart w:id="62" w:name="_Toc352076151"/>
      <w:bookmarkStart w:id="63" w:name="_Toc352237525"/>
      <w:bookmarkEnd w:id="56"/>
      <w:bookmarkEnd w:id="59"/>
      <w:r w:rsidRPr="00787827">
        <w:rPr>
          <w:rFonts w:asciiTheme="minorHAnsi" w:hAnsiTheme="minorHAnsi" w:cstheme="minorHAnsi"/>
          <w:sz w:val="24"/>
          <w:szCs w:val="24"/>
        </w:rPr>
        <w:t>2.4.1.1</w:t>
      </w:r>
      <w:r w:rsidRPr="00787827">
        <w:rPr>
          <w:rFonts w:asciiTheme="minorHAnsi" w:hAnsiTheme="minorHAnsi" w:cstheme="minorHAnsi"/>
          <w:sz w:val="24"/>
          <w:szCs w:val="24"/>
        </w:rPr>
        <w:tab/>
        <w:t>Charakterystyka działalności poręczeniowo-gwarancyjnej Banku Gospodarstwa Krajowego w ramach Programu Wspierania Przedsiębiorczości</w:t>
      </w:r>
      <w:bookmarkEnd w:id="60"/>
      <w:bookmarkEnd w:id="61"/>
    </w:p>
    <w:p w14:paraId="19A1F817" w14:textId="77777777" w:rsidR="00294BA4" w:rsidRPr="00787827" w:rsidRDefault="00294BA4" w:rsidP="00294BA4">
      <w:pPr>
        <w:tabs>
          <w:tab w:val="left" w:pos="709"/>
        </w:tabs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Działalność BGK w ramach Programu Wspierania Przedsiębiorczości realizowana jest od 2009 r. w oparciu o współpracę z bankami kredytującymi.</w:t>
      </w:r>
    </w:p>
    <w:p w14:paraId="75B7441F" w14:textId="77777777" w:rsidR="00294BA4" w:rsidRPr="00787827" w:rsidRDefault="00294BA4" w:rsidP="00AA6252">
      <w:pPr>
        <w:tabs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Podstawowy cel tego Programu to zwiększenie dostępności przedsiębiorców, szczególnie mikroprzedsiębiorców, małych i średnich przedsiębiorców (MŚP), do zewnętrznych źródeł finansowania poprzez udzielanie poręczeń i gwarancji przez BGK.</w:t>
      </w:r>
    </w:p>
    <w:p w14:paraId="12BD5B31" w14:textId="77777777" w:rsidR="00294BA4" w:rsidRPr="00787827" w:rsidRDefault="00294BA4" w:rsidP="00AA6252">
      <w:pPr>
        <w:tabs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BGK prowadzi działalność w formie bezpośredniej, udzielając poręczeń i gwarancji oraz poprzez wykonywanie zadań w zakresie rozwoju systemu regionalnych i lokalnych funduszy poręczeniowych.</w:t>
      </w:r>
    </w:p>
    <w:p w14:paraId="05601915" w14:textId="77777777" w:rsidR="00294BA4" w:rsidRPr="00787827" w:rsidRDefault="00294BA4" w:rsidP="00AA6252">
      <w:pPr>
        <w:tabs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2021 r. BGK w ramach poręczeń i gwarancji gospodarczych oferował następujące produkty:</w:t>
      </w:r>
    </w:p>
    <w:p w14:paraId="52AEE989" w14:textId="77777777" w:rsidR="00294BA4" w:rsidRPr="00B824B0" w:rsidRDefault="00294BA4" w:rsidP="00AA6252">
      <w:pPr>
        <w:pStyle w:val="Akapitzlist"/>
        <w:numPr>
          <w:ilvl w:val="0"/>
          <w:numId w:val="32"/>
        </w:numPr>
        <w:spacing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B824B0">
        <w:rPr>
          <w:rFonts w:asciiTheme="minorHAnsi" w:hAnsiTheme="minorHAnsi" w:cstheme="minorHAnsi"/>
        </w:rPr>
        <w:t>poręczenia/gwarancje spłaty kredytu udzielane w trybie portfelowym, w tym:</w:t>
      </w:r>
    </w:p>
    <w:p w14:paraId="1B41FB5F" w14:textId="0B9F376A" w:rsidR="00294BA4" w:rsidRDefault="00294BA4" w:rsidP="00AA6252">
      <w:pPr>
        <w:pStyle w:val="Akapitzlist"/>
        <w:numPr>
          <w:ilvl w:val="0"/>
          <w:numId w:val="33"/>
        </w:numPr>
        <w:spacing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00B824B0">
        <w:rPr>
          <w:rFonts w:asciiTheme="minorHAnsi" w:hAnsiTheme="minorHAnsi" w:cstheme="minorHAnsi"/>
        </w:rPr>
        <w:t xml:space="preserve">gwarancje spłaty kredytu w ramach Portfelowej Linii Gwarancyjnej </w:t>
      </w:r>
      <w:r w:rsidRPr="00B824B0">
        <w:rPr>
          <w:rFonts w:asciiTheme="minorHAnsi" w:hAnsiTheme="minorHAnsi" w:cstheme="minorHAnsi"/>
          <w:i/>
        </w:rPr>
        <w:t>de minimis</w:t>
      </w:r>
      <w:r w:rsidRPr="00B824B0">
        <w:rPr>
          <w:rFonts w:asciiTheme="minorHAnsi" w:hAnsiTheme="minorHAnsi" w:cstheme="minorHAnsi"/>
        </w:rPr>
        <w:t xml:space="preserve"> udzielane w ramach Krajowego Funduszu Gwarancyjnego (gwarancje PLD-KFG); w ramach gwarancji PLD-KFG są udzielane przez BGK również gwarancje łączone w ramach zabezpieczenia spłaty kredytu z poręczeniem udzielanym przez fundusz poręczeniowy (gwarancje PLD PLUS),</w:t>
      </w:r>
    </w:p>
    <w:p w14:paraId="2AC9F8E5" w14:textId="761DA5F6" w:rsidR="00294BA4" w:rsidRPr="00294BA4" w:rsidRDefault="00294BA4" w:rsidP="00AA6252">
      <w:pPr>
        <w:pStyle w:val="Akapitzlist"/>
        <w:numPr>
          <w:ilvl w:val="0"/>
          <w:numId w:val="33"/>
        </w:numPr>
        <w:spacing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00294BA4">
        <w:rPr>
          <w:rFonts w:asciiTheme="minorHAnsi" w:hAnsiTheme="minorHAnsi" w:cstheme="minorHAnsi"/>
        </w:rPr>
        <w:t>gwarancje spłaty kredytu w ramach Portfelowej Linii Gwarancyjnej z regwarancją udzielaną przez Europejski Fundusz Inwestycyjny w ramach programu COSME (gwarancje PLG COSME),</w:t>
      </w:r>
    </w:p>
    <w:p w14:paraId="215E3685" w14:textId="07121856" w:rsidR="00294BA4" w:rsidRDefault="00294BA4" w:rsidP="00294BA4">
      <w:pPr>
        <w:pStyle w:val="Akapitzlist"/>
        <w:numPr>
          <w:ilvl w:val="0"/>
          <w:numId w:val="33"/>
        </w:numPr>
        <w:spacing w:before="240" w:after="300" w:line="276" w:lineRule="auto"/>
        <w:ind w:left="714" w:hanging="357"/>
        <w:rPr>
          <w:rFonts w:asciiTheme="minorHAnsi" w:hAnsiTheme="minorHAnsi" w:cstheme="minorHAnsi"/>
        </w:rPr>
      </w:pPr>
      <w:r w:rsidRPr="00727EA4">
        <w:rPr>
          <w:rFonts w:asciiTheme="minorHAnsi" w:hAnsiTheme="minorHAnsi" w:cstheme="minorHAnsi"/>
        </w:rPr>
        <w:t>gwarancje spłaty kredytu udzielane w ramach Portfelowej Linii Gwarancyjnej finansowane z Funduszu Gwarancyjnego wsparcia innowacyjnych przedsiębiorstw Programu Operacyjnego Inteligentny Rozwój (gwarancje FG POIR),</w:t>
      </w:r>
    </w:p>
    <w:p w14:paraId="477E3E3B" w14:textId="77777777" w:rsidR="00294BA4" w:rsidRDefault="00294BA4" w:rsidP="00294BA4">
      <w:pPr>
        <w:pStyle w:val="Akapitzlist"/>
        <w:numPr>
          <w:ilvl w:val="0"/>
          <w:numId w:val="33"/>
        </w:numPr>
        <w:spacing w:before="240" w:after="300" w:line="276" w:lineRule="auto"/>
        <w:ind w:left="714" w:hanging="357"/>
        <w:rPr>
          <w:rFonts w:asciiTheme="minorHAnsi" w:hAnsiTheme="minorHAnsi" w:cstheme="minorHAnsi"/>
        </w:rPr>
      </w:pPr>
      <w:r w:rsidRPr="00294BA4">
        <w:rPr>
          <w:rFonts w:asciiTheme="minorHAnsi" w:hAnsiTheme="minorHAnsi" w:cstheme="minorHAnsi"/>
        </w:rPr>
        <w:t>gwarancje spłaty kredytu w ramach Programu Operacyjnego Polska Cyfrowa (gwarancje PLG POPC),</w:t>
      </w:r>
    </w:p>
    <w:p w14:paraId="512646B5" w14:textId="77777777" w:rsidR="00294BA4" w:rsidRDefault="00294BA4" w:rsidP="00294BA4">
      <w:pPr>
        <w:pStyle w:val="Akapitzlist"/>
        <w:numPr>
          <w:ilvl w:val="0"/>
          <w:numId w:val="33"/>
        </w:numPr>
        <w:spacing w:before="240" w:after="300" w:line="276" w:lineRule="auto"/>
        <w:ind w:left="714" w:hanging="357"/>
        <w:rPr>
          <w:rFonts w:asciiTheme="minorHAnsi" w:hAnsiTheme="minorHAnsi" w:cstheme="minorHAnsi"/>
        </w:rPr>
      </w:pPr>
      <w:r w:rsidRPr="00294BA4">
        <w:rPr>
          <w:rFonts w:asciiTheme="minorHAnsi" w:hAnsiTheme="minorHAnsi" w:cstheme="minorHAnsi"/>
        </w:rPr>
        <w:t>gwarancje spłaty kredytu w ramach Portfelowej Linii Gwarancyjnej z regwarancją udzielaną przez Europejski Fundusz Inwestycyjny ze środków programu Kreatywna Europa (gwarancje PLG Kreatywna Europa),</w:t>
      </w:r>
    </w:p>
    <w:p w14:paraId="44736F76" w14:textId="77777777" w:rsidR="00294BA4" w:rsidRDefault="00294BA4" w:rsidP="00294BA4">
      <w:pPr>
        <w:pStyle w:val="Akapitzlist"/>
        <w:numPr>
          <w:ilvl w:val="0"/>
          <w:numId w:val="33"/>
        </w:numPr>
        <w:spacing w:before="240" w:after="300" w:line="276" w:lineRule="auto"/>
        <w:ind w:left="714" w:hanging="357"/>
        <w:rPr>
          <w:rFonts w:asciiTheme="minorHAnsi" w:hAnsiTheme="minorHAnsi" w:cstheme="minorHAnsi"/>
        </w:rPr>
      </w:pPr>
      <w:r w:rsidRPr="00294BA4">
        <w:rPr>
          <w:rFonts w:asciiTheme="minorHAnsi" w:hAnsiTheme="minorHAnsi" w:cstheme="minorHAnsi"/>
        </w:rPr>
        <w:t>gwarancje spłaty kredytu w ramach Funduszu Gwarancji Rolnych (gwarancje FGR),</w:t>
      </w:r>
    </w:p>
    <w:p w14:paraId="45DC9E3B" w14:textId="6A74C101" w:rsidR="00294BA4" w:rsidRPr="00294BA4" w:rsidRDefault="00294BA4" w:rsidP="00AA6252">
      <w:pPr>
        <w:pStyle w:val="Akapitzlist"/>
        <w:numPr>
          <w:ilvl w:val="0"/>
          <w:numId w:val="33"/>
        </w:numPr>
        <w:spacing w:after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00294BA4">
        <w:rPr>
          <w:rFonts w:asciiTheme="minorHAnsi" w:hAnsiTheme="minorHAnsi" w:cstheme="minorHAnsi"/>
        </w:rPr>
        <w:t>gwarancje spłaty leasingu/pożyczek w ramach Portfelowej Linii Gwarancyjnej leasingu z regwarancją udzielaną przez Europejski Fundusz Inwestycyjny z Paneuropejskiego Funduszu Gwarancyjnego;</w:t>
      </w:r>
    </w:p>
    <w:p w14:paraId="453589BD" w14:textId="77777777" w:rsidR="00294BA4" w:rsidRPr="00727EA4" w:rsidRDefault="00294BA4" w:rsidP="00AA6252">
      <w:pPr>
        <w:pStyle w:val="Akapitzlist"/>
        <w:numPr>
          <w:ilvl w:val="0"/>
          <w:numId w:val="32"/>
        </w:numPr>
        <w:tabs>
          <w:tab w:val="left" w:pos="567"/>
        </w:tabs>
        <w:spacing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727EA4">
        <w:rPr>
          <w:rFonts w:asciiTheme="minorHAnsi" w:hAnsiTheme="minorHAnsi" w:cstheme="minorHAnsi"/>
        </w:rPr>
        <w:t>poręczenia/gwarancje udzielane w trybie indywidualnym, w tym:</w:t>
      </w:r>
    </w:p>
    <w:p w14:paraId="31F1E6DC" w14:textId="77777777" w:rsidR="00294BA4" w:rsidRDefault="00294BA4" w:rsidP="00294BA4">
      <w:pPr>
        <w:pStyle w:val="Akapitzlist"/>
        <w:numPr>
          <w:ilvl w:val="0"/>
          <w:numId w:val="34"/>
        </w:numPr>
        <w:tabs>
          <w:tab w:val="left" w:pos="851"/>
        </w:tabs>
        <w:spacing w:after="300" w:line="276" w:lineRule="auto"/>
        <w:rPr>
          <w:rFonts w:asciiTheme="minorHAnsi" w:hAnsiTheme="minorHAnsi" w:cstheme="minorHAnsi"/>
        </w:rPr>
      </w:pPr>
      <w:r w:rsidRPr="00727EA4">
        <w:rPr>
          <w:rFonts w:asciiTheme="minorHAnsi" w:hAnsiTheme="minorHAnsi" w:cstheme="minorHAnsi"/>
        </w:rPr>
        <w:t>poręczenia i gwarancje spłaty kredytu,</w:t>
      </w:r>
    </w:p>
    <w:p w14:paraId="28325F8A" w14:textId="77777777" w:rsidR="00294BA4" w:rsidRPr="00727EA4" w:rsidRDefault="00294BA4" w:rsidP="00AA6252">
      <w:pPr>
        <w:pStyle w:val="Akapitzlist"/>
        <w:numPr>
          <w:ilvl w:val="0"/>
          <w:numId w:val="34"/>
        </w:numPr>
        <w:tabs>
          <w:tab w:val="left" w:pos="851"/>
        </w:tabs>
        <w:spacing w:after="120" w:line="276" w:lineRule="auto"/>
        <w:ind w:left="714" w:hanging="357"/>
        <w:contextualSpacing w:val="0"/>
        <w:rPr>
          <w:rFonts w:asciiTheme="minorHAnsi" w:hAnsiTheme="minorHAnsi" w:cstheme="minorHAnsi"/>
        </w:rPr>
      </w:pPr>
      <w:r w:rsidRPr="00727EA4">
        <w:rPr>
          <w:rFonts w:asciiTheme="minorHAnsi" w:hAnsiTheme="minorHAnsi" w:cstheme="minorHAnsi"/>
        </w:rPr>
        <w:t>gwarancje należytego wykonania umowy.</w:t>
      </w:r>
    </w:p>
    <w:p w14:paraId="2F87EDE7" w14:textId="77777777" w:rsidR="00294BA4" w:rsidRPr="00787827" w:rsidRDefault="00294BA4" w:rsidP="00AA6252">
      <w:pPr>
        <w:tabs>
          <w:tab w:val="left" w:pos="426"/>
        </w:tabs>
        <w:spacing w:after="120" w:line="276" w:lineRule="auto"/>
        <w:contextualSpacing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Ponadto BGK udziela również, w trybie portfelowym, poręczeń kredytów studenckich. </w:t>
      </w:r>
    </w:p>
    <w:p w14:paraId="0CBE7650" w14:textId="480856B6" w:rsidR="00294BA4" w:rsidRPr="00787827" w:rsidRDefault="00294BA4" w:rsidP="00AA6252">
      <w:pPr>
        <w:tabs>
          <w:tab w:val="left" w:pos="426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grudniu 2021 r. ustawa z dnia 17 listopada 2021 r. o zmianie ustawy – Prawo o</w:t>
      </w:r>
      <w:r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szkolnictwie wyższym i nauce oraz niektórych innych ustaw</w:t>
      </w:r>
      <w:r>
        <w:rPr>
          <w:rStyle w:val="Odwoanieprzypisudolnego"/>
          <w:rFonts w:asciiTheme="minorHAnsi" w:hAnsiTheme="minorHAnsi" w:cstheme="minorHAnsi"/>
        </w:rPr>
        <w:footnoteReference w:id="14"/>
      </w:r>
      <w:r w:rsidR="00CD149B" w:rsidRPr="003101C3">
        <w:rPr>
          <w:rFonts w:asciiTheme="minorHAnsi" w:hAnsiTheme="minorHAnsi" w:cstheme="minorHAnsi"/>
          <w:vertAlign w:val="superscript"/>
        </w:rPr>
        <w:t>)</w:t>
      </w:r>
      <w:r w:rsidRPr="00787827">
        <w:rPr>
          <w:rFonts w:asciiTheme="minorHAnsi" w:hAnsiTheme="minorHAnsi" w:cstheme="minorHAnsi"/>
        </w:rPr>
        <w:t xml:space="preserve"> utworzyła w BGK Fundusz Kredytowania Studiów Medycznych (FKSM), ze środków którego będą finansowane dwa nowe instrumenty, które zostaną wdrożone w 2022 r. – kredyt na studia medyczne oraz poręczenia kredytów na studia medyczne, polegające na udzielaniu bankom poręczeń portfela kredytowego obejmujące</w:t>
      </w:r>
      <w:r w:rsidR="003072F9">
        <w:rPr>
          <w:rFonts w:asciiTheme="minorHAnsi" w:hAnsiTheme="minorHAnsi" w:cstheme="minorHAnsi"/>
        </w:rPr>
        <w:t>go kredyty na studia medyczne.</w:t>
      </w:r>
      <w:r w:rsidRPr="00787827">
        <w:rPr>
          <w:rFonts w:asciiTheme="minorHAnsi" w:hAnsiTheme="minorHAnsi" w:cstheme="minorHAnsi"/>
        </w:rPr>
        <w:t xml:space="preserve"> Produkt ten jest skierowany do studentów odbywających studia na kierunku lekarskim - student odbywający studia na kierunku lekarskim w języku polskim na warunkach odpłatności może ubiegać się o kredyt na pokrycie opłat za usługi edukacyjne na tych studiach (kredyt na studia medyczne). Spłata kredytu na studia medyczne ze środków FKSM, może zostać objęta poręczeniem BGK udzielonym do 100% kwoty kapitału kredytu wraz z odsetkami. </w:t>
      </w:r>
    </w:p>
    <w:p w14:paraId="01CD81CE" w14:textId="1C1D4045" w:rsidR="00294BA4" w:rsidRPr="00787827" w:rsidRDefault="00294BA4" w:rsidP="00AA6252">
      <w:pPr>
        <w:tabs>
          <w:tab w:val="left" w:pos="993"/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Wnioski o poręczenia i gwarancje w trybie portfelowym oceniane są w bankach kredytujących, które podpisały stosowne umowy z BGK i otrzymały limit kwotowy, do którego mogą wpisywać transakcje do portfela udzielonych poręczeń/gwarancji. Wnioski o poręczenia i gwarancje udzielane w trybie indywidualnym podlegają ocenie przez BGK, zgodnie z obowiązującymi w BGK przepisami dotyczącymi oceny zdolności kredytowej. </w:t>
      </w:r>
    </w:p>
    <w:p w14:paraId="43F96BCA" w14:textId="4DC57388" w:rsidR="00294BA4" w:rsidRPr="00787827" w:rsidRDefault="00294BA4" w:rsidP="00AA6252">
      <w:pPr>
        <w:tabs>
          <w:tab w:val="left" w:pos="993"/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Na podstawie rozporządzenia Ministra Finansów z dnia 10 czerwca 2014 r. w sprawie udzielania przez Bank Gospodarstwa Krajowego pomocy </w:t>
      </w:r>
      <w:r w:rsidRPr="00787827">
        <w:rPr>
          <w:rFonts w:asciiTheme="minorHAnsi" w:hAnsiTheme="minorHAnsi" w:cstheme="minorHAnsi"/>
          <w:i/>
        </w:rPr>
        <w:t>de minimis</w:t>
      </w:r>
      <w:r w:rsidRPr="00787827">
        <w:rPr>
          <w:rFonts w:asciiTheme="minorHAnsi" w:hAnsiTheme="minorHAnsi" w:cstheme="minorHAnsi"/>
        </w:rPr>
        <w:t xml:space="preserve"> w formie gwarancji spłaty kredytów (kilkukrotnie zmienianego)</w:t>
      </w:r>
      <w:r>
        <w:rPr>
          <w:rStyle w:val="Odwoanieprzypisudolnego"/>
          <w:rFonts w:asciiTheme="minorHAnsi" w:hAnsiTheme="minorHAnsi" w:cstheme="minorHAnsi"/>
        </w:rPr>
        <w:footnoteReference w:id="15"/>
      </w:r>
      <w:r w:rsidR="00CD149B" w:rsidRPr="003101C3">
        <w:rPr>
          <w:rFonts w:asciiTheme="minorHAnsi" w:hAnsiTheme="minorHAnsi" w:cstheme="minorHAnsi"/>
          <w:vertAlign w:val="superscript"/>
        </w:rPr>
        <w:t>)</w:t>
      </w:r>
      <w:r w:rsidRPr="00787827">
        <w:rPr>
          <w:rFonts w:asciiTheme="minorHAnsi" w:hAnsiTheme="minorHAnsi" w:cstheme="minorHAnsi"/>
        </w:rPr>
        <w:t xml:space="preserve"> BGK mógł udzielać pomocy </w:t>
      </w:r>
      <w:r w:rsidRPr="00787827">
        <w:rPr>
          <w:rFonts w:asciiTheme="minorHAnsi" w:hAnsiTheme="minorHAnsi" w:cstheme="minorHAnsi"/>
          <w:i/>
        </w:rPr>
        <w:t>de minimis</w:t>
      </w:r>
      <w:r w:rsidRPr="00787827">
        <w:rPr>
          <w:rFonts w:asciiTheme="minorHAnsi" w:hAnsiTheme="minorHAnsi" w:cstheme="minorHAnsi"/>
        </w:rPr>
        <w:t xml:space="preserve"> w formie gwarancji spłaty kredytów do 30 czerwca 2018 r. </w:t>
      </w:r>
    </w:p>
    <w:p w14:paraId="52A907D0" w14:textId="0D856586" w:rsidR="00294BA4" w:rsidRPr="00787827" w:rsidRDefault="00294BA4" w:rsidP="00AA6252">
      <w:pPr>
        <w:tabs>
          <w:tab w:val="left" w:pos="993"/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Znowelizowa</w:t>
      </w:r>
      <w:r w:rsidR="003072F9">
        <w:rPr>
          <w:rFonts w:asciiTheme="minorHAnsi" w:hAnsiTheme="minorHAnsi" w:cstheme="minorHAnsi"/>
        </w:rPr>
        <w:t xml:space="preserve">na w dniu 24 listopada 2017 r. </w:t>
      </w:r>
      <w:r w:rsidRPr="00787827">
        <w:rPr>
          <w:rFonts w:asciiTheme="minorHAnsi" w:hAnsiTheme="minorHAnsi" w:cstheme="minorHAnsi"/>
        </w:rPr>
        <w:t>ustawa o poręczeniach i gwarancjach</w:t>
      </w:r>
      <w:r>
        <w:rPr>
          <w:rStyle w:val="Odwoanieprzypisudolnego"/>
          <w:rFonts w:asciiTheme="minorHAnsi" w:hAnsiTheme="minorHAnsi" w:cstheme="minorHAnsi"/>
        </w:rPr>
        <w:footnoteReference w:id="16"/>
      </w:r>
      <w:r w:rsidR="00CD149B" w:rsidRPr="003101C3">
        <w:rPr>
          <w:rFonts w:asciiTheme="minorHAnsi" w:hAnsiTheme="minorHAnsi" w:cstheme="minorHAnsi"/>
          <w:vertAlign w:val="superscript"/>
        </w:rPr>
        <w:t>)</w:t>
      </w:r>
      <w:r w:rsidRPr="00787827">
        <w:rPr>
          <w:rFonts w:asciiTheme="minorHAnsi" w:hAnsiTheme="minorHAnsi" w:cstheme="minorHAnsi"/>
        </w:rPr>
        <w:t xml:space="preserve"> wprowadziła nowy, stabilny model finansowania poręczeń i gwarancji dla MŚP stanowiących pomoc publiczną lub pomoc </w:t>
      </w:r>
      <w:r w:rsidRPr="00787827">
        <w:rPr>
          <w:rFonts w:asciiTheme="minorHAnsi" w:hAnsiTheme="minorHAnsi" w:cstheme="minorHAnsi"/>
          <w:i/>
        </w:rPr>
        <w:t>de minimis</w:t>
      </w:r>
      <w:r w:rsidRPr="00787827" w:rsidDel="00F25F7D">
        <w:rPr>
          <w:rFonts w:asciiTheme="minorHAnsi" w:hAnsiTheme="minorHAnsi" w:cstheme="minorHAnsi"/>
        </w:rPr>
        <w:t xml:space="preserve"> </w:t>
      </w:r>
      <w:r w:rsidRPr="00787827">
        <w:rPr>
          <w:rFonts w:asciiTheme="minorHAnsi" w:hAnsiTheme="minorHAnsi" w:cstheme="minorHAnsi"/>
        </w:rPr>
        <w:t xml:space="preserve">udzielanych przez BGK i finansowanych ze środków utworzonego w BGK Krajowego Funduszu Gwarancyjnego (KFG). Począwszy od 1 lipca 2018 r. BGK udziela pomocy </w:t>
      </w:r>
      <w:r w:rsidRPr="00787827">
        <w:rPr>
          <w:rFonts w:asciiTheme="minorHAnsi" w:hAnsiTheme="minorHAnsi" w:cstheme="minorHAnsi"/>
          <w:i/>
        </w:rPr>
        <w:t>de minimis</w:t>
      </w:r>
      <w:r w:rsidRPr="00787827" w:rsidDel="00F25F7D">
        <w:rPr>
          <w:rFonts w:asciiTheme="minorHAnsi" w:hAnsiTheme="minorHAnsi" w:cstheme="minorHAnsi"/>
        </w:rPr>
        <w:t xml:space="preserve"> </w:t>
      </w:r>
      <w:r w:rsidRPr="00787827">
        <w:rPr>
          <w:rFonts w:asciiTheme="minorHAnsi" w:hAnsiTheme="minorHAnsi" w:cstheme="minorHAnsi"/>
        </w:rPr>
        <w:t xml:space="preserve">w formie gwarancji spłaty kredytów na podstawie rozporządzenia Ministra Finansów z dnia 28 marca 2018 r. w sprawie udzielania przez Bank Gospodarstwa Krajowego pomocy </w:t>
      </w:r>
      <w:r w:rsidRPr="00787827">
        <w:rPr>
          <w:rFonts w:asciiTheme="minorHAnsi" w:hAnsiTheme="minorHAnsi" w:cstheme="minorHAnsi"/>
          <w:i/>
        </w:rPr>
        <w:t>de minimis</w:t>
      </w:r>
      <w:r w:rsidRPr="00787827" w:rsidDel="00F25F7D">
        <w:rPr>
          <w:rFonts w:asciiTheme="minorHAnsi" w:hAnsiTheme="minorHAnsi" w:cstheme="minorHAnsi"/>
        </w:rPr>
        <w:t xml:space="preserve"> </w:t>
      </w:r>
      <w:r w:rsidRPr="00787827">
        <w:rPr>
          <w:rFonts w:asciiTheme="minorHAnsi" w:hAnsiTheme="minorHAnsi" w:cstheme="minorHAnsi"/>
        </w:rPr>
        <w:t>w formie gwarancji spłaty kredytów</w:t>
      </w:r>
      <w:r>
        <w:rPr>
          <w:rStyle w:val="Odwoanieprzypisudolnego"/>
          <w:rFonts w:asciiTheme="minorHAnsi" w:hAnsiTheme="minorHAnsi" w:cstheme="minorHAnsi"/>
        </w:rPr>
        <w:footnoteReference w:id="17"/>
      </w:r>
      <w:r w:rsidR="00085980" w:rsidRPr="003101C3">
        <w:rPr>
          <w:rFonts w:asciiTheme="minorHAnsi" w:hAnsiTheme="minorHAnsi" w:cstheme="minorHAnsi"/>
          <w:vertAlign w:val="superscript"/>
        </w:rPr>
        <w:t>)</w:t>
      </w:r>
      <w:r w:rsidRPr="00787827">
        <w:rPr>
          <w:rFonts w:asciiTheme="minorHAnsi" w:hAnsiTheme="minorHAnsi" w:cstheme="minorHAnsi"/>
        </w:rPr>
        <w:t>. Zmiana ww. rozporządzenia w formie rozporządzenia Ministra Finansów z dnia 16 marca 2020 r.</w:t>
      </w:r>
      <w:r>
        <w:rPr>
          <w:rStyle w:val="Odwoanieprzypisudolnego"/>
          <w:rFonts w:asciiTheme="minorHAnsi" w:hAnsiTheme="minorHAnsi" w:cstheme="minorHAnsi"/>
        </w:rPr>
        <w:footnoteReference w:id="18"/>
      </w:r>
      <w:r w:rsidR="00CD149B" w:rsidRPr="003101C3">
        <w:rPr>
          <w:rFonts w:asciiTheme="minorHAnsi" w:hAnsiTheme="minorHAnsi" w:cstheme="minorHAnsi"/>
          <w:vertAlign w:val="superscript"/>
        </w:rPr>
        <w:t>)</w:t>
      </w:r>
      <w:r w:rsidRPr="00CD149B">
        <w:rPr>
          <w:rFonts w:asciiTheme="minorHAnsi" w:hAnsiTheme="minorHAnsi" w:cstheme="minorHAnsi"/>
        </w:rPr>
        <w:t xml:space="preserve"> </w:t>
      </w:r>
      <w:r w:rsidRPr="00787827">
        <w:rPr>
          <w:rFonts w:asciiTheme="minorHAnsi" w:hAnsiTheme="minorHAnsi" w:cstheme="minorHAnsi"/>
        </w:rPr>
        <w:t xml:space="preserve">umożliwiła obejmowanie gwarancją do 80% kwoty kredytu. </w:t>
      </w:r>
    </w:p>
    <w:p w14:paraId="399DA8D4" w14:textId="77777777" w:rsidR="00294BA4" w:rsidRPr="00787827" w:rsidRDefault="00294BA4" w:rsidP="00AA6252">
      <w:pPr>
        <w:tabs>
          <w:tab w:val="left" w:pos="993"/>
          <w:tab w:val="left" w:pos="1134"/>
        </w:tabs>
        <w:spacing w:after="120" w:line="276" w:lineRule="auto"/>
        <w:rPr>
          <w:rFonts w:asciiTheme="minorHAnsi" w:hAnsiTheme="minorHAnsi" w:cstheme="minorHAnsi"/>
          <w:color w:val="44546A"/>
        </w:rPr>
      </w:pPr>
      <w:r w:rsidRPr="00787827">
        <w:rPr>
          <w:rFonts w:asciiTheme="minorHAnsi" w:hAnsiTheme="minorHAnsi" w:cstheme="minorHAnsi"/>
        </w:rPr>
        <w:t xml:space="preserve">Utrzymywanie się negatywnych gospodarczych skutków pandemii wirusa SARS-CoV-2 spowodowało, że BGK w grudniu 2020 r. zachował w ofercie specjalne warunki gwarancji </w:t>
      </w:r>
      <w:r w:rsidRPr="00787827">
        <w:rPr>
          <w:rFonts w:asciiTheme="minorHAnsi" w:hAnsiTheme="minorHAnsi" w:cstheme="minorHAnsi"/>
          <w:i/>
        </w:rPr>
        <w:t>de minimis</w:t>
      </w:r>
      <w:r w:rsidRPr="00787827">
        <w:rPr>
          <w:rFonts w:asciiTheme="minorHAnsi" w:hAnsiTheme="minorHAnsi" w:cstheme="minorHAnsi"/>
        </w:rPr>
        <w:t xml:space="preserve">, oferowane od zakończenia I kw. 2020 r. tj.: 0% prowizji, gwarancję w kwocie do 80% kwoty kredytu (standardowo jest to do 60%), dodatkowo wprowadzając do końca czerwca 2021 r.: </w:t>
      </w:r>
    </w:p>
    <w:p w14:paraId="7062A6ED" w14:textId="77777777" w:rsidR="00294BA4" w:rsidRDefault="00294BA4" w:rsidP="00294BA4">
      <w:pPr>
        <w:pStyle w:val="Akapitzlist"/>
        <w:numPr>
          <w:ilvl w:val="0"/>
          <w:numId w:val="35"/>
        </w:numPr>
        <w:spacing w:after="300" w:line="276" w:lineRule="auto"/>
        <w:rPr>
          <w:rFonts w:asciiTheme="minorHAnsi" w:hAnsiTheme="minorHAnsi" w:cstheme="minorHAnsi"/>
        </w:rPr>
      </w:pPr>
      <w:r w:rsidRPr="00727EA4">
        <w:rPr>
          <w:rFonts w:asciiTheme="minorHAnsi" w:hAnsiTheme="minorHAnsi" w:cstheme="minorHAnsi"/>
        </w:rPr>
        <w:t xml:space="preserve">wyższą kwotę gwarancji – zamiast 3,5 mln zł – maksymalne kwoty dozwolone rozporządzeniem Komisji (UE) nr 1407/2013 z dnia 18 grudnia 2013 r. w sprawie stosowania art. 107 i 108 Traktatu o funkcjonowaniu Unii Europejskiej do pomocy </w:t>
      </w:r>
      <w:r w:rsidRPr="00727EA4">
        <w:rPr>
          <w:rFonts w:asciiTheme="minorHAnsi" w:hAnsiTheme="minorHAnsi" w:cstheme="minorHAnsi"/>
          <w:i/>
        </w:rPr>
        <w:t>de minimis</w:t>
      </w:r>
      <w:r w:rsidRPr="00727EA4">
        <w:rPr>
          <w:rFonts w:asciiTheme="minorHAnsi" w:hAnsiTheme="minorHAnsi" w:cstheme="minorHAnsi"/>
        </w:rPr>
        <w:t>, tj. 1,5 mln EUR i 750 000 EUR (dla przedsiębiorców z sektora transportu drogowego towarów),</w:t>
      </w:r>
    </w:p>
    <w:p w14:paraId="13AAD11B" w14:textId="77777777" w:rsidR="00294BA4" w:rsidRDefault="00294BA4" w:rsidP="00294BA4">
      <w:pPr>
        <w:pStyle w:val="Akapitzlist"/>
        <w:numPr>
          <w:ilvl w:val="0"/>
          <w:numId w:val="35"/>
        </w:numPr>
        <w:spacing w:after="300" w:line="276" w:lineRule="auto"/>
        <w:rPr>
          <w:rFonts w:asciiTheme="minorHAnsi" w:hAnsiTheme="minorHAnsi" w:cstheme="minorHAnsi"/>
        </w:rPr>
      </w:pPr>
      <w:r w:rsidRPr="00727EA4">
        <w:rPr>
          <w:rFonts w:asciiTheme="minorHAnsi" w:hAnsiTheme="minorHAnsi" w:cstheme="minorHAnsi"/>
        </w:rPr>
        <w:t>dłuższy okres gwarancji kredytu obrotowego – do 75 miesięcy,</w:t>
      </w:r>
    </w:p>
    <w:p w14:paraId="1B24A7CB" w14:textId="77777777" w:rsidR="00294BA4" w:rsidRPr="00727EA4" w:rsidRDefault="00294BA4" w:rsidP="00AA6252">
      <w:pPr>
        <w:pStyle w:val="Akapitzlist"/>
        <w:numPr>
          <w:ilvl w:val="0"/>
          <w:numId w:val="35"/>
        </w:numPr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727EA4">
        <w:rPr>
          <w:rFonts w:asciiTheme="minorHAnsi" w:hAnsiTheme="minorHAnsi" w:cstheme="minorHAnsi"/>
        </w:rPr>
        <w:t>dłuższy okres gwarancji kredytu inwestycyjnego - do 120 miesięcy (standardowo jest to do 99 miesięcy).</w:t>
      </w:r>
    </w:p>
    <w:p w14:paraId="6845C5F3" w14:textId="7894C844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Stosowanie powyższych warunków gwarancji zostało wydłużone do końca grudnia 2021 r., a następnie wydłużo</w:t>
      </w:r>
      <w:r w:rsidR="003072F9">
        <w:rPr>
          <w:rFonts w:asciiTheme="minorHAnsi" w:hAnsiTheme="minorHAnsi" w:cstheme="minorHAnsi"/>
        </w:rPr>
        <w:t xml:space="preserve">no je do końca czerwca 2022 r. </w:t>
      </w:r>
    </w:p>
    <w:p w14:paraId="57C7E5C0" w14:textId="21473B32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czerwcu 2020 r. w ramach FGR wprowadzono bezzwrotne wsparcie dla przedsiębiorców z sektora MŚP działających w sektorze rolnym, w formie dopłaty do oprocentowania kredytów obrotowych niepowiązanych z inwestycją objętych gwarancją FGR, pozwalające na zmniejszenie negatywnych efektów związanych z wpływem pandemii na ich bieżącą działalność gospodarczą. W grudniu 2020 r. wydłużono obowiązujące na czas pandemii parametry produktu do końca czerwca 2021 r., następnie zostały wydłużone do końca grudnia 2021 r. i o kolejne pół roku - do końca czerwca 2022</w:t>
      </w:r>
      <w:r w:rsidR="00F47D02"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 xml:space="preserve">r. </w:t>
      </w:r>
    </w:p>
    <w:p w14:paraId="2AC5D4DD" w14:textId="77777777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W związku z przeciwdziałaniem skutkom COVID-19, w ramach gwarancji FG POIR wprowadzono następujące zmiany: </w:t>
      </w:r>
    </w:p>
    <w:p w14:paraId="0283DB29" w14:textId="77777777" w:rsidR="00294BA4" w:rsidRDefault="00294BA4" w:rsidP="00AA6252">
      <w:pPr>
        <w:pStyle w:val="Akapitzlist"/>
        <w:numPr>
          <w:ilvl w:val="0"/>
          <w:numId w:val="36"/>
        </w:numPr>
        <w:spacing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AE5A8B">
        <w:rPr>
          <w:rFonts w:asciiTheme="minorHAnsi" w:hAnsiTheme="minorHAnsi" w:cstheme="minorHAnsi"/>
        </w:rPr>
        <w:t>możliwość obejmowania gwarancją kredytu płynnościowego na czas pandemii COVID-19, tj. kredytu odnawialnego oraz nieodnawialnego przeznaczonego na zapewnienie płynności finansowej,</w:t>
      </w:r>
    </w:p>
    <w:p w14:paraId="177B6234" w14:textId="2E0C7E5C" w:rsidR="00294BA4" w:rsidRDefault="00294BA4" w:rsidP="00294BA4">
      <w:pPr>
        <w:pStyle w:val="Akapitzlist"/>
        <w:numPr>
          <w:ilvl w:val="0"/>
          <w:numId w:val="36"/>
        </w:numPr>
        <w:spacing w:after="300" w:line="276" w:lineRule="auto"/>
        <w:rPr>
          <w:rFonts w:asciiTheme="minorHAnsi" w:hAnsiTheme="minorHAnsi" w:cstheme="minorHAnsi"/>
        </w:rPr>
      </w:pPr>
      <w:r w:rsidRPr="00AE5A8B">
        <w:rPr>
          <w:rFonts w:asciiTheme="minorHAnsi" w:hAnsiTheme="minorHAnsi" w:cstheme="minorHAnsi"/>
        </w:rPr>
        <w:t xml:space="preserve">w przypadku gwarancji stanowiącej pomoc </w:t>
      </w:r>
      <w:r w:rsidRPr="00AE5A8B">
        <w:rPr>
          <w:rFonts w:asciiTheme="minorHAnsi" w:hAnsiTheme="minorHAnsi" w:cstheme="minorHAnsi"/>
          <w:i/>
        </w:rPr>
        <w:t>de minimis</w:t>
      </w:r>
      <w:r w:rsidRPr="00AE5A8B">
        <w:rPr>
          <w:rFonts w:asciiTheme="minorHAnsi" w:hAnsiTheme="minorHAnsi" w:cstheme="minorHAnsi"/>
        </w:rPr>
        <w:t xml:space="preserve"> zrezygnowano z katalogu kosztów kwalifikowalnych inwestycji i obowiązku przedkładania przez kredytobiorcę planu projektu inwestycyjnego – kredyt udzielany jest na podstawie procedury banku i wykorzystywany na finansowanie zgodnie z celem określonym w umowie kredytu,</w:t>
      </w:r>
    </w:p>
    <w:p w14:paraId="7373221B" w14:textId="77777777" w:rsidR="00294BA4" w:rsidRDefault="00294BA4" w:rsidP="00294BA4">
      <w:pPr>
        <w:pStyle w:val="Akapitzlist"/>
        <w:numPr>
          <w:ilvl w:val="0"/>
          <w:numId w:val="36"/>
        </w:numPr>
        <w:spacing w:after="300" w:line="276" w:lineRule="auto"/>
        <w:rPr>
          <w:rFonts w:asciiTheme="minorHAnsi" w:hAnsiTheme="minorHAnsi" w:cstheme="minorHAnsi"/>
        </w:rPr>
      </w:pPr>
      <w:r w:rsidRPr="00AE5A8B">
        <w:rPr>
          <w:rFonts w:asciiTheme="minorHAnsi" w:hAnsiTheme="minorHAnsi" w:cstheme="minorHAnsi"/>
        </w:rPr>
        <w:t>z gwarancji obejmującej kredyt płynnościowy na czas pandemii COVID-19, oprócz podmiotów innowacyjnych, mogą skorzystać również firmy efektywne ekologicznie,</w:t>
      </w:r>
    </w:p>
    <w:p w14:paraId="22F06603" w14:textId="77777777" w:rsidR="00294BA4" w:rsidRPr="00AE5A8B" w:rsidRDefault="00294BA4" w:rsidP="00AA6252">
      <w:pPr>
        <w:pStyle w:val="Akapitzlist"/>
        <w:numPr>
          <w:ilvl w:val="0"/>
          <w:numId w:val="36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AE5A8B">
        <w:rPr>
          <w:rFonts w:asciiTheme="minorHAnsi" w:hAnsiTheme="minorHAnsi" w:cstheme="minorHAnsi"/>
        </w:rPr>
        <w:t>wydłużono do 31.12.2021 r. okres obowiązywania 5% stawki rocznej dla wyliczenia dopłaty do oprocentowania kredytu.</w:t>
      </w:r>
    </w:p>
    <w:p w14:paraId="7B8652D5" w14:textId="30586A9C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grudniu 2020 r. wydłużono obowiązujące na czas pandemii parametry produktu do końca czerwca 2021 r., następnie zostały one wydłużone do końca grudnia 2021 r. i o kolejne pół roku - do końca czerwca 2022 r.</w:t>
      </w:r>
    </w:p>
    <w:p w14:paraId="6B24BC19" w14:textId="77777777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związku z pandemią COVID-19, w sierpniu 2020 r. w produkcie gwarancyjnym COSME wprowadzono następujące warunki preferencyjne dla przedsiębiorców:</w:t>
      </w:r>
    </w:p>
    <w:p w14:paraId="7B50FBB2" w14:textId="77777777" w:rsidR="00294BA4" w:rsidRDefault="00294BA4" w:rsidP="00294BA4">
      <w:pPr>
        <w:pStyle w:val="Akapitzlist"/>
        <w:numPr>
          <w:ilvl w:val="0"/>
          <w:numId w:val="37"/>
        </w:numPr>
        <w:spacing w:after="300" w:line="276" w:lineRule="auto"/>
        <w:rPr>
          <w:rFonts w:asciiTheme="minorHAnsi" w:hAnsiTheme="minorHAnsi" w:cstheme="minorHAnsi"/>
        </w:rPr>
      </w:pPr>
      <w:r w:rsidRPr="00AE5A8B">
        <w:rPr>
          <w:rFonts w:asciiTheme="minorHAnsi" w:hAnsiTheme="minorHAnsi" w:cstheme="minorHAnsi"/>
        </w:rPr>
        <w:t xml:space="preserve">wydłużenie okresu obowiązywania gwarancji dla kredytów obrotowych udzielonych w okresie od 6 kwietnia 2020 r. do 31 grudnia 2020 r. z 27 do 39 miesięcy, </w:t>
      </w:r>
    </w:p>
    <w:p w14:paraId="6CD4DC2A" w14:textId="77777777" w:rsidR="00294BA4" w:rsidRPr="00AE5A8B" w:rsidRDefault="00294BA4" w:rsidP="00AA6252">
      <w:pPr>
        <w:pStyle w:val="Akapitzlist"/>
        <w:numPr>
          <w:ilvl w:val="0"/>
          <w:numId w:val="37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AE5A8B">
        <w:rPr>
          <w:rFonts w:asciiTheme="minorHAnsi" w:hAnsiTheme="minorHAnsi" w:cstheme="minorHAnsi"/>
        </w:rPr>
        <w:t xml:space="preserve">obniżenie opłaty za gwarancję do 0,7% dla ww. kredytów obrotowych. </w:t>
      </w:r>
    </w:p>
    <w:p w14:paraId="3D0F24E1" w14:textId="77777777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Ponadto umożliwiono wydłużenie maksymalnego okresu odnawiania kredytu objętego gwarancją z 5 do 9 lat. </w:t>
      </w:r>
    </w:p>
    <w:p w14:paraId="09069BB1" w14:textId="77777777" w:rsidR="00294BA4" w:rsidRPr="00787827" w:rsidRDefault="00294BA4" w:rsidP="00294BA4">
      <w:pPr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grudniu 2020 r. wydłużono obowiązujące na czas pandemii parametry produktu do końca czerwca 2021 r., następnie wydłużono je do końca grudnia 2021 r.</w:t>
      </w:r>
    </w:p>
    <w:p w14:paraId="5D8F8182" w14:textId="77777777" w:rsidR="00294BA4" w:rsidRPr="00787827" w:rsidRDefault="00294BA4" w:rsidP="00AA6252">
      <w:pPr>
        <w:tabs>
          <w:tab w:val="left" w:pos="567"/>
          <w:tab w:val="left" w:pos="993"/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grudniu 2020 r. w ramach programu gwarancyjnego Kreatywna Europa z</w:t>
      </w:r>
      <w:r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regwarancją EFI przygotowano dla przedsiębiorców z sektorów kultury i kreatywnych korzystniejsze warunki udzielania gwarancji, które polegają na tym, że stawka opłaty prowizyjnej należnej do zapłaty z tytułu gwarancji w okresie od 1 stycznia 2021 r. do 30 czerwca 2021 r. wynosi 0% zamiast 0,25%. W czerwcu 2021 r. stawkę opłaty prowizyjnej na poziomie 0% wprowadzono na stałe.</w:t>
      </w:r>
    </w:p>
    <w:p w14:paraId="65683882" w14:textId="29E61B83" w:rsidR="00294BA4" w:rsidRDefault="00294BA4" w:rsidP="00AA6252">
      <w:pPr>
        <w:tabs>
          <w:tab w:val="left" w:pos="567"/>
          <w:tab w:val="left" w:pos="993"/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maju 2021 r. wprowadzono do oferty produktowej BGK</w:t>
      </w:r>
      <w:r>
        <w:rPr>
          <w:rFonts w:asciiTheme="minorHAnsi" w:hAnsiTheme="minorHAnsi" w:cstheme="minorHAnsi"/>
        </w:rPr>
        <w:t xml:space="preserve"> gwarancje leasingu (LGL-PFG) z </w:t>
      </w:r>
      <w:r w:rsidRPr="00787827">
        <w:rPr>
          <w:rFonts w:asciiTheme="minorHAnsi" w:hAnsiTheme="minorHAnsi" w:cstheme="minorHAnsi"/>
        </w:rPr>
        <w:t xml:space="preserve">planowanym ich udzielaniem do końca 2021 r. Gwarancje są finansowane ze środków KFG i są objęte regwarancją Europejskiego Funduszu Inwestycyjnego w wysokości 70% z Paneuropejskiego Funduszu Gwarancyjnego. W ramach LGL-PFG BGK udziela gwarancji transakcji leasingowych (leasing i pożyczka leasingowa) przeznaczonych dla przedsiębiorców należących do kategorii MŚP. Gwarancje transakcji leasingowych udzielane są w formule portfelowej - wnioski o gwarancje składane i oceniane są u leasingodawców, którzy podpisali stosowne umowy z BGK i otrzymali limit kwotowy, do wysokości którego mogą wpisywać transakcje do portfela udzielonych gwarancji. </w:t>
      </w:r>
    </w:p>
    <w:p w14:paraId="6A4CBCB9" w14:textId="77777777" w:rsidR="00294BA4" w:rsidRPr="00787827" w:rsidRDefault="00294BA4" w:rsidP="00AA6252">
      <w:pPr>
        <w:tabs>
          <w:tab w:val="left" w:pos="567"/>
          <w:tab w:val="left" w:pos="993"/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ramach gwarancji LGL-PFG przedsiębiorca otrzymuje pomoc publiczną na podstawie:</w:t>
      </w:r>
    </w:p>
    <w:p w14:paraId="1CF0FBD2" w14:textId="77777777" w:rsidR="00294BA4" w:rsidRDefault="00294BA4" w:rsidP="00294BA4">
      <w:pPr>
        <w:pStyle w:val="Akapitzlist"/>
        <w:numPr>
          <w:ilvl w:val="0"/>
          <w:numId w:val="38"/>
        </w:numPr>
        <w:spacing w:after="300" w:line="276" w:lineRule="auto"/>
        <w:rPr>
          <w:rFonts w:asciiTheme="minorHAnsi" w:hAnsiTheme="minorHAnsi" w:cstheme="minorHAnsi"/>
        </w:rPr>
      </w:pPr>
      <w:r w:rsidRPr="00AE5A8B">
        <w:rPr>
          <w:rFonts w:asciiTheme="minorHAnsi" w:hAnsiTheme="minorHAnsi" w:cstheme="minorHAnsi"/>
        </w:rPr>
        <w:t>decyzji Komisji Europejskiej w sprawie Paneuropejskiego Funduszu Gwarancyjnego w odpowiedzi na COVID-19 nr C(2020) 9237 z dnia 14 grudnia 2020 r. (reżim pomocy 3.1) - w części stanowiącej 70% kwoty gwarancji,</w:t>
      </w:r>
    </w:p>
    <w:p w14:paraId="63F96F5E" w14:textId="7BBA458E" w:rsidR="00294BA4" w:rsidRPr="00AE5A8B" w:rsidRDefault="00294BA4" w:rsidP="00AA6252">
      <w:pPr>
        <w:pStyle w:val="Akapitzlist"/>
        <w:numPr>
          <w:ilvl w:val="0"/>
          <w:numId w:val="38"/>
        </w:numPr>
        <w:spacing w:after="120" w:line="276" w:lineRule="auto"/>
        <w:ind w:left="357" w:hanging="357"/>
        <w:rPr>
          <w:rFonts w:asciiTheme="minorHAnsi" w:hAnsiTheme="minorHAnsi" w:cstheme="minorHAnsi"/>
        </w:rPr>
      </w:pPr>
      <w:r w:rsidRPr="00AE5A8B">
        <w:rPr>
          <w:rFonts w:asciiTheme="minorHAnsi" w:hAnsiTheme="minorHAnsi" w:cstheme="minorHAnsi"/>
        </w:rPr>
        <w:t>Komunikatu Komisji Europejskiej „Tymczasowe ramy środków pomocy państwa w celu wsparcia gospodarki w kontekście trwającej epidemii COVID-19” (2020/C 91 I/01) (sekcja 3.1) - w części stanowiącej 30% kwoty gwarancji.</w:t>
      </w:r>
    </w:p>
    <w:p w14:paraId="73325F4F" w14:textId="340B580A" w:rsidR="00294BA4" w:rsidRPr="00787827" w:rsidRDefault="00294BA4" w:rsidP="00294BA4">
      <w:pPr>
        <w:tabs>
          <w:tab w:val="left" w:pos="567"/>
          <w:tab w:val="left" w:pos="993"/>
          <w:tab w:val="left" w:pos="1134"/>
        </w:tabs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grudniu 2021 r. przedłużono udzielanie gwarancji transakcji leasingowych do 30 czerwca 2022 r. w związku z wydłużeniem obowiązywania Komunikatu Komisji Europejskiej C(2020) 1863 z 19 marca 2020 r. „Tymczasowe ramy środków pomocy państwa w celu wsparcia gospodarki w kontekście trwającej epidemii COVID-19” (2020/C 91 I/01)</w:t>
      </w:r>
      <w:r>
        <w:rPr>
          <w:rStyle w:val="Odwoanieprzypisudolnego"/>
          <w:rFonts w:asciiTheme="minorHAnsi" w:hAnsiTheme="minorHAnsi" w:cstheme="minorHAnsi"/>
        </w:rPr>
        <w:footnoteReference w:id="19"/>
      </w:r>
      <w:r w:rsidR="00CD149B" w:rsidRPr="003101C3">
        <w:rPr>
          <w:rFonts w:asciiTheme="minorHAnsi" w:hAnsiTheme="minorHAnsi" w:cstheme="minorHAnsi"/>
          <w:vertAlign w:val="superscript"/>
        </w:rPr>
        <w:t>)</w:t>
      </w:r>
      <w:r w:rsidRPr="00787827">
        <w:rPr>
          <w:rFonts w:asciiTheme="minorHAnsi" w:hAnsiTheme="minorHAnsi" w:cstheme="minorHAnsi"/>
        </w:rPr>
        <w:t xml:space="preserve">. </w:t>
      </w:r>
    </w:p>
    <w:p w14:paraId="6E7F44B2" w14:textId="77777777" w:rsidR="00294BA4" w:rsidRPr="00787827" w:rsidRDefault="00294BA4" w:rsidP="00294BA4">
      <w:pPr>
        <w:pStyle w:val="Nagwek4"/>
        <w:tabs>
          <w:tab w:val="left" w:pos="567"/>
        </w:tabs>
        <w:spacing w:after="300" w:line="276" w:lineRule="auto"/>
        <w:ind w:left="709" w:hanging="709"/>
        <w:jc w:val="left"/>
        <w:rPr>
          <w:rFonts w:asciiTheme="minorHAnsi" w:hAnsiTheme="minorHAnsi" w:cstheme="minorHAnsi"/>
          <w:i/>
          <w:sz w:val="24"/>
          <w:szCs w:val="24"/>
        </w:rPr>
      </w:pPr>
      <w:bookmarkStart w:id="64" w:name="_Toc448315294"/>
      <w:bookmarkStart w:id="65" w:name="_Toc97726326"/>
      <w:bookmarkEnd w:id="62"/>
      <w:bookmarkEnd w:id="63"/>
      <w:r w:rsidRPr="00787827">
        <w:rPr>
          <w:rFonts w:asciiTheme="minorHAnsi" w:hAnsiTheme="minorHAnsi" w:cstheme="minorHAnsi"/>
          <w:sz w:val="24"/>
          <w:szCs w:val="24"/>
        </w:rPr>
        <w:t>2.4.1.2 Poręczenia i gwarancje udzielone w 2021 r. w ramach Programu Wspierania Przedsiębiorczości</w:t>
      </w:r>
      <w:bookmarkEnd w:id="64"/>
      <w:bookmarkEnd w:id="65"/>
    </w:p>
    <w:p w14:paraId="237B4931" w14:textId="323D506D" w:rsidR="00294BA4" w:rsidRPr="00787827" w:rsidRDefault="00294BA4" w:rsidP="00294BA4">
      <w:pPr>
        <w:spacing w:after="300" w:line="276" w:lineRule="auto"/>
        <w:rPr>
          <w:rFonts w:asciiTheme="minorHAnsi" w:hAnsiTheme="minorHAnsi" w:cstheme="minorHAnsi"/>
        </w:rPr>
      </w:pPr>
      <w:bookmarkStart w:id="66" w:name="_Toc448315295"/>
      <w:bookmarkStart w:id="67" w:name="_Toc352076152"/>
      <w:bookmarkStart w:id="68" w:name="_Toc352237527"/>
      <w:r w:rsidRPr="00787827">
        <w:rPr>
          <w:rFonts w:asciiTheme="minorHAnsi" w:hAnsiTheme="minorHAnsi" w:cstheme="minorHAnsi"/>
        </w:rPr>
        <w:t>W 2021 r</w:t>
      </w:r>
      <w:r>
        <w:rPr>
          <w:rFonts w:asciiTheme="minorHAnsi" w:hAnsiTheme="minorHAnsi" w:cstheme="minorHAnsi"/>
        </w:rPr>
        <w:t>. BGK udzielił 101 084 gwarancji</w:t>
      </w:r>
      <w:r w:rsidRPr="00787827">
        <w:rPr>
          <w:rFonts w:asciiTheme="minorHAnsi" w:hAnsiTheme="minorHAnsi" w:cstheme="minorHAnsi"/>
        </w:rPr>
        <w:t xml:space="preserve"> w ramach Programu Wspierania Przedsiębiorczości, na łączną kwotę 37 199 506 439,76 zł, w tym: 91 705 gwarancji PLD-KFG na łączną kwotę 34 169 498 221,53 zł, 4 237 gwarancji PLG COSME na łączną kwotę 736 475 073,82 zł, 812 gwarancji FG POIR na łączną kwotę 1 599 594 133,24 zł, 1 gwarancję PLG Kreatywna Europa na kwotę 400 000,00</w:t>
      </w:r>
      <w:r>
        <w:rPr>
          <w:rFonts w:asciiTheme="minorHAnsi" w:hAnsiTheme="minorHAnsi" w:cstheme="minorHAnsi"/>
        </w:rPr>
        <w:t xml:space="preserve"> </w:t>
      </w:r>
      <w:r w:rsidRPr="00787827">
        <w:rPr>
          <w:rFonts w:asciiTheme="minorHAnsi" w:hAnsiTheme="minorHAnsi" w:cstheme="minorHAnsi"/>
        </w:rPr>
        <w:t>zł, 3 092 gwarancje FGR na łączną kwotę 482 553 338,90 zł, 1 237 gwarancji LGL-PFG na łączną kwotę 210 985 672,27 zł.</w:t>
      </w:r>
    </w:p>
    <w:p w14:paraId="4BB39F43" w14:textId="77777777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2021 r. BGK udzielił 1 333 poręczenia kredytów studenckich na łączną kwotę 35 401 180,00 zł.</w:t>
      </w:r>
    </w:p>
    <w:p w14:paraId="44F1AB9A" w14:textId="77777777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2021 r. w ramach Programu Wspierania Przedsiębiorczości dokonano 2 421 wypłat z tytułu udzielonych poręczeń i gwarancji gospodarczych na łączną kwotę 421 345 962,42 zł oraz 107 wypłat z tytułu udzielonych poręczeń kredytów studenckich na kwotę 1 711 962,16 zł.</w:t>
      </w:r>
    </w:p>
    <w:p w14:paraId="0650F9C2" w14:textId="77777777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Według stanu na dzień 31.12.2021 r. łączny stan zobowiązań pozabilansowych (stan czynnych poręczeń i gwarancji) z tytułu udzielonych poręczeń i gwarancji gospodarczych wyniósł 49 026 501,29 tys. zł (tj. około 147,5% stanu potencjalnych zobowiązań wykazanych na koniec 2020 r. w kwocie 33 236 814,14 tys. zł). </w:t>
      </w:r>
    </w:p>
    <w:p w14:paraId="6B8A2D8A" w14:textId="1452BC9C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Wzrost wartości zobowiązań z tytułu udzielonych poręczeń i gwarancji związany jest przede wszystkim z aktywnym udzielaniem gwarancji PLD-KFG. Jednocześnie zobowiązania z tytułu udzielonych poręczeń kredytów studenckich wg stanu na 31.12.2021 r. wyniosły 257 506,26 tys. zł (tj. około 107,9% stanu potencjalnych zobowiązań wykazanych na koniec 2020 r. w kwocie 238 552,46 tys. zł). Natomiast stan należności wynikający z udzielonych przez BGK poręczeń i gwarancji gospodarczych (dotyczy zadłużenia z tytułu kapitału) na dzień 31.12.2021 r., wynosi 2 896 729,84 tys. zł (tj. około 116,0% stanu należności wykazanych na koniec 2020 r. w kwocie 2 496 318,83</w:t>
      </w:r>
      <w:r w:rsidR="00F47D02"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tys. zł). Na ww. należności składają się przede wszystkim należności z</w:t>
      </w:r>
      <w:r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tytułu wypłaconych gwarancji PLD-KFG w wysokości 2 715 153,86 tys. zł.</w:t>
      </w:r>
    </w:p>
    <w:p w14:paraId="2F01EB77" w14:textId="77777777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Jednocześnie należności z tytułu udzielonych poręczeń kredytów studenckich wg. stanu na 31.12.2021 r. wyniosły 3 348,64 tys. zł (tj. około 143,8% stanu należności wykazanych na koniec 2020 r. w kwocie 2 328,12 tys. zł). </w:t>
      </w:r>
    </w:p>
    <w:p w14:paraId="77B2F018" w14:textId="77777777" w:rsidR="00294BA4" w:rsidRPr="00787827" w:rsidRDefault="00294BA4" w:rsidP="00AA6252">
      <w:pPr>
        <w:tabs>
          <w:tab w:val="left" w:pos="993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Bardzo dobre wyniki działalności BGK w zakresie wsparcia działalności MŚP poprzez udzielanie gwarancji </w:t>
      </w:r>
      <w:r w:rsidRPr="00787827">
        <w:rPr>
          <w:rFonts w:asciiTheme="minorHAnsi" w:hAnsiTheme="minorHAnsi" w:cstheme="minorHAnsi"/>
          <w:iCs/>
        </w:rPr>
        <w:t>PLD</w:t>
      </w:r>
      <w:r w:rsidRPr="00787827">
        <w:rPr>
          <w:rFonts w:asciiTheme="minorHAnsi" w:hAnsiTheme="minorHAnsi" w:cstheme="minorHAnsi"/>
        </w:rPr>
        <w:t>-KFG</w:t>
      </w:r>
      <w:r w:rsidRPr="00787827">
        <w:rPr>
          <w:rFonts w:asciiTheme="minorHAnsi" w:hAnsiTheme="minorHAnsi" w:cstheme="minorHAnsi"/>
          <w:i/>
          <w:iCs/>
        </w:rPr>
        <w:t xml:space="preserve"> </w:t>
      </w:r>
      <w:r w:rsidRPr="00787827">
        <w:rPr>
          <w:rFonts w:asciiTheme="minorHAnsi" w:hAnsiTheme="minorHAnsi" w:cstheme="minorHAnsi"/>
        </w:rPr>
        <w:t xml:space="preserve">wskazują, iż powyższa oferta jest dobrze dostosowana do oczekiwań przedsiębiorców. Zapewnia finansowanie bieżącej działalności MŚP, w szczególności dostęp do finansowania płynnościowego w związku z COVID-19, jak również realizowanych przez nie przedsięwzięć inwestycyjnych. Sukces omawianego programu wynika w szczególności z faktu, iż ma on charakter ogólnopolski i funkcjonuje na zasadzie ujednoliconego w skali kraju produktu, który ze względu na swoje parametry jest bardzo łatwy do zastosowania przez banki, pomimo różnic w ich ofercie kredytowej. Procedura udzielania gwarancji </w:t>
      </w:r>
      <w:r w:rsidRPr="00787827">
        <w:rPr>
          <w:rFonts w:asciiTheme="minorHAnsi" w:hAnsiTheme="minorHAnsi" w:cstheme="minorHAnsi"/>
          <w:iCs/>
        </w:rPr>
        <w:t>PLD-KFG</w:t>
      </w:r>
      <w:r w:rsidRPr="00787827">
        <w:rPr>
          <w:rFonts w:asciiTheme="minorHAnsi" w:hAnsiTheme="minorHAnsi" w:cstheme="minorHAnsi"/>
        </w:rPr>
        <w:t xml:space="preserve"> jest bardzo uproszczona, ponieważ przedsiębiorca załatwia wszystkie formalności związane z udzieleniem gwarancji w banku, w którym zaciąga kredyt. Poprzez brak konieczności stosowania rynkowej stawki opłaty prowizyjnej za udzielenie gwarancji</w:t>
      </w:r>
      <w:r w:rsidRPr="00787827">
        <w:rPr>
          <w:rFonts w:asciiTheme="minorHAnsi" w:hAnsiTheme="minorHAnsi" w:cstheme="minorHAnsi"/>
          <w:i/>
          <w:iCs/>
        </w:rPr>
        <w:t xml:space="preserve"> </w:t>
      </w:r>
      <w:r w:rsidRPr="00787827">
        <w:rPr>
          <w:rFonts w:asciiTheme="minorHAnsi" w:hAnsiTheme="minorHAnsi" w:cstheme="minorHAnsi"/>
          <w:iCs/>
        </w:rPr>
        <w:t>PLD-KFG</w:t>
      </w:r>
      <w:r w:rsidRPr="00787827">
        <w:rPr>
          <w:rFonts w:asciiTheme="minorHAnsi" w:hAnsiTheme="minorHAnsi" w:cstheme="minorHAnsi"/>
        </w:rPr>
        <w:t xml:space="preserve"> zapewniono przedsiębiorcom możliwość zabezpieczenia kredytu tanim instrumentem, stanowiącym jednocześnie w pełni akceptowalne zabezpieczenie kredytu dla banku. </w:t>
      </w:r>
    </w:p>
    <w:p w14:paraId="26B1CDF1" w14:textId="77777777" w:rsidR="00294BA4" w:rsidRPr="00787827" w:rsidRDefault="00294BA4" w:rsidP="004C1823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Podstawowymi elementami warunkującymi realizację Programu Wspierania Przedsiębiorczości były i będą w przyszłości następujące czynniki:</w:t>
      </w:r>
    </w:p>
    <w:p w14:paraId="0E366EE5" w14:textId="77777777" w:rsidR="00294BA4" w:rsidRDefault="00294BA4" w:rsidP="004C1823">
      <w:pPr>
        <w:pStyle w:val="Akapitzlist"/>
        <w:numPr>
          <w:ilvl w:val="0"/>
          <w:numId w:val="39"/>
        </w:numPr>
        <w:tabs>
          <w:tab w:val="left" w:pos="851"/>
        </w:tabs>
        <w:spacing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195E8A">
        <w:rPr>
          <w:rFonts w:asciiTheme="minorHAnsi" w:hAnsiTheme="minorHAnsi" w:cstheme="minorHAnsi"/>
        </w:rPr>
        <w:t>ogólna sytuacja gospodarcza, w tym zapotrzebowanie przedsiębiorców na kredyty bankowe oraz ich zdolność kredytowa,</w:t>
      </w:r>
    </w:p>
    <w:p w14:paraId="59490096" w14:textId="75432270" w:rsidR="00294BA4" w:rsidRDefault="00294BA4" w:rsidP="00294BA4">
      <w:pPr>
        <w:pStyle w:val="Akapitzlist"/>
        <w:numPr>
          <w:ilvl w:val="0"/>
          <w:numId w:val="39"/>
        </w:numPr>
        <w:tabs>
          <w:tab w:val="left" w:pos="851"/>
        </w:tabs>
        <w:spacing w:after="300" w:line="276" w:lineRule="auto"/>
        <w:rPr>
          <w:rFonts w:asciiTheme="minorHAnsi" w:hAnsiTheme="minorHAnsi" w:cstheme="minorHAnsi"/>
        </w:rPr>
      </w:pPr>
      <w:r w:rsidRPr="00195E8A">
        <w:rPr>
          <w:rFonts w:asciiTheme="minorHAnsi" w:hAnsiTheme="minorHAnsi" w:cstheme="minorHAnsi"/>
        </w:rPr>
        <w:t>prowadzenie przez banki współpracujące, które podpisały umowy o współpracy i umowy w ramach linii gwarancyjnych, aktywnej działalności ukierunkowanej na maksymalne wykorzystanie przyznanych przez BGK limitów,</w:t>
      </w:r>
    </w:p>
    <w:p w14:paraId="60A85993" w14:textId="77777777" w:rsidR="00294BA4" w:rsidRDefault="00294BA4" w:rsidP="00294BA4">
      <w:pPr>
        <w:pStyle w:val="Akapitzlist"/>
        <w:numPr>
          <w:ilvl w:val="0"/>
          <w:numId w:val="39"/>
        </w:numPr>
        <w:tabs>
          <w:tab w:val="left" w:pos="851"/>
        </w:tabs>
        <w:spacing w:after="300" w:line="276" w:lineRule="auto"/>
        <w:rPr>
          <w:rFonts w:asciiTheme="minorHAnsi" w:hAnsiTheme="minorHAnsi" w:cstheme="minorHAnsi"/>
        </w:rPr>
      </w:pPr>
      <w:r w:rsidRPr="00195E8A">
        <w:rPr>
          <w:rFonts w:asciiTheme="minorHAnsi" w:hAnsiTheme="minorHAnsi" w:cstheme="minorHAnsi"/>
        </w:rPr>
        <w:t>stan wiedzy o korzyściach dla przedsiębiorców, przede wszystkim z sektora MŚP, wynikających z poręczeń/gwarancji BGK,</w:t>
      </w:r>
    </w:p>
    <w:p w14:paraId="35814980" w14:textId="77777777" w:rsidR="00294BA4" w:rsidRPr="00195E8A" w:rsidRDefault="00294BA4" w:rsidP="00294BA4">
      <w:pPr>
        <w:pStyle w:val="Akapitzlist"/>
        <w:numPr>
          <w:ilvl w:val="0"/>
          <w:numId w:val="39"/>
        </w:numPr>
        <w:tabs>
          <w:tab w:val="left" w:pos="851"/>
        </w:tabs>
        <w:spacing w:after="300" w:line="276" w:lineRule="auto"/>
        <w:rPr>
          <w:rFonts w:asciiTheme="minorHAnsi" w:hAnsiTheme="minorHAnsi" w:cstheme="minorHAnsi"/>
        </w:rPr>
      </w:pPr>
      <w:r w:rsidRPr="00195E8A">
        <w:rPr>
          <w:rFonts w:asciiTheme="minorHAnsi" w:hAnsiTheme="minorHAnsi" w:cstheme="minorHAnsi"/>
        </w:rPr>
        <w:t>pandemia COVID-19.</w:t>
      </w:r>
    </w:p>
    <w:p w14:paraId="3BED78F6" w14:textId="77777777" w:rsidR="00294BA4" w:rsidRPr="00787827" w:rsidRDefault="00294BA4" w:rsidP="00294BA4">
      <w:pPr>
        <w:pStyle w:val="Nagwek4"/>
        <w:spacing w:after="300" w:line="276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bookmarkStart w:id="69" w:name="_Toc97726327"/>
      <w:r w:rsidRPr="00787827">
        <w:rPr>
          <w:rFonts w:asciiTheme="minorHAnsi" w:hAnsiTheme="minorHAnsi" w:cstheme="minorHAnsi"/>
          <w:sz w:val="24"/>
          <w:szCs w:val="24"/>
        </w:rPr>
        <w:t>2.4.1.3</w:t>
      </w:r>
      <w:bookmarkEnd w:id="66"/>
      <w:r w:rsidRPr="00787827">
        <w:rPr>
          <w:rFonts w:asciiTheme="minorHAnsi" w:hAnsiTheme="minorHAnsi" w:cstheme="minorHAnsi"/>
          <w:sz w:val="24"/>
          <w:szCs w:val="24"/>
        </w:rPr>
        <w:tab/>
        <w:t>Wsparcie kapitałowe funduszy poręczeniowych w ramach Programu Wspierania Przedsiębiorczości</w:t>
      </w:r>
      <w:bookmarkEnd w:id="69"/>
    </w:p>
    <w:p w14:paraId="20463775" w14:textId="77777777" w:rsidR="00294BA4" w:rsidRPr="00787827" w:rsidRDefault="00294BA4" w:rsidP="00AA6252">
      <w:pPr>
        <w:tabs>
          <w:tab w:val="left" w:pos="993"/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bookmarkStart w:id="70" w:name="_Toc448315296"/>
      <w:bookmarkEnd w:id="67"/>
      <w:bookmarkEnd w:id="68"/>
      <w:r w:rsidRPr="00787827">
        <w:rPr>
          <w:rFonts w:asciiTheme="minorHAnsi" w:hAnsiTheme="minorHAnsi" w:cstheme="minorHAnsi"/>
        </w:rPr>
        <w:t xml:space="preserve">Zgodnie z przepisami ustawy o poręczeniach i gwarancjach BGK może również nabywać lub obejmować akcje i udziały regionalnych i lokalnych funduszy poręczeniowych udzielających poręczeń lub gwarancji za zobowiązania MŚP. </w:t>
      </w:r>
    </w:p>
    <w:p w14:paraId="40CA3EEC" w14:textId="77777777" w:rsidR="00294BA4" w:rsidRPr="00787827" w:rsidRDefault="00294BA4" w:rsidP="00294BA4">
      <w:pPr>
        <w:tabs>
          <w:tab w:val="left" w:pos="993"/>
          <w:tab w:val="left" w:pos="1134"/>
        </w:tabs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Według stanu na dzień 31.12.202</w:t>
      </w:r>
      <w:r>
        <w:rPr>
          <w:rFonts w:asciiTheme="minorHAnsi" w:hAnsiTheme="minorHAnsi" w:cstheme="minorHAnsi"/>
        </w:rPr>
        <w:t xml:space="preserve">1 r. wartość zaangażowania BGK </w:t>
      </w:r>
      <w:r w:rsidRPr="00787827">
        <w:rPr>
          <w:rFonts w:asciiTheme="minorHAnsi" w:hAnsiTheme="minorHAnsi" w:cstheme="minorHAnsi"/>
        </w:rPr>
        <w:t xml:space="preserve">w 14 funduszach poręczeniowych wynosiła 54 468 500 zł. Udział BGK w kapitałach zakładowych funduszy ogółem wynosił 32,98%. </w:t>
      </w:r>
    </w:p>
    <w:p w14:paraId="29DCBF26" w14:textId="77777777" w:rsidR="00294BA4" w:rsidRPr="00034C9E" w:rsidRDefault="00294BA4" w:rsidP="00294BA4">
      <w:pPr>
        <w:pStyle w:val="Nagwek3"/>
        <w:spacing w:before="0" w:after="300"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bookmarkStart w:id="71" w:name="_Toc97726328"/>
      <w:r w:rsidRPr="00034C9E">
        <w:rPr>
          <w:rFonts w:asciiTheme="minorHAnsi" w:hAnsiTheme="minorHAnsi" w:cstheme="minorHAnsi"/>
          <w:sz w:val="28"/>
          <w:szCs w:val="28"/>
        </w:rPr>
        <w:t xml:space="preserve">2.4.2 </w:t>
      </w:r>
      <w:r w:rsidRPr="00034C9E">
        <w:rPr>
          <w:rFonts w:asciiTheme="minorHAnsi" w:hAnsiTheme="minorHAnsi" w:cstheme="minorHAnsi"/>
          <w:sz w:val="28"/>
          <w:szCs w:val="28"/>
        </w:rPr>
        <w:tab/>
        <w:t>Fundusz Gwarancji Płynnościowych</w:t>
      </w:r>
      <w:bookmarkEnd w:id="71"/>
    </w:p>
    <w:p w14:paraId="149DDF5C" w14:textId="77777777" w:rsidR="00294BA4" w:rsidRPr="00787827" w:rsidRDefault="00294BA4" w:rsidP="00294BA4">
      <w:pPr>
        <w:pStyle w:val="Nagwek4"/>
        <w:spacing w:after="300" w:line="276" w:lineRule="auto"/>
        <w:ind w:left="709" w:hanging="709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72" w:name="_Toc97726329"/>
      <w:r w:rsidRPr="00787827">
        <w:rPr>
          <w:rFonts w:asciiTheme="minorHAnsi" w:hAnsiTheme="minorHAnsi" w:cstheme="minorHAnsi"/>
          <w:sz w:val="24"/>
          <w:szCs w:val="24"/>
        </w:rPr>
        <w:t>2.4.2.1</w:t>
      </w:r>
      <w:r w:rsidRPr="00787827">
        <w:rPr>
          <w:rFonts w:asciiTheme="minorHAnsi" w:hAnsiTheme="minorHAnsi" w:cstheme="minorHAnsi"/>
          <w:sz w:val="24"/>
          <w:szCs w:val="24"/>
        </w:rPr>
        <w:tab/>
        <w:t>Charakterystyka działalności poręczeniowo-gwarancyjnej Banku Gospodarstwa Krajowego w ramach Funduszu Gwarancji Płynnościowych</w:t>
      </w:r>
      <w:bookmarkEnd w:id="72"/>
    </w:p>
    <w:p w14:paraId="078E9C00" w14:textId="2B8D0F69" w:rsidR="00294BA4" w:rsidRPr="00787827" w:rsidRDefault="00294BA4" w:rsidP="00AA6252">
      <w:pPr>
        <w:tabs>
          <w:tab w:val="left" w:pos="993"/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związku z negatywnymi skutkami pandemii COVID-19, na podstawie ustawy z dnia 2 marca 2020 r. o szczególnych rozwiązaniach oraz ustawy z dnia 31 marca 2020 r. o zmianie ustawy o szczególnych rozwiązaniach, BGK w ramach utworzonego Funduszu Gwarancji Płynnościowych (FGP) udziela gwarancji na zaspokojenie potrzeb płynnościowych przedsiębiorstw. Fundusz stanowi część tzw. rządowej tarczy antykryzysowej. W grudniu 2021 r. wydłużono udzielanie gwarancji FGP do 30 czerwca 2022 r. w związku z wydłużeniem obowiązywania Komunikatu Komisji Europejskiej C(2020) 1863 z 19 marca 2020 r. „Tymczasowe ramy środków pomocy państwa w celu wsparcia gospodarki w kontekście trwającej epidemii COVID-19” (2020/C 91 I/01).</w:t>
      </w:r>
    </w:p>
    <w:p w14:paraId="05035BBC" w14:textId="5D94F833" w:rsidR="00294BA4" w:rsidRPr="00787827" w:rsidRDefault="00294BA4" w:rsidP="002C3BAB">
      <w:pPr>
        <w:tabs>
          <w:tab w:val="left" w:pos="567"/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ramach FGP BGK udziela gwarancji spłaty kredytów dla średnich i dużych pr</w:t>
      </w:r>
      <w:r>
        <w:rPr>
          <w:rFonts w:asciiTheme="minorHAnsi" w:hAnsiTheme="minorHAnsi" w:cstheme="minorHAnsi"/>
        </w:rPr>
        <w:t>zedsiębiorców, a także gwarancji</w:t>
      </w:r>
      <w:r w:rsidRPr="00787827">
        <w:rPr>
          <w:rFonts w:asciiTheme="minorHAnsi" w:hAnsiTheme="minorHAnsi" w:cstheme="minorHAnsi"/>
        </w:rPr>
        <w:t xml:space="preserve"> spłaty limitów faktoringowych przeznaczone dla przedsiębiorców należących do kategorii MŚP oraz będących dużymi przedsiębiorcami.</w:t>
      </w:r>
      <w:r w:rsidR="00CD149B">
        <w:rPr>
          <w:rFonts w:asciiTheme="minorHAnsi" w:hAnsiTheme="minorHAnsi" w:cstheme="minorHAnsi"/>
        </w:rPr>
        <w:t xml:space="preserve"> </w:t>
      </w:r>
      <w:r w:rsidRPr="00787827">
        <w:rPr>
          <w:rFonts w:asciiTheme="minorHAnsi" w:hAnsiTheme="minorHAnsi" w:cstheme="minorHAnsi"/>
        </w:rPr>
        <w:t>Zarówno gwarancje spłaty kredytów, jak i limitów faktoringowych, udzielane są w</w:t>
      </w:r>
      <w:r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formule portfelowej - wnioski o gwarancje składane i oceniane są</w:t>
      </w:r>
      <w:r>
        <w:rPr>
          <w:rFonts w:asciiTheme="minorHAnsi" w:hAnsiTheme="minorHAnsi" w:cstheme="minorHAnsi"/>
        </w:rPr>
        <w:t xml:space="preserve"> w bankach kredytujących (lub u </w:t>
      </w:r>
      <w:r w:rsidRPr="00787827">
        <w:rPr>
          <w:rFonts w:asciiTheme="minorHAnsi" w:hAnsiTheme="minorHAnsi" w:cstheme="minorHAnsi"/>
        </w:rPr>
        <w:t>faktorów), które podpisały stosowne umowy z BGK i otrzymały limit kwotowy, do którego mogą wpisywać transakcje do portfela udzielonych gwarancji.</w:t>
      </w:r>
    </w:p>
    <w:p w14:paraId="6CE2E375" w14:textId="37029A30" w:rsidR="00294BA4" w:rsidRPr="00787827" w:rsidRDefault="00294BA4" w:rsidP="00AA6252">
      <w:pPr>
        <w:tabs>
          <w:tab w:val="left" w:pos="993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ramach gwarancji FGP przedsiębiorca otrzymuje pomoc publiczną na podstawie Komunikatu Komisji Europejskiej C(2020) 1863 z 19 marca 2020 r. „Tymczasowe ramy środków pomocy państwa w celu wsparcia gospodarki w kontekście trwającej epid</w:t>
      </w:r>
      <w:r>
        <w:rPr>
          <w:rFonts w:asciiTheme="minorHAnsi" w:hAnsiTheme="minorHAnsi" w:cstheme="minorHAnsi"/>
        </w:rPr>
        <w:t>emii COVID-19” (2020/C 91 I/01)</w:t>
      </w:r>
      <w:r w:rsidRPr="00787827">
        <w:rPr>
          <w:rFonts w:asciiTheme="minorHAnsi" w:hAnsiTheme="minorHAnsi" w:cstheme="minorHAnsi"/>
        </w:rPr>
        <w:t>. Wprowadzenie gwarancji kredytowych oraz faktoringowych w ramach FGP zostało poprzedzone notyfikacją tych instrumentów w Komisji Europejskiej – odpowiednio: Polski program gwarancji publicznych na wsparcie gospodarki w związku z pandemią koronawirusa – decyzja KE z 3.04.2020 r.</w:t>
      </w:r>
      <w:r>
        <w:rPr>
          <w:rStyle w:val="Odwoanieprzypisudolnego"/>
          <w:rFonts w:asciiTheme="minorHAnsi" w:hAnsiTheme="minorHAnsi" w:cstheme="minorHAnsi"/>
        </w:rPr>
        <w:footnoteReference w:id="20"/>
      </w:r>
      <w:r w:rsidR="00CD149B" w:rsidRPr="003101C3">
        <w:rPr>
          <w:rFonts w:asciiTheme="minorHAnsi" w:hAnsiTheme="minorHAnsi" w:cstheme="minorHAnsi"/>
          <w:vertAlign w:val="superscript"/>
        </w:rPr>
        <w:t>)</w:t>
      </w:r>
      <w:r w:rsidRPr="00787827">
        <w:rPr>
          <w:rFonts w:asciiTheme="minorHAnsi" w:hAnsiTheme="minorHAnsi" w:cstheme="minorHAnsi"/>
        </w:rPr>
        <w:t xml:space="preserve"> oraz Polskie środki antykryzysowe - COVID-19 - program gwar</w:t>
      </w:r>
      <w:r>
        <w:rPr>
          <w:rFonts w:asciiTheme="minorHAnsi" w:hAnsiTheme="minorHAnsi" w:cstheme="minorHAnsi"/>
        </w:rPr>
        <w:t>ancji faktoringu - decyzja KE z </w:t>
      </w:r>
      <w:r w:rsidRPr="00787827">
        <w:rPr>
          <w:rFonts w:asciiTheme="minorHAnsi" w:hAnsiTheme="minorHAnsi" w:cstheme="minorHAnsi"/>
        </w:rPr>
        <w:t>23.07.2020 r.</w:t>
      </w:r>
      <w:r>
        <w:rPr>
          <w:rStyle w:val="Odwoanieprzypisudolnego"/>
          <w:rFonts w:asciiTheme="minorHAnsi" w:hAnsiTheme="minorHAnsi" w:cstheme="minorHAnsi"/>
        </w:rPr>
        <w:footnoteReference w:id="21"/>
      </w:r>
      <w:r w:rsidR="00CD149B" w:rsidRPr="003101C3">
        <w:rPr>
          <w:rFonts w:asciiTheme="minorHAnsi" w:hAnsiTheme="minorHAnsi" w:cstheme="minorHAnsi"/>
          <w:vertAlign w:val="superscript"/>
        </w:rPr>
        <w:t>)</w:t>
      </w:r>
      <w:r w:rsidRPr="00787827">
        <w:rPr>
          <w:rFonts w:asciiTheme="minorHAnsi" w:hAnsiTheme="minorHAnsi" w:cstheme="minorHAnsi"/>
        </w:rPr>
        <w:t xml:space="preserve">. </w:t>
      </w:r>
    </w:p>
    <w:p w14:paraId="573CE721" w14:textId="77777777" w:rsidR="00294BA4" w:rsidRPr="00787827" w:rsidRDefault="00294BA4" w:rsidP="00AA6252">
      <w:pPr>
        <w:tabs>
          <w:tab w:val="left" w:pos="993"/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Gwarancje w ramach FGP obejmują nie więcej niż 80% pozostającej do spłaty kwoty kredytu lub innego zobowiązania, objętego gwarancją. </w:t>
      </w:r>
    </w:p>
    <w:p w14:paraId="567BBEEB" w14:textId="79E1FF39" w:rsidR="00294BA4" w:rsidRPr="00787827" w:rsidRDefault="00294BA4" w:rsidP="00294BA4">
      <w:pPr>
        <w:tabs>
          <w:tab w:val="left" w:pos="993"/>
          <w:tab w:val="left" w:pos="1134"/>
        </w:tabs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szczególnie uzasadnionych przypadkach, w szczególności ze względu na ważny interes gospodarczy lub społeczny, gwarancja może zostać udzielona w wysokości do 90% pozostającej do spłaty kwoty kredytu lub innego zobowiązania, objętego gwarancją. Gwarancja taka udzielana będzie w trybie indywidual</w:t>
      </w:r>
      <w:r>
        <w:rPr>
          <w:rFonts w:asciiTheme="minorHAnsi" w:hAnsiTheme="minorHAnsi" w:cstheme="minorHAnsi"/>
        </w:rPr>
        <w:t>nym, na warunkach określonych w </w:t>
      </w:r>
      <w:r w:rsidRPr="00787827">
        <w:rPr>
          <w:rFonts w:asciiTheme="minorHAnsi" w:hAnsiTheme="minorHAnsi" w:cstheme="minorHAnsi"/>
        </w:rPr>
        <w:t>Komunikacie Komisji Europejskiej „Tymczasowe ramy środków pomocy państwa w celu wsparcia gospodarki w kontekście trwającej epidemii COVID-19” oraz w rządowym programie wsparcia dla podmiotu ubiegającego się o pomoc państwa przyjętym uchwałą Rady Ministrów, przy czym w przypadku, gdy rządowy program wsparcia będzie wymagał notyfikacji w Komisji Europejsk</w:t>
      </w:r>
      <w:r>
        <w:rPr>
          <w:rFonts w:asciiTheme="minorHAnsi" w:hAnsiTheme="minorHAnsi" w:cstheme="minorHAnsi"/>
        </w:rPr>
        <w:t>iej, gwarancje będą udzielane z </w:t>
      </w:r>
      <w:r w:rsidRPr="00787827">
        <w:rPr>
          <w:rFonts w:asciiTheme="minorHAnsi" w:hAnsiTheme="minorHAnsi" w:cstheme="minorHAnsi"/>
        </w:rPr>
        <w:t>uwzględnieniem warunków określonych</w:t>
      </w:r>
      <w:r>
        <w:rPr>
          <w:rFonts w:asciiTheme="minorHAnsi" w:hAnsiTheme="minorHAnsi" w:cstheme="minorHAnsi"/>
        </w:rPr>
        <w:t xml:space="preserve"> w decyzji Komisji Europejskiej </w:t>
      </w:r>
      <w:r w:rsidRPr="00787827">
        <w:rPr>
          <w:rFonts w:asciiTheme="minorHAnsi" w:hAnsiTheme="minorHAnsi" w:cstheme="minorHAnsi"/>
        </w:rPr>
        <w:t>zatwierdzającej pomoc państwa.</w:t>
      </w:r>
    </w:p>
    <w:p w14:paraId="645826B8" w14:textId="77777777" w:rsidR="00294BA4" w:rsidRPr="00787827" w:rsidRDefault="00294BA4" w:rsidP="00294BA4">
      <w:pPr>
        <w:pStyle w:val="Nagwek4"/>
        <w:spacing w:after="300" w:line="276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bookmarkStart w:id="73" w:name="_Toc97726330"/>
      <w:r w:rsidRPr="00787827">
        <w:rPr>
          <w:rFonts w:asciiTheme="minorHAnsi" w:hAnsiTheme="minorHAnsi" w:cstheme="minorHAnsi"/>
          <w:sz w:val="24"/>
          <w:szCs w:val="24"/>
        </w:rPr>
        <w:t>2.4.2.2</w:t>
      </w:r>
      <w:r w:rsidRPr="00787827">
        <w:rPr>
          <w:rFonts w:asciiTheme="minorHAnsi" w:hAnsiTheme="minorHAnsi" w:cstheme="minorHAnsi"/>
          <w:sz w:val="24"/>
          <w:szCs w:val="24"/>
        </w:rPr>
        <w:tab/>
        <w:t>Gwarancje udzielone w 2021 r. w ramach Funduszu Gwarancji Płynnościowych</w:t>
      </w:r>
      <w:bookmarkEnd w:id="73"/>
    </w:p>
    <w:p w14:paraId="24D24985" w14:textId="77777777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2021 r. BGK udzielił 1 909 gwarancji w ramach FGP, na łączną kwotę 14 184 548</w:t>
      </w:r>
      <w:r>
        <w:rPr>
          <w:rFonts w:asciiTheme="minorHAnsi" w:hAnsiTheme="minorHAnsi" w:cstheme="minorHAnsi"/>
        </w:rPr>
        <w:t> 438,16 zł w tym 1 263 gwarancji</w:t>
      </w:r>
      <w:r w:rsidRPr="00787827">
        <w:rPr>
          <w:rFonts w:asciiTheme="minorHAnsi" w:hAnsiTheme="minorHAnsi" w:cstheme="minorHAnsi"/>
        </w:rPr>
        <w:t xml:space="preserve"> spłaty kredytów na łączną kwotę 11 131 124 883,68 zł oraz 646 gwarancji spłaty limitów faktoringowych na łączną kwotę 3 053 423 554,48 zł. </w:t>
      </w:r>
    </w:p>
    <w:p w14:paraId="325B43A4" w14:textId="77777777" w:rsidR="00294BA4" w:rsidRPr="00787827" w:rsidRDefault="00294BA4" w:rsidP="00AA6252">
      <w:pPr>
        <w:tabs>
          <w:tab w:val="left" w:pos="993"/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2021 r. nie udzielono żadnej gwarancji w trybie indywidualnym, tj. w wysokości do 90% pozostającej do spłaty kwoty kredytu lub innego zobowiązania, objętego gwarancją, przewidzianej w szczególnie uzasadnionych przypadkach</w:t>
      </w:r>
      <w:r>
        <w:rPr>
          <w:rFonts w:asciiTheme="minorHAnsi" w:hAnsiTheme="minorHAnsi" w:cstheme="minorHAnsi"/>
        </w:rPr>
        <w:t>, w szczególności ze względu na </w:t>
      </w:r>
      <w:r w:rsidRPr="00787827">
        <w:rPr>
          <w:rFonts w:asciiTheme="minorHAnsi" w:hAnsiTheme="minorHAnsi" w:cstheme="minorHAnsi"/>
        </w:rPr>
        <w:t xml:space="preserve">ważny interes gospodarczy lub społeczny. </w:t>
      </w:r>
    </w:p>
    <w:p w14:paraId="723EB9A0" w14:textId="77777777" w:rsidR="00294BA4" w:rsidRPr="00787827" w:rsidRDefault="00294BA4" w:rsidP="002C3BAB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2021 r. nie dokonywano wypłat z tytułu udzielonych gwarancji spłaty kredytu. Natomiast zrealizowano 2 wypłaty w ramach gwarancji s</w:t>
      </w:r>
      <w:r>
        <w:rPr>
          <w:rFonts w:asciiTheme="minorHAnsi" w:hAnsiTheme="minorHAnsi" w:cstheme="minorHAnsi"/>
        </w:rPr>
        <w:t>płaty limitów faktoringowych na </w:t>
      </w:r>
      <w:r w:rsidRPr="00787827">
        <w:rPr>
          <w:rFonts w:asciiTheme="minorHAnsi" w:hAnsiTheme="minorHAnsi" w:cstheme="minorHAnsi"/>
        </w:rPr>
        <w:t xml:space="preserve">kwotę 212 580,00 zł. </w:t>
      </w:r>
    </w:p>
    <w:p w14:paraId="6B64212A" w14:textId="6E091B1A" w:rsidR="00294BA4" w:rsidRPr="00787827" w:rsidRDefault="00294BA4" w:rsidP="00294BA4">
      <w:pPr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Według stanu na 31.12.2021 r. łączny stan zobowiązań (stan czynnych gwarancji) z tytułu udzielonych gwarancji wyniósł 24 191 681 569,39 zł.</w:t>
      </w:r>
    </w:p>
    <w:p w14:paraId="7B5933C7" w14:textId="77777777" w:rsidR="00294BA4" w:rsidRPr="00034C9E" w:rsidRDefault="00294BA4" w:rsidP="00294BA4">
      <w:pPr>
        <w:pStyle w:val="Nagwek3"/>
        <w:spacing w:before="0" w:after="300" w:line="276" w:lineRule="auto"/>
        <w:ind w:left="709" w:hanging="709"/>
        <w:jc w:val="both"/>
        <w:rPr>
          <w:rFonts w:asciiTheme="minorHAnsi" w:hAnsiTheme="minorHAnsi" w:cstheme="minorHAnsi"/>
          <w:sz w:val="28"/>
          <w:szCs w:val="28"/>
        </w:rPr>
      </w:pPr>
      <w:bookmarkStart w:id="74" w:name="_Toc97726331"/>
      <w:r w:rsidRPr="00034C9E">
        <w:rPr>
          <w:rFonts w:asciiTheme="minorHAnsi" w:hAnsiTheme="minorHAnsi" w:cstheme="minorHAnsi"/>
          <w:sz w:val="28"/>
          <w:szCs w:val="28"/>
        </w:rPr>
        <w:t xml:space="preserve">2.4.3 </w:t>
      </w:r>
      <w:r w:rsidRPr="00034C9E">
        <w:rPr>
          <w:rFonts w:asciiTheme="minorHAnsi" w:hAnsiTheme="minorHAnsi" w:cstheme="minorHAnsi"/>
          <w:sz w:val="28"/>
          <w:szCs w:val="28"/>
        </w:rPr>
        <w:tab/>
        <w:t>Ekologiczny Fundusz Poręczeń i Gwarancji</w:t>
      </w:r>
      <w:bookmarkEnd w:id="74"/>
      <w:r w:rsidRPr="00034C9E">
        <w:rPr>
          <w:rFonts w:asciiTheme="minorHAnsi" w:hAnsiTheme="minorHAnsi" w:cstheme="minorHAnsi"/>
          <w:sz w:val="28"/>
          <w:szCs w:val="28"/>
        </w:rPr>
        <w:t xml:space="preserve"> </w:t>
      </w:r>
      <w:bookmarkStart w:id="75" w:name="_Toc97726332"/>
      <w:r>
        <w:rPr>
          <w:rFonts w:asciiTheme="minorHAnsi" w:hAnsiTheme="minorHAnsi" w:cstheme="minorHAnsi"/>
          <w:sz w:val="28"/>
          <w:szCs w:val="28"/>
        </w:rPr>
        <w:t xml:space="preserve">(Program gwarancyjny Czyste </w:t>
      </w:r>
      <w:r w:rsidRPr="00034C9E">
        <w:rPr>
          <w:rFonts w:asciiTheme="minorHAnsi" w:hAnsiTheme="minorHAnsi" w:cstheme="minorHAnsi"/>
          <w:sz w:val="28"/>
          <w:szCs w:val="28"/>
        </w:rPr>
        <w:t>Powietrze)</w:t>
      </w:r>
      <w:bookmarkEnd w:id="75"/>
    </w:p>
    <w:p w14:paraId="28244C4F" w14:textId="6E6195C6" w:rsidR="00294BA4" w:rsidRPr="00787827" w:rsidRDefault="00294BA4" w:rsidP="002C3BAB">
      <w:pPr>
        <w:pStyle w:val="Nagwek4"/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bookmarkStart w:id="76" w:name="_Toc97726333"/>
      <w:r w:rsidRPr="00787827">
        <w:rPr>
          <w:rFonts w:asciiTheme="minorHAnsi" w:hAnsiTheme="minorHAnsi" w:cstheme="minorHAnsi"/>
          <w:sz w:val="24"/>
          <w:szCs w:val="24"/>
        </w:rPr>
        <w:t>2.4.3.1</w:t>
      </w:r>
      <w:r w:rsidRPr="00787827">
        <w:rPr>
          <w:rFonts w:asciiTheme="minorHAnsi" w:hAnsiTheme="minorHAnsi" w:cstheme="minorHAnsi"/>
          <w:sz w:val="24"/>
          <w:szCs w:val="24"/>
        </w:rPr>
        <w:tab/>
        <w:t>Charakterystyka działalności gwarancyjnej Banku Gospodarstwa Krajowego w ramach Ekologicznego Funduszu Poręczeń i Gwarancji (Program gwarancyjny Czyste Powietrze)</w:t>
      </w:r>
      <w:bookmarkEnd w:id="76"/>
    </w:p>
    <w:p w14:paraId="139045A6" w14:textId="77777777" w:rsidR="00294BA4" w:rsidRPr="00787827" w:rsidRDefault="00294BA4" w:rsidP="00AA6252">
      <w:pPr>
        <w:tabs>
          <w:tab w:val="left" w:pos="851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Działalność BGK w ramach Programu gwarancyjnego „Czyste Powietrze” z</w:t>
      </w:r>
      <w:r>
        <w:rPr>
          <w:rFonts w:asciiTheme="minorHAnsi" w:hAnsiTheme="minorHAnsi" w:cstheme="minorHAnsi"/>
        </w:rPr>
        <w:t> </w:t>
      </w:r>
      <w:r w:rsidRPr="00787827">
        <w:rPr>
          <w:rFonts w:asciiTheme="minorHAnsi" w:hAnsiTheme="minorHAnsi" w:cstheme="minorHAnsi"/>
        </w:rPr>
        <w:t>wykorzystaniem gwarancji Banku Gospodarstwa Krajowego realizowana jest od 2021 r. w oparciu o współpracę z bankami kredytującymi oraz Narodowym Funduszem Ochrony Środowiska i Gospodarki Wodnej (NFOŚiGW).</w:t>
      </w:r>
    </w:p>
    <w:p w14:paraId="20CCA7B4" w14:textId="30BBCB56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Celem Programu gwarancyjnego Czyste Powietrze jest poszerzenie instrumentów oddziaływania programu priorytetowego „Czyste Powietrze” zarządzanego przez NFOŚiGW i realizowanego przez 16 wojewódzkich funduszy ochrony środowiska i gospodarki wodnej (WFOŚiGW), służącego zwiększeniu efektywności energetycznej jednorodzinnych budynków mieszkalnych oraz zmniejszeniu emisji pyłów i innych zanieczyszczeń wprowadzanych do atmosfery przez jednorodzinne budynki mieszkalne poprzez wymianę starych, nieefektywnych urządzeń grzewczych na paliwa stałe oraz przeprowadzenie termomodernizacji tych budynków.</w:t>
      </w:r>
    </w:p>
    <w:p w14:paraId="664A7948" w14:textId="5284CDD9" w:rsidR="00294BA4" w:rsidRPr="00787827" w:rsidRDefault="00294BA4" w:rsidP="00AA6252">
      <w:pPr>
        <w:tabs>
          <w:tab w:val="left" w:pos="851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1 stycznia 2021 r. na podstawie ustawy z dnia 28 października 2020 r. </w:t>
      </w:r>
      <w:r>
        <w:rPr>
          <w:rFonts w:asciiTheme="minorHAnsi" w:hAnsiTheme="minorHAnsi" w:cstheme="minorHAnsi"/>
        </w:rPr>
        <w:t>o zmianie ustawy o </w:t>
      </w:r>
      <w:r w:rsidRPr="00787827">
        <w:rPr>
          <w:rFonts w:asciiTheme="minorHAnsi" w:hAnsiTheme="minorHAnsi" w:cstheme="minorHAnsi"/>
        </w:rPr>
        <w:t>wspieraniu termomodernizacji i remontów oraz niektórych innych ustaw</w:t>
      </w:r>
      <w:r>
        <w:rPr>
          <w:rStyle w:val="Odwoanieprzypisudolnego"/>
          <w:rFonts w:asciiTheme="minorHAnsi" w:hAnsiTheme="minorHAnsi" w:cstheme="minorHAnsi"/>
        </w:rPr>
        <w:footnoteReference w:id="22"/>
      </w:r>
      <w:r w:rsidR="00CD149B" w:rsidRPr="003101C3">
        <w:rPr>
          <w:rFonts w:asciiTheme="minorHAnsi" w:hAnsiTheme="minorHAnsi" w:cstheme="minorHAnsi"/>
          <w:vertAlign w:val="superscript"/>
        </w:rPr>
        <w:t>)</w:t>
      </w:r>
      <w:r w:rsidRPr="00787827">
        <w:rPr>
          <w:rFonts w:asciiTheme="minorHAnsi" w:hAnsiTheme="minorHAnsi" w:cstheme="minorHAnsi"/>
        </w:rPr>
        <w:t xml:space="preserve"> został w BGK utworzony Ekologiczny Fundusz Poręczeń i Gwarancji (EFPiG). Działa on na zasadach określonych w ustawie z dnia 27 kwietnia 2001 r. Prawo ochrony środowiska</w:t>
      </w:r>
      <w:r>
        <w:rPr>
          <w:rStyle w:val="Odwoanieprzypisudolnego"/>
          <w:rFonts w:asciiTheme="minorHAnsi" w:hAnsiTheme="minorHAnsi" w:cstheme="minorHAnsi"/>
        </w:rPr>
        <w:footnoteReference w:id="23"/>
      </w:r>
      <w:r w:rsidR="00CD149B" w:rsidRPr="003101C3">
        <w:rPr>
          <w:rFonts w:asciiTheme="minorHAnsi" w:hAnsiTheme="minorHAnsi" w:cstheme="minorHAnsi"/>
          <w:vertAlign w:val="superscript"/>
        </w:rPr>
        <w:t>)</w:t>
      </w:r>
      <w:r w:rsidRPr="00787827">
        <w:rPr>
          <w:rFonts w:asciiTheme="minorHAnsi" w:hAnsiTheme="minorHAnsi" w:cstheme="minorHAnsi"/>
        </w:rPr>
        <w:t>.</w:t>
      </w:r>
    </w:p>
    <w:p w14:paraId="521BB7A4" w14:textId="77777777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W ramach EFPiG BGK w 2021 r. oferował gwarancje spłaty kredytu udzielane w ramach Portfelowej Linii Gwarancyjnej Ekologicznego Funduszu Poręczeń i Gwarancji (gwarancje PLG EFPiG). </w:t>
      </w:r>
    </w:p>
    <w:p w14:paraId="0C60EB6B" w14:textId="77777777" w:rsidR="00294BA4" w:rsidRPr="00787827" w:rsidRDefault="00294BA4" w:rsidP="00AA6252">
      <w:pPr>
        <w:tabs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Wnioski o gwarancje oceniane są w bankach kredytujących, które podpisały stosowne umowy z NFOŚiGW, WFOŚiGW oraz BGK i otrzymały limit kwotowy, do którego mogą wpisywać transakcje do portfela udzielonych gwarancji. </w:t>
      </w:r>
    </w:p>
    <w:p w14:paraId="7D341D5E" w14:textId="77777777" w:rsidR="00294BA4" w:rsidRPr="00787827" w:rsidRDefault="00294BA4" w:rsidP="00AA6252">
      <w:pPr>
        <w:tabs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Adresatami akcji gwarancyjnej są osoby fizyczne zaciągające kredyt na realizację celów zgodnych z zarządzanym przez NFOŚiGW programem priorytetowym „Czyste Powietrze”. Gwarancje zabezpieczają do 80% kapitału kredytu a maksymalna kwota jednostkowej gwarancji nie może przekroczyć 80 tys. zł. Z tytułu udzielenia gwarancji nie są pobierane opłaty prowizyjne. Maksymalny okres gwarancji wynosi 147 miesięcy. Gwarancje mogą być udzielane do 31 stycznia 2028 r. </w:t>
      </w:r>
    </w:p>
    <w:p w14:paraId="53579383" w14:textId="77777777" w:rsidR="00294BA4" w:rsidRPr="00787827" w:rsidRDefault="00294BA4" w:rsidP="00294BA4">
      <w:pPr>
        <w:pStyle w:val="Nagwek3"/>
        <w:spacing w:before="0" w:after="30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77" w:name="_Toc97667187"/>
      <w:bookmarkStart w:id="78" w:name="_Toc97726334"/>
      <w:r w:rsidRPr="00787827">
        <w:rPr>
          <w:rFonts w:asciiTheme="minorHAnsi" w:hAnsiTheme="minorHAnsi" w:cstheme="minorHAnsi"/>
          <w:b w:val="0"/>
          <w:bCs w:val="0"/>
          <w:sz w:val="24"/>
          <w:szCs w:val="24"/>
        </w:rPr>
        <w:t>Gwarancje BGK udzielone w ramach PLG EFPiG są łączone z instrumentem w postaci dotacji udzielanej przez WFOŚiGW, przeznaczonej na częściową spłatę kapitału gwarantowanego kredytu, wypłacanej bezpośrednio na rachunek kredytu w banku kredytującym.</w:t>
      </w:r>
      <w:bookmarkEnd w:id="77"/>
      <w:bookmarkEnd w:id="78"/>
    </w:p>
    <w:p w14:paraId="61C2E5E0" w14:textId="77777777" w:rsidR="00294BA4" w:rsidRPr="00787827" w:rsidRDefault="00294BA4" w:rsidP="002C3BAB">
      <w:pPr>
        <w:pStyle w:val="Nagwek4"/>
        <w:spacing w:after="240" w:line="276" w:lineRule="auto"/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bookmarkStart w:id="79" w:name="_Toc97726335"/>
      <w:r w:rsidRPr="00787827">
        <w:rPr>
          <w:rFonts w:asciiTheme="minorHAnsi" w:hAnsiTheme="minorHAnsi" w:cstheme="minorHAnsi"/>
          <w:sz w:val="24"/>
          <w:szCs w:val="24"/>
        </w:rPr>
        <w:t>2.4.3.2 Gwarancje udzielone w 2021 r. w ramach Ek</w:t>
      </w:r>
      <w:r>
        <w:rPr>
          <w:rFonts w:asciiTheme="minorHAnsi" w:hAnsiTheme="minorHAnsi" w:cstheme="minorHAnsi"/>
          <w:sz w:val="24"/>
          <w:szCs w:val="24"/>
        </w:rPr>
        <w:t>ologicznego Funduszu Poręczeń i </w:t>
      </w:r>
      <w:r w:rsidRPr="00787827">
        <w:rPr>
          <w:rFonts w:asciiTheme="minorHAnsi" w:hAnsiTheme="minorHAnsi" w:cstheme="minorHAnsi"/>
          <w:sz w:val="24"/>
          <w:szCs w:val="24"/>
        </w:rPr>
        <w:t>Gwarancji (program „Czyste Powietrze”)</w:t>
      </w:r>
      <w:bookmarkEnd w:id="79"/>
    </w:p>
    <w:p w14:paraId="0CF9A1B0" w14:textId="77777777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W 2021 r. BGK udzielił 204 </w:t>
      </w:r>
      <w:r>
        <w:rPr>
          <w:rFonts w:asciiTheme="minorHAnsi" w:hAnsiTheme="minorHAnsi" w:cstheme="minorHAnsi"/>
        </w:rPr>
        <w:t>gwarancji</w:t>
      </w:r>
      <w:r w:rsidRPr="00787827">
        <w:rPr>
          <w:rFonts w:asciiTheme="minorHAnsi" w:hAnsiTheme="minorHAnsi" w:cstheme="minorHAnsi"/>
        </w:rPr>
        <w:t xml:space="preserve"> w ramach EFPiG, na łączną kwotę 7 774 488 zł.</w:t>
      </w:r>
    </w:p>
    <w:p w14:paraId="5FBC9236" w14:textId="77777777" w:rsidR="00294BA4" w:rsidRPr="00787827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 2021 r. nie dokonywano wypłat z tytułu udzielonych gwarancji spłaty kredytu.</w:t>
      </w:r>
    </w:p>
    <w:p w14:paraId="60420113" w14:textId="77777777" w:rsidR="00294BA4" w:rsidRPr="00787827" w:rsidRDefault="00294BA4" w:rsidP="00294BA4">
      <w:pPr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Według stanu na dzień 31.12.2021 r. łączny stan zobowią</w:t>
      </w:r>
      <w:r>
        <w:rPr>
          <w:rFonts w:asciiTheme="minorHAnsi" w:hAnsiTheme="minorHAnsi" w:cstheme="minorHAnsi"/>
        </w:rPr>
        <w:t>zań (stan czynnych gwarancji) z </w:t>
      </w:r>
      <w:r w:rsidRPr="00787827">
        <w:rPr>
          <w:rFonts w:asciiTheme="minorHAnsi" w:hAnsiTheme="minorHAnsi" w:cstheme="minorHAnsi"/>
        </w:rPr>
        <w:t>tytułu udzielonych gwarancji wyniósł 7 774 488 zł.</w:t>
      </w:r>
    </w:p>
    <w:p w14:paraId="5F301F7A" w14:textId="77777777" w:rsidR="00294BA4" w:rsidRPr="00034C9E" w:rsidRDefault="00294BA4" w:rsidP="00294BA4">
      <w:pPr>
        <w:pStyle w:val="Nagwek3"/>
        <w:spacing w:before="0" w:after="300" w:line="276" w:lineRule="auto"/>
        <w:ind w:left="567" w:hanging="567"/>
        <w:rPr>
          <w:rFonts w:asciiTheme="minorHAnsi" w:hAnsiTheme="minorHAnsi" w:cstheme="minorHAnsi"/>
          <w:sz w:val="28"/>
          <w:szCs w:val="28"/>
        </w:rPr>
      </w:pPr>
      <w:bookmarkStart w:id="80" w:name="_Toc97726336"/>
      <w:r w:rsidRPr="00034C9E">
        <w:rPr>
          <w:rFonts w:asciiTheme="minorHAnsi" w:hAnsiTheme="minorHAnsi" w:cstheme="minorHAnsi"/>
          <w:sz w:val="28"/>
          <w:szCs w:val="28"/>
        </w:rPr>
        <w:t xml:space="preserve">2.4.4 </w:t>
      </w:r>
      <w:r w:rsidRPr="00034C9E">
        <w:rPr>
          <w:rFonts w:asciiTheme="minorHAnsi" w:hAnsiTheme="minorHAnsi" w:cstheme="minorHAnsi"/>
          <w:sz w:val="28"/>
          <w:szCs w:val="28"/>
        </w:rPr>
        <w:tab/>
        <w:t>Program Wsparcia Prywatyzacji</w:t>
      </w:r>
      <w:bookmarkEnd w:id="80"/>
    </w:p>
    <w:p w14:paraId="54346289" w14:textId="1F81A911" w:rsidR="00294BA4" w:rsidRPr="00787827" w:rsidRDefault="00294BA4" w:rsidP="00294BA4">
      <w:pPr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Poręczenia i gwarancje w ramach Programu Wsparcia Prywatyzacji znajdują się w ofercie BGK od czerwca 2010 r. BGK podjął działania informacyjne w stosunku do podmiotów potencjalnie zainteresowanych uzyskaniem poręczenia/gwarancji spłaty kredytu w ramach tego programu. Jednakże do końca 2021 r. do BGK nie wpłynął żaden wniosek o udzielenie takiego poręczenia/gwarancji. Brak zapytań ze strony spółek pracowniczych o możliwość uzyskania poręczenia/gwarancji BGK świadczy o braku zainteresowania programem.</w:t>
      </w:r>
    </w:p>
    <w:p w14:paraId="78B50C17" w14:textId="77777777" w:rsidR="00294BA4" w:rsidRPr="00034C9E" w:rsidRDefault="00294BA4" w:rsidP="00294BA4">
      <w:pPr>
        <w:pStyle w:val="Nagwek3"/>
        <w:tabs>
          <w:tab w:val="left" w:pos="567"/>
        </w:tabs>
        <w:spacing w:before="0" w:after="300" w:line="276" w:lineRule="auto"/>
        <w:rPr>
          <w:rFonts w:asciiTheme="minorHAnsi" w:hAnsiTheme="minorHAnsi" w:cstheme="minorHAnsi"/>
          <w:sz w:val="28"/>
          <w:szCs w:val="28"/>
        </w:rPr>
      </w:pPr>
      <w:bookmarkStart w:id="81" w:name="_Toc97726337"/>
      <w:bookmarkEnd w:id="70"/>
      <w:r w:rsidRPr="00034C9E">
        <w:rPr>
          <w:rFonts w:asciiTheme="minorHAnsi" w:hAnsiTheme="minorHAnsi" w:cstheme="minorHAnsi"/>
          <w:sz w:val="28"/>
          <w:szCs w:val="28"/>
        </w:rPr>
        <w:t xml:space="preserve">2.4.5 </w:t>
      </w:r>
      <w:r w:rsidRPr="00034C9E">
        <w:rPr>
          <w:rFonts w:asciiTheme="minorHAnsi" w:hAnsiTheme="minorHAnsi" w:cstheme="minorHAnsi"/>
          <w:sz w:val="28"/>
          <w:szCs w:val="28"/>
        </w:rPr>
        <w:tab/>
        <w:t>Akcje i udziały przekazane nieodpłatnie Bankowi Gospodarstwa Krajowego</w:t>
      </w:r>
      <w:bookmarkEnd w:id="81"/>
    </w:p>
    <w:p w14:paraId="549DC4E4" w14:textId="77777777" w:rsidR="00294BA4" w:rsidRPr="00787827" w:rsidRDefault="00294BA4" w:rsidP="00AA6252">
      <w:pPr>
        <w:tabs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Zgodnie z przepisami ustawy o poręczeniach i gwarancjach minister właściwy do spraw Skarbu Państwa, w imieniu Skarbu Państwa w drodze rozporządzenia, przekazał w dwóch transzach nieodpłatnie BGK akcje i udziały stanowiące własność Skarbu Państwa. 50% przychodów ze sprzedaży akcji i udziałów zasiliło dawny Krajowy Fundusz Poręczeń Kredytowych (KFPK), a po jego likwidacji BGK, natomiast kolejne 50% przekazano Polskiej Agencji Rozwoju Przedsiębiorczości.</w:t>
      </w:r>
    </w:p>
    <w:p w14:paraId="43974674" w14:textId="77777777" w:rsidR="00294BA4" w:rsidRPr="00787827" w:rsidRDefault="00294BA4" w:rsidP="00AA6252">
      <w:pPr>
        <w:tabs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Wartość wniesienia akcji i udziałów 35 spółek przekazanych do BGK w celu zasilenia zlikwidowanego KFPK w okresie jego funkcjonowania </w:t>
      </w:r>
      <w:r>
        <w:rPr>
          <w:rFonts w:asciiTheme="minorHAnsi" w:hAnsiTheme="minorHAnsi" w:cstheme="minorHAnsi"/>
        </w:rPr>
        <w:t xml:space="preserve">wyniosła 38 001 019 zł. Do </w:t>
      </w:r>
      <w:r w:rsidRPr="00787827">
        <w:rPr>
          <w:rFonts w:asciiTheme="minorHAnsi" w:hAnsiTheme="minorHAnsi" w:cstheme="minorHAnsi"/>
        </w:rPr>
        <w:t xml:space="preserve">31.12.2021 r. dokonano transakcji sprzedaży łącznie akcji i udziałów 31 spółek, których wartość wniesienia do ksiąg BGK wyniosła 36 121 263 zł. W 2015 r. jeden podmiot został zlikwidowany. Łączna kwota uzyskana w latach 2004-2021 ze sprzedaży akcji i udziałów tych podmiotów wyniosła 81 423 610 zł. </w:t>
      </w:r>
    </w:p>
    <w:p w14:paraId="1D76B200" w14:textId="77777777" w:rsidR="00294BA4" w:rsidRPr="00787827" w:rsidRDefault="00294BA4" w:rsidP="00AA6252">
      <w:pPr>
        <w:tabs>
          <w:tab w:val="left" w:pos="1134"/>
        </w:tabs>
        <w:spacing w:after="12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 xml:space="preserve">W 2021 r. nie dokonano żadnej transakcji sprzedaży akcji lub udziałów spółek przekazanych do BGK. </w:t>
      </w:r>
    </w:p>
    <w:p w14:paraId="6D976604" w14:textId="77777777" w:rsidR="00294BA4" w:rsidRPr="00787827" w:rsidRDefault="00294BA4" w:rsidP="00294BA4">
      <w:pPr>
        <w:tabs>
          <w:tab w:val="left" w:pos="1134"/>
        </w:tabs>
        <w:spacing w:after="300" w:line="276" w:lineRule="auto"/>
        <w:rPr>
          <w:rFonts w:asciiTheme="minorHAnsi" w:hAnsiTheme="minorHAnsi" w:cstheme="minorHAnsi"/>
        </w:rPr>
      </w:pPr>
      <w:r w:rsidRPr="00787827">
        <w:rPr>
          <w:rFonts w:asciiTheme="minorHAnsi" w:hAnsiTheme="minorHAnsi" w:cstheme="minorHAnsi"/>
        </w:rPr>
        <w:t>Według s</w:t>
      </w:r>
      <w:r>
        <w:rPr>
          <w:rFonts w:asciiTheme="minorHAnsi" w:hAnsiTheme="minorHAnsi" w:cstheme="minorHAnsi"/>
        </w:rPr>
        <w:t>tanu na</w:t>
      </w:r>
      <w:r w:rsidRPr="00787827">
        <w:rPr>
          <w:rFonts w:asciiTheme="minorHAnsi" w:hAnsiTheme="minorHAnsi" w:cstheme="minorHAnsi"/>
        </w:rPr>
        <w:t xml:space="preserve"> 31.12.2021 r. portfel spółek zaliczonych pierwotnie do dawnego KFPK składał się z akcji 3 podmiotów. Ich łączna wartość wniesienia wynosiła 1 096 386,73 zł.</w:t>
      </w:r>
    </w:p>
    <w:p w14:paraId="6431943F" w14:textId="77777777" w:rsidR="00294BA4" w:rsidRPr="00034C9E" w:rsidRDefault="00294BA4" w:rsidP="00AA6252">
      <w:pPr>
        <w:pStyle w:val="Nagwek2"/>
        <w:spacing w:before="0" w:after="300" w:line="276" w:lineRule="auto"/>
        <w:ind w:left="567" w:hanging="567"/>
        <w:jc w:val="both"/>
        <w:rPr>
          <w:rFonts w:asciiTheme="minorHAnsi" w:hAnsiTheme="minorHAnsi" w:cstheme="minorHAnsi"/>
          <w:i w:val="0"/>
          <w:sz w:val="32"/>
          <w:szCs w:val="32"/>
        </w:rPr>
      </w:pPr>
      <w:bookmarkStart w:id="82" w:name="_Toc352237529"/>
      <w:bookmarkStart w:id="83" w:name="_Toc448315298"/>
      <w:bookmarkStart w:id="84" w:name="_Toc97726338"/>
      <w:bookmarkStart w:id="85" w:name="_Toc352076157"/>
      <w:bookmarkEnd w:id="54"/>
      <w:r w:rsidRPr="00034C9E">
        <w:rPr>
          <w:rFonts w:asciiTheme="minorHAnsi" w:hAnsiTheme="minorHAnsi" w:cstheme="minorHAnsi"/>
          <w:i w:val="0"/>
          <w:sz w:val="32"/>
          <w:szCs w:val="32"/>
        </w:rPr>
        <w:t xml:space="preserve">2.5 </w:t>
      </w:r>
      <w:r w:rsidRPr="00034C9E">
        <w:rPr>
          <w:rFonts w:asciiTheme="minorHAnsi" w:hAnsiTheme="minorHAnsi" w:cstheme="minorHAnsi"/>
          <w:i w:val="0"/>
          <w:sz w:val="32"/>
          <w:szCs w:val="32"/>
        </w:rPr>
        <w:tab/>
        <w:t>Informacja o liczbie i wartości akcji składających się na zasób majątkowy Skarbu Państwa przeznaczony na zaspokajanie roszczeń z tytułu poręczeń i gwarancji udzielonych przez Skarb Państwa</w:t>
      </w:r>
      <w:bookmarkEnd w:id="82"/>
      <w:bookmarkEnd w:id="83"/>
      <w:bookmarkEnd w:id="84"/>
    </w:p>
    <w:p w14:paraId="5D112B32" w14:textId="77777777" w:rsidR="00294BA4" w:rsidRPr="0046131E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</w:rPr>
        <w:t xml:space="preserve">Zasób majątkowy Skarbu Państwa przeznaczony na zaspokajanie roszczeń z tytułu poręczeń i gwarancji udzielonych przez Skarb Państwa został utworzony na mocy art. 25 ustawy o poręczeniach i gwarancjach jako alternatywne, obok budżetu państwa, źródło spłat poręczonych lub gwarantowanych przez Skarb Państwa zobowiązań. </w:t>
      </w:r>
    </w:p>
    <w:p w14:paraId="76B31618" w14:textId="77777777" w:rsidR="00294BA4" w:rsidRPr="0046131E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</w:rPr>
        <w:t>Na zasób składają się akcje i udziały uzyskane w wyniku dochodzenia przez ministra właściwego do spraw finansów publicznych, w imieniu S</w:t>
      </w:r>
      <w:r>
        <w:rPr>
          <w:rFonts w:asciiTheme="minorHAnsi" w:hAnsiTheme="minorHAnsi" w:cstheme="minorHAnsi"/>
        </w:rPr>
        <w:t>karbu Państwa, wierzytelności z </w:t>
      </w:r>
      <w:r w:rsidRPr="0046131E">
        <w:rPr>
          <w:rFonts w:asciiTheme="minorHAnsi" w:hAnsiTheme="minorHAnsi" w:cstheme="minorHAnsi"/>
        </w:rPr>
        <w:t>tytułu udzielonych poręczeń i gwarancji oraz akcje i udziały w spółkach stanowiące własność Skarbu Państwa, wyodrębni</w:t>
      </w:r>
      <w:r>
        <w:rPr>
          <w:rFonts w:asciiTheme="minorHAnsi" w:hAnsiTheme="minorHAnsi" w:cstheme="minorHAnsi"/>
        </w:rPr>
        <w:t>one przez Radę Ministrów do</w:t>
      </w:r>
      <w:r w:rsidRPr="0046131E">
        <w:rPr>
          <w:rFonts w:asciiTheme="minorHAnsi" w:hAnsiTheme="minorHAnsi" w:cstheme="minorHAnsi"/>
        </w:rPr>
        <w:t xml:space="preserve"> 17 lipca 2009 r.</w:t>
      </w:r>
    </w:p>
    <w:p w14:paraId="4F639D5D" w14:textId="77777777" w:rsidR="00294BA4" w:rsidRPr="0046131E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</w:rPr>
        <w:t>Na koniec 2021 r. na zasobie majątkowym Skarbu Państwa przeznaczonym na zaspokojenie roszczeń z tytułu poręczeń i gwarancji udzielonych przez Skarb Państwa znajdowały się następujące akcje i udziały:</w:t>
      </w:r>
    </w:p>
    <w:p w14:paraId="3B98E25C" w14:textId="77777777" w:rsidR="00294BA4" w:rsidRPr="0046131E" w:rsidRDefault="00294BA4" w:rsidP="00294BA4">
      <w:pPr>
        <w:pStyle w:val="Akapitzlist"/>
        <w:numPr>
          <w:ilvl w:val="0"/>
          <w:numId w:val="30"/>
        </w:numPr>
        <w:spacing w:after="300" w:line="276" w:lineRule="auto"/>
        <w:ind w:right="-1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</w:rPr>
        <w:t>627 900 akcji zwykłych, imiennych, serii A, o numerach od 000000001 do 000627900, o wartości nominalnej 5,63 zł każda, spółki Warszawskie Zakłady Sprzętu Ortopedycznego S.A. z siedzibą w Warszawie,</w:t>
      </w:r>
    </w:p>
    <w:p w14:paraId="7330BAA3" w14:textId="77777777" w:rsidR="00294BA4" w:rsidRPr="0046131E" w:rsidRDefault="00294BA4" w:rsidP="00294BA4">
      <w:pPr>
        <w:pStyle w:val="Akapitzlist"/>
        <w:numPr>
          <w:ilvl w:val="0"/>
          <w:numId w:val="30"/>
        </w:numPr>
        <w:spacing w:after="300" w:line="276" w:lineRule="auto"/>
        <w:ind w:right="-1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</w:rPr>
        <w:t>6 171 akcji zwykłych, imiennych, serii B, o numerach od 113687 do 119857, o wartości nominalnej 1 000 zł każda, spółki Warszawski Rolno</w:t>
      </w:r>
      <w:r>
        <w:rPr>
          <w:rFonts w:asciiTheme="minorHAnsi" w:hAnsiTheme="minorHAnsi" w:cstheme="minorHAnsi"/>
        </w:rPr>
        <w:t>-Spożywczy Rynek Hurtowy S.A. z </w:t>
      </w:r>
      <w:r w:rsidRPr="0046131E">
        <w:rPr>
          <w:rFonts w:asciiTheme="minorHAnsi" w:hAnsiTheme="minorHAnsi" w:cstheme="minorHAnsi"/>
        </w:rPr>
        <w:t>siedzibą w Broniszach,</w:t>
      </w:r>
    </w:p>
    <w:p w14:paraId="2F74E98A" w14:textId="4C3FB24A" w:rsidR="00294BA4" w:rsidRPr="0046131E" w:rsidRDefault="00294BA4" w:rsidP="00294BA4">
      <w:pPr>
        <w:pStyle w:val="Akapitzlist"/>
        <w:numPr>
          <w:ilvl w:val="0"/>
          <w:numId w:val="30"/>
        </w:numPr>
        <w:spacing w:after="300" w:line="276" w:lineRule="auto"/>
        <w:ind w:right="-1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</w:rPr>
        <w:t>16 168 udziałów o wartości nominalnej 100 zł każdy, w spółce Lubinex Sp. z o.o. z siedzibą w Lubinie,</w:t>
      </w:r>
    </w:p>
    <w:p w14:paraId="33302362" w14:textId="5F00594B" w:rsidR="00294BA4" w:rsidRPr="0046131E" w:rsidRDefault="00294BA4" w:rsidP="00294BA4">
      <w:pPr>
        <w:pStyle w:val="Akapitzlist"/>
        <w:numPr>
          <w:ilvl w:val="0"/>
          <w:numId w:val="30"/>
        </w:numPr>
        <w:spacing w:after="300" w:line="276" w:lineRule="auto"/>
        <w:ind w:right="-1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</w:rPr>
        <w:t>7 440 udziałów o wartości nominalnej 500 zł każdy, w spółce Chłodnia Szczecińska Sp.</w:t>
      </w:r>
      <w:r w:rsidR="00F47D02">
        <w:rPr>
          <w:rFonts w:asciiTheme="minorHAnsi" w:hAnsiTheme="minorHAnsi" w:cstheme="minorHAnsi"/>
        </w:rPr>
        <w:t> </w:t>
      </w:r>
      <w:r w:rsidRPr="0046131E">
        <w:rPr>
          <w:rFonts w:asciiTheme="minorHAnsi" w:hAnsiTheme="minorHAnsi" w:cstheme="minorHAnsi"/>
        </w:rPr>
        <w:t>z o.o. z siedzibą w Szczecinie,</w:t>
      </w:r>
    </w:p>
    <w:p w14:paraId="58CA2EAE" w14:textId="77777777" w:rsidR="00294BA4" w:rsidRPr="0046131E" w:rsidRDefault="00294BA4" w:rsidP="00294BA4">
      <w:pPr>
        <w:pStyle w:val="Akapitzlist"/>
        <w:numPr>
          <w:ilvl w:val="0"/>
          <w:numId w:val="30"/>
        </w:numPr>
        <w:spacing w:after="300" w:line="276" w:lineRule="auto"/>
        <w:ind w:right="-1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</w:rPr>
        <w:t>40 586 akcji na okaziciela, serii A, o numerach od 38560 do 79145, o wartości nominalnej 10 zł każda, spółki Zakłady Przemysłu Wełnianego „9 maja” S.A. z siedzibą w Łodzi,</w:t>
      </w:r>
    </w:p>
    <w:p w14:paraId="5F6DBF5F" w14:textId="77777777" w:rsidR="00294BA4" w:rsidRPr="0046131E" w:rsidRDefault="00294BA4" w:rsidP="00294BA4">
      <w:pPr>
        <w:pStyle w:val="Akapitzlist"/>
        <w:numPr>
          <w:ilvl w:val="0"/>
          <w:numId w:val="30"/>
        </w:numPr>
        <w:spacing w:after="300" w:line="276" w:lineRule="auto"/>
        <w:ind w:right="-1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</w:rPr>
        <w:t>109 943 akcje na okaziciela, serii A, o numerach od 64 938 do 174 880 oraz 163 akcje na okaziciela, serii A, o różnych numerach, o wartości nominalnej 2,38 zł każda, spółki WELUX S.A. z siedzibą w Katowicach,</w:t>
      </w:r>
    </w:p>
    <w:p w14:paraId="10538A83" w14:textId="77777777" w:rsidR="00294BA4" w:rsidRPr="0046131E" w:rsidRDefault="00294BA4" w:rsidP="00294BA4">
      <w:pPr>
        <w:pStyle w:val="Akapitzlist"/>
        <w:numPr>
          <w:ilvl w:val="0"/>
          <w:numId w:val="30"/>
        </w:numPr>
        <w:spacing w:after="300" w:line="276" w:lineRule="auto"/>
        <w:ind w:right="-1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  <w:bCs/>
        </w:rPr>
        <w:t xml:space="preserve">321 843 akcji </w:t>
      </w:r>
      <w:r w:rsidRPr="0046131E">
        <w:rPr>
          <w:rFonts w:asciiTheme="minorHAnsi" w:hAnsiTheme="minorHAnsi" w:cstheme="minorHAnsi"/>
        </w:rPr>
        <w:t xml:space="preserve">o wartości nominalnej 7,53 zł każda, </w:t>
      </w:r>
      <w:r w:rsidRPr="0046131E">
        <w:rPr>
          <w:rFonts w:asciiTheme="minorHAnsi" w:hAnsiTheme="minorHAnsi" w:cstheme="minorHAnsi"/>
          <w:bCs/>
        </w:rPr>
        <w:t>spółki Polskie Pracownie Konserwacji Zabytków S.A. z siedzibą w Warszawie,</w:t>
      </w:r>
    </w:p>
    <w:p w14:paraId="6FF585C0" w14:textId="77777777" w:rsidR="00294BA4" w:rsidRPr="0046131E" w:rsidRDefault="00294BA4" w:rsidP="00294BA4">
      <w:pPr>
        <w:pStyle w:val="Akapitzlist"/>
        <w:numPr>
          <w:ilvl w:val="0"/>
          <w:numId w:val="30"/>
        </w:numPr>
        <w:spacing w:after="300" w:line="276" w:lineRule="auto"/>
        <w:ind w:right="-1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  <w:bCs/>
        </w:rPr>
        <w:t xml:space="preserve">230 785 akcji </w:t>
      </w:r>
      <w:r w:rsidRPr="0046131E">
        <w:rPr>
          <w:rFonts w:asciiTheme="minorHAnsi" w:hAnsiTheme="minorHAnsi" w:cstheme="minorHAnsi"/>
        </w:rPr>
        <w:t xml:space="preserve">o wartości nominalnej 100 zł każda, </w:t>
      </w:r>
      <w:r w:rsidRPr="0046131E">
        <w:rPr>
          <w:rFonts w:asciiTheme="minorHAnsi" w:hAnsiTheme="minorHAnsi" w:cstheme="minorHAnsi"/>
          <w:bCs/>
        </w:rPr>
        <w:t>spółki Zespół Elektrowni Wodnych Niedzica S.A. z siedzibą w Niedzicy,</w:t>
      </w:r>
    </w:p>
    <w:p w14:paraId="3918FF80" w14:textId="42A794CD" w:rsidR="00294BA4" w:rsidRPr="0046131E" w:rsidRDefault="00294BA4" w:rsidP="00294BA4">
      <w:pPr>
        <w:pStyle w:val="Akapitzlist"/>
        <w:numPr>
          <w:ilvl w:val="0"/>
          <w:numId w:val="30"/>
        </w:numPr>
        <w:spacing w:after="300" w:line="276" w:lineRule="auto"/>
        <w:ind w:right="-1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</w:rPr>
        <w:t>916.811 akcji o wartości nominalnej 10 zł każda, spółki Centr</w:t>
      </w:r>
      <w:r w:rsidR="003072F9">
        <w:rPr>
          <w:rFonts w:asciiTheme="minorHAnsi" w:hAnsiTheme="minorHAnsi" w:cstheme="minorHAnsi"/>
        </w:rPr>
        <w:t xml:space="preserve">ala Farmaceutyczna Cefarm S.A. </w:t>
      </w:r>
      <w:r w:rsidRPr="0046131E">
        <w:rPr>
          <w:rFonts w:asciiTheme="minorHAnsi" w:hAnsiTheme="minorHAnsi" w:cstheme="minorHAnsi"/>
        </w:rPr>
        <w:t>z siedzibą w Warszawie (w miejsce 100.800 udziałów spółki PIMB z siedzibą w Kobyłce),</w:t>
      </w:r>
    </w:p>
    <w:p w14:paraId="0F0EA8F2" w14:textId="77777777" w:rsidR="00294BA4" w:rsidRPr="0046131E" w:rsidRDefault="00294BA4" w:rsidP="00294BA4">
      <w:pPr>
        <w:pStyle w:val="Akapitzlist"/>
        <w:numPr>
          <w:ilvl w:val="0"/>
          <w:numId w:val="30"/>
        </w:numPr>
        <w:spacing w:after="300" w:line="276" w:lineRule="auto"/>
        <w:ind w:right="-1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</w:rPr>
        <w:t>1 240 000 akcji o wartości nominalnej 10 zł każda, spółki Centrum Techniki Okrętowej S.A. z siedzibą w Gdańsku,</w:t>
      </w:r>
    </w:p>
    <w:p w14:paraId="4073FE6B" w14:textId="77777777" w:rsidR="00294BA4" w:rsidRPr="0046131E" w:rsidRDefault="00294BA4" w:rsidP="00294BA4">
      <w:pPr>
        <w:pStyle w:val="Akapitzlist"/>
        <w:numPr>
          <w:ilvl w:val="0"/>
          <w:numId w:val="30"/>
        </w:numPr>
        <w:spacing w:after="300" w:line="276" w:lineRule="auto"/>
        <w:ind w:right="-1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</w:rPr>
        <w:t xml:space="preserve">53 070 akcji zwykłych imiennych, serii B, o numerach od 21 358 do 74 427, o wartości nominalnej 1 000 zł każda, spółki Pomorskie Hurtowe Centrum </w:t>
      </w:r>
      <w:r>
        <w:rPr>
          <w:rFonts w:asciiTheme="minorHAnsi" w:hAnsiTheme="minorHAnsi" w:cstheme="minorHAnsi"/>
        </w:rPr>
        <w:t>Rolno-Spożywcze S.A. z </w:t>
      </w:r>
      <w:r w:rsidRPr="0046131E">
        <w:rPr>
          <w:rFonts w:asciiTheme="minorHAnsi" w:hAnsiTheme="minorHAnsi" w:cstheme="minorHAnsi"/>
        </w:rPr>
        <w:t>siedzibą w Gdańsku.</w:t>
      </w:r>
    </w:p>
    <w:p w14:paraId="3CF412AF" w14:textId="77777777" w:rsidR="00294BA4" w:rsidRPr="00034C9E" w:rsidRDefault="00294BA4" w:rsidP="00294BA4">
      <w:pPr>
        <w:pStyle w:val="Nagwek2"/>
        <w:spacing w:before="0" w:after="300" w:line="276" w:lineRule="auto"/>
        <w:ind w:left="567" w:hanging="567"/>
        <w:jc w:val="both"/>
        <w:rPr>
          <w:rFonts w:asciiTheme="minorHAnsi" w:hAnsiTheme="minorHAnsi" w:cstheme="minorHAnsi"/>
          <w:i w:val="0"/>
          <w:sz w:val="32"/>
          <w:szCs w:val="32"/>
        </w:rPr>
      </w:pPr>
      <w:bookmarkStart w:id="86" w:name="_Toc448315299"/>
      <w:bookmarkStart w:id="87" w:name="_Toc97726339"/>
      <w:bookmarkEnd w:id="85"/>
      <w:r w:rsidRPr="00034C9E">
        <w:rPr>
          <w:rFonts w:asciiTheme="minorHAnsi" w:hAnsiTheme="minorHAnsi" w:cstheme="minorHAnsi"/>
          <w:i w:val="0"/>
          <w:sz w:val="32"/>
          <w:szCs w:val="32"/>
        </w:rPr>
        <w:t xml:space="preserve">2.6 </w:t>
      </w:r>
      <w:r w:rsidRPr="00034C9E">
        <w:rPr>
          <w:rFonts w:asciiTheme="minorHAnsi" w:hAnsiTheme="minorHAnsi" w:cstheme="minorHAnsi"/>
          <w:i w:val="0"/>
          <w:sz w:val="32"/>
          <w:szCs w:val="32"/>
        </w:rPr>
        <w:tab/>
        <w:t>Informacja o wykorzystaniu środków gromadzonych na rachunku rezerw poręczeniowych i gwarancyjnych Skarbu Państwa</w:t>
      </w:r>
      <w:bookmarkEnd w:id="86"/>
      <w:bookmarkEnd w:id="87"/>
    </w:p>
    <w:p w14:paraId="7A7D85CF" w14:textId="6AF8A7F2" w:rsidR="00294BA4" w:rsidRPr="0046131E" w:rsidRDefault="00294BA4" w:rsidP="00AA6252">
      <w:pPr>
        <w:spacing w:after="120" w:line="276" w:lineRule="auto"/>
        <w:rPr>
          <w:rFonts w:asciiTheme="minorHAnsi" w:hAnsiTheme="minorHAnsi" w:cstheme="minorHAnsi"/>
        </w:rPr>
      </w:pPr>
      <w:r w:rsidRPr="0046131E">
        <w:rPr>
          <w:rFonts w:asciiTheme="minorHAnsi" w:hAnsiTheme="minorHAnsi" w:cstheme="minorHAnsi"/>
        </w:rPr>
        <w:t>Na rachunku rezerw poręczeniowych i gwarancyjnych</w:t>
      </w:r>
      <w:r w:rsidRPr="0046131E">
        <w:rPr>
          <w:rStyle w:val="Odwoanieprzypisudolnego"/>
          <w:rFonts w:asciiTheme="minorHAnsi" w:hAnsiTheme="minorHAnsi" w:cstheme="minorHAnsi"/>
        </w:rPr>
        <w:footnoteReference w:id="24"/>
      </w:r>
      <w:r w:rsidR="00CD149B" w:rsidRPr="003101C3">
        <w:rPr>
          <w:rFonts w:asciiTheme="minorHAnsi" w:hAnsiTheme="minorHAnsi" w:cstheme="minorHAnsi"/>
          <w:vertAlign w:val="superscript"/>
        </w:rPr>
        <w:t>)</w:t>
      </w:r>
      <w:r w:rsidRPr="0046131E">
        <w:rPr>
          <w:rFonts w:asciiTheme="minorHAnsi" w:hAnsiTheme="minorHAnsi" w:cstheme="minorHAnsi"/>
        </w:rPr>
        <w:t xml:space="preserve"> gromadzone są przychody ze sprzedaży akcji i udziałów składających się na omawiany powyżej zasób majątkowy, odsetki z tytułu oprocentowania środków zgromadzonych na tym rachunku oraz opłaty prowizyjne od udzielonych poręczeń i gwarancji. </w:t>
      </w:r>
    </w:p>
    <w:p w14:paraId="3C8345EB" w14:textId="77777777" w:rsidR="00294BA4" w:rsidRPr="0046131E" w:rsidRDefault="00294BA4" w:rsidP="00AA6252">
      <w:pPr>
        <w:pStyle w:val="BodyText26"/>
        <w:tabs>
          <w:tab w:val="left" w:pos="960"/>
        </w:tabs>
        <w:spacing w:after="120" w:line="276" w:lineRule="auto"/>
        <w:ind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46131E">
        <w:rPr>
          <w:rFonts w:asciiTheme="minorHAnsi" w:hAnsiTheme="minorHAnsi" w:cstheme="minorHAnsi"/>
          <w:sz w:val="24"/>
          <w:szCs w:val="24"/>
        </w:rPr>
        <w:t>Środki z rachunku rezerw poręczeniowych i gwarancyjnych Skarbu Państwa mogą być przeznaczone na:</w:t>
      </w:r>
    </w:p>
    <w:p w14:paraId="131E1B9F" w14:textId="77777777" w:rsidR="00294BA4" w:rsidRPr="0046131E" w:rsidRDefault="00294BA4" w:rsidP="00AA6252">
      <w:pPr>
        <w:pStyle w:val="BodyText26"/>
        <w:numPr>
          <w:ilvl w:val="0"/>
          <w:numId w:val="31"/>
        </w:numPr>
        <w:tabs>
          <w:tab w:val="left" w:pos="993"/>
        </w:tabs>
        <w:spacing w:line="276" w:lineRule="auto"/>
        <w:ind w:left="357" w:right="0" w:hanging="357"/>
        <w:jc w:val="left"/>
        <w:rPr>
          <w:rFonts w:asciiTheme="minorHAnsi" w:hAnsiTheme="minorHAnsi" w:cstheme="minorHAnsi"/>
          <w:sz w:val="24"/>
          <w:szCs w:val="24"/>
        </w:rPr>
      </w:pPr>
      <w:r w:rsidRPr="0046131E">
        <w:rPr>
          <w:rFonts w:asciiTheme="minorHAnsi" w:hAnsiTheme="minorHAnsi" w:cstheme="minorHAnsi"/>
          <w:sz w:val="24"/>
          <w:szCs w:val="24"/>
        </w:rPr>
        <w:t>wykonywanie zobowiązań z tytułu poręczeń lub gwarancji udzielonych przez Skarb Państwa,</w:t>
      </w:r>
    </w:p>
    <w:p w14:paraId="05164EAC" w14:textId="77777777" w:rsidR="00294BA4" w:rsidRPr="0046131E" w:rsidRDefault="00294BA4" w:rsidP="00AA6252">
      <w:pPr>
        <w:pStyle w:val="BodyText26"/>
        <w:numPr>
          <w:ilvl w:val="0"/>
          <w:numId w:val="31"/>
        </w:numPr>
        <w:tabs>
          <w:tab w:val="left" w:pos="993"/>
        </w:tabs>
        <w:spacing w:line="276" w:lineRule="auto"/>
        <w:ind w:left="357" w:right="0" w:hanging="357"/>
        <w:jc w:val="left"/>
        <w:rPr>
          <w:rFonts w:asciiTheme="minorHAnsi" w:hAnsiTheme="minorHAnsi" w:cstheme="minorHAnsi"/>
          <w:sz w:val="24"/>
          <w:szCs w:val="24"/>
        </w:rPr>
      </w:pPr>
      <w:r w:rsidRPr="0046131E">
        <w:rPr>
          <w:rFonts w:asciiTheme="minorHAnsi" w:hAnsiTheme="minorHAnsi" w:cstheme="minorHAnsi"/>
          <w:sz w:val="24"/>
          <w:szCs w:val="24"/>
        </w:rPr>
        <w:t>pokrycie kosztów dochodzenia wierzytelności Skarbu Państwa powstałych z tytułu wykonania umowy poręczenia lub gwarancji,</w:t>
      </w:r>
    </w:p>
    <w:p w14:paraId="43D4E0E5" w14:textId="77777777" w:rsidR="00294BA4" w:rsidRPr="0046131E" w:rsidRDefault="00294BA4" w:rsidP="00AA6252">
      <w:pPr>
        <w:pStyle w:val="BodyText26"/>
        <w:numPr>
          <w:ilvl w:val="0"/>
          <w:numId w:val="31"/>
        </w:numPr>
        <w:tabs>
          <w:tab w:val="left" w:pos="993"/>
        </w:tabs>
        <w:spacing w:after="120" w:line="276" w:lineRule="auto"/>
        <w:ind w:left="357" w:right="0" w:hanging="357"/>
        <w:jc w:val="left"/>
        <w:rPr>
          <w:rFonts w:asciiTheme="minorHAnsi" w:hAnsiTheme="minorHAnsi" w:cstheme="minorHAnsi"/>
          <w:sz w:val="24"/>
          <w:szCs w:val="24"/>
        </w:rPr>
      </w:pPr>
      <w:r w:rsidRPr="0046131E">
        <w:rPr>
          <w:rFonts w:asciiTheme="minorHAnsi" w:hAnsiTheme="minorHAnsi" w:cstheme="minorHAnsi"/>
          <w:sz w:val="24"/>
          <w:szCs w:val="24"/>
        </w:rPr>
        <w:t>finansowanie potrzeb pożyczkowych budżetu państwa oraz zarządzanie długiem Skarbu Państwa pod warunkiem ich zwrotu na rachunek, w przypadku zaistnienia konieczności wypłat z tytułu poręczeń i gwarancji Skarbu Państwa, w wysokości i terminie umożliwiającym realizację zobowiązań Skarbu Państwa.</w:t>
      </w:r>
    </w:p>
    <w:p w14:paraId="2009DBF4" w14:textId="6EF55EAF" w:rsidR="00837FBC" w:rsidRPr="00787827" w:rsidRDefault="00294BA4" w:rsidP="00AA6252">
      <w:pPr>
        <w:pStyle w:val="BodyText26"/>
        <w:tabs>
          <w:tab w:val="left" w:pos="960"/>
        </w:tabs>
        <w:spacing w:after="300" w:line="276" w:lineRule="auto"/>
        <w:ind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46131E">
        <w:rPr>
          <w:rFonts w:asciiTheme="minorHAnsi" w:hAnsiTheme="minorHAnsi" w:cstheme="minorHAnsi"/>
          <w:sz w:val="24"/>
          <w:szCs w:val="24"/>
        </w:rPr>
        <w:t>W 2021 r. nie było konieczności wydatkowania środków z wykorzystaniem tego rachunku na cele związane z obsługą gwarancji i poręczeń. W związku z powyższym całość środków, które zasiliły rachunek rezerw poręczeniowych i gwarancyjnych w </w:t>
      </w:r>
      <w:r>
        <w:rPr>
          <w:rFonts w:asciiTheme="minorHAnsi" w:hAnsiTheme="minorHAnsi" w:cstheme="minorHAnsi"/>
          <w:sz w:val="24"/>
          <w:szCs w:val="24"/>
        </w:rPr>
        <w:t>2021 r., tj. 24 </w:t>
      </w:r>
      <w:r w:rsidRPr="0046131E">
        <w:rPr>
          <w:rFonts w:asciiTheme="minorHAnsi" w:hAnsiTheme="minorHAnsi" w:cstheme="minorHAnsi"/>
          <w:sz w:val="24"/>
          <w:szCs w:val="24"/>
        </w:rPr>
        <w:t>440</w:t>
      </w:r>
      <w:r>
        <w:rPr>
          <w:rFonts w:asciiTheme="minorHAnsi" w:hAnsiTheme="minorHAnsi" w:cstheme="minorHAnsi"/>
          <w:sz w:val="24"/>
          <w:szCs w:val="24"/>
        </w:rPr>
        <w:t> 296 </w:t>
      </w:r>
      <w:r w:rsidRPr="0046131E">
        <w:rPr>
          <w:rFonts w:asciiTheme="minorHAnsi" w:hAnsiTheme="minorHAnsi" w:cstheme="minorHAnsi"/>
          <w:sz w:val="24"/>
          <w:szCs w:val="24"/>
        </w:rPr>
        <w:t>zł, przeznaczono na finansowanie potrzeb pożyczkowych budżetu państwa, tak jak miało to miejsce w latach poprzednich. Łącznie, na przestrzeni ośmiu lat, przekazano na ten cel z powyższego rachunku środki w wysokości 1 241 613 557 zł.</w:t>
      </w:r>
    </w:p>
    <w:sectPr w:rsidR="00837FBC" w:rsidRPr="00787827" w:rsidSect="003101C3">
      <w:footerReference w:type="default" r:id="rId15"/>
      <w:footerReference w:type="first" r:id="rId16"/>
      <w:pgSz w:w="11906" w:h="16838" w:code="9"/>
      <w:pgMar w:top="1134" w:right="1134" w:bottom="1134" w:left="1701" w:header="709" w:footer="709" w:gutter="284"/>
      <w:paperSrc w:first="7" w:other="7"/>
      <w:pgNumType w:start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46F5C" w14:textId="77777777" w:rsidR="005E5BDF" w:rsidRDefault="005E5BDF">
      <w:r>
        <w:separator/>
      </w:r>
    </w:p>
  </w:endnote>
  <w:endnote w:type="continuationSeparator" w:id="0">
    <w:p w14:paraId="61D1C1B7" w14:textId="77777777" w:rsidR="005E5BDF" w:rsidRDefault="005E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50E0C" w14:textId="77777777" w:rsidR="002815F0" w:rsidRDefault="002815F0" w:rsidP="00DC76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C8B84D" w14:textId="77777777" w:rsidR="002815F0" w:rsidRDefault="002815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03469"/>
      <w:docPartObj>
        <w:docPartGallery w:val="Page Numbers (Bottom of Page)"/>
        <w:docPartUnique/>
      </w:docPartObj>
    </w:sdtPr>
    <w:sdtEndPr/>
    <w:sdtContent>
      <w:p w14:paraId="1C6E9270" w14:textId="3478B0C1" w:rsidR="002815F0" w:rsidRDefault="002815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DAE">
          <w:rPr>
            <w:noProof/>
          </w:rPr>
          <w:t>3</w:t>
        </w:r>
        <w:r>
          <w:fldChar w:fldCharType="end"/>
        </w:r>
      </w:p>
    </w:sdtContent>
  </w:sdt>
  <w:p w14:paraId="1DA97621" w14:textId="77777777" w:rsidR="002815F0" w:rsidRDefault="002815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B351C" w14:textId="77777777" w:rsidR="002815F0" w:rsidRDefault="002815F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DAEF" w14:textId="470F3D2D" w:rsidR="002815F0" w:rsidRDefault="002815F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2DAE">
      <w:rPr>
        <w:noProof/>
      </w:rPr>
      <w:t>4</w:t>
    </w:r>
    <w:r>
      <w:rPr>
        <w:noProof/>
      </w:rPr>
      <w:fldChar w:fldCharType="end"/>
    </w:r>
  </w:p>
  <w:p w14:paraId="0064ED4D" w14:textId="77777777" w:rsidR="002815F0" w:rsidRDefault="002815F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52415" w14:textId="465E80B9" w:rsidR="002815F0" w:rsidRDefault="002815F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8D5F652" w14:textId="77777777" w:rsidR="002815F0" w:rsidRDefault="00281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8EF00" w14:textId="77777777" w:rsidR="005E5BDF" w:rsidRDefault="005E5BDF">
      <w:r>
        <w:separator/>
      </w:r>
    </w:p>
  </w:footnote>
  <w:footnote w:type="continuationSeparator" w:id="0">
    <w:p w14:paraId="4BC85E68" w14:textId="77777777" w:rsidR="005E5BDF" w:rsidRDefault="005E5BDF">
      <w:r>
        <w:continuationSeparator/>
      </w:r>
    </w:p>
  </w:footnote>
  <w:footnote w:id="1">
    <w:p w14:paraId="0627EE51" w14:textId="0BF5A559" w:rsidR="002815F0" w:rsidRDefault="002815F0" w:rsidP="00085980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787827">
        <w:rPr>
          <w:rFonts w:asciiTheme="minorHAnsi" w:hAnsiTheme="minorHAnsi" w:cstheme="minorHAnsi"/>
          <w:bCs/>
        </w:rPr>
        <w:t>Dz. U. z 202</w:t>
      </w:r>
      <w:r>
        <w:rPr>
          <w:rFonts w:asciiTheme="minorHAnsi" w:hAnsiTheme="minorHAnsi" w:cstheme="minorHAnsi"/>
          <w:bCs/>
        </w:rPr>
        <w:t>2</w:t>
      </w:r>
      <w:r w:rsidRPr="00787827">
        <w:rPr>
          <w:rFonts w:asciiTheme="minorHAnsi" w:hAnsiTheme="minorHAnsi" w:cstheme="minorHAnsi"/>
          <w:bCs/>
        </w:rPr>
        <w:t xml:space="preserve"> r. poz. 445</w:t>
      </w:r>
    </w:p>
  </w:footnote>
  <w:footnote w:id="2">
    <w:p w14:paraId="44EE493B" w14:textId="69D4EED1" w:rsidR="002815F0" w:rsidRDefault="002815F0" w:rsidP="00085980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787827">
        <w:rPr>
          <w:rFonts w:asciiTheme="minorHAnsi" w:hAnsiTheme="minorHAnsi" w:cstheme="minorHAnsi"/>
        </w:rPr>
        <w:t>Dz. U.</w:t>
      </w:r>
      <w:r>
        <w:rPr>
          <w:rFonts w:asciiTheme="minorHAnsi" w:hAnsiTheme="minorHAnsi" w:cstheme="minorHAnsi"/>
        </w:rPr>
        <w:t xml:space="preserve"> z 2020 r.</w:t>
      </w:r>
      <w:r w:rsidRPr="00787827">
        <w:rPr>
          <w:rFonts w:asciiTheme="minorHAnsi" w:hAnsiTheme="minorHAnsi" w:cstheme="minorHAnsi"/>
        </w:rPr>
        <w:t xml:space="preserve"> poz. 568 z późn. zm.</w:t>
      </w:r>
    </w:p>
  </w:footnote>
  <w:footnote w:id="3">
    <w:p w14:paraId="047C31EE" w14:textId="28DABD91" w:rsidR="002815F0" w:rsidRDefault="002815F0" w:rsidP="00085980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787827">
        <w:rPr>
          <w:rFonts w:asciiTheme="minorHAnsi" w:hAnsiTheme="minorHAnsi" w:cstheme="minorHAnsi"/>
        </w:rPr>
        <w:t>Dz. U. z 2021 r., poz. 1010 z późn. zm.</w:t>
      </w:r>
    </w:p>
  </w:footnote>
  <w:footnote w:id="4">
    <w:p w14:paraId="2B94349B" w14:textId="6AA71DE5" w:rsidR="002815F0" w:rsidRPr="00787827" w:rsidRDefault="002815F0" w:rsidP="00085980">
      <w:pPr>
        <w:pStyle w:val="Tekstprzypisudolnego"/>
        <w:ind w:left="284" w:right="-1" w:hanging="284"/>
        <w:jc w:val="both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t>4</w:t>
      </w:r>
      <w:r w:rsidRPr="003101C3">
        <w:rPr>
          <w:rFonts w:asciiTheme="minorHAnsi" w:hAnsiTheme="minorHAnsi" w:cstheme="minorHAnsi"/>
          <w:vertAlign w:val="superscript"/>
        </w:rPr>
        <w:t>)</w:t>
      </w:r>
      <w:r>
        <w:rPr>
          <w:rFonts w:asciiTheme="minorHAnsi" w:hAnsiTheme="minorHAnsi" w:cstheme="minorHAnsi"/>
        </w:rPr>
        <w:tab/>
      </w:r>
      <w:r w:rsidRPr="00787827">
        <w:rPr>
          <w:rFonts w:asciiTheme="minorHAnsi" w:hAnsiTheme="minorHAnsi" w:cstheme="minorHAnsi"/>
        </w:rPr>
        <w:t>Do wyliczenia relacji przyjęto PKB w wysokości 2 603,1 mld zł, tj. zgodnie z informacją GUS z dnia 28 lutego 2022 r. w sprawie wstępnego szacunku produktu krajowego brutto w IV kwartale 2021 r.</w:t>
      </w:r>
    </w:p>
  </w:footnote>
  <w:footnote w:id="5">
    <w:p w14:paraId="6FB2DA2C" w14:textId="2832B934" w:rsidR="002815F0" w:rsidRPr="004D3F40" w:rsidRDefault="002815F0" w:rsidP="00085980">
      <w:pPr>
        <w:pStyle w:val="Tekstprzypisudolnego"/>
        <w:ind w:left="284" w:hanging="284"/>
        <w:rPr>
          <w:rFonts w:asciiTheme="minorHAnsi" w:hAnsiTheme="minorHAnsi" w:cstheme="minorHAnsi"/>
        </w:rPr>
      </w:pPr>
      <w:r w:rsidRPr="004D3F40">
        <w:rPr>
          <w:rStyle w:val="Odwoanieprzypisudolnego"/>
          <w:rFonts w:asciiTheme="minorHAnsi" w:hAnsiTheme="minorHAnsi" w:cstheme="minorHAnsi"/>
        </w:rPr>
        <w:footnoteRef/>
      </w:r>
      <w:r w:rsidRPr="003101C3">
        <w:rPr>
          <w:rFonts w:asciiTheme="minorHAnsi" w:hAnsiTheme="minorHAnsi" w:cstheme="minorHAnsi"/>
          <w:vertAlign w:val="superscript"/>
        </w:rPr>
        <w:t>)</w:t>
      </w:r>
      <w:r>
        <w:rPr>
          <w:rFonts w:asciiTheme="minorHAnsi" w:hAnsiTheme="minorHAnsi" w:cstheme="minorHAnsi"/>
        </w:rPr>
        <w:tab/>
      </w:r>
      <w:r w:rsidRPr="004D3F40">
        <w:rPr>
          <w:rFonts w:asciiTheme="minorHAnsi" w:hAnsiTheme="minorHAnsi" w:cstheme="minorHAnsi"/>
        </w:rPr>
        <w:t>Dz. U. poz. 2133 i 2427</w:t>
      </w:r>
    </w:p>
  </w:footnote>
  <w:footnote w:id="6">
    <w:p w14:paraId="3B68CF35" w14:textId="3CF7BFA8" w:rsidR="002815F0" w:rsidRPr="008F4F37" w:rsidRDefault="002815F0" w:rsidP="00085980">
      <w:pPr>
        <w:pStyle w:val="Tekstprzypisudolnego"/>
        <w:ind w:left="284" w:hanging="284"/>
        <w:rPr>
          <w:rFonts w:asciiTheme="minorHAnsi" w:hAnsiTheme="minorHAnsi" w:cstheme="minorHAnsi"/>
        </w:rPr>
      </w:pPr>
      <w:bookmarkStart w:id="8" w:name="_Ref98341258"/>
      <w:r w:rsidRPr="008F4F37">
        <w:rPr>
          <w:rStyle w:val="Odwoanieprzypisudolnego"/>
          <w:rFonts w:asciiTheme="minorHAnsi" w:hAnsiTheme="minorHAnsi" w:cstheme="minorHAnsi"/>
        </w:rPr>
        <w:footnoteRef/>
      </w:r>
      <w:r w:rsidRPr="003101C3">
        <w:rPr>
          <w:rFonts w:asciiTheme="minorHAnsi" w:hAnsiTheme="minorHAnsi" w:cstheme="minorHAnsi"/>
          <w:vertAlign w:val="superscript"/>
        </w:rPr>
        <w:t>)</w:t>
      </w:r>
      <w:r>
        <w:rPr>
          <w:rFonts w:asciiTheme="minorHAnsi" w:hAnsiTheme="minorHAnsi" w:cstheme="minorHAnsi"/>
        </w:rPr>
        <w:tab/>
      </w:r>
      <w:r w:rsidRPr="008F4F37">
        <w:rPr>
          <w:rFonts w:asciiTheme="minorHAnsi" w:hAnsiTheme="minorHAnsi" w:cstheme="minorHAnsi"/>
        </w:rPr>
        <w:t>Dz. U. z 2021 r. poz. 305, z późn. zm.</w:t>
      </w:r>
      <w:bookmarkEnd w:id="8"/>
    </w:p>
  </w:footnote>
  <w:footnote w:id="7">
    <w:p w14:paraId="3EE1FC98" w14:textId="10148F43" w:rsidR="002815F0" w:rsidRDefault="002815F0" w:rsidP="00085980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  <w:t>Dz.</w:t>
      </w:r>
      <w:r w:rsidR="00A03359">
        <w:t xml:space="preserve"> </w:t>
      </w:r>
      <w:r>
        <w:t>U. z 2016 r. poz. 1436 z późn. zm.</w:t>
      </w:r>
    </w:p>
  </w:footnote>
  <w:footnote w:id="8">
    <w:p w14:paraId="7EA432F9" w14:textId="5453BA7C" w:rsidR="002815F0" w:rsidRDefault="002815F0" w:rsidP="00085980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  <w:t>Dz.</w:t>
      </w:r>
      <w:r w:rsidR="00A03359">
        <w:t xml:space="preserve"> </w:t>
      </w:r>
      <w:r>
        <w:t>U. z 2022 r. poz. 396.</w:t>
      </w:r>
    </w:p>
  </w:footnote>
  <w:footnote w:id="9">
    <w:p w14:paraId="7C447FE7" w14:textId="00DC789A" w:rsidR="002815F0" w:rsidRDefault="002815F0" w:rsidP="00085980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787827">
        <w:rPr>
          <w:rFonts w:asciiTheme="minorHAnsi" w:hAnsiTheme="minorHAnsi" w:cstheme="minorHAnsi"/>
        </w:rPr>
        <w:t>Dz.</w:t>
      </w:r>
      <w:r w:rsidR="00A03359">
        <w:rPr>
          <w:rFonts w:asciiTheme="minorHAnsi" w:hAnsiTheme="minorHAnsi" w:cstheme="minorHAnsi"/>
        </w:rPr>
        <w:t xml:space="preserve"> </w:t>
      </w:r>
      <w:r w:rsidRPr="00787827">
        <w:rPr>
          <w:rFonts w:asciiTheme="minorHAnsi" w:hAnsiTheme="minorHAnsi" w:cstheme="minorHAnsi"/>
        </w:rPr>
        <w:t>U. poz. 674</w:t>
      </w:r>
    </w:p>
  </w:footnote>
  <w:footnote w:id="10">
    <w:p w14:paraId="6AEBAE16" w14:textId="398288F5" w:rsidR="002815F0" w:rsidRDefault="002815F0" w:rsidP="00085980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783507">
        <w:rPr>
          <w:rFonts w:asciiTheme="minorHAnsi" w:eastAsia="Calibri" w:hAnsiTheme="minorHAnsi" w:cstheme="minorHAnsi"/>
        </w:rPr>
        <w:t>Dz. U. z 2020 r. poz. 2268 z późn. zm.</w:t>
      </w:r>
    </w:p>
  </w:footnote>
  <w:footnote w:id="11">
    <w:p w14:paraId="6E8274DB" w14:textId="5FCCE7AF" w:rsidR="002815F0" w:rsidRPr="00E73E5A" w:rsidRDefault="002815F0" w:rsidP="00085980">
      <w:pPr>
        <w:pStyle w:val="Tekstprzypisudolnego"/>
        <w:ind w:left="284" w:right="-1" w:hanging="284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t>11</w:t>
      </w:r>
      <w:r w:rsidRPr="003101C3">
        <w:rPr>
          <w:rFonts w:asciiTheme="minorHAnsi" w:hAnsiTheme="minorHAnsi" w:cstheme="minorHAnsi"/>
          <w:vertAlign w:val="superscript"/>
        </w:rPr>
        <w:t>)</w:t>
      </w:r>
      <w:r>
        <w:rPr>
          <w:rFonts w:asciiTheme="minorHAnsi" w:hAnsiTheme="minorHAnsi" w:cstheme="minorHAnsi"/>
        </w:rPr>
        <w:tab/>
      </w:r>
      <w:r w:rsidRPr="00E73E5A">
        <w:rPr>
          <w:rFonts w:asciiTheme="minorHAnsi" w:hAnsiTheme="minorHAnsi" w:cstheme="minorHAnsi"/>
        </w:rPr>
        <w:t>Do wyliczenia relacji przyjęto PKB w wysokości 2 603,1 mld zł, tj. zgodnie z informacją GUS z dnia 28 lutego 2022 r. w sprawie wstępnego szacunku produktu krajowego brutto w IV kwartale 2021 r.</w:t>
      </w:r>
    </w:p>
  </w:footnote>
  <w:footnote w:id="12">
    <w:p w14:paraId="1DC9E0EF" w14:textId="52E105C1" w:rsidR="002815F0" w:rsidRPr="00E73E5A" w:rsidRDefault="002815F0" w:rsidP="00085980">
      <w:pPr>
        <w:pStyle w:val="Tekstprzypisudolnego"/>
        <w:ind w:left="284" w:right="-1" w:hanging="284"/>
        <w:jc w:val="both"/>
        <w:rPr>
          <w:rFonts w:asciiTheme="minorHAnsi" w:hAnsiTheme="minorHAnsi" w:cstheme="minorHAnsi"/>
          <w:sz w:val="18"/>
          <w:szCs w:val="18"/>
        </w:rPr>
      </w:pPr>
      <w:r w:rsidRPr="00E73E5A">
        <w:rPr>
          <w:rStyle w:val="Odwoanieprzypisudolnego"/>
          <w:rFonts w:asciiTheme="minorHAnsi" w:hAnsiTheme="minorHAnsi" w:cstheme="minorHAnsi"/>
        </w:rPr>
        <w:footnoteRef/>
      </w:r>
      <w:r w:rsidRPr="003101C3">
        <w:rPr>
          <w:rFonts w:asciiTheme="minorHAnsi" w:hAnsiTheme="minorHAnsi" w:cstheme="minorHAnsi"/>
          <w:vertAlign w:val="superscript"/>
        </w:rPr>
        <w:t>)</w:t>
      </w:r>
      <w:r>
        <w:rPr>
          <w:rFonts w:asciiTheme="minorHAnsi" w:hAnsiTheme="minorHAnsi" w:cstheme="minorHAnsi"/>
        </w:rPr>
        <w:tab/>
      </w:r>
      <w:r w:rsidRPr="00E73E5A">
        <w:rPr>
          <w:rFonts w:asciiTheme="minorHAnsi" w:hAnsiTheme="minorHAnsi" w:cstheme="minorHAnsi"/>
          <w:sz w:val="18"/>
          <w:szCs w:val="18"/>
        </w:rPr>
        <w:t xml:space="preserve">Na podstawie danych przekazanych przez Bank Gospodarstwa Krajowego. </w:t>
      </w:r>
    </w:p>
  </w:footnote>
  <w:footnote w:id="13">
    <w:p w14:paraId="64C6EF8A" w14:textId="1DA6AD82" w:rsidR="002815F0" w:rsidRDefault="002815F0" w:rsidP="00085980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>
        <w:rPr>
          <w:rFonts w:asciiTheme="minorHAnsi" w:hAnsiTheme="minorHAnsi" w:cstheme="minorHAnsi"/>
        </w:rPr>
        <w:t>Dz. U. z 2021 r. poz. 2095, z późn. zm.</w:t>
      </w:r>
    </w:p>
  </w:footnote>
  <w:footnote w:id="14">
    <w:p w14:paraId="3EE05C3F" w14:textId="1E5B1963" w:rsidR="002815F0" w:rsidRDefault="002815F0" w:rsidP="00085980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787827">
        <w:rPr>
          <w:rFonts w:asciiTheme="minorHAnsi" w:hAnsiTheme="minorHAnsi" w:cstheme="minorHAnsi"/>
        </w:rPr>
        <w:t>Dz. U. z 202</w:t>
      </w:r>
      <w:r>
        <w:rPr>
          <w:rFonts w:asciiTheme="minorHAnsi" w:hAnsiTheme="minorHAnsi" w:cstheme="minorHAnsi"/>
        </w:rPr>
        <w:t>2</w:t>
      </w:r>
      <w:r w:rsidRPr="00787827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574</w:t>
      </w:r>
    </w:p>
  </w:footnote>
  <w:footnote w:id="15">
    <w:p w14:paraId="403FB1EE" w14:textId="27E9B78B" w:rsidR="002815F0" w:rsidRDefault="002815F0" w:rsidP="00085980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787827">
        <w:rPr>
          <w:rFonts w:asciiTheme="minorHAnsi" w:hAnsiTheme="minorHAnsi" w:cstheme="minorHAnsi"/>
        </w:rPr>
        <w:t>Dz. U. z 2015 r. poz. 1969, z późn. zm.</w:t>
      </w:r>
    </w:p>
  </w:footnote>
  <w:footnote w:id="16">
    <w:p w14:paraId="6699D784" w14:textId="4C331B66" w:rsidR="002815F0" w:rsidRDefault="002815F0" w:rsidP="00085980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787827">
        <w:rPr>
          <w:rFonts w:asciiTheme="minorHAnsi" w:hAnsiTheme="minorHAnsi" w:cstheme="minorHAnsi"/>
        </w:rPr>
        <w:t>Dz. U. poz. 2433</w:t>
      </w:r>
    </w:p>
  </w:footnote>
  <w:footnote w:id="17">
    <w:p w14:paraId="36EDDDE9" w14:textId="5FAEF1F8" w:rsidR="002815F0" w:rsidRDefault="002815F0" w:rsidP="00CD149B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787827">
        <w:rPr>
          <w:rFonts w:asciiTheme="minorHAnsi" w:hAnsiTheme="minorHAnsi" w:cstheme="minorHAnsi"/>
        </w:rPr>
        <w:t xml:space="preserve">Dz. U. </w:t>
      </w:r>
      <w:r>
        <w:rPr>
          <w:rFonts w:asciiTheme="minorHAnsi" w:hAnsiTheme="minorHAnsi" w:cstheme="minorHAnsi"/>
        </w:rPr>
        <w:t xml:space="preserve">z 2021 r. </w:t>
      </w:r>
      <w:r w:rsidRPr="00787827">
        <w:rPr>
          <w:rFonts w:asciiTheme="minorHAnsi" w:hAnsiTheme="minorHAnsi" w:cstheme="minorHAnsi"/>
        </w:rPr>
        <w:t xml:space="preserve">poz. </w:t>
      </w:r>
      <w:r>
        <w:rPr>
          <w:rFonts w:asciiTheme="minorHAnsi" w:hAnsiTheme="minorHAnsi" w:cstheme="minorHAnsi"/>
        </w:rPr>
        <w:t>634</w:t>
      </w:r>
      <w:r w:rsidRPr="00787827">
        <w:rPr>
          <w:rFonts w:asciiTheme="minorHAnsi" w:hAnsiTheme="minorHAnsi" w:cstheme="minorHAnsi"/>
          <w:bCs/>
        </w:rPr>
        <w:t xml:space="preserve"> </w:t>
      </w:r>
    </w:p>
  </w:footnote>
  <w:footnote w:id="18">
    <w:p w14:paraId="5E671041" w14:textId="55858FBC" w:rsidR="002815F0" w:rsidRDefault="002815F0" w:rsidP="00CD149B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787827">
        <w:rPr>
          <w:rFonts w:asciiTheme="minorHAnsi" w:hAnsiTheme="minorHAnsi" w:cstheme="minorHAnsi"/>
        </w:rPr>
        <w:t>Dz. U. poz. 454</w:t>
      </w:r>
    </w:p>
  </w:footnote>
  <w:footnote w:id="19">
    <w:p w14:paraId="32E77AEF" w14:textId="7FE7F490" w:rsidR="002815F0" w:rsidRDefault="002815F0" w:rsidP="00CD149B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787827">
        <w:rPr>
          <w:rFonts w:asciiTheme="minorHAnsi" w:hAnsiTheme="minorHAnsi" w:cstheme="minorHAnsi"/>
        </w:rPr>
        <w:t>Dz. Urz. UE C 91I z 20.03.2020, str. 1</w:t>
      </w:r>
      <w:r>
        <w:rPr>
          <w:rFonts w:asciiTheme="minorHAnsi" w:hAnsiTheme="minorHAnsi" w:cstheme="minorHAnsi"/>
        </w:rPr>
        <w:t>,</w:t>
      </w:r>
      <w:r w:rsidRPr="00787827">
        <w:rPr>
          <w:rFonts w:asciiTheme="minorHAnsi" w:hAnsiTheme="minorHAnsi" w:cstheme="minorHAnsi"/>
        </w:rPr>
        <w:t xml:space="preserve"> z późn. zm.</w:t>
      </w:r>
    </w:p>
  </w:footnote>
  <w:footnote w:id="20">
    <w:p w14:paraId="7563FD2F" w14:textId="009E2D48" w:rsidR="002815F0" w:rsidRPr="000B49E6" w:rsidRDefault="002815F0" w:rsidP="00CD149B">
      <w:pPr>
        <w:pStyle w:val="Tekstprzypisudolnego"/>
        <w:ind w:left="284" w:hanging="284"/>
        <w:rPr>
          <w:lang w:val="en-GB"/>
        </w:rPr>
      </w:pPr>
      <w:r>
        <w:rPr>
          <w:rStyle w:val="Odwoanieprzypisudolnego"/>
        </w:rPr>
        <w:footnoteRef/>
      </w:r>
      <w:r w:rsidRPr="003101C3">
        <w:rPr>
          <w:vertAlign w:val="superscript"/>
          <w:lang w:val="en-GB"/>
        </w:rPr>
        <w:t>)</w:t>
      </w:r>
      <w:r>
        <w:rPr>
          <w:lang w:val="en-GB"/>
        </w:rPr>
        <w:tab/>
      </w:r>
      <w:r w:rsidRPr="000B49E6">
        <w:rPr>
          <w:rFonts w:asciiTheme="minorHAnsi" w:hAnsiTheme="minorHAnsi" w:cstheme="minorHAnsi"/>
          <w:lang w:val="en-GB"/>
        </w:rPr>
        <w:t>State Aid 56876 (2020/N)</w:t>
      </w:r>
    </w:p>
  </w:footnote>
  <w:footnote w:id="21">
    <w:p w14:paraId="17F4F687" w14:textId="4F3BC519" w:rsidR="002815F0" w:rsidRPr="000B49E6" w:rsidRDefault="002815F0" w:rsidP="00CD149B">
      <w:pPr>
        <w:pStyle w:val="Tekstprzypisudolnego"/>
        <w:ind w:left="284" w:hanging="284"/>
        <w:rPr>
          <w:lang w:val="en-GB"/>
        </w:rPr>
      </w:pPr>
      <w:r>
        <w:rPr>
          <w:rStyle w:val="Odwoanieprzypisudolnego"/>
        </w:rPr>
        <w:footnoteRef/>
      </w:r>
      <w:r w:rsidRPr="003101C3">
        <w:rPr>
          <w:vertAlign w:val="superscript"/>
          <w:lang w:val="en-GB"/>
        </w:rPr>
        <w:t>)</w:t>
      </w:r>
      <w:r>
        <w:rPr>
          <w:lang w:val="en-GB"/>
        </w:rPr>
        <w:tab/>
      </w:r>
      <w:r w:rsidRPr="000B49E6">
        <w:rPr>
          <w:rFonts w:asciiTheme="minorHAnsi" w:hAnsiTheme="minorHAnsi" w:cstheme="minorHAnsi"/>
          <w:lang w:val="en-GB"/>
        </w:rPr>
        <w:t>State Aid 57452(2020/N)</w:t>
      </w:r>
    </w:p>
  </w:footnote>
  <w:footnote w:id="22">
    <w:p w14:paraId="2BA255A9" w14:textId="430534C9" w:rsidR="002815F0" w:rsidRPr="00FD3FBE" w:rsidRDefault="002815F0" w:rsidP="00CD149B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FD3FBE">
        <w:rPr>
          <w:rFonts w:asciiTheme="minorHAnsi" w:hAnsiTheme="minorHAnsi" w:cstheme="minorHAnsi"/>
        </w:rPr>
        <w:t>Dz. U. poz. 2127</w:t>
      </w:r>
    </w:p>
  </w:footnote>
  <w:footnote w:id="23">
    <w:p w14:paraId="0DBD0C37" w14:textId="39C6ED1E" w:rsidR="002815F0" w:rsidRDefault="002815F0" w:rsidP="00CD149B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787827">
        <w:rPr>
          <w:rFonts w:asciiTheme="minorHAnsi" w:hAnsiTheme="minorHAnsi" w:cstheme="minorHAnsi"/>
        </w:rPr>
        <w:t>Dz. U. z 202</w:t>
      </w:r>
      <w:r>
        <w:rPr>
          <w:rFonts w:asciiTheme="minorHAnsi" w:hAnsiTheme="minorHAnsi" w:cstheme="minorHAnsi"/>
        </w:rPr>
        <w:t>1</w:t>
      </w:r>
      <w:r w:rsidRPr="00787827">
        <w:rPr>
          <w:rFonts w:asciiTheme="minorHAnsi" w:hAnsiTheme="minorHAnsi" w:cstheme="minorHAnsi"/>
        </w:rPr>
        <w:t xml:space="preserve"> r. poz. 1</w:t>
      </w:r>
      <w:r>
        <w:rPr>
          <w:rFonts w:asciiTheme="minorHAnsi" w:hAnsiTheme="minorHAnsi" w:cstheme="minorHAnsi"/>
        </w:rPr>
        <w:t>973</w:t>
      </w:r>
      <w:r w:rsidRPr="00787827">
        <w:rPr>
          <w:rFonts w:asciiTheme="minorHAnsi" w:hAnsiTheme="minorHAnsi" w:cstheme="minorHAnsi"/>
        </w:rPr>
        <w:t>, z późn. zm.</w:t>
      </w:r>
    </w:p>
  </w:footnote>
  <w:footnote w:id="24">
    <w:p w14:paraId="288A48F6" w14:textId="1F837988" w:rsidR="002815F0" w:rsidRDefault="002815F0" w:rsidP="00CD149B">
      <w:pPr>
        <w:pStyle w:val="Tekstprzypisudolnego"/>
        <w:ind w:left="284" w:hanging="284"/>
      </w:pPr>
      <w:r w:rsidRPr="00582972">
        <w:rPr>
          <w:rStyle w:val="Odwoanieprzypisudolnego"/>
        </w:rPr>
        <w:footnoteRef/>
      </w:r>
      <w:r w:rsidRPr="003101C3">
        <w:rPr>
          <w:vertAlign w:val="superscript"/>
        </w:rPr>
        <w:t>)</w:t>
      </w:r>
      <w:r>
        <w:tab/>
      </w:r>
      <w:r w:rsidRPr="0046131E">
        <w:rPr>
          <w:rFonts w:asciiTheme="minorHAnsi" w:hAnsiTheme="minorHAnsi" w:cstheme="minorHAnsi"/>
        </w:rPr>
        <w:t>utworzony w Banku Gospodarstwa Krajowego, na podstawie art. 30 ustawy o poręczeniach i gwarancjach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56FC" w14:textId="77777777" w:rsidR="002815F0" w:rsidRDefault="002815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8CBBB" w14:textId="77777777" w:rsidR="002815F0" w:rsidRDefault="002815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0B730" w14:textId="77777777" w:rsidR="002815F0" w:rsidRDefault="002815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237"/>
    <w:multiLevelType w:val="hybridMultilevel"/>
    <w:tmpl w:val="8196E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37D87"/>
    <w:multiLevelType w:val="hybridMultilevel"/>
    <w:tmpl w:val="D3CE0B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6113F"/>
    <w:multiLevelType w:val="hybridMultilevel"/>
    <w:tmpl w:val="B5FAD686"/>
    <w:lvl w:ilvl="0" w:tplc="8B6060C2">
      <w:start w:val="1"/>
      <w:numFmt w:val="decimal"/>
      <w:lvlText w:val="%1)"/>
      <w:lvlJc w:val="left"/>
      <w:pPr>
        <w:ind w:left="717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A1F746A"/>
    <w:multiLevelType w:val="multilevel"/>
    <w:tmpl w:val="92D8D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2E57D2"/>
    <w:multiLevelType w:val="hybridMultilevel"/>
    <w:tmpl w:val="B6B4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41B00"/>
    <w:multiLevelType w:val="hybridMultilevel"/>
    <w:tmpl w:val="02A6E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D6139"/>
    <w:multiLevelType w:val="hybridMultilevel"/>
    <w:tmpl w:val="24CC05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50D31"/>
    <w:multiLevelType w:val="hybridMultilevel"/>
    <w:tmpl w:val="B2DE5C10"/>
    <w:lvl w:ilvl="0" w:tplc="70F83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832F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5041C"/>
    <w:multiLevelType w:val="hybridMultilevel"/>
    <w:tmpl w:val="AB046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74543"/>
    <w:multiLevelType w:val="hybridMultilevel"/>
    <w:tmpl w:val="BBB000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631BF"/>
    <w:multiLevelType w:val="hybridMultilevel"/>
    <w:tmpl w:val="769CCB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42792D"/>
    <w:multiLevelType w:val="hybridMultilevel"/>
    <w:tmpl w:val="0F988E9E"/>
    <w:lvl w:ilvl="0" w:tplc="A9A007F2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1E090802"/>
    <w:multiLevelType w:val="hybridMultilevel"/>
    <w:tmpl w:val="A1F4B2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2F77E7"/>
    <w:multiLevelType w:val="hybridMultilevel"/>
    <w:tmpl w:val="454CE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F20C2"/>
    <w:multiLevelType w:val="hybridMultilevel"/>
    <w:tmpl w:val="C1D6E3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3933B0"/>
    <w:multiLevelType w:val="hybridMultilevel"/>
    <w:tmpl w:val="2FE852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303C86"/>
    <w:multiLevelType w:val="hybridMultilevel"/>
    <w:tmpl w:val="2174DF26"/>
    <w:lvl w:ilvl="0" w:tplc="4D28795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D570A"/>
    <w:multiLevelType w:val="hybridMultilevel"/>
    <w:tmpl w:val="9FFC22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74090D"/>
    <w:multiLevelType w:val="hybridMultilevel"/>
    <w:tmpl w:val="EA7EA08E"/>
    <w:lvl w:ilvl="0" w:tplc="F46C7D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B102F"/>
    <w:multiLevelType w:val="hybridMultilevel"/>
    <w:tmpl w:val="0E040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234700"/>
    <w:multiLevelType w:val="hybridMultilevel"/>
    <w:tmpl w:val="008A04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0C5DAB"/>
    <w:multiLevelType w:val="hybridMultilevel"/>
    <w:tmpl w:val="592428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76432D"/>
    <w:multiLevelType w:val="hybridMultilevel"/>
    <w:tmpl w:val="A240E444"/>
    <w:lvl w:ilvl="0" w:tplc="776851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F8E7DC7"/>
    <w:multiLevelType w:val="hybridMultilevel"/>
    <w:tmpl w:val="325C4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B3477"/>
    <w:multiLevelType w:val="hybridMultilevel"/>
    <w:tmpl w:val="D63EC6DC"/>
    <w:lvl w:ilvl="0" w:tplc="A390470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17421B"/>
    <w:multiLevelType w:val="hybridMultilevel"/>
    <w:tmpl w:val="A50EA0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E76577"/>
    <w:multiLevelType w:val="hybridMultilevel"/>
    <w:tmpl w:val="AFEED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03B75"/>
    <w:multiLevelType w:val="hybridMultilevel"/>
    <w:tmpl w:val="5AB69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94A3E"/>
    <w:multiLevelType w:val="hybridMultilevel"/>
    <w:tmpl w:val="E1FE5E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97025"/>
    <w:multiLevelType w:val="hybridMultilevel"/>
    <w:tmpl w:val="0D0CD3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26C4B"/>
    <w:multiLevelType w:val="hybridMultilevel"/>
    <w:tmpl w:val="39725D20"/>
    <w:lvl w:ilvl="0" w:tplc="00C8479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915E24"/>
    <w:multiLevelType w:val="hybridMultilevel"/>
    <w:tmpl w:val="A73C4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4000"/>
    <w:multiLevelType w:val="hybridMultilevel"/>
    <w:tmpl w:val="F74EF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172BBC"/>
    <w:multiLevelType w:val="hybridMultilevel"/>
    <w:tmpl w:val="1D3A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BB4FEE"/>
    <w:multiLevelType w:val="hybridMultilevel"/>
    <w:tmpl w:val="2B9ED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8A08AE"/>
    <w:multiLevelType w:val="hybridMultilevel"/>
    <w:tmpl w:val="6CB008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C50890"/>
    <w:multiLevelType w:val="hybridMultilevel"/>
    <w:tmpl w:val="30467506"/>
    <w:lvl w:ilvl="0" w:tplc="DC22AE5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9E7BCE"/>
    <w:multiLevelType w:val="hybridMultilevel"/>
    <w:tmpl w:val="B2F8748A"/>
    <w:lvl w:ilvl="0" w:tplc="77685102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38" w15:restartNumberingAfterBreak="0">
    <w:nsid w:val="7DC71452"/>
    <w:multiLevelType w:val="hybridMultilevel"/>
    <w:tmpl w:val="95DCA3F4"/>
    <w:lvl w:ilvl="0" w:tplc="58227908">
      <w:start w:val="1"/>
      <w:numFmt w:val="decimal"/>
      <w:lvlText w:val="%1)"/>
      <w:lvlJc w:val="left"/>
      <w:pPr>
        <w:ind w:left="57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9" w15:restartNumberingAfterBreak="0">
    <w:nsid w:val="7DFC046F"/>
    <w:multiLevelType w:val="hybridMultilevel"/>
    <w:tmpl w:val="8DBE47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24"/>
  </w:num>
  <w:num w:numId="5">
    <w:abstractNumId w:val="38"/>
  </w:num>
  <w:num w:numId="6">
    <w:abstractNumId w:val="26"/>
  </w:num>
  <w:num w:numId="7">
    <w:abstractNumId w:val="11"/>
  </w:num>
  <w:num w:numId="8">
    <w:abstractNumId w:val="12"/>
  </w:num>
  <w:num w:numId="9">
    <w:abstractNumId w:val="16"/>
  </w:num>
  <w:num w:numId="10">
    <w:abstractNumId w:val="36"/>
  </w:num>
  <w:num w:numId="11">
    <w:abstractNumId w:val="37"/>
  </w:num>
  <w:num w:numId="12">
    <w:abstractNumId w:val="22"/>
  </w:num>
  <w:num w:numId="13">
    <w:abstractNumId w:val="33"/>
  </w:num>
  <w:num w:numId="14">
    <w:abstractNumId w:val="7"/>
  </w:num>
  <w:num w:numId="15">
    <w:abstractNumId w:val="28"/>
  </w:num>
  <w:num w:numId="16">
    <w:abstractNumId w:val="35"/>
  </w:num>
  <w:num w:numId="17">
    <w:abstractNumId w:val="21"/>
  </w:num>
  <w:num w:numId="18">
    <w:abstractNumId w:val="2"/>
  </w:num>
  <w:num w:numId="19">
    <w:abstractNumId w:val="9"/>
  </w:num>
  <w:num w:numId="20">
    <w:abstractNumId w:val="5"/>
  </w:num>
  <w:num w:numId="21">
    <w:abstractNumId w:val="14"/>
  </w:num>
  <w:num w:numId="22">
    <w:abstractNumId w:val="8"/>
  </w:num>
  <w:num w:numId="23">
    <w:abstractNumId w:val="13"/>
  </w:num>
  <w:num w:numId="24">
    <w:abstractNumId w:val="31"/>
  </w:num>
  <w:num w:numId="25">
    <w:abstractNumId w:val="30"/>
  </w:num>
  <w:num w:numId="26">
    <w:abstractNumId w:val="19"/>
  </w:num>
  <w:num w:numId="27">
    <w:abstractNumId w:val="20"/>
  </w:num>
  <w:num w:numId="28">
    <w:abstractNumId w:val="17"/>
  </w:num>
  <w:num w:numId="29">
    <w:abstractNumId w:val="1"/>
  </w:num>
  <w:num w:numId="30">
    <w:abstractNumId w:val="23"/>
  </w:num>
  <w:num w:numId="31">
    <w:abstractNumId w:val="0"/>
  </w:num>
  <w:num w:numId="32">
    <w:abstractNumId w:val="32"/>
  </w:num>
  <w:num w:numId="33">
    <w:abstractNumId w:val="27"/>
  </w:num>
  <w:num w:numId="34">
    <w:abstractNumId w:val="4"/>
  </w:num>
  <w:num w:numId="35">
    <w:abstractNumId w:val="34"/>
  </w:num>
  <w:num w:numId="36">
    <w:abstractNumId w:val="39"/>
  </w:num>
  <w:num w:numId="37">
    <w:abstractNumId w:val="6"/>
  </w:num>
  <w:num w:numId="38">
    <w:abstractNumId w:val="25"/>
  </w:num>
  <w:num w:numId="39">
    <w:abstractNumId w:val="29"/>
  </w:num>
  <w:num w:numId="40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6"/>
    <w:rsid w:val="00000140"/>
    <w:rsid w:val="000028FE"/>
    <w:rsid w:val="0000650A"/>
    <w:rsid w:val="000107A6"/>
    <w:rsid w:val="00010E96"/>
    <w:rsid w:val="0001194C"/>
    <w:rsid w:val="000128DB"/>
    <w:rsid w:val="00014F92"/>
    <w:rsid w:val="000166F5"/>
    <w:rsid w:val="0002378A"/>
    <w:rsid w:val="0002650D"/>
    <w:rsid w:val="00026727"/>
    <w:rsid w:val="00026F1E"/>
    <w:rsid w:val="0003091C"/>
    <w:rsid w:val="00032AE9"/>
    <w:rsid w:val="00034080"/>
    <w:rsid w:val="00035FA9"/>
    <w:rsid w:val="00040A27"/>
    <w:rsid w:val="00044093"/>
    <w:rsid w:val="000442D7"/>
    <w:rsid w:val="0004542A"/>
    <w:rsid w:val="000518C7"/>
    <w:rsid w:val="00060BDA"/>
    <w:rsid w:val="00061161"/>
    <w:rsid w:val="000612C8"/>
    <w:rsid w:val="00061ADC"/>
    <w:rsid w:val="00061E85"/>
    <w:rsid w:val="0006270A"/>
    <w:rsid w:val="00063784"/>
    <w:rsid w:val="000654ED"/>
    <w:rsid w:val="000669C1"/>
    <w:rsid w:val="00067C3D"/>
    <w:rsid w:val="0007168F"/>
    <w:rsid w:val="00075EAC"/>
    <w:rsid w:val="000816EC"/>
    <w:rsid w:val="0008278A"/>
    <w:rsid w:val="0008561D"/>
    <w:rsid w:val="00085980"/>
    <w:rsid w:val="00085E92"/>
    <w:rsid w:val="000865F0"/>
    <w:rsid w:val="000870EF"/>
    <w:rsid w:val="00087A3E"/>
    <w:rsid w:val="00090F38"/>
    <w:rsid w:val="0009122F"/>
    <w:rsid w:val="000916E0"/>
    <w:rsid w:val="0009598D"/>
    <w:rsid w:val="0009602B"/>
    <w:rsid w:val="00097A19"/>
    <w:rsid w:val="000A1C42"/>
    <w:rsid w:val="000A2718"/>
    <w:rsid w:val="000A2965"/>
    <w:rsid w:val="000A46C1"/>
    <w:rsid w:val="000A60D6"/>
    <w:rsid w:val="000B0B5F"/>
    <w:rsid w:val="000B0ED5"/>
    <w:rsid w:val="000B3085"/>
    <w:rsid w:val="000B49E6"/>
    <w:rsid w:val="000B5D87"/>
    <w:rsid w:val="000B7A37"/>
    <w:rsid w:val="000B7C25"/>
    <w:rsid w:val="000B7F39"/>
    <w:rsid w:val="000C3BB4"/>
    <w:rsid w:val="000C4BFE"/>
    <w:rsid w:val="000C71CC"/>
    <w:rsid w:val="000D40B9"/>
    <w:rsid w:val="000D4654"/>
    <w:rsid w:val="000D4FE7"/>
    <w:rsid w:val="000D5B7F"/>
    <w:rsid w:val="000D735B"/>
    <w:rsid w:val="000E0524"/>
    <w:rsid w:val="000E0A27"/>
    <w:rsid w:val="000E20F7"/>
    <w:rsid w:val="000E2B0B"/>
    <w:rsid w:val="000E2FAA"/>
    <w:rsid w:val="000E3C28"/>
    <w:rsid w:val="000E3E32"/>
    <w:rsid w:val="000E718F"/>
    <w:rsid w:val="000E7C2D"/>
    <w:rsid w:val="000F0515"/>
    <w:rsid w:val="000F1235"/>
    <w:rsid w:val="000F2CC8"/>
    <w:rsid w:val="000F3E36"/>
    <w:rsid w:val="000F4322"/>
    <w:rsid w:val="000F5632"/>
    <w:rsid w:val="000F651D"/>
    <w:rsid w:val="000F67F3"/>
    <w:rsid w:val="000F6A1D"/>
    <w:rsid w:val="000F6A31"/>
    <w:rsid w:val="000F76E6"/>
    <w:rsid w:val="00101D7B"/>
    <w:rsid w:val="00101FC5"/>
    <w:rsid w:val="001027D4"/>
    <w:rsid w:val="001035B8"/>
    <w:rsid w:val="001104EC"/>
    <w:rsid w:val="001107D5"/>
    <w:rsid w:val="00111975"/>
    <w:rsid w:val="00111C02"/>
    <w:rsid w:val="00111CAC"/>
    <w:rsid w:val="0011361A"/>
    <w:rsid w:val="0011440F"/>
    <w:rsid w:val="001149C8"/>
    <w:rsid w:val="001159E7"/>
    <w:rsid w:val="00115F24"/>
    <w:rsid w:val="001176B6"/>
    <w:rsid w:val="00120D92"/>
    <w:rsid w:val="001213D5"/>
    <w:rsid w:val="0012268D"/>
    <w:rsid w:val="00122BE8"/>
    <w:rsid w:val="00125C32"/>
    <w:rsid w:val="00126280"/>
    <w:rsid w:val="00126B0E"/>
    <w:rsid w:val="00127279"/>
    <w:rsid w:val="00130B7D"/>
    <w:rsid w:val="00131594"/>
    <w:rsid w:val="00131984"/>
    <w:rsid w:val="001329EE"/>
    <w:rsid w:val="00132E28"/>
    <w:rsid w:val="00133CD1"/>
    <w:rsid w:val="0013518A"/>
    <w:rsid w:val="00136869"/>
    <w:rsid w:val="00136A59"/>
    <w:rsid w:val="001371F2"/>
    <w:rsid w:val="00141058"/>
    <w:rsid w:val="001416E5"/>
    <w:rsid w:val="00143880"/>
    <w:rsid w:val="00143BEB"/>
    <w:rsid w:val="00144C7D"/>
    <w:rsid w:val="001476AF"/>
    <w:rsid w:val="001503E7"/>
    <w:rsid w:val="00151485"/>
    <w:rsid w:val="00151E05"/>
    <w:rsid w:val="001521BD"/>
    <w:rsid w:val="00152A9F"/>
    <w:rsid w:val="00153DAE"/>
    <w:rsid w:val="00154253"/>
    <w:rsid w:val="00156C81"/>
    <w:rsid w:val="00160B9F"/>
    <w:rsid w:val="001615A2"/>
    <w:rsid w:val="00161FDD"/>
    <w:rsid w:val="001623BE"/>
    <w:rsid w:val="0016309D"/>
    <w:rsid w:val="001637C3"/>
    <w:rsid w:val="00164542"/>
    <w:rsid w:val="001700A4"/>
    <w:rsid w:val="00170AD4"/>
    <w:rsid w:val="0017495C"/>
    <w:rsid w:val="0018049B"/>
    <w:rsid w:val="0018435E"/>
    <w:rsid w:val="001854B7"/>
    <w:rsid w:val="00187ECF"/>
    <w:rsid w:val="00195E8A"/>
    <w:rsid w:val="0019682C"/>
    <w:rsid w:val="001A0508"/>
    <w:rsid w:val="001A15C0"/>
    <w:rsid w:val="001A234A"/>
    <w:rsid w:val="001A47A2"/>
    <w:rsid w:val="001A56A7"/>
    <w:rsid w:val="001A5A85"/>
    <w:rsid w:val="001B0BE9"/>
    <w:rsid w:val="001B16E9"/>
    <w:rsid w:val="001B67C8"/>
    <w:rsid w:val="001C05A6"/>
    <w:rsid w:val="001C2567"/>
    <w:rsid w:val="001C37FA"/>
    <w:rsid w:val="001C6B61"/>
    <w:rsid w:val="001D01C9"/>
    <w:rsid w:val="001D246F"/>
    <w:rsid w:val="001D3CA4"/>
    <w:rsid w:val="001D685C"/>
    <w:rsid w:val="001E04FE"/>
    <w:rsid w:val="001E3E2A"/>
    <w:rsid w:val="001E4434"/>
    <w:rsid w:val="001E552E"/>
    <w:rsid w:val="001E5DB0"/>
    <w:rsid w:val="001F053B"/>
    <w:rsid w:val="001F0A41"/>
    <w:rsid w:val="001F0BE1"/>
    <w:rsid w:val="001F1097"/>
    <w:rsid w:val="001F18ED"/>
    <w:rsid w:val="001F3670"/>
    <w:rsid w:val="001F5321"/>
    <w:rsid w:val="001F56B2"/>
    <w:rsid w:val="001F6151"/>
    <w:rsid w:val="00200E04"/>
    <w:rsid w:val="00203480"/>
    <w:rsid w:val="002043E2"/>
    <w:rsid w:val="002063BA"/>
    <w:rsid w:val="00212C2B"/>
    <w:rsid w:val="002147EF"/>
    <w:rsid w:val="00214F8B"/>
    <w:rsid w:val="00216428"/>
    <w:rsid w:val="00220305"/>
    <w:rsid w:val="00221AA7"/>
    <w:rsid w:val="00221F90"/>
    <w:rsid w:val="002266B2"/>
    <w:rsid w:val="00227E20"/>
    <w:rsid w:val="002313C7"/>
    <w:rsid w:val="0023286D"/>
    <w:rsid w:val="00233F3C"/>
    <w:rsid w:val="00236D60"/>
    <w:rsid w:val="0024074B"/>
    <w:rsid w:val="00241283"/>
    <w:rsid w:val="0025344A"/>
    <w:rsid w:val="00254287"/>
    <w:rsid w:val="002548A4"/>
    <w:rsid w:val="00256F8C"/>
    <w:rsid w:val="002640AA"/>
    <w:rsid w:val="00266500"/>
    <w:rsid w:val="00266F65"/>
    <w:rsid w:val="0026791B"/>
    <w:rsid w:val="00270F23"/>
    <w:rsid w:val="00271D9F"/>
    <w:rsid w:val="0027655C"/>
    <w:rsid w:val="002806BD"/>
    <w:rsid w:val="002815F0"/>
    <w:rsid w:val="0028262D"/>
    <w:rsid w:val="00282D6D"/>
    <w:rsid w:val="00283508"/>
    <w:rsid w:val="002841A4"/>
    <w:rsid w:val="0028474D"/>
    <w:rsid w:val="002847AF"/>
    <w:rsid w:val="00285499"/>
    <w:rsid w:val="00286496"/>
    <w:rsid w:val="00286759"/>
    <w:rsid w:val="002874A0"/>
    <w:rsid w:val="002876E2"/>
    <w:rsid w:val="00294BA4"/>
    <w:rsid w:val="00295C5E"/>
    <w:rsid w:val="00297F40"/>
    <w:rsid w:val="00297FF6"/>
    <w:rsid w:val="002A166F"/>
    <w:rsid w:val="002A292D"/>
    <w:rsid w:val="002A3EBE"/>
    <w:rsid w:val="002A7055"/>
    <w:rsid w:val="002B015E"/>
    <w:rsid w:val="002B110B"/>
    <w:rsid w:val="002B3DC7"/>
    <w:rsid w:val="002B51F0"/>
    <w:rsid w:val="002B5B58"/>
    <w:rsid w:val="002B726F"/>
    <w:rsid w:val="002B7738"/>
    <w:rsid w:val="002C05D7"/>
    <w:rsid w:val="002C3BAB"/>
    <w:rsid w:val="002C7A38"/>
    <w:rsid w:val="002C7C18"/>
    <w:rsid w:val="002D005D"/>
    <w:rsid w:val="002D03CD"/>
    <w:rsid w:val="002D10B7"/>
    <w:rsid w:val="002D4A01"/>
    <w:rsid w:val="002D568E"/>
    <w:rsid w:val="002E1622"/>
    <w:rsid w:val="002E2020"/>
    <w:rsid w:val="002E2246"/>
    <w:rsid w:val="002E22ED"/>
    <w:rsid w:val="002E2DAE"/>
    <w:rsid w:val="002E4F45"/>
    <w:rsid w:val="002F0BA7"/>
    <w:rsid w:val="002F0CBF"/>
    <w:rsid w:val="002F386E"/>
    <w:rsid w:val="002F5A76"/>
    <w:rsid w:val="00300243"/>
    <w:rsid w:val="00301157"/>
    <w:rsid w:val="003072F9"/>
    <w:rsid w:val="003101C3"/>
    <w:rsid w:val="003107BA"/>
    <w:rsid w:val="00310A4C"/>
    <w:rsid w:val="003123C5"/>
    <w:rsid w:val="00314D6D"/>
    <w:rsid w:val="003163B9"/>
    <w:rsid w:val="00316506"/>
    <w:rsid w:val="003170EB"/>
    <w:rsid w:val="00317CC1"/>
    <w:rsid w:val="003219C2"/>
    <w:rsid w:val="00324C8B"/>
    <w:rsid w:val="00326F4B"/>
    <w:rsid w:val="0032765D"/>
    <w:rsid w:val="00331631"/>
    <w:rsid w:val="003332EF"/>
    <w:rsid w:val="00334B88"/>
    <w:rsid w:val="00336232"/>
    <w:rsid w:val="003370DE"/>
    <w:rsid w:val="00340530"/>
    <w:rsid w:val="003407F7"/>
    <w:rsid w:val="00340A08"/>
    <w:rsid w:val="00341A3D"/>
    <w:rsid w:val="0034274C"/>
    <w:rsid w:val="0034317E"/>
    <w:rsid w:val="00351019"/>
    <w:rsid w:val="00352F97"/>
    <w:rsid w:val="0035669F"/>
    <w:rsid w:val="00356809"/>
    <w:rsid w:val="00360B9D"/>
    <w:rsid w:val="00361089"/>
    <w:rsid w:val="00361771"/>
    <w:rsid w:val="003632AC"/>
    <w:rsid w:val="003645C0"/>
    <w:rsid w:val="003658DF"/>
    <w:rsid w:val="00367D9F"/>
    <w:rsid w:val="00370E3E"/>
    <w:rsid w:val="00371581"/>
    <w:rsid w:val="0037176E"/>
    <w:rsid w:val="00372DE3"/>
    <w:rsid w:val="00375566"/>
    <w:rsid w:val="0037655C"/>
    <w:rsid w:val="00377B63"/>
    <w:rsid w:val="00380646"/>
    <w:rsid w:val="003814FF"/>
    <w:rsid w:val="003839A7"/>
    <w:rsid w:val="00384171"/>
    <w:rsid w:val="003857D9"/>
    <w:rsid w:val="00385955"/>
    <w:rsid w:val="00385D26"/>
    <w:rsid w:val="00386041"/>
    <w:rsid w:val="003919B8"/>
    <w:rsid w:val="00391FFE"/>
    <w:rsid w:val="00397BA7"/>
    <w:rsid w:val="00397C35"/>
    <w:rsid w:val="003A08EF"/>
    <w:rsid w:val="003A1286"/>
    <w:rsid w:val="003A1A6F"/>
    <w:rsid w:val="003A32F9"/>
    <w:rsid w:val="003A434E"/>
    <w:rsid w:val="003A473A"/>
    <w:rsid w:val="003A4C5B"/>
    <w:rsid w:val="003A6901"/>
    <w:rsid w:val="003A73B9"/>
    <w:rsid w:val="003A796E"/>
    <w:rsid w:val="003B0CB2"/>
    <w:rsid w:val="003B142B"/>
    <w:rsid w:val="003B195B"/>
    <w:rsid w:val="003B1B20"/>
    <w:rsid w:val="003B1DD7"/>
    <w:rsid w:val="003B3FB6"/>
    <w:rsid w:val="003B608A"/>
    <w:rsid w:val="003B7809"/>
    <w:rsid w:val="003C6359"/>
    <w:rsid w:val="003C6ED5"/>
    <w:rsid w:val="003D0AEB"/>
    <w:rsid w:val="003D2952"/>
    <w:rsid w:val="003D3AF6"/>
    <w:rsid w:val="003D3FCC"/>
    <w:rsid w:val="003D5129"/>
    <w:rsid w:val="003D5912"/>
    <w:rsid w:val="003D7411"/>
    <w:rsid w:val="003E261A"/>
    <w:rsid w:val="003E289F"/>
    <w:rsid w:val="003E2E85"/>
    <w:rsid w:val="003E5C84"/>
    <w:rsid w:val="003E7384"/>
    <w:rsid w:val="003E7FE7"/>
    <w:rsid w:val="003F0D96"/>
    <w:rsid w:val="003F1006"/>
    <w:rsid w:val="003F2564"/>
    <w:rsid w:val="003F6190"/>
    <w:rsid w:val="00400FFE"/>
    <w:rsid w:val="00401253"/>
    <w:rsid w:val="00401DA8"/>
    <w:rsid w:val="00402123"/>
    <w:rsid w:val="00402B98"/>
    <w:rsid w:val="00403396"/>
    <w:rsid w:val="00403490"/>
    <w:rsid w:val="0040353D"/>
    <w:rsid w:val="00403E54"/>
    <w:rsid w:val="004043ED"/>
    <w:rsid w:val="0040578B"/>
    <w:rsid w:val="00405CE7"/>
    <w:rsid w:val="00412239"/>
    <w:rsid w:val="00413349"/>
    <w:rsid w:val="00414C37"/>
    <w:rsid w:val="00415126"/>
    <w:rsid w:val="00417EB3"/>
    <w:rsid w:val="00420F75"/>
    <w:rsid w:val="004244DD"/>
    <w:rsid w:val="0042517A"/>
    <w:rsid w:val="00425C7E"/>
    <w:rsid w:val="00430716"/>
    <w:rsid w:val="00433EDB"/>
    <w:rsid w:val="00434270"/>
    <w:rsid w:val="004369A2"/>
    <w:rsid w:val="00437468"/>
    <w:rsid w:val="00437E75"/>
    <w:rsid w:val="0044016A"/>
    <w:rsid w:val="004407B3"/>
    <w:rsid w:val="00440F8B"/>
    <w:rsid w:val="00441F8C"/>
    <w:rsid w:val="00446554"/>
    <w:rsid w:val="004476F3"/>
    <w:rsid w:val="004477D9"/>
    <w:rsid w:val="00447C33"/>
    <w:rsid w:val="004510DD"/>
    <w:rsid w:val="00453A7B"/>
    <w:rsid w:val="00453E81"/>
    <w:rsid w:val="0045670E"/>
    <w:rsid w:val="00456C87"/>
    <w:rsid w:val="00456D5C"/>
    <w:rsid w:val="00457CB0"/>
    <w:rsid w:val="00457D75"/>
    <w:rsid w:val="0046131E"/>
    <w:rsid w:val="004643D6"/>
    <w:rsid w:val="00464A07"/>
    <w:rsid w:val="00464DFE"/>
    <w:rsid w:val="004679EB"/>
    <w:rsid w:val="00471A75"/>
    <w:rsid w:val="00472029"/>
    <w:rsid w:val="00472AAB"/>
    <w:rsid w:val="004735D3"/>
    <w:rsid w:val="004740CE"/>
    <w:rsid w:val="00475BF1"/>
    <w:rsid w:val="0047697C"/>
    <w:rsid w:val="00476E52"/>
    <w:rsid w:val="00482154"/>
    <w:rsid w:val="00482289"/>
    <w:rsid w:val="00483518"/>
    <w:rsid w:val="00483DD8"/>
    <w:rsid w:val="00484A3D"/>
    <w:rsid w:val="00490C03"/>
    <w:rsid w:val="004919E4"/>
    <w:rsid w:val="00492071"/>
    <w:rsid w:val="00493768"/>
    <w:rsid w:val="00496108"/>
    <w:rsid w:val="00496CCE"/>
    <w:rsid w:val="004970F4"/>
    <w:rsid w:val="004A4323"/>
    <w:rsid w:val="004A5C63"/>
    <w:rsid w:val="004A7D9E"/>
    <w:rsid w:val="004B00A5"/>
    <w:rsid w:val="004B2CF7"/>
    <w:rsid w:val="004B5688"/>
    <w:rsid w:val="004B7141"/>
    <w:rsid w:val="004C1823"/>
    <w:rsid w:val="004C1AF3"/>
    <w:rsid w:val="004C413B"/>
    <w:rsid w:val="004C57E3"/>
    <w:rsid w:val="004D000C"/>
    <w:rsid w:val="004D0B9A"/>
    <w:rsid w:val="004D3D0B"/>
    <w:rsid w:val="004D42C5"/>
    <w:rsid w:val="004D69DD"/>
    <w:rsid w:val="004D7EC4"/>
    <w:rsid w:val="004E278E"/>
    <w:rsid w:val="004E27F4"/>
    <w:rsid w:val="004E3A32"/>
    <w:rsid w:val="004E4E6F"/>
    <w:rsid w:val="004E683F"/>
    <w:rsid w:val="004F0146"/>
    <w:rsid w:val="004F1207"/>
    <w:rsid w:val="004F3337"/>
    <w:rsid w:val="004F345F"/>
    <w:rsid w:val="004F3A49"/>
    <w:rsid w:val="004F7CEF"/>
    <w:rsid w:val="005034BF"/>
    <w:rsid w:val="00504425"/>
    <w:rsid w:val="00504845"/>
    <w:rsid w:val="0050554E"/>
    <w:rsid w:val="00507429"/>
    <w:rsid w:val="0051051B"/>
    <w:rsid w:val="00510C6C"/>
    <w:rsid w:val="005117CA"/>
    <w:rsid w:val="00512EDF"/>
    <w:rsid w:val="00514D09"/>
    <w:rsid w:val="00514F8A"/>
    <w:rsid w:val="0051708D"/>
    <w:rsid w:val="00520BB5"/>
    <w:rsid w:val="00521021"/>
    <w:rsid w:val="005244F9"/>
    <w:rsid w:val="00526948"/>
    <w:rsid w:val="005278ED"/>
    <w:rsid w:val="005329AD"/>
    <w:rsid w:val="005347A3"/>
    <w:rsid w:val="00534DA0"/>
    <w:rsid w:val="005352DE"/>
    <w:rsid w:val="00536232"/>
    <w:rsid w:val="00536D72"/>
    <w:rsid w:val="00537052"/>
    <w:rsid w:val="0053772B"/>
    <w:rsid w:val="0053784A"/>
    <w:rsid w:val="00537BBA"/>
    <w:rsid w:val="005412D4"/>
    <w:rsid w:val="0054250B"/>
    <w:rsid w:val="00544483"/>
    <w:rsid w:val="005448DF"/>
    <w:rsid w:val="0054669A"/>
    <w:rsid w:val="00550BF4"/>
    <w:rsid w:val="005522CD"/>
    <w:rsid w:val="00552853"/>
    <w:rsid w:val="0055315E"/>
    <w:rsid w:val="005532E3"/>
    <w:rsid w:val="00553469"/>
    <w:rsid w:val="00554775"/>
    <w:rsid w:val="00560D00"/>
    <w:rsid w:val="0056255F"/>
    <w:rsid w:val="00562A9C"/>
    <w:rsid w:val="00563944"/>
    <w:rsid w:val="005643F7"/>
    <w:rsid w:val="00564E54"/>
    <w:rsid w:val="00564EB6"/>
    <w:rsid w:val="005653F6"/>
    <w:rsid w:val="00566131"/>
    <w:rsid w:val="00566CCD"/>
    <w:rsid w:val="00573CE5"/>
    <w:rsid w:val="00575879"/>
    <w:rsid w:val="00575DE0"/>
    <w:rsid w:val="00576504"/>
    <w:rsid w:val="00580821"/>
    <w:rsid w:val="0058223D"/>
    <w:rsid w:val="005827C6"/>
    <w:rsid w:val="00582972"/>
    <w:rsid w:val="00582AF9"/>
    <w:rsid w:val="00585A8B"/>
    <w:rsid w:val="005860E2"/>
    <w:rsid w:val="00590C9A"/>
    <w:rsid w:val="0059261B"/>
    <w:rsid w:val="005930AE"/>
    <w:rsid w:val="00593C5E"/>
    <w:rsid w:val="005A10B0"/>
    <w:rsid w:val="005A293B"/>
    <w:rsid w:val="005A4B19"/>
    <w:rsid w:val="005B06FA"/>
    <w:rsid w:val="005B352C"/>
    <w:rsid w:val="005B4EE1"/>
    <w:rsid w:val="005B5A65"/>
    <w:rsid w:val="005B5F03"/>
    <w:rsid w:val="005B6B82"/>
    <w:rsid w:val="005B6DD5"/>
    <w:rsid w:val="005B77BE"/>
    <w:rsid w:val="005C0F82"/>
    <w:rsid w:val="005C1368"/>
    <w:rsid w:val="005C182C"/>
    <w:rsid w:val="005C1CA4"/>
    <w:rsid w:val="005C2279"/>
    <w:rsid w:val="005C30ED"/>
    <w:rsid w:val="005C386B"/>
    <w:rsid w:val="005C3943"/>
    <w:rsid w:val="005C5258"/>
    <w:rsid w:val="005C579F"/>
    <w:rsid w:val="005C6AC2"/>
    <w:rsid w:val="005C7F1B"/>
    <w:rsid w:val="005D0FAB"/>
    <w:rsid w:val="005D22B0"/>
    <w:rsid w:val="005E0ABB"/>
    <w:rsid w:val="005E1750"/>
    <w:rsid w:val="005E2A16"/>
    <w:rsid w:val="005E36E6"/>
    <w:rsid w:val="005E5BDF"/>
    <w:rsid w:val="005E6A37"/>
    <w:rsid w:val="005F0A3B"/>
    <w:rsid w:val="005F1C83"/>
    <w:rsid w:val="005F4F7C"/>
    <w:rsid w:val="005F569B"/>
    <w:rsid w:val="005F64DF"/>
    <w:rsid w:val="005F6C9D"/>
    <w:rsid w:val="005F75A1"/>
    <w:rsid w:val="00600797"/>
    <w:rsid w:val="00600854"/>
    <w:rsid w:val="00604590"/>
    <w:rsid w:val="00605222"/>
    <w:rsid w:val="00605395"/>
    <w:rsid w:val="00606194"/>
    <w:rsid w:val="006068E6"/>
    <w:rsid w:val="00611191"/>
    <w:rsid w:val="00612A09"/>
    <w:rsid w:val="00614095"/>
    <w:rsid w:val="00615459"/>
    <w:rsid w:val="006165DC"/>
    <w:rsid w:val="006212DA"/>
    <w:rsid w:val="00621B03"/>
    <w:rsid w:val="0062261D"/>
    <w:rsid w:val="00624305"/>
    <w:rsid w:val="0063250D"/>
    <w:rsid w:val="006325AB"/>
    <w:rsid w:val="00636A61"/>
    <w:rsid w:val="00640C7F"/>
    <w:rsid w:val="0064233E"/>
    <w:rsid w:val="006454BB"/>
    <w:rsid w:val="00650D47"/>
    <w:rsid w:val="00651D78"/>
    <w:rsid w:val="0065207E"/>
    <w:rsid w:val="00653E4D"/>
    <w:rsid w:val="0065439E"/>
    <w:rsid w:val="00656D0B"/>
    <w:rsid w:val="00660C47"/>
    <w:rsid w:val="00660C8C"/>
    <w:rsid w:val="00664D62"/>
    <w:rsid w:val="0066584C"/>
    <w:rsid w:val="00666677"/>
    <w:rsid w:val="00666BF9"/>
    <w:rsid w:val="00667052"/>
    <w:rsid w:val="006704D1"/>
    <w:rsid w:val="00673964"/>
    <w:rsid w:val="00674306"/>
    <w:rsid w:val="00674D4B"/>
    <w:rsid w:val="00675E52"/>
    <w:rsid w:val="00676824"/>
    <w:rsid w:val="006824F5"/>
    <w:rsid w:val="006835FE"/>
    <w:rsid w:val="006838E0"/>
    <w:rsid w:val="0068448C"/>
    <w:rsid w:val="00685807"/>
    <w:rsid w:val="00686AA8"/>
    <w:rsid w:val="00687CC6"/>
    <w:rsid w:val="00693E4A"/>
    <w:rsid w:val="0069469E"/>
    <w:rsid w:val="006962AF"/>
    <w:rsid w:val="0069656F"/>
    <w:rsid w:val="00697738"/>
    <w:rsid w:val="006979CE"/>
    <w:rsid w:val="00697F00"/>
    <w:rsid w:val="006A18EC"/>
    <w:rsid w:val="006A1D88"/>
    <w:rsid w:val="006A2FEF"/>
    <w:rsid w:val="006A39DD"/>
    <w:rsid w:val="006A3F00"/>
    <w:rsid w:val="006A3F39"/>
    <w:rsid w:val="006A421F"/>
    <w:rsid w:val="006A47FA"/>
    <w:rsid w:val="006A4BE3"/>
    <w:rsid w:val="006A583D"/>
    <w:rsid w:val="006B0131"/>
    <w:rsid w:val="006B10EF"/>
    <w:rsid w:val="006B1A89"/>
    <w:rsid w:val="006B1CD9"/>
    <w:rsid w:val="006B1DA4"/>
    <w:rsid w:val="006B3F69"/>
    <w:rsid w:val="006B4950"/>
    <w:rsid w:val="006C09F4"/>
    <w:rsid w:val="006C4B2E"/>
    <w:rsid w:val="006C4BB9"/>
    <w:rsid w:val="006C4D2D"/>
    <w:rsid w:val="006C56DA"/>
    <w:rsid w:val="006C6DF4"/>
    <w:rsid w:val="006D20A4"/>
    <w:rsid w:val="006D254E"/>
    <w:rsid w:val="006D35ED"/>
    <w:rsid w:val="006D3F33"/>
    <w:rsid w:val="006D59C2"/>
    <w:rsid w:val="006D6F93"/>
    <w:rsid w:val="006E1119"/>
    <w:rsid w:val="006E35D7"/>
    <w:rsid w:val="006E3825"/>
    <w:rsid w:val="006E6CC1"/>
    <w:rsid w:val="006E727D"/>
    <w:rsid w:val="006F02F7"/>
    <w:rsid w:val="006F1770"/>
    <w:rsid w:val="006F1E26"/>
    <w:rsid w:val="006F2732"/>
    <w:rsid w:val="006F497B"/>
    <w:rsid w:val="006F586E"/>
    <w:rsid w:val="006F77DF"/>
    <w:rsid w:val="007048AE"/>
    <w:rsid w:val="007059C2"/>
    <w:rsid w:val="007059D9"/>
    <w:rsid w:val="007067A4"/>
    <w:rsid w:val="00710395"/>
    <w:rsid w:val="00710BF9"/>
    <w:rsid w:val="007111E6"/>
    <w:rsid w:val="0071673B"/>
    <w:rsid w:val="0072007F"/>
    <w:rsid w:val="00720852"/>
    <w:rsid w:val="007209CD"/>
    <w:rsid w:val="0072211F"/>
    <w:rsid w:val="00722F19"/>
    <w:rsid w:val="007276C6"/>
    <w:rsid w:val="00727EA4"/>
    <w:rsid w:val="00731711"/>
    <w:rsid w:val="00734417"/>
    <w:rsid w:val="0074029E"/>
    <w:rsid w:val="0074200D"/>
    <w:rsid w:val="007430D9"/>
    <w:rsid w:val="0074470B"/>
    <w:rsid w:val="0074714A"/>
    <w:rsid w:val="00750AFD"/>
    <w:rsid w:val="007523F5"/>
    <w:rsid w:val="00754092"/>
    <w:rsid w:val="00754A5E"/>
    <w:rsid w:val="00755AD7"/>
    <w:rsid w:val="00756426"/>
    <w:rsid w:val="00763F3C"/>
    <w:rsid w:val="007644AE"/>
    <w:rsid w:val="0076562A"/>
    <w:rsid w:val="00766F08"/>
    <w:rsid w:val="00770235"/>
    <w:rsid w:val="007704CD"/>
    <w:rsid w:val="007709D6"/>
    <w:rsid w:val="0077103E"/>
    <w:rsid w:val="00771B24"/>
    <w:rsid w:val="00772C6A"/>
    <w:rsid w:val="007807E4"/>
    <w:rsid w:val="00783507"/>
    <w:rsid w:val="00784578"/>
    <w:rsid w:val="00785039"/>
    <w:rsid w:val="00785CE7"/>
    <w:rsid w:val="007875E8"/>
    <w:rsid w:val="00787827"/>
    <w:rsid w:val="00787CA9"/>
    <w:rsid w:val="007906FE"/>
    <w:rsid w:val="00790B21"/>
    <w:rsid w:val="007926A5"/>
    <w:rsid w:val="00792D13"/>
    <w:rsid w:val="00796355"/>
    <w:rsid w:val="00797C6D"/>
    <w:rsid w:val="007A6BFF"/>
    <w:rsid w:val="007B0493"/>
    <w:rsid w:val="007B0811"/>
    <w:rsid w:val="007B0FAE"/>
    <w:rsid w:val="007B21D6"/>
    <w:rsid w:val="007B532A"/>
    <w:rsid w:val="007B581C"/>
    <w:rsid w:val="007B5D1A"/>
    <w:rsid w:val="007B6610"/>
    <w:rsid w:val="007C1125"/>
    <w:rsid w:val="007C125C"/>
    <w:rsid w:val="007C242E"/>
    <w:rsid w:val="007C282F"/>
    <w:rsid w:val="007C2E1A"/>
    <w:rsid w:val="007C32A8"/>
    <w:rsid w:val="007C3A62"/>
    <w:rsid w:val="007C5472"/>
    <w:rsid w:val="007C5E0F"/>
    <w:rsid w:val="007C780A"/>
    <w:rsid w:val="007D147E"/>
    <w:rsid w:val="007D1ED6"/>
    <w:rsid w:val="007D2F18"/>
    <w:rsid w:val="007D3BAA"/>
    <w:rsid w:val="007D5EC3"/>
    <w:rsid w:val="007D6FC2"/>
    <w:rsid w:val="007E0693"/>
    <w:rsid w:val="007E2386"/>
    <w:rsid w:val="007E29E2"/>
    <w:rsid w:val="007E3754"/>
    <w:rsid w:val="007E5CCC"/>
    <w:rsid w:val="007E73FE"/>
    <w:rsid w:val="007F0894"/>
    <w:rsid w:val="007F3A84"/>
    <w:rsid w:val="007F4CFD"/>
    <w:rsid w:val="007F6C1D"/>
    <w:rsid w:val="007F7D0A"/>
    <w:rsid w:val="008001D1"/>
    <w:rsid w:val="00800443"/>
    <w:rsid w:val="00800591"/>
    <w:rsid w:val="00803232"/>
    <w:rsid w:val="008051AE"/>
    <w:rsid w:val="00806ABB"/>
    <w:rsid w:val="00807AE6"/>
    <w:rsid w:val="00810D79"/>
    <w:rsid w:val="0081551B"/>
    <w:rsid w:val="00820468"/>
    <w:rsid w:val="008245EB"/>
    <w:rsid w:val="00825890"/>
    <w:rsid w:val="008273C7"/>
    <w:rsid w:val="008358F3"/>
    <w:rsid w:val="00837B64"/>
    <w:rsid w:val="00837FBC"/>
    <w:rsid w:val="00843F2E"/>
    <w:rsid w:val="00846EF9"/>
    <w:rsid w:val="008476D0"/>
    <w:rsid w:val="00847F04"/>
    <w:rsid w:val="008500B7"/>
    <w:rsid w:val="008546FC"/>
    <w:rsid w:val="00857D9C"/>
    <w:rsid w:val="008604E3"/>
    <w:rsid w:val="00864A07"/>
    <w:rsid w:val="008669F4"/>
    <w:rsid w:val="00866C8F"/>
    <w:rsid w:val="0087001A"/>
    <w:rsid w:val="00870D19"/>
    <w:rsid w:val="008720ED"/>
    <w:rsid w:val="008742C0"/>
    <w:rsid w:val="008755F9"/>
    <w:rsid w:val="00876150"/>
    <w:rsid w:val="00881EFB"/>
    <w:rsid w:val="0088256C"/>
    <w:rsid w:val="00884B83"/>
    <w:rsid w:val="00884EE3"/>
    <w:rsid w:val="00885CDF"/>
    <w:rsid w:val="0088641F"/>
    <w:rsid w:val="00887426"/>
    <w:rsid w:val="0088759B"/>
    <w:rsid w:val="008929B3"/>
    <w:rsid w:val="008933DA"/>
    <w:rsid w:val="008947D4"/>
    <w:rsid w:val="00896788"/>
    <w:rsid w:val="008A0875"/>
    <w:rsid w:val="008A1E98"/>
    <w:rsid w:val="008A2C93"/>
    <w:rsid w:val="008A305C"/>
    <w:rsid w:val="008A3EDA"/>
    <w:rsid w:val="008A5E07"/>
    <w:rsid w:val="008A75BF"/>
    <w:rsid w:val="008A7E78"/>
    <w:rsid w:val="008B1CCD"/>
    <w:rsid w:val="008B421E"/>
    <w:rsid w:val="008B59A6"/>
    <w:rsid w:val="008B629D"/>
    <w:rsid w:val="008B7379"/>
    <w:rsid w:val="008B74C8"/>
    <w:rsid w:val="008B7DBB"/>
    <w:rsid w:val="008C1B9D"/>
    <w:rsid w:val="008C7947"/>
    <w:rsid w:val="008D2398"/>
    <w:rsid w:val="008D5888"/>
    <w:rsid w:val="008D5999"/>
    <w:rsid w:val="008D5F84"/>
    <w:rsid w:val="008D69E8"/>
    <w:rsid w:val="008D6F07"/>
    <w:rsid w:val="008E21A9"/>
    <w:rsid w:val="008E32FA"/>
    <w:rsid w:val="008E4029"/>
    <w:rsid w:val="008E4DE6"/>
    <w:rsid w:val="008E4E1F"/>
    <w:rsid w:val="008E5025"/>
    <w:rsid w:val="008E53A7"/>
    <w:rsid w:val="008E779C"/>
    <w:rsid w:val="008E7D4D"/>
    <w:rsid w:val="008E7ECD"/>
    <w:rsid w:val="008F2B59"/>
    <w:rsid w:val="008F3D4B"/>
    <w:rsid w:val="008F4E9F"/>
    <w:rsid w:val="008F4F37"/>
    <w:rsid w:val="008F5294"/>
    <w:rsid w:val="008F5BBD"/>
    <w:rsid w:val="00905D8F"/>
    <w:rsid w:val="009066BF"/>
    <w:rsid w:val="00906CBC"/>
    <w:rsid w:val="009077D8"/>
    <w:rsid w:val="00911306"/>
    <w:rsid w:val="00912182"/>
    <w:rsid w:val="009128D2"/>
    <w:rsid w:val="00913B41"/>
    <w:rsid w:val="00914FF4"/>
    <w:rsid w:val="0091566D"/>
    <w:rsid w:val="00916992"/>
    <w:rsid w:val="00921D84"/>
    <w:rsid w:val="00924ECF"/>
    <w:rsid w:val="009255A5"/>
    <w:rsid w:val="00926C7C"/>
    <w:rsid w:val="0093074B"/>
    <w:rsid w:val="00936213"/>
    <w:rsid w:val="00936541"/>
    <w:rsid w:val="00936848"/>
    <w:rsid w:val="00936A44"/>
    <w:rsid w:val="0093778C"/>
    <w:rsid w:val="00937A6C"/>
    <w:rsid w:val="009415B4"/>
    <w:rsid w:val="009427E6"/>
    <w:rsid w:val="00944FAA"/>
    <w:rsid w:val="00945F1D"/>
    <w:rsid w:val="009468B1"/>
    <w:rsid w:val="0095058F"/>
    <w:rsid w:val="00953775"/>
    <w:rsid w:val="009543BC"/>
    <w:rsid w:val="009577BC"/>
    <w:rsid w:val="0096245C"/>
    <w:rsid w:val="009626E3"/>
    <w:rsid w:val="00962772"/>
    <w:rsid w:val="009670F3"/>
    <w:rsid w:val="00967AFA"/>
    <w:rsid w:val="009709EA"/>
    <w:rsid w:val="00973D70"/>
    <w:rsid w:val="00974DF2"/>
    <w:rsid w:val="009765AA"/>
    <w:rsid w:val="0098002F"/>
    <w:rsid w:val="009812EF"/>
    <w:rsid w:val="00984FDA"/>
    <w:rsid w:val="00985B5D"/>
    <w:rsid w:val="00985B86"/>
    <w:rsid w:val="00986BFA"/>
    <w:rsid w:val="0099113A"/>
    <w:rsid w:val="0099171F"/>
    <w:rsid w:val="00991A3B"/>
    <w:rsid w:val="00995C07"/>
    <w:rsid w:val="00997388"/>
    <w:rsid w:val="009A0824"/>
    <w:rsid w:val="009A27CE"/>
    <w:rsid w:val="009A4777"/>
    <w:rsid w:val="009A7B5A"/>
    <w:rsid w:val="009B021E"/>
    <w:rsid w:val="009B0E73"/>
    <w:rsid w:val="009B0FE0"/>
    <w:rsid w:val="009B47AD"/>
    <w:rsid w:val="009B6010"/>
    <w:rsid w:val="009B6616"/>
    <w:rsid w:val="009B6FD1"/>
    <w:rsid w:val="009B7117"/>
    <w:rsid w:val="009B7EB1"/>
    <w:rsid w:val="009C03D5"/>
    <w:rsid w:val="009C1B2B"/>
    <w:rsid w:val="009C51BE"/>
    <w:rsid w:val="009C5BA7"/>
    <w:rsid w:val="009C73B1"/>
    <w:rsid w:val="009C7FC0"/>
    <w:rsid w:val="009D0BD8"/>
    <w:rsid w:val="009D14FE"/>
    <w:rsid w:val="009D15E1"/>
    <w:rsid w:val="009D1D1F"/>
    <w:rsid w:val="009D2221"/>
    <w:rsid w:val="009D2827"/>
    <w:rsid w:val="009D2F73"/>
    <w:rsid w:val="009D4E2F"/>
    <w:rsid w:val="009D5EB8"/>
    <w:rsid w:val="009D6DEA"/>
    <w:rsid w:val="009D6DFF"/>
    <w:rsid w:val="009D7045"/>
    <w:rsid w:val="009E3BE9"/>
    <w:rsid w:val="009E4843"/>
    <w:rsid w:val="009E5A7A"/>
    <w:rsid w:val="009E6C18"/>
    <w:rsid w:val="009F1347"/>
    <w:rsid w:val="009F3077"/>
    <w:rsid w:val="009F388A"/>
    <w:rsid w:val="009F6C2E"/>
    <w:rsid w:val="009F7A55"/>
    <w:rsid w:val="00A0011D"/>
    <w:rsid w:val="00A0146E"/>
    <w:rsid w:val="00A0331B"/>
    <w:rsid w:val="00A03359"/>
    <w:rsid w:val="00A03520"/>
    <w:rsid w:val="00A04132"/>
    <w:rsid w:val="00A044DD"/>
    <w:rsid w:val="00A05497"/>
    <w:rsid w:val="00A06B8D"/>
    <w:rsid w:val="00A10468"/>
    <w:rsid w:val="00A145E6"/>
    <w:rsid w:val="00A15969"/>
    <w:rsid w:val="00A16FC9"/>
    <w:rsid w:val="00A17880"/>
    <w:rsid w:val="00A17ABF"/>
    <w:rsid w:val="00A2006A"/>
    <w:rsid w:val="00A209EA"/>
    <w:rsid w:val="00A24329"/>
    <w:rsid w:val="00A24F72"/>
    <w:rsid w:val="00A25EFC"/>
    <w:rsid w:val="00A276FD"/>
    <w:rsid w:val="00A27953"/>
    <w:rsid w:val="00A34AA2"/>
    <w:rsid w:val="00A37334"/>
    <w:rsid w:val="00A3751B"/>
    <w:rsid w:val="00A37CCA"/>
    <w:rsid w:val="00A42568"/>
    <w:rsid w:val="00A43AEC"/>
    <w:rsid w:val="00A47D80"/>
    <w:rsid w:val="00A50600"/>
    <w:rsid w:val="00A508C1"/>
    <w:rsid w:val="00A51294"/>
    <w:rsid w:val="00A53157"/>
    <w:rsid w:val="00A53DC9"/>
    <w:rsid w:val="00A565E7"/>
    <w:rsid w:val="00A56C8C"/>
    <w:rsid w:val="00A570DA"/>
    <w:rsid w:val="00A6067A"/>
    <w:rsid w:val="00A613CD"/>
    <w:rsid w:val="00A70499"/>
    <w:rsid w:val="00A745AB"/>
    <w:rsid w:val="00A749B0"/>
    <w:rsid w:val="00A7514D"/>
    <w:rsid w:val="00A76F6C"/>
    <w:rsid w:val="00A814B4"/>
    <w:rsid w:val="00A844C0"/>
    <w:rsid w:val="00A92028"/>
    <w:rsid w:val="00A93072"/>
    <w:rsid w:val="00A949D5"/>
    <w:rsid w:val="00A94C05"/>
    <w:rsid w:val="00A95A4F"/>
    <w:rsid w:val="00A97491"/>
    <w:rsid w:val="00A97BE7"/>
    <w:rsid w:val="00AA11E6"/>
    <w:rsid w:val="00AA6252"/>
    <w:rsid w:val="00AB1C11"/>
    <w:rsid w:val="00AB2112"/>
    <w:rsid w:val="00AB2291"/>
    <w:rsid w:val="00AB3AA9"/>
    <w:rsid w:val="00AB3AF4"/>
    <w:rsid w:val="00AB3E99"/>
    <w:rsid w:val="00AB426C"/>
    <w:rsid w:val="00AB4BD5"/>
    <w:rsid w:val="00AB613A"/>
    <w:rsid w:val="00AC0231"/>
    <w:rsid w:val="00AC0C5A"/>
    <w:rsid w:val="00AC344D"/>
    <w:rsid w:val="00AC553C"/>
    <w:rsid w:val="00AD353A"/>
    <w:rsid w:val="00AD4899"/>
    <w:rsid w:val="00AD4937"/>
    <w:rsid w:val="00AD56D7"/>
    <w:rsid w:val="00AD6B17"/>
    <w:rsid w:val="00AE1C5C"/>
    <w:rsid w:val="00AE1CD1"/>
    <w:rsid w:val="00AE216C"/>
    <w:rsid w:val="00AE4766"/>
    <w:rsid w:val="00AE51FE"/>
    <w:rsid w:val="00AE5A8B"/>
    <w:rsid w:val="00AE7DFC"/>
    <w:rsid w:val="00AF2236"/>
    <w:rsid w:val="00AF27C4"/>
    <w:rsid w:val="00AF32AA"/>
    <w:rsid w:val="00AF4BBF"/>
    <w:rsid w:val="00AF509A"/>
    <w:rsid w:val="00B006CA"/>
    <w:rsid w:val="00B11B13"/>
    <w:rsid w:val="00B11E76"/>
    <w:rsid w:val="00B15290"/>
    <w:rsid w:val="00B152F2"/>
    <w:rsid w:val="00B15A14"/>
    <w:rsid w:val="00B161B5"/>
    <w:rsid w:val="00B17522"/>
    <w:rsid w:val="00B17EFC"/>
    <w:rsid w:val="00B2002A"/>
    <w:rsid w:val="00B242A4"/>
    <w:rsid w:val="00B25726"/>
    <w:rsid w:val="00B32064"/>
    <w:rsid w:val="00B34BE4"/>
    <w:rsid w:val="00B3549B"/>
    <w:rsid w:val="00B364BF"/>
    <w:rsid w:val="00B452E6"/>
    <w:rsid w:val="00B46219"/>
    <w:rsid w:val="00B46AC0"/>
    <w:rsid w:val="00B507A8"/>
    <w:rsid w:val="00B53D43"/>
    <w:rsid w:val="00B53E87"/>
    <w:rsid w:val="00B55767"/>
    <w:rsid w:val="00B56D46"/>
    <w:rsid w:val="00B5717A"/>
    <w:rsid w:val="00B57A8F"/>
    <w:rsid w:val="00B629D7"/>
    <w:rsid w:val="00B630B0"/>
    <w:rsid w:val="00B637EC"/>
    <w:rsid w:val="00B639EE"/>
    <w:rsid w:val="00B63E78"/>
    <w:rsid w:val="00B64355"/>
    <w:rsid w:val="00B64DB9"/>
    <w:rsid w:val="00B65448"/>
    <w:rsid w:val="00B65D61"/>
    <w:rsid w:val="00B663ED"/>
    <w:rsid w:val="00B70414"/>
    <w:rsid w:val="00B70452"/>
    <w:rsid w:val="00B70CBD"/>
    <w:rsid w:val="00B73558"/>
    <w:rsid w:val="00B758C9"/>
    <w:rsid w:val="00B7668D"/>
    <w:rsid w:val="00B802CE"/>
    <w:rsid w:val="00B80ADB"/>
    <w:rsid w:val="00B816A0"/>
    <w:rsid w:val="00B824B0"/>
    <w:rsid w:val="00B8342E"/>
    <w:rsid w:val="00B83884"/>
    <w:rsid w:val="00B86053"/>
    <w:rsid w:val="00B86128"/>
    <w:rsid w:val="00B90FE0"/>
    <w:rsid w:val="00B92FE2"/>
    <w:rsid w:val="00B94BD0"/>
    <w:rsid w:val="00B95117"/>
    <w:rsid w:val="00B96019"/>
    <w:rsid w:val="00B9629A"/>
    <w:rsid w:val="00BA2DE7"/>
    <w:rsid w:val="00BA3827"/>
    <w:rsid w:val="00BA5162"/>
    <w:rsid w:val="00BA7966"/>
    <w:rsid w:val="00BB0389"/>
    <w:rsid w:val="00BB051B"/>
    <w:rsid w:val="00BB1344"/>
    <w:rsid w:val="00BB1BCE"/>
    <w:rsid w:val="00BB24A4"/>
    <w:rsid w:val="00BB3F28"/>
    <w:rsid w:val="00BB4C1A"/>
    <w:rsid w:val="00BB5D35"/>
    <w:rsid w:val="00BB6A63"/>
    <w:rsid w:val="00BB6A6C"/>
    <w:rsid w:val="00BC099D"/>
    <w:rsid w:val="00BC1380"/>
    <w:rsid w:val="00BC2986"/>
    <w:rsid w:val="00BC489F"/>
    <w:rsid w:val="00BC5931"/>
    <w:rsid w:val="00BC5D69"/>
    <w:rsid w:val="00BC72FC"/>
    <w:rsid w:val="00BD2712"/>
    <w:rsid w:val="00BD47E9"/>
    <w:rsid w:val="00BD57B8"/>
    <w:rsid w:val="00BD6145"/>
    <w:rsid w:val="00BD7859"/>
    <w:rsid w:val="00BE0397"/>
    <w:rsid w:val="00BE04FB"/>
    <w:rsid w:val="00BE33ED"/>
    <w:rsid w:val="00BE4E45"/>
    <w:rsid w:val="00BE57DB"/>
    <w:rsid w:val="00BE5ED5"/>
    <w:rsid w:val="00BE68C2"/>
    <w:rsid w:val="00BE75BB"/>
    <w:rsid w:val="00BE7FCA"/>
    <w:rsid w:val="00BF1A61"/>
    <w:rsid w:val="00BF1B15"/>
    <w:rsid w:val="00BF2C0F"/>
    <w:rsid w:val="00BF3C65"/>
    <w:rsid w:val="00BF6EC0"/>
    <w:rsid w:val="00C00DB4"/>
    <w:rsid w:val="00C02711"/>
    <w:rsid w:val="00C04E17"/>
    <w:rsid w:val="00C0643E"/>
    <w:rsid w:val="00C105FD"/>
    <w:rsid w:val="00C129F9"/>
    <w:rsid w:val="00C20FF3"/>
    <w:rsid w:val="00C2200F"/>
    <w:rsid w:val="00C221ED"/>
    <w:rsid w:val="00C24ED3"/>
    <w:rsid w:val="00C30A3C"/>
    <w:rsid w:val="00C31587"/>
    <w:rsid w:val="00C31C13"/>
    <w:rsid w:val="00C33F21"/>
    <w:rsid w:val="00C36C79"/>
    <w:rsid w:val="00C36DC4"/>
    <w:rsid w:val="00C40369"/>
    <w:rsid w:val="00C40534"/>
    <w:rsid w:val="00C41D89"/>
    <w:rsid w:val="00C42AA6"/>
    <w:rsid w:val="00C43338"/>
    <w:rsid w:val="00C4348E"/>
    <w:rsid w:val="00C43DB2"/>
    <w:rsid w:val="00C445F0"/>
    <w:rsid w:val="00C50506"/>
    <w:rsid w:val="00C54E35"/>
    <w:rsid w:val="00C5737D"/>
    <w:rsid w:val="00C60836"/>
    <w:rsid w:val="00C611CD"/>
    <w:rsid w:val="00C6224D"/>
    <w:rsid w:val="00C6492D"/>
    <w:rsid w:val="00C66CF3"/>
    <w:rsid w:val="00C66E66"/>
    <w:rsid w:val="00C70871"/>
    <w:rsid w:val="00C76849"/>
    <w:rsid w:val="00C769B1"/>
    <w:rsid w:val="00C7733B"/>
    <w:rsid w:val="00C8259C"/>
    <w:rsid w:val="00C82C53"/>
    <w:rsid w:val="00C83461"/>
    <w:rsid w:val="00C84440"/>
    <w:rsid w:val="00C85035"/>
    <w:rsid w:val="00C85852"/>
    <w:rsid w:val="00C873D8"/>
    <w:rsid w:val="00C87C25"/>
    <w:rsid w:val="00C9006B"/>
    <w:rsid w:val="00C920FF"/>
    <w:rsid w:val="00C9253F"/>
    <w:rsid w:val="00C92866"/>
    <w:rsid w:val="00C93D6C"/>
    <w:rsid w:val="00C96E9B"/>
    <w:rsid w:val="00C9707E"/>
    <w:rsid w:val="00CA0732"/>
    <w:rsid w:val="00CA0C21"/>
    <w:rsid w:val="00CA13B3"/>
    <w:rsid w:val="00CA2678"/>
    <w:rsid w:val="00CA35A0"/>
    <w:rsid w:val="00CA64E0"/>
    <w:rsid w:val="00CA6F9E"/>
    <w:rsid w:val="00CA6FF0"/>
    <w:rsid w:val="00CA7D91"/>
    <w:rsid w:val="00CB2167"/>
    <w:rsid w:val="00CB4281"/>
    <w:rsid w:val="00CB4396"/>
    <w:rsid w:val="00CB74C3"/>
    <w:rsid w:val="00CB7683"/>
    <w:rsid w:val="00CC2E8A"/>
    <w:rsid w:val="00CC4E74"/>
    <w:rsid w:val="00CC701C"/>
    <w:rsid w:val="00CD111A"/>
    <w:rsid w:val="00CD149B"/>
    <w:rsid w:val="00CD1C51"/>
    <w:rsid w:val="00CD3A94"/>
    <w:rsid w:val="00CD51B4"/>
    <w:rsid w:val="00CD6705"/>
    <w:rsid w:val="00CE0E26"/>
    <w:rsid w:val="00CE17B7"/>
    <w:rsid w:val="00CE1B76"/>
    <w:rsid w:val="00CE2667"/>
    <w:rsid w:val="00CE41A3"/>
    <w:rsid w:val="00CE647E"/>
    <w:rsid w:val="00CE6AF7"/>
    <w:rsid w:val="00CE728A"/>
    <w:rsid w:val="00CF0D86"/>
    <w:rsid w:val="00CF3690"/>
    <w:rsid w:val="00CF4A9D"/>
    <w:rsid w:val="00CF5C29"/>
    <w:rsid w:val="00CF60EF"/>
    <w:rsid w:val="00CF653A"/>
    <w:rsid w:val="00D0046B"/>
    <w:rsid w:val="00D00CF2"/>
    <w:rsid w:val="00D00DA2"/>
    <w:rsid w:val="00D01DE1"/>
    <w:rsid w:val="00D02B95"/>
    <w:rsid w:val="00D03124"/>
    <w:rsid w:val="00D05572"/>
    <w:rsid w:val="00D069B2"/>
    <w:rsid w:val="00D07835"/>
    <w:rsid w:val="00D07CFD"/>
    <w:rsid w:val="00D11E6B"/>
    <w:rsid w:val="00D12D1B"/>
    <w:rsid w:val="00D15164"/>
    <w:rsid w:val="00D151D2"/>
    <w:rsid w:val="00D16E20"/>
    <w:rsid w:val="00D17C47"/>
    <w:rsid w:val="00D27F15"/>
    <w:rsid w:val="00D27FF1"/>
    <w:rsid w:val="00D306CF"/>
    <w:rsid w:val="00D326BE"/>
    <w:rsid w:val="00D33770"/>
    <w:rsid w:val="00D34AC3"/>
    <w:rsid w:val="00D34B39"/>
    <w:rsid w:val="00D35C68"/>
    <w:rsid w:val="00D35CF9"/>
    <w:rsid w:val="00D36BB7"/>
    <w:rsid w:val="00D37717"/>
    <w:rsid w:val="00D40820"/>
    <w:rsid w:val="00D408B5"/>
    <w:rsid w:val="00D46803"/>
    <w:rsid w:val="00D46A6F"/>
    <w:rsid w:val="00D47F04"/>
    <w:rsid w:val="00D47F27"/>
    <w:rsid w:val="00D51C0B"/>
    <w:rsid w:val="00D520B9"/>
    <w:rsid w:val="00D54212"/>
    <w:rsid w:val="00D543A2"/>
    <w:rsid w:val="00D5633D"/>
    <w:rsid w:val="00D60594"/>
    <w:rsid w:val="00D62DFE"/>
    <w:rsid w:val="00D6366F"/>
    <w:rsid w:val="00D637FB"/>
    <w:rsid w:val="00D648C7"/>
    <w:rsid w:val="00D7012E"/>
    <w:rsid w:val="00D70731"/>
    <w:rsid w:val="00D71D5A"/>
    <w:rsid w:val="00D81069"/>
    <w:rsid w:val="00D81228"/>
    <w:rsid w:val="00D84C98"/>
    <w:rsid w:val="00D84F59"/>
    <w:rsid w:val="00D85D93"/>
    <w:rsid w:val="00D87A02"/>
    <w:rsid w:val="00D9111B"/>
    <w:rsid w:val="00D91286"/>
    <w:rsid w:val="00D92A3B"/>
    <w:rsid w:val="00D9320D"/>
    <w:rsid w:val="00D94ECF"/>
    <w:rsid w:val="00D9642D"/>
    <w:rsid w:val="00D968B8"/>
    <w:rsid w:val="00DA018F"/>
    <w:rsid w:val="00DA0622"/>
    <w:rsid w:val="00DA1205"/>
    <w:rsid w:val="00DA4DAB"/>
    <w:rsid w:val="00DA6663"/>
    <w:rsid w:val="00DB24C2"/>
    <w:rsid w:val="00DB2BA9"/>
    <w:rsid w:val="00DB3717"/>
    <w:rsid w:val="00DB6A55"/>
    <w:rsid w:val="00DB6F7A"/>
    <w:rsid w:val="00DB79F8"/>
    <w:rsid w:val="00DC2B4F"/>
    <w:rsid w:val="00DC3323"/>
    <w:rsid w:val="00DC41F5"/>
    <w:rsid w:val="00DC61A5"/>
    <w:rsid w:val="00DC7628"/>
    <w:rsid w:val="00DC7F71"/>
    <w:rsid w:val="00DD0662"/>
    <w:rsid w:val="00DD2360"/>
    <w:rsid w:val="00DD49EE"/>
    <w:rsid w:val="00DD4D8F"/>
    <w:rsid w:val="00DE1AA4"/>
    <w:rsid w:val="00DE3249"/>
    <w:rsid w:val="00DE504A"/>
    <w:rsid w:val="00DF02B9"/>
    <w:rsid w:val="00DF5B43"/>
    <w:rsid w:val="00DF5E64"/>
    <w:rsid w:val="00DF671B"/>
    <w:rsid w:val="00DF6932"/>
    <w:rsid w:val="00DF6AA3"/>
    <w:rsid w:val="00E00478"/>
    <w:rsid w:val="00E01D75"/>
    <w:rsid w:val="00E03450"/>
    <w:rsid w:val="00E03835"/>
    <w:rsid w:val="00E0502E"/>
    <w:rsid w:val="00E07072"/>
    <w:rsid w:val="00E10076"/>
    <w:rsid w:val="00E108F6"/>
    <w:rsid w:val="00E11C93"/>
    <w:rsid w:val="00E121EC"/>
    <w:rsid w:val="00E14456"/>
    <w:rsid w:val="00E146F5"/>
    <w:rsid w:val="00E20644"/>
    <w:rsid w:val="00E21821"/>
    <w:rsid w:val="00E2257B"/>
    <w:rsid w:val="00E23F06"/>
    <w:rsid w:val="00E3427A"/>
    <w:rsid w:val="00E363E3"/>
    <w:rsid w:val="00E367CC"/>
    <w:rsid w:val="00E40B80"/>
    <w:rsid w:val="00E43874"/>
    <w:rsid w:val="00E45D6A"/>
    <w:rsid w:val="00E5052E"/>
    <w:rsid w:val="00E5278D"/>
    <w:rsid w:val="00E5778C"/>
    <w:rsid w:val="00E5778F"/>
    <w:rsid w:val="00E600F5"/>
    <w:rsid w:val="00E621BE"/>
    <w:rsid w:val="00E659B9"/>
    <w:rsid w:val="00E660E0"/>
    <w:rsid w:val="00E66AB6"/>
    <w:rsid w:val="00E70514"/>
    <w:rsid w:val="00E71CDD"/>
    <w:rsid w:val="00E73E5A"/>
    <w:rsid w:val="00E7460A"/>
    <w:rsid w:val="00E74726"/>
    <w:rsid w:val="00E74778"/>
    <w:rsid w:val="00E74882"/>
    <w:rsid w:val="00E75567"/>
    <w:rsid w:val="00E756DE"/>
    <w:rsid w:val="00E77534"/>
    <w:rsid w:val="00E77E59"/>
    <w:rsid w:val="00E80123"/>
    <w:rsid w:val="00E80A71"/>
    <w:rsid w:val="00E81FFD"/>
    <w:rsid w:val="00E823A1"/>
    <w:rsid w:val="00E85BE7"/>
    <w:rsid w:val="00E872D0"/>
    <w:rsid w:val="00E9179C"/>
    <w:rsid w:val="00E95536"/>
    <w:rsid w:val="00E9587A"/>
    <w:rsid w:val="00E95AC4"/>
    <w:rsid w:val="00E95B60"/>
    <w:rsid w:val="00E96317"/>
    <w:rsid w:val="00E96B9B"/>
    <w:rsid w:val="00E971CE"/>
    <w:rsid w:val="00E9748E"/>
    <w:rsid w:val="00EA0328"/>
    <w:rsid w:val="00EA1E6D"/>
    <w:rsid w:val="00EA3874"/>
    <w:rsid w:val="00EA3B6F"/>
    <w:rsid w:val="00EA3D7A"/>
    <w:rsid w:val="00EA493A"/>
    <w:rsid w:val="00EA622F"/>
    <w:rsid w:val="00EA68C9"/>
    <w:rsid w:val="00EA76EE"/>
    <w:rsid w:val="00EB0313"/>
    <w:rsid w:val="00EB11C0"/>
    <w:rsid w:val="00EB1AEF"/>
    <w:rsid w:val="00EB310D"/>
    <w:rsid w:val="00EB3273"/>
    <w:rsid w:val="00EB4A58"/>
    <w:rsid w:val="00EB563A"/>
    <w:rsid w:val="00EB750B"/>
    <w:rsid w:val="00EC1963"/>
    <w:rsid w:val="00EC25B7"/>
    <w:rsid w:val="00EC2FBC"/>
    <w:rsid w:val="00EC3380"/>
    <w:rsid w:val="00EC3EC6"/>
    <w:rsid w:val="00EC40EA"/>
    <w:rsid w:val="00EC4CF9"/>
    <w:rsid w:val="00EC6F2B"/>
    <w:rsid w:val="00EC772A"/>
    <w:rsid w:val="00ED0269"/>
    <w:rsid w:val="00ED13ED"/>
    <w:rsid w:val="00ED4489"/>
    <w:rsid w:val="00ED6C20"/>
    <w:rsid w:val="00EE0A53"/>
    <w:rsid w:val="00EE0A75"/>
    <w:rsid w:val="00EE0D07"/>
    <w:rsid w:val="00EE1EBF"/>
    <w:rsid w:val="00EE1EC9"/>
    <w:rsid w:val="00EE5B63"/>
    <w:rsid w:val="00EF10A8"/>
    <w:rsid w:val="00EF3052"/>
    <w:rsid w:val="00EF6194"/>
    <w:rsid w:val="00F000B5"/>
    <w:rsid w:val="00F00C16"/>
    <w:rsid w:val="00F00FA5"/>
    <w:rsid w:val="00F03E4A"/>
    <w:rsid w:val="00F04672"/>
    <w:rsid w:val="00F05570"/>
    <w:rsid w:val="00F05667"/>
    <w:rsid w:val="00F0569F"/>
    <w:rsid w:val="00F057F9"/>
    <w:rsid w:val="00F079A8"/>
    <w:rsid w:val="00F112F4"/>
    <w:rsid w:val="00F13678"/>
    <w:rsid w:val="00F13C8E"/>
    <w:rsid w:val="00F158F1"/>
    <w:rsid w:val="00F15B35"/>
    <w:rsid w:val="00F25E04"/>
    <w:rsid w:val="00F27EFE"/>
    <w:rsid w:val="00F30C8F"/>
    <w:rsid w:val="00F35102"/>
    <w:rsid w:val="00F35CDB"/>
    <w:rsid w:val="00F40802"/>
    <w:rsid w:val="00F4097A"/>
    <w:rsid w:val="00F41AC4"/>
    <w:rsid w:val="00F42B33"/>
    <w:rsid w:val="00F44100"/>
    <w:rsid w:val="00F447C5"/>
    <w:rsid w:val="00F47D02"/>
    <w:rsid w:val="00F519D4"/>
    <w:rsid w:val="00F52700"/>
    <w:rsid w:val="00F53153"/>
    <w:rsid w:val="00F55726"/>
    <w:rsid w:val="00F564F3"/>
    <w:rsid w:val="00F6305E"/>
    <w:rsid w:val="00F648E3"/>
    <w:rsid w:val="00F64BDE"/>
    <w:rsid w:val="00F66E61"/>
    <w:rsid w:val="00F676D1"/>
    <w:rsid w:val="00F70079"/>
    <w:rsid w:val="00F7179D"/>
    <w:rsid w:val="00F71BFA"/>
    <w:rsid w:val="00F7466E"/>
    <w:rsid w:val="00F75241"/>
    <w:rsid w:val="00F75B27"/>
    <w:rsid w:val="00F76A55"/>
    <w:rsid w:val="00F76BE2"/>
    <w:rsid w:val="00F76BFB"/>
    <w:rsid w:val="00F76CBA"/>
    <w:rsid w:val="00F771E1"/>
    <w:rsid w:val="00F7796E"/>
    <w:rsid w:val="00F77970"/>
    <w:rsid w:val="00F83212"/>
    <w:rsid w:val="00F849D9"/>
    <w:rsid w:val="00F850D7"/>
    <w:rsid w:val="00F854C1"/>
    <w:rsid w:val="00F86AC0"/>
    <w:rsid w:val="00F87AB2"/>
    <w:rsid w:val="00F91B43"/>
    <w:rsid w:val="00F92B62"/>
    <w:rsid w:val="00F94196"/>
    <w:rsid w:val="00F946C4"/>
    <w:rsid w:val="00FA39B9"/>
    <w:rsid w:val="00FA6EC4"/>
    <w:rsid w:val="00FA7603"/>
    <w:rsid w:val="00FA7CFD"/>
    <w:rsid w:val="00FB729A"/>
    <w:rsid w:val="00FC1842"/>
    <w:rsid w:val="00FC19B6"/>
    <w:rsid w:val="00FC2683"/>
    <w:rsid w:val="00FC2910"/>
    <w:rsid w:val="00FC3D65"/>
    <w:rsid w:val="00FC4057"/>
    <w:rsid w:val="00FC7108"/>
    <w:rsid w:val="00FC7FFC"/>
    <w:rsid w:val="00FD04A7"/>
    <w:rsid w:val="00FD0AD3"/>
    <w:rsid w:val="00FD38B2"/>
    <w:rsid w:val="00FD3FBE"/>
    <w:rsid w:val="00FD625B"/>
    <w:rsid w:val="00FE11C2"/>
    <w:rsid w:val="00FE2EBB"/>
    <w:rsid w:val="00FE3E44"/>
    <w:rsid w:val="00FE5ADB"/>
    <w:rsid w:val="00FE7EE8"/>
    <w:rsid w:val="00FF152E"/>
    <w:rsid w:val="00FF1742"/>
    <w:rsid w:val="00FF2C3C"/>
    <w:rsid w:val="00FF3A19"/>
    <w:rsid w:val="00FF3F93"/>
    <w:rsid w:val="00FF4C25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086CE4"/>
  <w15:docId w15:val="{22C2F2A8-80AB-478B-A65D-F54EAF9D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7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74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610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30A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74726"/>
    <w:pPr>
      <w:keepNext/>
      <w:spacing w:after="160" w:line="360" w:lineRule="atLeast"/>
      <w:jc w:val="center"/>
      <w:outlineLvl w:val="3"/>
    </w:pPr>
    <w:rPr>
      <w:rFonts w:ascii="Arial" w:hAnsi="Arial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E74726"/>
    <w:pPr>
      <w:keepNext/>
      <w:ind w:left="11"/>
      <w:outlineLvl w:val="4"/>
    </w:pPr>
    <w:rPr>
      <w:b/>
      <w:snapToGrid w:val="0"/>
      <w:color w:val="000080"/>
      <w:sz w:val="22"/>
    </w:rPr>
  </w:style>
  <w:style w:type="paragraph" w:styleId="Nagwek6">
    <w:name w:val="heading 6"/>
    <w:basedOn w:val="Normalny"/>
    <w:next w:val="Normalny"/>
    <w:link w:val="Nagwek6Znak"/>
    <w:qFormat/>
    <w:rsid w:val="00E74726"/>
    <w:pPr>
      <w:keepNext/>
      <w:spacing w:after="120" w:line="360" w:lineRule="atLeast"/>
      <w:jc w:val="center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E74726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74726"/>
    <w:pPr>
      <w:keepNext/>
      <w:spacing w:before="120"/>
      <w:jc w:val="center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rsid w:val="000A2965"/>
    <w:pPr>
      <w:ind w:right="828" w:firstLine="600"/>
      <w:jc w:val="both"/>
    </w:pPr>
    <w:rPr>
      <w:rFonts w:eastAsia="Cambria"/>
      <w:szCs w:val="25"/>
      <w:lang w:eastAsia="en-US"/>
    </w:rPr>
  </w:style>
  <w:style w:type="paragraph" w:customStyle="1" w:styleId="TNR12">
    <w:name w:val="TNR12"/>
    <w:aliases w:val="5"/>
    <w:basedOn w:val="Normalny"/>
    <w:autoRedefine/>
    <w:rsid w:val="00141058"/>
    <w:pPr>
      <w:ind w:firstLine="567"/>
      <w:jc w:val="both"/>
    </w:pPr>
    <w:rPr>
      <w:rFonts w:eastAsia="Cambria"/>
      <w:szCs w:val="25"/>
      <w:lang w:eastAsia="en-US"/>
    </w:rPr>
  </w:style>
  <w:style w:type="paragraph" w:customStyle="1" w:styleId="akapit">
    <w:name w:val="akapit"/>
    <w:basedOn w:val="Normalny"/>
    <w:rsid w:val="00E74726"/>
    <w:pPr>
      <w:spacing w:after="120" w:line="360" w:lineRule="atLeast"/>
      <w:ind w:firstLine="426"/>
      <w:jc w:val="both"/>
    </w:pPr>
    <w:rPr>
      <w:rFonts w:ascii="Arial" w:hAnsi="Arial"/>
      <w:sz w:val="26"/>
    </w:rPr>
  </w:style>
  <w:style w:type="character" w:styleId="Odwoanieprzypisudolnego">
    <w:name w:val="footnote reference"/>
    <w:basedOn w:val="Domylnaczcionkaakapitu"/>
    <w:semiHidden/>
    <w:rsid w:val="00E74726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74726"/>
    <w:rPr>
      <w:sz w:val="20"/>
      <w:szCs w:val="20"/>
    </w:rPr>
  </w:style>
  <w:style w:type="paragraph" w:customStyle="1" w:styleId="pktmyslnw0">
    <w:name w:val="pkt mysln w0"/>
    <w:basedOn w:val="Normalny"/>
    <w:rsid w:val="00E74726"/>
    <w:pPr>
      <w:tabs>
        <w:tab w:val="left" w:pos="284"/>
      </w:tabs>
      <w:spacing w:after="120" w:line="360" w:lineRule="atLeast"/>
      <w:ind w:left="284" w:hanging="284"/>
      <w:jc w:val="both"/>
    </w:pPr>
    <w:rPr>
      <w:rFonts w:ascii="Arial" w:hAnsi="Arial"/>
      <w:sz w:val="26"/>
    </w:rPr>
  </w:style>
  <w:style w:type="paragraph" w:styleId="Tekstpodstawowy">
    <w:name w:val="Body Text"/>
    <w:basedOn w:val="Normalny"/>
    <w:link w:val="TekstpodstawowyZnak"/>
    <w:rsid w:val="00E74726"/>
    <w:pPr>
      <w:ind w:right="430"/>
      <w:jc w:val="both"/>
    </w:pPr>
  </w:style>
  <w:style w:type="paragraph" w:customStyle="1" w:styleId="pktlitcyfw0">
    <w:name w:val="pkt lit/cyf w0"/>
    <w:basedOn w:val="Normalny"/>
    <w:rsid w:val="00E74726"/>
    <w:pPr>
      <w:tabs>
        <w:tab w:val="left" w:pos="426"/>
      </w:tabs>
      <w:spacing w:after="120" w:line="360" w:lineRule="atLeast"/>
      <w:ind w:left="426" w:hanging="426"/>
      <w:jc w:val="both"/>
    </w:pPr>
    <w:rPr>
      <w:rFonts w:ascii="Arial" w:hAnsi="Arial"/>
      <w:sz w:val="26"/>
      <w:szCs w:val="20"/>
    </w:rPr>
  </w:style>
  <w:style w:type="paragraph" w:customStyle="1" w:styleId="tabela">
    <w:name w:val="tabela"/>
    <w:basedOn w:val="Normalny"/>
    <w:rsid w:val="00E74726"/>
    <w:pPr>
      <w:spacing w:line="360" w:lineRule="atLeast"/>
    </w:pPr>
    <w:rPr>
      <w:rFonts w:ascii="Arial" w:hAnsi="Arial"/>
      <w:sz w:val="22"/>
      <w:szCs w:val="20"/>
    </w:rPr>
  </w:style>
  <w:style w:type="paragraph" w:customStyle="1" w:styleId="tabelaw">
    <w:name w:val="tabelaw"/>
    <w:basedOn w:val="Normalny"/>
    <w:rsid w:val="00E74726"/>
    <w:pPr>
      <w:spacing w:after="120" w:line="360" w:lineRule="atLeast"/>
      <w:jc w:val="both"/>
    </w:pPr>
    <w:rPr>
      <w:rFonts w:ascii="Arial" w:hAnsi="Arial"/>
      <w:sz w:val="26"/>
      <w:szCs w:val="20"/>
    </w:rPr>
  </w:style>
  <w:style w:type="paragraph" w:customStyle="1" w:styleId="BlockQuotation">
    <w:name w:val="Block Quotation"/>
    <w:basedOn w:val="Normalny"/>
    <w:rsid w:val="00E74726"/>
    <w:pPr>
      <w:widowControl w:val="0"/>
      <w:ind w:left="993" w:right="-142" w:hanging="426"/>
    </w:pPr>
    <w:rPr>
      <w:rFonts w:ascii="Times New Roman PL" w:hAnsi="Times New Roman PL"/>
      <w:sz w:val="26"/>
      <w:szCs w:val="20"/>
    </w:rPr>
  </w:style>
  <w:style w:type="paragraph" w:customStyle="1" w:styleId="BodyText24">
    <w:name w:val="Body Text 24"/>
    <w:basedOn w:val="Normalny"/>
    <w:rsid w:val="00E74726"/>
    <w:pPr>
      <w:widowControl w:val="0"/>
      <w:ind w:firstLine="567"/>
      <w:jc w:val="both"/>
    </w:pPr>
    <w:rPr>
      <w:rFonts w:ascii="Times New Roman PL" w:hAnsi="Times New Roman PL"/>
      <w:sz w:val="26"/>
      <w:szCs w:val="20"/>
    </w:rPr>
  </w:style>
  <w:style w:type="paragraph" w:styleId="Tekstblokowy">
    <w:name w:val="Block Text"/>
    <w:basedOn w:val="Normalny"/>
    <w:rsid w:val="00E74726"/>
    <w:pPr>
      <w:ind w:left="851" w:right="-142" w:hanging="284"/>
      <w:jc w:val="both"/>
    </w:pPr>
    <w:rPr>
      <w:rFonts w:ascii="Times New Roman PL" w:hAnsi="Times New Roman PL"/>
      <w:sz w:val="26"/>
      <w:szCs w:val="20"/>
    </w:rPr>
  </w:style>
  <w:style w:type="paragraph" w:styleId="Tekstpodstawowywcity2">
    <w:name w:val="Body Text Indent 2"/>
    <w:basedOn w:val="Normalny"/>
    <w:link w:val="Tekstpodstawowywcity2Znak"/>
    <w:rsid w:val="00E74726"/>
    <w:pPr>
      <w:spacing w:after="120" w:line="480" w:lineRule="auto"/>
      <w:ind w:left="283"/>
    </w:pPr>
  </w:style>
  <w:style w:type="paragraph" w:customStyle="1" w:styleId="Tekstblokowy1">
    <w:name w:val="Tekst blokowy1"/>
    <w:basedOn w:val="Normalny"/>
    <w:rsid w:val="00E74726"/>
    <w:pPr>
      <w:ind w:left="851" w:right="-142" w:hanging="284"/>
      <w:jc w:val="both"/>
    </w:pPr>
    <w:rPr>
      <w:rFonts w:ascii="Times New Roman PL" w:hAnsi="Times New Roman PL"/>
      <w:b/>
      <w:sz w:val="26"/>
      <w:szCs w:val="20"/>
    </w:rPr>
  </w:style>
  <w:style w:type="paragraph" w:customStyle="1" w:styleId="BodyText26">
    <w:name w:val="Body Text 26"/>
    <w:basedOn w:val="Normalny"/>
    <w:rsid w:val="00E74726"/>
    <w:pPr>
      <w:widowControl w:val="0"/>
      <w:ind w:right="-142" w:firstLine="567"/>
      <w:jc w:val="both"/>
    </w:pPr>
    <w:rPr>
      <w:rFonts w:ascii="Times New Roman PL" w:hAnsi="Times New Roman PL"/>
      <w:sz w:val="26"/>
      <w:szCs w:val="20"/>
    </w:rPr>
  </w:style>
  <w:style w:type="paragraph" w:styleId="Tekstpodstawowywcity">
    <w:name w:val="Body Text Indent"/>
    <w:basedOn w:val="Normalny"/>
    <w:link w:val="TekstpodstawowywcityZnak"/>
    <w:rsid w:val="00E74726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E74726"/>
    <w:pPr>
      <w:widowControl w:val="0"/>
      <w:jc w:val="center"/>
    </w:pPr>
    <w:rPr>
      <w:b/>
    </w:rPr>
  </w:style>
  <w:style w:type="paragraph" w:customStyle="1" w:styleId="blockquotation0">
    <w:name w:val="blockquotation"/>
    <w:basedOn w:val="Normalny"/>
    <w:rsid w:val="00E74726"/>
    <w:pPr>
      <w:ind w:left="993" w:right="-142" w:hanging="426"/>
    </w:pPr>
    <w:rPr>
      <w:rFonts w:ascii="Times New Roman PL" w:eastAsia="Arial Unicode MS" w:hAnsi="Times New Roman PL" w:cs="Arial Unicode MS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E7472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4726"/>
  </w:style>
  <w:style w:type="paragraph" w:styleId="Tekstpodstawowywcity3">
    <w:name w:val="Body Text Indent 3"/>
    <w:basedOn w:val="Normalny"/>
    <w:link w:val="Tekstpodstawowywcity3Znak"/>
    <w:rsid w:val="00E74726"/>
    <w:pPr>
      <w:spacing w:after="120"/>
      <w:ind w:left="283"/>
    </w:pPr>
    <w:rPr>
      <w:sz w:val="16"/>
      <w:szCs w:val="16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74726"/>
    <w:rPr>
      <w:lang w:val="pl-PL" w:eastAsia="pl-PL" w:bidi="ar-SA"/>
    </w:rPr>
  </w:style>
  <w:style w:type="paragraph" w:customStyle="1" w:styleId="Tekstpodstawowy21">
    <w:name w:val="Tekst podstawowy 21"/>
    <w:basedOn w:val="Normalny"/>
    <w:rsid w:val="00896788"/>
    <w:pPr>
      <w:ind w:firstLine="708"/>
      <w:jc w:val="both"/>
    </w:pPr>
    <w:rPr>
      <w:rFonts w:ascii="Times New Roman PL" w:hAnsi="Times New Roman PL"/>
      <w:szCs w:val="20"/>
    </w:rPr>
  </w:style>
  <w:style w:type="paragraph" w:styleId="Tekstdymka">
    <w:name w:val="Balloon Text"/>
    <w:basedOn w:val="Normalny"/>
    <w:link w:val="TekstdymkaZnak"/>
    <w:semiHidden/>
    <w:rsid w:val="004F3A49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13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37052"/>
    <w:pPr>
      <w:tabs>
        <w:tab w:val="left" w:pos="440"/>
        <w:tab w:val="right" w:leader="dot" w:pos="8647"/>
      </w:tabs>
      <w:spacing w:before="120" w:after="120"/>
      <w:ind w:left="426" w:right="-143" w:hanging="426"/>
      <w:jc w:val="both"/>
    </w:pPr>
    <w:rPr>
      <w:b/>
      <w:noProof/>
    </w:rPr>
  </w:style>
  <w:style w:type="character" w:styleId="Hipercze">
    <w:name w:val="Hyperlink"/>
    <w:basedOn w:val="Domylnaczcionkaakapitu"/>
    <w:uiPriority w:val="99"/>
    <w:unhideWhenUsed/>
    <w:rsid w:val="002313C7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5034BF"/>
    <w:pPr>
      <w:tabs>
        <w:tab w:val="left" w:pos="993"/>
        <w:tab w:val="right" w:leader="dot" w:pos="8647"/>
      </w:tabs>
      <w:spacing w:line="360" w:lineRule="auto"/>
      <w:ind w:left="993" w:right="-143" w:hanging="567"/>
      <w:jc w:val="both"/>
    </w:pPr>
    <w:rPr>
      <w:bCs/>
      <w:noProof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755F9"/>
    <w:pPr>
      <w:tabs>
        <w:tab w:val="left" w:pos="1560"/>
        <w:tab w:val="right" w:leader="dot" w:pos="8647"/>
      </w:tabs>
      <w:spacing w:line="360" w:lineRule="auto"/>
      <w:ind w:left="1560" w:right="-143" w:hanging="567"/>
      <w:jc w:val="both"/>
    </w:pPr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3610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yteHipercze">
    <w:name w:val="FollowedHyperlink"/>
    <w:basedOn w:val="Domylnaczcionkaakapitu"/>
    <w:rsid w:val="00912182"/>
    <w:rPr>
      <w:color w:val="800080"/>
      <w:u w:val="single"/>
    </w:rPr>
  </w:style>
  <w:style w:type="paragraph" w:customStyle="1" w:styleId="pktlitcyfw00">
    <w:name w:val="pktlitcyfw0"/>
    <w:basedOn w:val="Normalny"/>
    <w:rsid w:val="004A7D9E"/>
    <w:pPr>
      <w:overflowPunct w:val="0"/>
      <w:autoSpaceDE w:val="0"/>
      <w:autoSpaceDN w:val="0"/>
      <w:spacing w:after="120" w:line="360" w:lineRule="atLeast"/>
      <w:ind w:left="426" w:hanging="426"/>
      <w:jc w:val="both"/>
    </w:pPr>
    <w:rPr>
      <w:rFonts w:ascii="Arial" w:hAnsi="Arial" w:cs="Arial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C30A3C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B3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FB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1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1D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D71D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71D5A"/>
    <w:rPr>
      <w:sz w:val="16"/>
      <w:szCs w:val="16"/>
    </w:rPr>
  </w:style>
  <w:style w:type="paragraph" w:customStyle="1" w:styleId="plgd">
    <w:name w:val="plgd"/>
    <w:basedOn w:val="Normalny"/>
    <w:rsid w:val="00D71D5A"/>
    <w:rPr>
      <w:rFonts w:ascii="Arial PL" w:hAnsi="Arial P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71D5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E41A3"/>
    <w:pPr>
      <w:ind w:left="720"/>
      <w:contextualSpacing/>
    </w:pPr>
  </w:style>
  <w:style w:type="paragraph" w:customStyle="1" w:styleId="tytakt">
    <w:name w:val="tytakt"/>
    <w:basedOn w:val="Normalny"/>
    <w:rsid w:val="003632A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rsid w:val="007E23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3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2386"/>
  </w:style>
  <w:style w:type="paragraph" w:styleId="Tematkomentarza">
    <w:name w:val="annotation subject"/>
    <w:basedOn w:val="Tekstkomentarza"/>
    <w:next w:val="Tekstkomentarza"/>
    <w:link w:val="TematkomentarzaZnak"/>
    <w:rsid w:val="007E23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386"/>
    <w:rPr>
      <w:b/>
      <w:bCs/>
    </w:rPr>
  </w:style>
  <w:style w:type="paragraph" w:styleId="Poprawka">
    <w:name w:val="Revision"/>
    <w:hidden/>
    <w:uiPriority w:val="99"/>
    <w:semiHidden/>
    <w:rsid w:val="00F849D9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2007F"/>
    <w:rPr>
      <w:b/>
      <w:snapToGrid w:val="0"/>
      <w:color w:val="000080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rsid w:val="0072007F"/>
    <w:rPr>
      <w:rFonts w:ascii="Arial" w:hAnsi="Arial"/>
      <w:b/>
      <w:sz w:val="18"/>
    </w:rPr>
  </w:style>
  <w:style w:type="character" w:customStyle="1" w:styleId="Nagwek9Znak">
    <w:name w:val="Nagłówek 9 Znak"/>
    <w:basedOn w:val="Domylnaczcionkaakapitu"/>
    <w:link w:val="Nagwek9"/>
    <w:rsid w:val="00E95AC4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95AC4"/>
    <w:rPr>
      <w:rFonts w:ascii="Arial" w:hAnsi="Arial"/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504A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E5ADB"/>
    <w:rPr>
      <w:i/>
      <w:iCs/>
    </w:rPr>
  </w:style>
  <w:style w:type="paragraph" w:styleId="Spistreci4">
    <w:name w:val="toc 4"/>
    <w:basedOn w:val="Normalny"/>
    <w:next w:val="Normalny"/>
    <w:autoRedefine/>
    <w:uiPriority w:val="39"/>
    <w:unhideWhenUsed/>
    <w:rsid w:val="005034BF"/>
    <w:pPr>
      <w:tabs>
        <w:tab w:val="left" w:pos="2127"/>
        <w:tab w:val="right" w:leader="dot" w:pos="8647"/>
      </w:tabs>
      <w:spacing w:before="120" w:after="120"/>
      <w:ind w:left="2127" w:right="-143" w:hanging="709"/>
      <w:jc w:val="both"/>
    </w:pPr>
    <w:rPr>
      <w:noProof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9670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70F3"/>
  </w:style>
  <w:style w:type="character" w:styleId="Odwoanieprzypisukocowego">
    <w:name w:val="endnote reference"/>
    <w:basedOn w:val="Domylnaczcionkaakapitu"/>
    <w:semiHidden/>
    <w:unhideWhenUsed/>
    <w:rsid w:val="009670F3"/>
    <w:rPr>
      <w:vertAlign w:val="superscript"/>
    </w:rPr>
  </w:style>
  <w:style w:type="paragraph" w:customStyle="1" w:styleId="Tekstpodstawowy22">
    <w:name w:val="Tekst podstawowy 22"/>
    <w:basedOn w:val="Normalny"/>
    <w:rsid w:val="00DF6932"/>
    <w:pPr>
      <w:ind w:firstLine="708"/>
      <w:jc w:val="both"/>
    </w:pPr>
    <w:rPr>
      <w:rFonts w:ascii="Times New Roman PL" w:hAnsi="Times New Roman PL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E2020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Cs w:val="20"/>
    </w:rPr>
  </w:style>
  <w:style w:type="character" w:customStyle="1" w:styleId="Nagwek1Znak">
    <w:name w:val="Nagłówek 1 Znak"/>
    <w:basedOn w:val="Domylnaczcionkaakapitu"/>
    <w:link w:val="Nagwek1"/>
    <w:rsid w:val="00294BA4"/>
    <w:rPr>
      <w:rFonts w:ascii="Arial" w:hAnsi="Arial" w:cs="Arial"/>
      <w:b/>
      <w:bCs/>
      <w:kern w:val="32"/>
      <w:sz w:val="32"/>
      <w:szCs w:val="32"/>
    </w:rPr>
  </w:style>
  <w:style w:type="character" w:customStyle="1" w:styleId="Nagwek7Znak">
    <w:name w:val="Nagłówek 7 Znak"/>
    <w:basedOn w:val="Domylnaczcionkaakapitu"/>
    <w:link w:val="Nagwek7"/>
    <w:rsid w:val="00294BA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94BA4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4BA4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4BA4"/>
    <w:rPr>
      <w:b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4BA4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B6CC4-DEDE-43CA-8CCB-936FA6FF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9012</Words>
  <Characters>55505</Characters>
  <Application>Microsoft Office Word</Application>
  <DocSecurity>4</DocSecurity>
  <Lines>462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Ministerstwo Finansów</Company>
  <LinksUpToDate>false</LinksUpToDate>
  <CharactersWithSpaces>64389</CharactersWithSpaces>
  <SharedDoc>false</SharedDoc>
  <HLinks>
    <vt:vector size="114" baseType="variant"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_Toc384203678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_Toc384203677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_Toc384203676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_Toc384203675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_Toc384203674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_Toc384203673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_Toc384203672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_Toc384203671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_Toc384203670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_Toc384203669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_Toc384203668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_Toc384203667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_Toc384203666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_Toc384203665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_Toc384203664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_Toc384203663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_Toc384203662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_Toc384203661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_Toc384203660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Olas Paweł</dc:creator>
  <cp:lastModifiedBy>Znojkiewicz Sylwia</cp:lastModifiedBy>
  <cp:revision>2</cp:revision>
  <cp:lastPrinted>2022-03-28T09:26:00Z</cp:lastPrinted>
  <dcterms:created xsi:type="dcterms:W3CDTF">2022-05-13T09:28:00Z</dcterms:created>
  <dcterms:modified xsi:type="dcterms:W3CDTF">2022-05-13T09:28:00Z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MF\AOLW;Olas Paweł</vt:lpwstr>
  </property>
  <property fmtid="{D5CDD505-2E9C-101B-9397-08002B2CF9AE}" pid="4" name="MFClassificationDate">
    <vt:lpwstr>2022-03-08T11:18:48.0368979+01:00</vt:lpwstr>
  </property>
  <property fmtid="{D5CDD505-2E9C-101B-9397-08002B2CF9AE}" pid="5" name="MFClassifiedBySID">
    <vt:lpwstr>MF\S-1-5-21-1525952054-1005573771-2909822258-24999</vt:lpwstr>
  </property>
  <property fmtid="{D5CDD505-2E9C-101B-9397-08002B2CF9AE}" pid="6" name="MFGRNItemId">
    <vt:lpwstr>GRN-3c3f6381-0d59-48fa-9046-e82f7edede45</vt:lpwstr>
  </property>
  <property fmtid="{D5CDD505-2E9C-101B-9397-08002B2CF9AE}" pid="7" name="MFHash">
    <vt:lpwstr>IHvgMYmHX3i5E9jE7kW8vM708RtysPHYjTyCWMJndLg=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