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Pr="003C4FDD" w:rsidRDefault="008C0E92" w:rsidP="008C0E92">
      <w:pPr>
        <w:jc w:val="right"/>
        <w:rPr>
          <w:rFonts w:ascii="Lato" w:hAnsi="Lato"/>
          <w:b/>
          <w:bCs/>
          <w:color w:val="00B0F0"/>
          <w:sz w:val="28"/>
          <w:szCs w:val="28"/>
        </w:rPr>
      </w:pPr>
    </w:p>
    <w:p w14:paraId="3D3399D2" w14:textId="5550263C" w:rsidR="002F43BB" w:rsidRDefault="002F43BB" w:rsidP="002F43BB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>
        <w:rPr>
          <w:rFonts w:ascii="Lato" w:hAnsi="Lato"/>
          <w:b/>
          <w:bCs/>
          <w:color w:val="00B0F0"/>
          <w:sz w:val="36"/>
          <w:szCs w:val="36"/>
          <w:u w:val="single"/>
        </w:rPr>
        <w:t>PROJEKT OBWIESZCZENIA REFUNDACYJNEGO NR 7</w:t>
      </w:r>
      <w:r w:rsidR="0028225A">
        <w:rPr>
          <w:rFonts w:ascii="Lato" w:hAnsi="Lato"/>
          <w:b/>
          <w:bCs/>
          <w:color w:val="00B0F0"/>
          <w:sz w:val="36"/>
          <w:szCs w:val="36"/>
          <w:u w:val="single"/>
        </w:rPr>
        <w:t>2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(1 </w:t>
      </w:r>
      <w:r w:rsidR="0028225A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LISTOPADA 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2023 r.)</w:t>
      </w:r>
    </w:p>
    <w:p w14:paraId="00EBC3D5" w14:textId="59A49704" w:rsidR="00D06043" w:rsidRDefault="002F43BB" w:rsidP="002F43BB">
      <w:pPr>
        <w:spacing w:before="240"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Prezentowane podsumowanie projektu obwieszczenia refundacyjnego nr 72 </w:t>
      </w:r>
      <w:r>
        <w:rPr>
          <w:rFonts w:ascii="Lato" w:hAnsi="Lato"/>
          <w:b/>
          <w:bCs/>
        </w:rPr>
        <w:t>nie stanowi jego ostatecznej wersji</w:t>
      </w:r>
      <w:r>
        <w:rPr>
          <w:rFonts w:ascii="Lato" w:hAnsi="Lato"/>
        </w:rPr>
        <w:t xml:space="preserve">, bowiem nadal trwają prace </w:t>
      </w:r>
      <w:r w:rsidRPr="00694E14">
        <w:rPr>
          <w:rFonts w:ascii="Lato" w:hAnsi="Lato"/>
        </w:rPr>
        <w:t xml:space="preserve">administracyjne nad finalnym wykazem refundowanych leków, środków spożywczych specjalnego przeznaczenia żywieniowego oraz wyrobów medycznych obowiązującym od 1 </w:t>
      </w:r>
      <w:r w:rsidR="004A6973" w:rsidRPr="00694E14">
        <w:rPr>
          <w:rFonts w:ascii="Lato" w:hAnsi="Lato"/>
        </w:rPr>
        <w:t>listopada</w:t>
      </w:r>
      <w:r w:rsidRPr="00694E14">
        <w:rPr>
          <w:rFonts w:ascii="Lato" w:hAnsi="Lato"/>
        </w:rPr>
        <w:t xml:space="preserve"> 2023 r. </w:t>
      </w:r>
    </w:p>
    <w:p w14:paraId="5CB198AB" w14:textId="37FF5273" w:rsidR="00D06043" w:rsidRPr="00694E14" w:rsidRDefault="00D06043" w:rsidP="00D06043">
      <w:pPr>
        <w:spacing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>Projekt został przygotowany zgodnie z obowiązującymi od 1 listopada nowymi przepisami dotyczącymi wyznaczania podstaw limitów oraz naliczania marż hurtowych i detalicznych.</w:t>
      </w:r>
    </w:p>
    <w:p w14:paraId="5976BE2E" w14:textId="32B7C89C" w:rsidR="002F43BB" w:rsidRPr="00DF3CBA" w:rsidRDefault="002F43BB" w:rsidP="002F43BB">
      <w:pPr>
        <w:spacing w:after="120" w:line="360" w:lineRule="auto"/>
        <w:jc w:val="both"/>
        <w:rPr>
          <w:rFonts w:ascii="Lato" w:hAnsi="Lato"/>
        </w:rPr>
      </w:pPr>
      <w:r w:rsidRPr="00DF3CBA">
        <w:rPr>
          <w:rFonts w:ascii="Lato" w:hAnsi="Lato"/>
        </w:rPr>
        <w:t xml:space="preserve">Uwzględniając niniejszy projekt, od początku roku 2023, finansowaniem ze środków publicznych zostanie objętych </w:t>
      </w:r>
      <w:r w:rsidRPr="00DF3CBA">
        <w:rPr>
          <w:rFonts w:ascii="Lato" w:hAnsi="Lato"/>
          <w:b/>
          <w:bCs/>
        </w:rPr>
        <w:t>1</w:t>
      </w:r>
      <w:r w:rsidR="0028225A" w:rsidRPr="00DF3CBA">
        <w:rPr>
          <w:rFonts w:ascii="Lato" w:hAnsi="Lato"/>
          <w:b/>
          <w:bCs/>
        </w:rPr>
        <w:t>4</w:t>
      </w:r>
      <w:r w:rsidR="00DF3CBA" w:rsidRPr="00DF3CBA">
        <w:rPr>
          <w:rFonts w:ascii="Lato" w:hAnsi="Lato"/>
          <w:b/>
          <w:bCs/>
        </w:rPr>
        <w:t>5</w:t>
      </w:r>
      <w:r w:rsidRPr="00DF3CBA">
        <w:rPr>
          <w:rFonts w:ascii="Lato" w:hAnsi="Lato"/>
          <w:b/>
          <w:bCs/>
        </w:rPr>
        <w:t xml:space="preserve"> nowych </w:t>
      </w:r>
      <w:r w:rsidRPr="00DF3CBA">
        <w:rPr>
          <w:rFonts w:ascii="Lato" w:hAnsi="Lato"/>
          <w:b/>
          <w:bCs/>
        </w:rPr>
        <w:br/>
        <w:t>cząsteczko – wskazań</w:t>
      </w:r>
      <w:r w:rsidRPr="00DF3CBA">
        <w:rPr>
          <w:rFonts w:ascii="Lato" w:hAnsi="Lato"/>
        </w:rPr>
        <w:t>, w tym:</w:t>
      </w:r>
    </w:p>
    <w:p w14:paraId="3B6AC00E" w14:textId="59A2E9DC" w:rsidR="002F43BB" w:rsidRPr="00DF3CBA" w:rsidRDefault="002F43BB" w:rsidP="002F43BB">
      <w:pPr>
        <w:pStyle w:val="Akapitzlist"/>
        <w:numPr>
          <w:ilvl w:val="0"/>
          <w:numId w:val="41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DF3CBA">
        <w:rPr>
          <w:rFonts w:ascii="Lato" w:hAnsi="Lato"/>
        </w:rPr>
        <w:t>7</w:t>
      </w:r>
      <w:r w:rsidR="00DF3CBA" w:rsidRPr="00DF3CBA">
        <w:rPr>
          <w:rFonts w:ascii="Lato" w:hAnsi="Lato"/>
        </w:rPr>
        <w:t>5</w:t>
      </w:r>
      <w:r w:rsidRPr="00DF3CBA">
        <w:rPr>
          <w:rFonts w:ascii="Lato" w:hAnsi="Lato"/>
        </w:rPr>
        <w:t xml:space="preserve"> cząsteczko – wskazań onkologicznych,</w:t>
      </w:r>
    </w:p>
    <w:p w14:paraId="0956AEA8" w14:textId="41272914" w:rsidR="002F43BB" w:rsidRPr="00DF3CBA" w:rsidRDefault="0028225A" w:rsidP="002F43BB">
      <w:pPr>
        <w:pStyle w:val="Akapitzlist"/>
        <w:numPr>
          <w:ilvl w:val="0"/>
          <w:numId w:val="41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DF3CBA">
        <w:rPr>
          <w:rFonts w:ascii="Lato" w:hAnsi="Lato"/>
        </w:rPr>
        <w:t>7</w:t>
      </w:r>
      <w:r w:rsidR="002241C0" w:rsidRPr="00DF3CBA">
        <w:rPr>
          <w:rFonts w:ascii="Lato" w:hAnsi="Lato"/>
        </w:rPr>
        <w:t>0</w:t>
      </w:r>
      <w:r w:rsidRPr="00DF3CBA">
        <w:rPr>
          <w:rFonts w:ascii="Lato" w:hAnsi="Lato"/>
        </w:rPr>
        <w:t xml:space="preserve"> </w:t>
      </w:r>
      <w:r w:rsidR="002F43BB" w:rsidRPr="00DF3CBA">
        <w:rPr>
          <w:rFonts w:ascii="Lato" w:hAnsi="Lato"/>
        </w:rPr>
        <w:t>cząsteczko - wskazania nieonkologiczne,</w:t>
      </w:r>
    </w:p>
    <w:p w14:paraId="5D772724" w14:textId="6F2744D8" w:rsidR="002F43BB" w:rsidRPr="00DF3CBA" w:rsidRDefault="0028225A" w:rsidP="002F43BB">
      <w:pPr>
        <w:pStyle w:val="Akapitzlist"/>
        <w:numPr>
          <w:ilvl w:val="0"/>
          <w:numId w:val="41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DF3CBA">
        <w:rPr>
          <w:rFonts w:ascii="Lato" w:hAnsi="Lato"/>
        </w:rPr>
        <w:t>4</w:t>
      </w:r>
      <w:r w:rsidR="002241C0" w:rsidRPr="00DF3CBA">
        <w:rPr>
          <w:rFonts w:ascii="Lato" w:hAnsi="Lato"/>
        </w:rPr>
        <w:t>3</w:t>
      </w:r>
      <w:r w:rsidRPr="00DF3CBA">
        <w:rPr>
          <w:rFonts w:ascii="Lato" w:hAnsi="Lato"/>
        </w:rPr>
        <w:t xml:space="preserve"> </w:t>
      </w:r>
      <w:r w:rsidR="002F43BB" w:rsidRPr="00DF3CBA">
        <w:rPr>
          <w:rFonts w:ascii="Lato" w:hAnsi="Lato"/>
        </w:rPr>
        <w:t>cząsteczko - wskazania dedykowane chorobom rzadkim.</w:t>
      </w:r>
    </w:p>
    <w:p w14:paraId="16B85B2E" w14:textId="77777777" w:rsidR="00B447A5" w:rsidRPr="00DF3CBA" w:rsidRDefault="002F43BB" w:rsidP="002F43BB">
      <w:pPr>
        <w:autoSpaceDE w:val="0"/>
        <w:spacing w:after="0" w:line="360" w:lineRule="auto"/>
        <w:jc w:val="both"/>
        <w:rPr>
          <w:rFonts w:ascii="Lato" w:hAnsi="Lato" w:cs="Arial"/>
        </w:rPr>
      </w:pPr>
      <w:r w:rsidRPr="00DF3CBA">
        <w:rPr>
          <w:rFonts w:ascii="Lato" w:hAnsi="Lato" w:cs="Arial"/>
        </w:rPr>
        <w:t xml:space="preserve">Najwięcej nowych cząsteczko - wskazań onkologicznych w 2023 r. obserwujemy w </w:t>
      </w:r>
      <w:proofErr w:type="spellStart"/>
      <w:r w:rsidRPr="00DF3CBA">
        <w:rPr>
          <w:rFonts w:ascii="Lato" w:hAnsi="Lato" w:cs="Arial"/>
        </w:rPr>
        <w:t>hematoonkologii</w:t>
      </w:r>
      <w:proofErr w:type="spellEnd"/>
      <w:r w:rsidRPr="00DF3CBA">
        <w:rPr>
          <w:rFonts w:ascii="Lato" w:hAnsi="Lato" w:cs="Arial"/>
        </w:rPr>
        <w:t xml:space="preserve"> (</w:t>
      </w:r>
      <w:r w:rsidR="00B447A5" w:rsidRPr="00DF3CBA">
        <w:rPr>
          <w:rFonts w:ascii="Lato" w:hAnsi="Lato" w:cs="Arial"/>
        </w:rPr>
        <w:t>28</w:t>
      </w:r>
      <w:r w:rsidRPr="00DF3CBA">
        <w:rPr>
          <w:rFonts w:ascii="Lato" w:hAnsi="Lato" w:cs="Arial"/>
        </w:rPr>
        <w:t xml:space="preserve">), w nowotworach </w:t>
      </w:r>
      <w:r w:rsidR="00B447A5" w:rsidRPr="00DF3CBA">
        <w:rPr>
          <w:rFonts w:ascii="Lato" w:hAnsi="Lato" w:cs="Arial"/>
        </w:rPr>
        <w:t xml:space="preserve">ginekologicznych (11) oraz nowotworach </w:t>
      </w:r>
      <w:r w:rsidRPr="00DF3CBA">
        <w:rPr>
          <w:rFonts w:ascii="Lato" w:hAnsi="Lato" w:cs="Arial"/>
        </w:rPr>
        <w:t>układu oddechowego (</w:t>
      </w:r>
      <w:r w:rsidR="00B447A5" w:rsidRPr="00DF3CBA">
        <w:rPr>
          <w:rFonts w:ascii="Lato" w:hAnsi="Lato" w:cs="Arial"/>
        </w:rPr>
        <w:t>11</w:t>
      </w:r>
      <w:r w:rsidRPr="00DF3CBA">
        <w:rPr>
          <w:rFonts w:ascii="Lato" w:hAnsi="Lato" w:cs="Arial"/>
        </w:rPr>
        <w:t xml:space="preserve">). </w:t>
      </w:r>
    </w:p>
    <w:p w14:paraId="3F256E30" w14:textId="59F270EA" w:rsidR="002F43BB" w:rsidRDefault="002F43BB" w:rsidP="002F43BB">
      <w:pPr>
        <w:autoSpaceDE w:val="0"/>
        <w:spacing w:after="0" w:line="360" w:lineRule="auto"/>
        <w:jc w:val="both"/>
        <w:rPr>
          <w:rFonts w:ascii="Lato" w:hAnsi="Lato" w:cs="Arial"/>
        </w:rPr>
      </w:pPr>
      <w:r w:rsidRPr="00DF3CBA">
        <w:rPr>
          <w:rFonts w:ascii="Lato" w:hAnsi="Lato" w:cs="Arial"/>
        </w:rPr>
        <w:t>Najwięcej nowych cząsteczko - wskazań nieonkologicznych w 2023 r. obserwujemy w kardiologii (19), reumatologii (</w:t>
      </w:r>
      <w:r w:rsidR="00B447A5" w:rsidRPr="00DF3CBA">
        <w:rPr>
          <w:rFonts w:ascii="Lato" w:hAnsi="Lato" w:cs="Arial"/>
        </w:rPr>
        <w:t>7</w:t>
      </w:r>
      <w:r w:rsidRPr="00DF3CBA">
        <w:rPr>
          <w:rFonts w:ascii="Lato" w:hAnsi="Lato" w:cs="Arial"/>
        </w:rPr>
        <w:t>), hematologii (</w:t>
      </w:r>
      <w:r w:rsidR="00B447A5" w:rsidRPr="00DF3CBA">
        <w:rPr>
          <w:rFonts w:ascii="Lato" w:hAnsi="Lato" w:cs="Arial"/>
        </w:rPr>
        <w:t>7</w:t>
      </w:r>
      <w:r w:rsidRPr="00DF3CBA">
        <w:rPr>
          <w:rFonts w:ascii="Lato" w:hAnsi="Lato" w:cs="Arial"/>
        </w:rPr>
        <w:t xml:space="preserve">), </w:t>
      </w:r>
      <w:r w:rsidR="00B447A5" w:rsidRPr="00DF3CBA">
        <w:rPr>
          <w:rFonts w:ascii="Lato" w:hAnsi="Lato" w:cs="Arial"/>
        </w:rPr>
        <w:t>diabetologii</w:t>
      </w:r>
      <w:r w:rsidRPr="00DF3CBA">
        <w:rPr>
          <w:rFonts w:ascii="Lato" w:hAnsi="Lato" w:cs="Arial"/>
        </w:rPr>
        <w:t xml:space="preserve"> (</w:t>
      </w:r>
      <w:r w:rsidR="00B447A5" w:rsidRPr="00DF3CBA">
        <w:rPr>
          <w:rFonts w:ascii="Lato" w:hAnsi="Lato" w:cs="Arial"/>
        </w:rPr>
        <w:t>6</w:t>
      </w:r>
      <w:r w:rsidRPr="00DF3CBA">
        <w:rPr>
          <w:rFonts w:ascii="Lato" w:hAnsi="Lato" w:cs="Arial"/>
        </w:rPr>
        <w:t>) i dermatologii (</w:t>
      </w:r>
      <w:r w:rsidR="00B447A5" w:rsidRPr="00DF3CBA">
        <w:rPr>
          <w:rFonts w:ascii="Lato" w:hAnsi="Lato" w:cs="Arial"/>
        </w:rPr>
        <w:t>6</w:t>
      </w:r>
      <w:r w:rsidRPr="00DF3CBA">
        <w:rPr>
          <w:rFonts w:ascii="Lato" w:hAnsi="Lato" w:cs="Arial"/>
        </w:rPr>
        <w:t>).</w:t>
      </w:r>
    </w:p>
    <w:p w14:paraId="4F261486" w14:textId="5269927F" w:rsidR="002241C0" w:rsidRPr="00352542" w:rsidRDefault="002241C0" w:rsidP="002241C0">
      <w:pPr>
        <w:suppressAutoHyphens w:val="0"/>
        <w:spacing w:line="276" w:lineRule="auto"/>
        <w:jc w:val="both"/>
        <w:textAlignment w:val="auto"/>
        <w:rPr>
          <w:rFonts w:ascii="Lato" w:hAnsi="Lato"/>
        </w:rPr>
      </w:pPr>
    </w:p>
    <w:p w14:paraId="02EE373E" w14:textId="0027484C" w:rsidR="002241C0" w:rsidRDefault="002241C0" w:rsidP="000B65F8">
      <w:pPr>
        <w:suppressAutoHyphens w:val="0"/>
        <w:autoSpaceDE w:val="0"/>
        <w:spacing w:after="0" w:line="360" w:lineRule="auto"/>
        <w:rPr>
          <w:rFonts w:ascii="Lato" w:hAnsi="Lato"/>
          <w:sz w:val="24"/>
          <w:szCs w:val="24"/>
        </w:rPr>
      </w:pPr>
      <w:r w:rsidRPr="00CF351E">
        <w:rPr>
          <w:rFonts w:ascii="Lato" w:hAnsi="Lato"/>
          <w:sz w:val="24"/>
          <w:szCs w:val="24"/>
        </w:rPr>
        <w:br w:type="page"/>
      </w:r>
      <w:r w:rsidR="00D96647">
        <w:rPr>
          <w:noProof/>
        </w:rPr>
        <w:lastRenderedPageBreak/>
        <w:drawing>
          <wp:inline distT="0" distB="0" distL="0" distR="0" wp14:anchorId="711E91E7" wp14:editId="44E2B299">
            <wp:extent cx="4410000" cy="2808000"/>
            <wp:effectExtent l="0" t="0" r="10160" b="11430"/>
            <wp:docPr id="133835316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7889C1A-5DD9-4C41-9C0E-2CE1FB7DE1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B65F8">
        <w:rPr>
          <w:rFonts w:ascii="Lato" w:hAnsi="Lato"/>
          <w:sz w:val="24"/>
          <w:szCs w:val="24"/>
        </w:rPr>
        <w:t xml:space="preserve"> </w:t>
      </w:r>
      <w:r w:rsidR="00D96647">
        <w:rPr>
          <w:noProof/>
        </w:rPr>
        <w:drawing>
          <wp:inline distT="0" distB="0" distL="0" distR="0" wp14:anchorId="68509A75" wp14:editId="5E6CB8D4">
            <wp:extent cx="4410000" cy="2808000"/>
            <wp:effectExtent l="0" t="0" r="10160" b="11430"/>
            <wp:docPr id="1418570984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E52EC9A3-CF0F-4F00-8042-9072D1CE4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C758C3" w14:textId="259498DD" w:rsidR="002241C0" w:rsidRDefault="00D96647">
      <w:pPr>
        <w:suppressAutoHyphens w:val="0"/>
        <w:rPr>
          <w:rFonts w:ascii="Lato" w:hAnsi="Lato"/>
          <w:b/>
          <w:bCs/>
          <w:color w:val="00B0F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5DDD88A" wp14:editId="44FA66A1">
            <wp:extent cx="4410000" cy="2808000"/>
            <wp:effectExtent l="0" t="0" r="10160" b="11430"/>
            <wp:docPr id="156348563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D137F96-D8BB-4669-93B7-D9F98C8847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B65F8">
        <w:rPr>
          <w:noProof/>
        </w:rPr>
        <w:t xml:space="preserve"> </w:t>
      </w:r>
      <w:r w:rsidR="000B65F8">
        <w:rPr>
          <w:noProof/>
        </w:rPr>
        <w:drawing>
          <wp:inline distT="0" distB="0" distL="0" distR="0" wp14:anchorId="33073C45" wp14:editId="0BFB853F">
            <wp:extent cx="4410000" cy="2808000"/>
            <wp:effectExtent l="0" t="0" r="10160" b="11430"/>
            <wp:docPr id="756356216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2DB26032-FA93-4448-8FF7-12D47490A6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241C0">
        <w:rPr>
          <w:rFonts w:ascii="Lato" w:hAnsi="Lato"/>
          <w:sz w:val="24"/>
          <w:szCs w:val="24"/>
        </w:rPr>
        <w:t xml:space="preserve"> </w:t>
      </w:r>
      <w:r w:rsidR="002241C0">
        <w:rPr>
          <w:rFonts w:ascii="Lato" w:hAnsi="Lato"/>
          <w:b/>
          <w:bCs/>
          <w:color w:val="00B0F0"/>
          <w:sz w:val="36"/>
          <w:szCs w:val="36"/>
          <w:u w:val="single"/>
        </w:rPr>
        <w:br w:type="page"/>
      </w:r>
    </w:p>
    <w:p w14:paraId="6C2BC407" w14:textId="77777777" w:rsidR="002F43BB" w:rsidRDefault="002F43BB" w:rsidP="008C0E92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</w:p>
    <w:p w14:paraId="6B466A0C" w14:textId="6A2ABAF6" w:rsidR="004D093B" w:rsidRPr="003C4FDD" w:rsidRDefault="004D093B">
      <w:pPr>
        <w:suppressAutoHyphens w:val="0"/>
        <w:rPr>
          <w:rFonts w:ascii="Lato" w:hAnsi="Lato"/>
          <w:sz w:val="24"/>
          <w:szCs w:val="24"/>
        </w:rPr>
      </w:pPr>
    </w:p>
    <w:p w14:paraId="06A06678" w14:textId="7D136BFD" w:rsidR="00AD08C5" w:rsidRPr="003C4FDD" w:rsidRDefault="006A7DCE" w:rsidP="005058F2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3C4FDD">
        <w:rPr>
          <w:rFonts w:ascii="Lato" w:hAnsi="Lato"/>
          <w:b/>
          <w:bCs/>
          <w:color w:val="00B0F0"/>
          <w:sz w:val="28"/>
          <w:szCs w:val="28"/>
        </w:rPr>
        <w:t>NOWE WSKAZANIA ORAZ ZMIANY W PROGRA</w:t>
      </w:r>
      <w:bookmarkStart w:id="0" w:name="_Hlk95686308"/>
      <w:r w:rsidRPr="003C4FDD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0"/>
      <w:r w:rsidRPr="003C4FDD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3C4FDD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502"/>
        <w:gridCol w:w="2255"/>
        <w:gridCol w:w="1867"/>
        <w:gridCol w:w="2730"/>
        <w:gridCol w:w="4924"/>
      </w:tblGrid>
      <w:tr w:rsidR="005058F2" w:rsidRPr="003C4FDD" w14:paraId="7E2E9B6A" w14:textId="77777777" w:rsidTr="004D093B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3C4FDD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3C4FDD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3C4FDD" w14:paraId="1C096482" w14:textId="77777777" w:rsidTr="004D093B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3C4FDD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3C4FDD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3C4FDD" w14:paraId="60CDF2D4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3C4FDD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3C4FDD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3C4FDD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3C4FDD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3C4FDD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3C4FDD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284294" w:rsidRPr="003C4FDD" w14:paraId="78AD09CB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B0B8" w14:textId="4E9AF342" w:rsidR="00284294" w:rsidRPr="003C4FDD" w:rsidRDefault="00372855" w:rsidP="009104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3CFC" w14:textId="5525DAD3" w:rsidR="00284294" w:rsidRPr="003C4FDD" w:rsidRDefault="0092099E" w:rsidP="009104F7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sz w:val="18"/>
                <w:szCs w:val="18"/>
              </w:rPr>
              <w:t>Enhertu</w:t>
            </w:r>
            <w:proofErr w:type="spellEnd"/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58DF4" w14:textId="5F2785D6" w:rsidR="00284294" w:rsidRPr="003C4FDD" w:rsidRDefault="0092099E" w:rsidP="009104F7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sz w:val="18"/>
                <w:szCs w:val="18"/>
              </w:rPr>
              <w:t>trastuzumab</w:t>
            </w:r>
            <w:proofErr w:type="spellEnd"/>
            <w:r w:rsidRPr="003C4FDD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4FDD">
              <w:rPr>
                <w:rFonts w:ascii="Lato" w:hAnsi="Lato" w:cstheme="majorHAnsi"/>
                <w:i/>
                <w:iCs/>
                <w:sz w:val="18"/>
                <w:szCs w:val="18"/>
              </w:rPr>
              <w:t>derukstekan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8D9A" w14:textId="559C562C" w:rsidR="00284294" w:rsidRPr="003C4FDD" w:rsidRDefault="0092099E" w:rsidP="009104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B.9.FM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1D1F" w14:textId="5636E09E" w:rsidR="00284294" w:rsidRPr="003C4FDD" w:rsidRDefault="0092099E" w:rsidP="0092099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EF5F" w14:textId="3E1CE7B1" w:rsidR="00284294" w:rsidRPr="003C4FDD" w:rsidRDefault="0092099E" w:rsidP="009104F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II lub III lub IV linii chorych z powodu nieoperacyjnego lub zaawansowanego HER2-dodatniego raka piersi  po zastosowaniu co najmniej jednej linii terapii anty-HER2.</w:t>
            </w:r>
          </w:p>
        </w:tc>
      </w:tr>
      <w:tr w:rsidR="00D25F43" w:rsidRPr="003C4FDD" w14:paraId="71CF2711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7ACB" w14:textId="3A986E1A" w:rsidR="00D25F43" w:rsidRPr="003C4FDD" w:rsidRDefault="00372855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2.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7CD4E" w14:textId="67BF4095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Lynparza</w:t>
            </w:r>
            <w:proofErr w:type="spellEnd"/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2A70" w14:textId="269DE641" w:rsidR="00D25F43" w:rsidRPr="003C4FDD" w:rsidRDefault="00372855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</w:t>
            </w:r>
            <w:r w:rsidR="00D25F43"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laparyb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E354" w14:textId="42888632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B.9.FM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E2C8" w14:textId="0A910EA0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079E" w14:textId="204EEBB9" w:rsidR="00D25F43" w:rsidRPr="003C4FDD" w:rsidRDefault="002F43BB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uzupełniające </w:t>
            </w:r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chorych z </w:t>
            </w:r>
            <w:proofErr w:type="spellStart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germinalnymi</w:t>
            </w:r>
            <w:proofErr w:type="spellEnd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mutacjami BRCA1/2, u których występuje </w:t>
            </w:r>
            <w:proofErr w:type="spellStart"/>
            <w:r w:rsidR="00D25FC6">
              <w:rPr>
                <w:rFonts w:ascii="Lato" w:hAnsi="Lato" w:cstheme="majorHAnsi"/>
                <w:color w:val="000000"/>
                <w:sz w:val="18"/>
                <w:szCs w:val="18"/>
              </w:rPr>
              <w:t>hormonozależny</w:t>
            </w:r>
            <w:proofErr w:type="spellEnd"/>
            <w:r w:rsidR="00D25FC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HER2-ujemny </w:t>
            </w:r>
            <w:r w:rsidR="00D25FC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lub potrójnie ujemny </w:t>
            </w:r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wczesny rak piersi wysokiego ryzyka, leczony wcześniej chemioterapią </w:t>
            </w:r>
            <w:proofErr w:type="spellStart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neoadjuwantową</w:t>
            </w:r>
            <w:proofErr w:type="spellEnd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adjuwantową</w:t>
            </w:r>
            <w:proofErr w:type="spellEnd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D25F43" w:rsidRPr="003C4FDD" w14:paraId="531B9990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6B3F" w14:textId="07941868" w:rsidR="00D25F43" w:rsidRPr="003C4FDD" w:rsidRDefault="00372855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3.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36D7" w14:textId="2F71238C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Lynparza</w:t>
            </w:r>
            <w:proofErr w:type="spellEnd"/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9FC2" w14:textId="43768AA5" w:rsidR="00D25F43" w:rsidRPr="003C4FDD" w:rsidRDefault="00372855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olaparyb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C486" w14:textId="01A54E2D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B.9.FM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037F" w14:textId="3DB4C02E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0F87" w14:textId="6EF35092" w:rsidR="00D25F43" w:rsidRPr="003C4FDD" w:rsidRDefault="00084DF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</w:t>
            </w:r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II lub I</w:t>
            </w:r>
            <w:r w:rsidR="002F43BB"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 linii chorych z obecnością mutacji </w:t>
            </w:r>
            <w:proofErr w:type="spellStart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germinalnych</w:t>
            </w:r>
            <w:proofErr w:type="spellEnd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genach BRCA1/2, po uprzednim zastosowaniu hormonoterapii z lub bez inhibitorów CDK4/6 w leczeniu paliatywnym (dopuszczalne jest wcześniejsze stosowanie 1-2 linii chemioterapii paliatywnej lub chemioterapii okołooperacyjnej z udziałem </w:t>
            </w:r>
            <w:proofErr w:type="spellStart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antracykliny</w:t>
            </w:r>
            <w:proofErr w:type="spellEnd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taksoidu</w:t>
            </w:r>
            <w:proofErr w:type="spellEnd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1 linii chemioterapii paliatywnej).</w:t>
            </w:r>
          </w:p>
        </w:tc>
      </w:tr>
      <w:tr w:rsidR="00D25F43" w:rsidRPr="003C4FDD" w14:paraId="71DF152B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7C66" w14:textId="55ED6CC5" w:rsidR="00D25F43" w:rsidRPr="003C4FDD" w:rsidRDefault="00372855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4C57" w14:textId="6B62BB92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Lynparza</w:t>
            </w:r>
            <w:proofErr w:type="spellEnd"/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8609" w14:textId="7CFF322E" w:rsidR="00D25F43" w:rsidRPr="003C4FDD" w:rsidRDefault="00372855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olaparyb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FEB4" w14:textId="44BF2DE9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B.9.FM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2DE8" w14:textId="7551238D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1A6A" w14:textId="10B97666" w:rsidR="00D25F43" w:rsidRPr="003C4FDD" w:rsidRDefault="00CB2BB1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</w:t>
            </w:r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lub II lub III linii przerzutowego lub miejscowo zaawansowanego potrójnie ujemnego raka piersi z obecnością mutacji </w:t>
            </w:r>
            <w:proofErr w:type="spellStart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germinalnych</w:t>
            </w:r>
            <w:proofErr w:type="spellEnd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genach BRCA 1/2, gdy leczenie miejscowe jest nieskuteczne lub niemożliwe do zastosowania pacjenci musieli otrzymać wcześniej chemioterapię zawierającą </w:t>
            </w:r>
            <w:proofErr w:type="spellStart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taksoid</w:t>
            </w:r>
            <w:proofErr w:type="spellEnd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antracyklinę</w:t>
            </w:r>
            <w:proofErr w:type="spellEnd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leczeniu okołooperacyjnym lub paliatywnym (dopuszczalne jest wcześniejsze stosowanie nie więcej niż 2 linii chemioterapii paliatywnej lub chemioterapii okołooperacyjnej i 1 linii chemioterapii paliatywnej).</w:t>
            </w:r>
          </w:p>
        </w:tc>
      </w:tr>
      <w:tr w:rsidR="00D25F43" w:rsidRPr="003C4FDD" w14:paraId="2F304C7B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EF10" w14:textId="3179CC02" w:rsidR="00D25F43" w:rsidRPr="003C4FDD" w:rsidRDefault="00372855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5.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0B9C" w14:textId="2650F989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Scemblix</w:t>
            </w:r>
            <w:proofErr w:type="spellEnd"/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2E7F" w14:textId="0B81C348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asciminib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B47" w14:textId="0C2D51B7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B.14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9DCD" w14:textId="41A48191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PRZEWLEKŁĄ BIAŁACZKĘ SZPIKOWĄ (ICD-10: C92.1)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7855" w14:textId="75F15939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asciminibem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przewlekłą białaczkę szpikową od III linii leczenia, po uprzednim leczeniu przynajmniej dwoma inhibitorami kinazy tyrozynowej, po których wystąpiła nietolerancja lub niepowodzenie leczenia.</w:t>
            </w:r>
          </w:p>
          <w:p w14:paraId="7B0CA559" w14:textId="56143ADB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D25F43" w:rsidRPr="003C4FDD" w14:paraId="41B567AC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FECB" w14:textId="22D9C9DF" w:rsidR="00D25F43" w:rsidRPr="003C4FDD" w:rsidRDefault="00372855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6.</w:t>
            </w:r>
            <w:r w:rsidR="00D25F43" w:rsidRPr="003C4FDD">
              <w:rPr>
                <w:rFonts w:ascii="Lato" w:hAnsi="Lato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0DD" w14:textId="7D7B3125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Jakavi</w:t>
            </w:r>
            <w:proofErr w:type="spellEnd"/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2683" w14:textId="7A195E8F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ruksolitynib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3C78" w14:textId="3A4D998C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B.81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8902" w14:textId="4E08649A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NOWOTWORY MIELOPROLIFERACYJNE </w:t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br/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Ph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(-) (ICD-10: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D45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, D47.1)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527F" w14:textId="46F8DD70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ruksolitynibem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czerwienicę prawdziwą z grupy wysokiego ryzyka, z opornością lub nietolerancją na leczenie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hydroksymocznikiem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7E05DB27" w14:textId="615190DA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D25F43" w:rsidRPr="003C4FDD" w14:paraId="4193F70D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740B1DCC" w:rsidR="00D25F43" w:rsidRPr="003C4FDD" w:rsidRDefault="00372855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1769C596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sz w:val="18"/>
                <w:szCs w:val="18"/>
              </w:rPr>
              <w:t>Opdivo</w:t>
            </w:r>
            <w:proofErr w:type="spellEnd"/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4FCDCF60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25998572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B.141.FM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0DA12BA7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RAKIEM UROTELIALNYM (ICD-10: C61, C65, C66, C67, C68)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388A" w14:textId="15DD95AC" w:rsidR="00D25F43" w:rsidRPr="003C4FDD" w:rsidRDefault="00973F6D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uzupełniające</w:t>
            </w:r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raka </w:t>
            </w:r>
            <w:proofErr w:type="spellStart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urotelialnego</w:t>
            </w:r>
            <w:proofErr w:type="spellEnd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naciekającego błonę mięśniową u dorosłych z ekspresją PD-L1 na komórkach guza ≥ 1% i z wysokim ryzykiem nawrotu po radykalnej </w:t>
            </w:r>
            <w:proofErr w:type="spellStart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cystekomii</w:t>
            </w:r>
            <w:proofErr w:type="spellEnd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cechą </w:t>
            </w:r>
            <w:proofErr w:type="spellStart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R0</w:t>
            </w:r>
            <w:proofErr w:type="spellEnd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D25F43" w:rsidRPr="003C4FDD" w14:paraId="34137848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3C1" w14:textId="66D55122" w:rsidR="00D25F43" w:rsidRPr="003C4FDD" w:rsidRDefault="00372855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8.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305" w14:textId="2082050E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Padcev</w:t>
            </w:r>
            <w:proofErr w:type="spellEnd"/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3D5" w14:textId="3708B384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enfortumab</w:t>
            </w:r>
            <w:proofErr w:type="spellEnd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wedotyny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ADAB" w14:textId="63DBA917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B.141.FM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6CBD" w14:textId="7CF2C4E6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RAKIEM UROTELIALNYM (ICD-10: C61, C65, C66, C67, C68)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27C2" w14:textId="352CF109" w:rsidR="00D25F43" w:rsidRPr="003C4FDD" w:rsidRDefault="00CB2BB1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</w:t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 </w:t>
            </w:r>
            <w:r w:rsidR="00973F6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lub III </w:t>
            </w:r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linii raka </w:t>
            </w:r>
            <w:proofErr w:type="spellStart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urotelialnego</w:t>
            </w:r>
            <w:proofErr w:type="spellEnd"/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miejscowo zaawansowanego lub z przerzutami u dorosłych chorych, którzy otrzymali wcześniej chemioterapię opartą na pochodnych platyny i inhibitor receptora programowanej śmierci komórki 1 (PD-1) lub inhibitor ligandu programowanej śmierci komórki 1 (PD-L1) (nawrót choroby w okresie nie wcześniej niż 6 miesięcy od zakończenia leczenia I linii).</w:t>
            </w:r>
          </w:p>
          <w:p w14:paraId="75074C9F" w14:textId="4FDADB3D" w:rsidR="001275D1" w:rsidRPr="003C4FDD" w:rsidRDefault="001275D1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</w:t>
            </w:r>
            <w:r w:rsidR="00157EB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73F6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- Technologia </w:t>
            </w:r>
            <w:r w:rsidR="00533C1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</w:t>
            </w:r>
            <w:r w:rsidR="00973F6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ekowa o </w:t>
            </w:r>
            <w:r w:rsidR="00533C1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w</w:t>
            </w:r>
            <w:r w:rsidR="00973F6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ysokim </w:t>
            </w:r>
            <w:r w:rsidR="00533C1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</w:t>
            </w:r>
            <w:r w:rsidR="00973F6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topniu </w:t>
            </w:r>
            <w:r w:rsidR="00533C1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</w:t>
            </w:r>
            <w:r w:rsidR="00973F6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nnowacyjności</w:t>
            </w: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25F43" w:rsidRPr="003C4FDD" w14:paraId="79F6918C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478061ED" w:rsidR="00D25F43" w:rsidRPr="003C4FDD" w:rsidRDefault="00372855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lastRenderedPageBreak/>
              <w:t>9.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7E1685B4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Rozlytrek</w:t>
            </w:r>
            <w:proofErr w:type="spellEnd"/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4114511D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entrectinib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43788FCA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B.144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03311273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GUZAMI LITYMI Z FUZJĄ GENU RECEPTOROWEJ KINAZY TYROZYNOWEJ DLA NEUROTROFIN (NTRK)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609A" w14:textId="77777777" w:rsidR="00CB2BB1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Dodanie drugiego, obok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larotrektynibu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leku z grupy inhibitorów kinaz tyrozynowych receptora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tropomiozynowego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 leczenia guzów litych z fuzją genu NTRK w programie.</w:t>
            </w:r>
          </w:p>
          <w:p w14:paraId="5F6D2A24" w14:textId="019664F3" w:rsidR="00D25F43" w:rsidRPr="003C4FDD" w:rsidRDefault="00CB2BB1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  <w:r w:rsidR="00D25F4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25F43" w:rsidRPr="003C4FDD" w14:paraId="59AF2A0C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B34E" w14:textId="56B9851A" w:rsidR="00D25F43" w:rsidRPr="003C4FDD" w:rsidRDefault="00372855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10.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AD20" w14:textId="6EE88DBF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sz w:val="18"/>
                <w:szCs w:val="18"/>
              </w:rPr>
              <w:t>Różne nazwy handlowe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3C8" w14:textId="6A92C136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sz w:val="18"/>
                <w:szCs w:val="18"/>
              </w:rPr>
              <w:t>trastuzumab</w:t>
            </w:r>
            <w:proofErr w:type="spellEnd"/>
            <w:r w:rsidRPr="003C4FDD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C4FDD">
              <w:rPr>
                <w:rFonts w:ascii="Lato" w:hAnsi="Lato" w:cstheme="majorHAnsi"/>
                <w:i/>
                <w:iCs/>
                <w:sz w:val="18"/>
                <w:szCs w:val="18"/>
              </w:rPr>
              <w:t>i.v</w:t>
            </w:r>
            <w:proofErr w:type="spellEnd"/>
            <w:r w:rsidRPr="003C4FDD">
              <w:rPr>
                <w:rFonts w:ascii="Lato" w:hAnsi="Lato" w:cstheme="maj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83B9" w14:textId="1B0B12F4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C.86.c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118B" w14:textId="12E2E86B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TRASTUZUMAB I.V.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192E" w14:textId="039A9F71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trastuzumabem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paklitakselem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karboplatyną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 z zaawansowanym lub nawrotowym surowiczym rakiem endometrium z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nadekspresją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białka HER2.</w:t>
            </w:r>
          </w:p>
          <w:p w14:paraId="2749EA53" w14:textId="2D01B80E" w:rsidR="00D25F43" w:rsidRPr="003C4FDD" w:rsidRDefault="00D25F43" w:rsidP="00D25F4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B2BB1" w:rsidRPr="003C4FDD" w14:paraId="2A9DE719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405E" w14:textId="115909A7" w:rsidR="00CB2BB1" w:rsidRPr="003C4FDD" w:rsidRDefault="00CB2BB1" w:rsidP="00CB2BB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11.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1B62" w14:textId="1FD411A7" w:rsidR="00CB2BB1" w:rsidRPr="003C4FDD" w:rsidRDefault="00CB2BB1" w:rsidP="00CB2BB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E269FF">
              <w:rPr>
                <w:rFonts w:ascii="Lato" w:hAnsi="Lato" w:cstheme="majorHAnsi"/>
                <w:b/>
                <w:bCs/>
                <w:sz w:val="18"/>
                <w:szCs w:val="18"/>
              </w:rPr>
              <w:t>Różne nazwy handlowe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5225" w14:textId="25B6002C" w:rsidR="00CB2BB1" w:rsidRPr="003C4FDD" w:rsidRDefault="00CB2BB1" w:rsidP="00CB2BB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E269FF">
              <w:rPr>
                <w:rFonts w:ascii="Lato" w:hAnsi="Lato" w:cstheme="majorHAnsi"/>
                <w:i/>
                <w:iCs/>
                <w:sz w:val="18"/>
                <w:szCs w:val="18"/>
              </w:rPr>
              <w:t>bewcyzumab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5A97" w14:textId="52315CEB" w:rsidR="00CB2BB1" w:rsidRPr="003C4FDD" w:rsidRDefault="00CB2BB1" w:rsidP="00CB2BB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269FF">
              <w:rPr>
                <w:rFonts w:ascii="Lato" w:hAnsi="Lato" w:cstheme="majorHAnsi"/>
                <w:sz w:val="18"/>
                <w:szCs w:val="18"/>
              </w:rPr>
              <w:t>C.82.a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2428" w14:textId="4AC68168" w:rsidR="00CB2BB1" w:rsidRPr="003C4FDD" w:rsidRDefault="00CB2BB1" w:rsidP="00CB2BB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E269FF">
              <w:rPr>
                <w:rFonts w:ascii="Lato" w:hAnsi="Lato" w:cstheme="majorHAnsi"/>
                <w:sz w:val="18"/>
                <w:szCs w:val="18"/>
              </w:rPr>
              <w:t>BEVACIZUMAB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BC914" w14:textId="3C5F4B0C" w:rsidR="00CB2BB1" w:rsidRPr="003C4FDD" w:rsidRDefault="00CB2BB1" w:rsidP="00CB2BB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269F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E269FF">
              <w:rPr>
                <w:rFonts w:ascii="Lato" w:hAnsi="Lato" w:cstheme="majorHAnsi"/>
                <w:color w:val="000000"/>
                <w:sz w:val="18"/>
                <w:szCs w:val="18"/>
              </w:rPr>
              <w:t>bewcyzumabem</w:t>
            </w:r>
            <w:proofErr w:type="spellEnd"/>
            <w:r w:rsidRPr="00E269F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E269FF">
              <w:rPr>
                <w:rFonts w:ascii="Lato" w:hAnsi="Lato" w:cstheme="majorHAnsi"/>
                <w:color w:val="000000"/>
                <w:sz w:val="18"/>
                <w:szCs w:val="18"/>
              </w:rPr>
              <w:t>karboplatyną</w:t>
            </w:r>
            <w:proofErr w:type="spellEnd"/>
            <w:r w:rsidRPr="00E269F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E269FF">
              <w:rPr>
                <w:rFonts w:ascii="Lato" w:hAnsi="Lato" w:cstheme="majorHAnsi"/>
                <w:color w:val="000000"/>
                <w:sz w:val="18"/>
                <w:szCs w:val="18"/>
              </w:rPr>
              <w:t>gemcytabiną</w:t>
            </w:r>
            <w:proofErr w:type="spellEnd"/>
            <w:r w:rsidRPr="00E269F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w skojarzeniu z </w:t>
            </w:r>
            <w:proofErr w:type="spellStart"/>
            <w:r w:rsidRPr="00E269FF">
              <w:rPr>
                <w:rFonts w:ascii="Lato" w:hAnsi="Lato" w:cstheme="majorHAnsi"/>
                <w:color w:val="000000"/>
                <w:sz w:val="18"/>
                <w:szCs w:val="18"/>
              </w:rPr>
              <w:t>karboplatyną</w:t>
            </w:r>
            <w:proofErr w:type="spellEnd"/>
            <w:r w:rsidRPr="00E269F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E269FF">
              <w:rPr>
                <w:rFonts w:ascii="Lato" w:hAnsi="Lato" w:cstheme="majorHAnsi"/>
                <w:color w:val="000000"/>
                <w:sz w:val="18"/>
                <w:szCs w:val="18"/>
              </w:rPr>
              <w:t>paklitakselem</w:t>
            </w:r>
            <w:proofErr w:type="spellEnd"/>
            <w:r w:rsidRPr="00E269F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pacjentek z pierwszym nawrotem wrażliwego na związki platyny raka jajnika, jajowodu lub pierwotnego raka otrzewnej.</w:t>
            </w:r>
          </w:p>
        </w:tc>
      </w:tr>
      <w:tr w:rsidR="0004482C" w:rsidRPr="003C4FDD" w14:paraId="31DC218D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A3A3" w14:textId="7D38CE45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12.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7A63" w14:textId="074E1FC9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A06B9A">
              <w:rPr>
                <w:rFonts w:ascii="Lato" w:hAnsi="Lato" w:cstheme="majorHAnsi"/>
                <w:b/>
                <w:bCs/>
                <w:sz w:val="18"/>
                <w:szCs w:val="18"/>
              </w:rPr>
              <w:t>Różne nazwy handlowe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D718" w14:textId="5B261917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A06B9A">
              <w:rPr>
                <w:rFonts w:ascii="Lato" w:hAnsi="Lato" w:cstheme="majorHAnsi"/>
                <w:i/>
                <w:iCs/>
                <w:sz w:val="18"/>
                <w:szCs w:val="18"/>
              </w:rPr>
              <w:t>bewcyzumab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9739" w14:textId="5F9D7499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A06B9A">
              <w:rPr>
                <w:rFonts w:ascii="Lato" w:hAnsi="Lato" w:cstheme="majorHAnsi"/>
                <w:sz w:val="18"/>
                <w:szCs w:val="18"/>
              </w:rPr>
              <w:t>C.82.a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147F1" w14:textId="368F0B57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A06B9A">
              <w:rPr>
                <w:rFonts w:ascii="Lato" w:hAnsi="Lato" w:cstheme="majorHAnsi"/>
                <w:sz w:val="18"/>
                <w:szCs w:val="18"/>
              </w:rPr>
              <w:t>BEVACIZUMAB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A10D" w14:textId="28B2E8D1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>bewcyzumabem</w:t>
            </w:r>
            <w:proofErr w:type="spellEnd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>paklitakselem</w:t>
            </w:r>
            <w:proofErr w:type="spellEnd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>topotekanem</w:t>
            </w:r>
            <w:proofErr w:type="spellEnd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>inj</w:t>
            </w:r>
            <w:proofErr w:type="spellEnd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lub </w:t>
            </w:r>
            <w:proofErr w:type="spellStart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>pegylowaną</w:t>
            </w:r>
            <w:proofErr w:type="spellEnd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>liposomalną</w:t>
            </w:r>
            <w:proofErr w:type="spellEnd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>doksorubicyną</w:t>
            </w:r>
            <w:proofErr w:type="spellEnd"/>
            <w:r w:rsidRPr="00A06B9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pacjentek z nawrotem opornego na związki platyny raka jajnika, jajowodu lub pierwotnego raka otrzewnej.</w:t>
            </w:r>
          </w:p>
        </w:tc>
      </w:tr>
      <w:tr w:rsidR="0004482C" w:rsidRPr="003C4FDD" w14:paraId="2EAEEA58" w14:textId="77777777" w:rsidTr="00912B91">
        <w:trPr>
          <w:cantSplit/>
          <w:trHeight w:val="20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4B85" w14:textId="7D756D42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13.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C7B" w14:textId="5B37377A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E24950">
              <w:rPr>
                <w:rFonts w:ascii="Lato" w:hAnsi="Lato" w:cstheme="majorHAnsi"/>
                <w:b/>
                <w:bCs/>
                <w:sz w:val="18"/>
                <w:szCs w:val="18"/>
              </w:rPr>
              <w:t>Różne nazwy handlowe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3F" w14:textId="359CF3EF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gemcytabina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7235" w14:textId="61EC23A2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A06B9A">
              <w:rPr>
                <w:rFonts w:ascii="Lato" w:hAnsi="Lato" w:cstheme="majorHAnsi"/>
                <w:sz w:val="18"/>
                <w:szCs w:val="18"/>
              </w:rPr>
              <w:t>C.28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1733" w14:textId="02CE63CE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/>
                <w:bCs/>
                <w:sz w:val="18"/>
                <w:szCs w:val="18"/>
              </w:rPr>
              <w:t>GEMCITABINE</w:t>
            </w:r>
          </w:p>
        </w:tc>
        <w:tc>
          <w:tcPr>
            <w:tcW w:w="1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F2A7" w14:textId="77777777" w:rsidR="0004482C" w:rsidRPr="003C4FDD" w:rsidRDefault="0004482C" w:rsidP="0004482C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Rozszerzenie</w:t>
            </w:r>
            <w:r w:rsidRPr="003C4FDD">
              <w:rPr>
                <w:rFonts w:ascii="Lato" w:hAnsi="Lato" w:cstheme="majorHAnsi"/>
                <w:sz w:val="18"/>
                <w:szCs w:val="18"/>
              </w:rPr>
              <w:t xml:space="preserve"> załącznika </w:t>
            </w:r>
            <w:proofErr w:type="spellStart"/>
            <w:r w:rsidRPr="003C4FDD">
              <w:rPr>
                <w:rFonts w:ascii="Lato" w:hAnsi="Lato" w:cstheme="majorHAnsi"/>
                <w:sz w:val="18"/>
                <w:szCs w:val="18"/>
              </w:rPr>
              <w:t>C.28</w:t>
            </w:r>
            <w:proofErr w:type="spellEnd"/>
            <w:r w:rsidRPr="003C4FDD">
              <w:rPr>
                <w:rFonts w:ascii="Lato" w:hAnsi="Lato" w:cstheme="majorHAnsi"/>
                <w:sz w:val="18"/>
                <w:szCs w:val="18"/>
              </w:rPr>
              <w:t xml:space="preserve"> o wskazania </w:t>
            </w:r>
            <w:proofErr w:type="spellStart"/>
            <w:r w:rsidRPr="003C4FDD">
              <w:rPr>
                <w:rFonts w:ascii="Lato" w:hAnsi="Lato" w:cstheme="majorHAnsi"/>
                <w:sz w:val="18"/>
                <w:szCs w:val="18"/>
              </w:rPr>
              <w:t>pozarejestracyjne</w:t>
            </w:r>
            <w:proofErr w:type="spellEnd"/>
            <w:r w:rsidRPr="003C4FDD">
              <w:rPr>
                <w:rFonts w:ascii="Lato" w:hAnsi="Lato" w:cstheme="majorHAnsi"/>
                <w:sz w:val="18"/>
                <w:szCs w:val="18"/>
              </w:rPr>
              <w:t>:</w:t>
            </w:r>
          </w:p>
          <w:p w14:paraId="72457C16" w14:textId="77777777" w:rsidR="0004482C" w:rsidRDefault="0004482C" w:rsidP="0004482C">
            <w:pPr>
              <w:pStyle w:val="Akapitzlist"/>
              <w:numPr>
                <w:ilvl w:val="0"/>
                <w:numId w:val="25"/>
              </w:num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C.66 Nowotwór złośliwy moczowodu,</w:t>
            </w:r>
          </w:p>
          <w:p w14:paraId="7CDFBEFD" w14:textId="294E3ADF" w:rsidR="0004482C" w:rsidRPr="0004482C" w:rsidRDefault="0004482C" w:rsidP="00912B91">
            <w:pPr>
              <w:pStyle w:val="Akapitzlist"/>
              <w:numPr>
                <w:ilvl w:val="0"/>
                <w:numId w:val="25"/>
              </w:num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912B91">
              <w:rPr>
                <w:rFonts w:ascii="Lato" w:hAnsi="Lato" w:cstheme="majorHAnsi"/>
                <w:sz w:val="18"/>
                <w:szCs w:val="18"/>
              </w:rPr>
              <w:t>C.68 Nowotwór złośliwy innych i nieokreślonych narządów moczowych.</w:t>
            </w:r>
          </w:p>
        </w:tc>
      </w:tr>
    </w:tbl>
    <w:p w14:paraId="7F9CCF36" w14:textId="51B74B46" w:rsidR="004D093B" w:rsidRPr="003C4FDD" w:rsidRDefault="004D093B">
      <w:pPr>
        <w:rPr>
          <w:rFonts w:ascii="Lato" w:hAnsi="Lato"/>
        </w:rPr>
      </w:pPr>
    </w:p>
    <w:p w14:paraId="7FCF9A29" w14:textId="77777777" w:rsidR="004D093B" w:rsidRPr="003C4FDD" w:rsidRDefault="004D093B">
      <w:pPr>
        <w:suppressAutoHyphens w:val="0"/>
        <w:rPr>
          <w:rFonts w:ascii="Lato" w:hAnsi="Lato"/>
        </w:rPr>
      </w:pPr>
      <w:r w:rsidRPr="003C4FDD">
        <w:rPr>
          <w:rFonts w:ascii="Lato" w:hAnsi="Lato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2D6ED9" w:rsidRPr="003C4FDD" w14:paraId="4C9C4901" w14:textId="77777777" w:rsidTr="004D093B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2D6ED9" w:rsidRPr="003C4FDD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3C4FDD">
              <w:rPr>
                <w:rFonts w:ascii="Lato" w:hAnsi="Lato" w:cstheme="majorHAnsi"/>
                <w:b/>
                <w:bCs/>
                <w:color w:val="FFFFFF"/>
              </w:rPr>
              <w:lastRenderedPageBreak/>
              <w:t>Nowe wskazania nieonkologiczne</w:t>
            </w:r>
          </w:p>
        </w:tc>
      </w:tr>
      <w:tr w:rsidR="002D6ED9" w:rsidRPr="003C4FDD" w14:paraId="1394CD71" w14:textId="77777777" w:rsidTr="004D093B">
        <w:trPr>
          <w:cantSplit/>
          <w:trHeight w:val="628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3C4FDD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3C4FDD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3C4FDD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3C4FDD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3C4FDD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3C4FDD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BD1D9A" w:rsidRPr="003C4FDD" w14:paraId="221C45C7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CB5B" w14:textId="54B4CF55" w:rsidR="00BD1D9A" w:rsidRPr="003C4FDD" w:rsidRDefault="00BD1D9A" w:rsidP="00BD1D9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2E6A" w14:textId="29FE4CC2" w:rsidR="00BD1D9A" w:rsidRPr="003C4FDD" w:rsidRDefault="00BD1D9A" w:rsidP="00BD1D9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Dysport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4F82" w14:textId="1BD36DF2" w:rsidR="00BD1D9A" w:rsidRPr="003C4FDD" w:rsidRDefault="00BD1D9A" w:rsidP="00BD1D9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toksyna botulinowa typu 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EE25" w14:textId="192D8A9F" w:rsidR="00BD1D9A" w:rsidRPr="003C4FDD" w:rsidRDefault="00BD1D9A" w:rsidP="00BD1D9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B.57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B298" w14:textId="032BC7F6" w:rsidR="00BD1D9A" w:rsidRPr="003C4FDD" w:rsidRDefault="00BD1D9A" w:rsidP="00BD1D9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82315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ZE SPASTYCZNOŚCIĄ KOŃCZYN Z UŻYCIEM TOKSYNY BOTULINOWEJ TYPU A (ICD–10: I61, I63, I69, G35, G80, G82, G83, T90, T91)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E5CF" w14:textId="5863F1C7" w:rsidR="00BD1D9A" w:rsidRPr="00182315" w:rsidRDefault="00F0779F" w:rsidP="00BD1D9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wskazania stosowania toksyny botulinową o leczenie pacjentów</w:t>
            </w:r>
            <w:r w:rsidR="00BD1D9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ze spastycznością  o etiologii innej niż udarowa, tj.:</w:t>
            </w:r>
          </w:p>
          <w:p w14:paraId="21570DF2" w14:textId="1EEFB1EF" w:rsidR="00BD1D9A" w:rsidRPr="00292414" w:rsidRDefault="00BD1D9A" w:rsidP="00BD1D9A">
            <w:pPr>
              <w:pStyle w:val="Akapitzlist"/>
              <w:numPr>
                <w:ilvl w:val="0"/>
                <w:numId w:val="39"/>
              </w:numPr>
              <w:spacing w:before="60" w:after="60" w:line="240" w:lineRule="auto"/>
              <w:ind w:left="310" w:hanging="283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92414">
              <w:rPr>
                <w:rFonts w:ascii="Lato" w:hAnsi="Lato" w:cstheme="majorHAnsi"/>
                <w:color w:val="000000"/>
                <w:sz w:val="18"/>
                <w:szCs w:val="18"/>
              </w:rPr>
              <w:t>po przebytym urazie OUN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</w:p>
          <w:p w14:paraId="23BEBBEE" w14:textId="6A815D0F" w:rsidR="00BD1D9A" w:rsidRPr="00292414" w:rsidRDefault="00BD1D9A" w:rsidP="00BD1D9A">
            <w:pPr>
              <w:pStyle w:val="Akapitzlist"/>
              <w:numPr>
                <w:ilvl w:val="0"/>
                <w:numId w:val="39"/>
              </w:numPr>
              <w:spacing w:before="60" w:after="60" w:line="240" w:lineRule="auto"/>
              <w:ind w:left="310" w:hanging="283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92414">
              <w:rPr>
                <w:rFonts w:ascii="Lato" w:hAnsi="Lato" w:cstheme="majorHAnsi"/>
                <w:color w:val="000000"/>
                <w:sz w:val="18"/>
                <w:szCs w:val="18"/>
              </w:rPr>
              <w:t>z rozpoznaniem stwardnienia rozsianego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</w:p>
          <w:p w14:paraId="66055FE8" w14:textId="77777777" w:rsidR="00BD1D9A" w:rsidRDefault="00BD1D9A" w:rsidP="00BD1D9A">
            <w:pPr>
              <w:pStyle w:val="Akapitzlist"/>
              <w:numPr>
                <w:ilvl w:val="0"/>
                <w:numId w:val="39"/>
              </w:numPr>
              <w:spacing w:before="60" w:after="60" w:line="240" w:lineRule="auto"/>
              <w:ind w:left="310" w:hanging="283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92414">
              <w:rPr>
                <w:rFonts w:ascii="Lato" w:hAnsi="Lato" w:cstheme="majorHAnsi"/>
                <w:color w:val="000000"/>
                <w:sz w:val="18"/>
                <w:szCs w:val="18"/>
              </w:rPr>
              <w:t>z rozpoznaniem mózgowego porażenia dziecięcego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</w:p>
          <w:p w14:paraId="23F2510E" w14:textId="056A9C93" w:rsidR="00BD1D9A" w:rsidRPr="00BD1D9A" w:rsidRDefault="00BD1D9A" w:rsidP="00BD1D9A">
            <w:pPr>
              <w:pStyle w:val="Akapitzlist"/>
              <w:numPr>
                <w:ilvl w:val="0"/>
                <w:numId w:val="39"/>
              </w:numPr>
              <w:spacing w:before="60" w:after="60" w:line="240" w:lineRule="auto"/>
              <w:ind w:left="310" w:hanging="283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D1D9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rozpoznaniem paraplegii spastycznej. </w:t>
            </w:r>
          </w:p>
        </w:tc>
      </w:tr>
      <w:tr w:rsidR="00694E14" w:rsidRPr="003C4FDD" w14:paraId="7522F87A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592E" w14:textId="3782DBC7" w:rsidR="00694E14" w:rsidRPr="00694E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694E14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FB93" w14:textId="0304E9EC" w:rsidR="00694E14" w:rsidRPr="00533C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Adtralza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0348" w14:textId="6E8EAA85" w:rsidR="00694E14" w:rsidRPr="00533C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tralokinumab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A292" w14:textId="72309B77" w:rsidR="00694E14" w:rsidRPr="00533C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FF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B.124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478" w14:textId="4DC90B68" w:rsidR="00694E14" w:rsidRPr="00533C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FF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ATOPOWYM ZAPALENIEM SKÓRY (ICD-10: L20)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7344" w14:textId="77777777" w:rsidR="00694E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chorych w wieku 12 lat i powyżej z ciężką postacią atopowego zapalenia skóry.</w:t>
            </w:r>
          </w:p>
          <w:p w14:paraId="5797C9BB" w14:textId="629DD36A" w:rsidR="00694E14" w:rsidRPr="00533C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FF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Kolejna opcja terapeutyczna stanowiąca przeciwciało monoklonalne obok obecnego już w programie lekowym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dupilumabu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</w:t>
            </w:r>
          </w:p>
        </w:tc>
      </w:tr>
      <w:tr w:rsidR="00694E14" w:rsidRPr="003C4FDD" w14:paraId="5ED86F3E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B444" w14:textId="32362A59" w:rsidR="00694E14" w:rsidRPr="00694E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694E14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5631" w14:textId="5BC46FEF" w:rsidR="00694E14" w:rsidRPr="00533C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sz w:val="18"/>
                <w:szCs w:val="18"/>
              </w:rPr>
              <w:t>Cibinqo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6633" w14:textId="1A070948" w:rsidR="00694E14" w:rsidRPr="00533C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sz w:val="18"/>
                <w:szCs w:val="18"/>
              </w:rPr>
              <w:t>abrocytynib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88C" w14:textId="1AFBC063" w:rsidR="00694E14" w:rsidRPr="00533C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FF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B.124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2A6A" w14:textId="47105667" w:rsidR="00694E14" w:rsidRPr="00533C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FF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ATOPOWYM ZAPALENIEM SKÓRY (ICD-10: L20)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8F59" w14:textId="77777777" w:rsidR="00694E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chorych w wieku 18 lat i powyżej z ciężką postacią atopowego zapalenia skóry.</w:t>
            </w:r>
          </w:p>
          <w:p w14:paraId="790C1040" w14:textId="2DBB32AF" w:rsidR="00694E14" w:rsidRPr="00533C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FF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Kolejna opcja terapeutyczna z grupy leków należących do inhibitorów JAK obok obecnych w programie lekowym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barycytynibu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upadacytynibu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694E14" w:rsidRPr="003C4FDD" w14:paraId="5CE97390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F555" w14:textId="630375FE" w:rsidR="00694E14" w:rsidRPr="00694E14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694E14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9EF" w14:textId="019425E4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Crysvita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5750" w14:textId="2B7E45CA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burosumab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6876" w14:textId="2648256F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B.151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4CE2" w14:textId="38D0EA81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HIPOFOSFATEMIĘ SPRZĘŻONĄ Z CHROMOSOMEM X (XLH) (ICD-10 E.83.3)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2A85" w14:textId="77777777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w wieku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od 1 roku do </w:t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17 lat, z rozpoznaną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hipofosfatemią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sprzężoną z chromosomem X (XLH), potwierdzoną obecnością mutacji w genie PHEX u chorego lub bezpośrednio spokrewnionego członka rodziny (z którym związane jest dziedziczenie sprzężone z chromosomem X) oraz radiologicznie potwierdzoną chorobą kości (RSS ≥2).</w:t>
            </w:r>
          </w:p>
          <w:p w14:paraId="0AFE6806" w14:textId="2A8915C5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</w:tbl>
    <w:p w14:paraId="169C5300" w14:textId="64238082" w:rsidR="004D093B" w:rsidRDefault="004D093B">
      <w:pPr>
        <w:suppressAutoHyphens w:val="0"/>
        <w:rPr>
          <w:rFonts w:ascii="Lato" w:hAnsi="Lato"/>
        </w:rPr>
      </w:pPr>
    </w:p>
    <w:p w14:paraId="10214C14" w14:textId="77777777" w:rsidR="00694E14" w:rsidRDefault="00694E14">
      <w:pPr>
        <w:suppressAutoHyphens w:val="0"/>
        <w:rPr>
          <w:rFonts w:ascii="Lato" w:hAnsi="Lato"/>
        </w:rPr>
      </w:pPr>
    </w:p>
    <w:p w14:paraId="363C2FB3" w14:textId="77777777" w:rsidR="00694E14" w:rsidRPr="003C4FDD" w:rsidRDefault="00694E14">
      <w:pPr>
        <w:suppressAutoHyphens w:val="0"/>
        <w:rPr>
          <w:rFonts w:ascii="Lato" w:hAnsi="Lato"/>
        </w:rPr>
      </w:pPr>
    </w:p>
    <w:tbl>
      <w:tblPr>
        <w:tblW w:w="6304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1644"/>
        <w:gridCol w:w="2504"/>
        <w:gridCol w:w="9202"/>
        <w:gridCol w:w="3647"/>
      </w:tblGrid>
      <w:tr w:rsidR="00A434EB" w:rsidRPr="003C4FDD" w14:paraId="0B833808" w14:textId="77777777" w:rsidTr="009104F7">
        <w:trPr>
          <w:gridAfter w:val="1"/>
          <w:wAfter w:w="1034" w:type="pct"/>
          <w:cantSplit/>
          <w:trHeight w:val="20"/>
        </w:trPr>
        <w:tc>
          <w:tcPr>
            <w:tcW w:w="39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3C4FDD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3C4FDD">
              <w:rPr>
                <w:rFonts w:ascii="Lato" w:hAnsi="Lato" w:cstheme="majorHAnsi"/>
                <w:b/>
                <w:bCs/>
                <w:color w:val="FFFFFF"/>
              </w:rPr>
              <w:lastRenderedPageBreak/>
              <w:t>Zmiany w programach lekowych i chemioterapii</w:t>
            </w:r>
          </w:p>
        </w:tc>
      </w:tr>
      <w:tr w:rsidR="00A434EB" w:rsidRPr="003C4FDD" w14:paraId="2BCC5E80" w14:textId="77777777" w:rsidTr="009104F7">
        <w:trPr>
          <w:gridAfter w:val="1"/>
          <w:wAfter w:w="1034" w:type="pct"/>
          <w:cantSplit/>
          <w:trHeight w:val="20"/>
        </w:trPr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3C4FDD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3C4FDD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3C4FDD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3C4FDD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611BBA" w:rsidRPr="003C4FDD" w14:paraId="47C906BC" w14:textId="77777777" w:rsidTr="009104F7">
        <w:trPr>
          <w:cantSplit/>
          <w:trHeight w:val="20"/>
        </w:trPr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3BC5" w14:textId="532BF157" w:rsidR="00611BBA" w:rsidRPr="003C4FDD" w:rsidRDefault="00611BBA" w:rsidP="009104F7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C543" w14:textId="19F0F146" w:rsidR="00611BBA" w:rsidRPr="003C4FDD" w:rsidRDefault="00611BBA" w:rsidP="009104F7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78D3C" w14:textId="2C4FD8FE" w:rsidR="00611BBA" w:rsidRPr="003C4FDD" w:rsidRDefault="00611BBA" w:rsidP="00611BBA">
            <w:pPr>
              <w:spacing w:before="60" w:after="6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3C4FDD">
              <w:rPr>
                <w:rFonts w:ascii="Lato" w:hAnsi="Lato"/>
                <w:bCs/>
                <w:sz w:val="18"/>
                <w:szCs w:val="18"/>
              </w:rPr>
              <w:t>LECZENIE CHORYCH NA RAKA JELITA GRUBEGO (ICD-10: C18 – C20)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532A" w14:textId="77777777" w:rsidR="00611BBA" w:rsidRPr="003C4FDD" w:rsidRDefault="00611BBA" w:rsidP="00F0779F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Kompleksowa zmiana programu lekowego wpływająca na paradygmat leczenia raka jelita grubego.</w:t>
            </w:r>
          </w:p>
          <w:p w14:paraId="791848BC" w14:textId="0E417A68" w:rsidR="00611BBA" w:rsidRPr="003C4FDD" w:rsidRDefault="00611BBA" w:rsidP="00F0779F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Zastosowano techniczny podział na leczenie systemowe oraz chemioterapię. Główną zmianą jest umożliwienie stosowania terapii finansowanych w ramach pierwszej lub kolejnych liniach chemioterapii po uprzednim leczeniu immunoterapią. Ponadto, w stosunku do części terapii finansowanych w programie zniesiono lub zmieniono zdefiniowaną dotychczas linię leczenia</w:t>
            </w:r>
            <w:r w:rsidR="00685293" w:rsidRPr="003C4FDD">
              <w:rPr>
                <w:rFonts w:ascii="Lato" w:hAnsi="Lato" w:cstheme="majorHAnsi"/>
                <w:sz w:val="18"/>
                <w:szCs w:val="18"/>
              </w:rPr>
              <w:t xml:space="preserve"> zgodnie z aktualną praktyką kliniczną</w:t>
            </w:r>
            <w:r w:rsidRPr="003C4FDD">
              <w:rPr>
                <w:rFonts w:ascii="Lato" w:hAnsi="Lato" w:cstheme="majorHAnsi"/>
                <w:sz w:val="18"/>
                <w:szCs w:val="18"/>
              </w:rPr>
              <w:t>,</w:t>
            </w:r>
            <w:r w:rsidR="00685293" w:rsidRPr="003C4FDD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r w:rsidRPr="003C4FDD">
              <w:rPr>
                <w:rFonts w:ascii="Lato" w:hAnsi="Lato" w:cstheme="majorHAnsi"/>
                <w:sz w:val="18"/>
                <w:szCs w:val="18"/>
              </w:rPr>
              <w:t>eliminując</w:t>
            </w:r>
            <w:r w:rsidR="00685293" w:rsidRPr="003C4FDD">
              <w:rPr>
                <w:rFonts w:ascii="Lato" w:hAnsi="Lato" w:cstheme="majorHAnsi"/>
                <w:sz w:val="18"/>
                <w:szCs w:val="18"/>
              </w:rPr>
              <w:t xml:space="preserve"> przy tym</w:t>
            </w:r>
            <w:r w:rsidRPr="003C4FDD">
              <w:rPr>
                <w:rFonts w:ascii="Lato" w:hAnsi="Lato" w:cstheme="majorHAnsi"/>
                <w:sz w:val="18"/>
                <w:szCs w:val="18"/>
              </w:rPr>
              <w:t xml:space="preserve"> możliwe konflikty terapeutyczne.</w:t>
            </w:r>
          </w:p>
          <w:p w14:paraId="29C20422" w14:textId="77777777" w:rsidR="00F0779F" w:rsidRDefault="00611BBA" w:rsidP="00F0779F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Co więcej, poza istotnymi zmianami</w:t>
            </w:r>
            <w:r w:rsidR="00685293" w:rsidRPr="003C4FDD">
              <w:rPr>
                <w:rFonts w:ascii="Lato" w:hAnsi="Lato" w:cstheme="majorHAnsi"/>
                <w:sz w:val="18"/>
                <w:szCs w:val="18"/>
              </w:rPr>
              <w:t xml:space="preserve"> pod względem klinicznym</w:t>
            </w:r>
            <w:r w:rsidRPr="003C4FDD">
              <w:rPr>
                <w:rFonts w:ascii="Lato" w:hAnsi="Lato" w:cstheme="majorHAnsi"/>
                <w:sz w:val="18"/>
                <w:szCs w:val="18"/>
              </w:rPr>
              <w:t>, zapisy programu zostały maksymalnie ujednolicone, na skutek odejścia od opisów każdej terapii z osobna. Usystematyzowaniem objęto wszystkie zapisy programu obejmujące: kryteria kwalifikacji, kryteria wyłączenia, dawkowanie, badania diagnostyczne i monitorujące.</w:t>
            </w:r>
            <w:r w:rsidR="008D3759" w:rsidRPr="003C4FDD">
              <w:rPr>
                <w:rFonts w:ascii="Lato" w:hAnsi="Lato" w:cstheme="majorHAnsi"/>
                <w:sz w:val="18"/>
                <w:szCs w:val="18"/>
              </w:rPr>
              <w:t xml:space="preserve"> </w:t>
            </w:r>
          </w:p>
          <w:p w14:paraId="7091EDDE" w14:textId="242E92CA" w:rsidR="00611BBA" w:rsidRPr="003C4FDD" w:rsidRDefault="008D3759" w:rsidP="00F0779F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Wprowadzono również zapisy dotyczące monitorowania skuteczności terapii.</w:t>
            </w:r>
          </w:p>
        </w:tc>
        <w:tc>
          <w:tcPr>
            <w:tcW w:w="1034" w:type="pct"/>
            <w:vAlign w:val="center"/>
          </w:tcPr>
          <w:p w14:paraId="295F4AE5" w14:textId="77777777" w:rsidR="00611BBA" w:rsidRPr="003C4FDD" w:rsidRDefault="00611BBA" w:rsidP="009104F7">
            <w:pPr>
              <w:suppressAutoHyphens w:val="0"/>
              <w:rPr>
                <w:rFonts w:ascii="Lato" w:hAnsi="Lato"/>
              </w:rPr>
            </w:pPr>
          </w:p>
        </w:tc>
      </w:tr>
      <w:tr w:rsidR="00685293" w:rsidRPr="003C4FDD" w14:paraId="23600480" w14:textId="77777777" w:rsidTr="009104F7">
        <w:trPr>
          <w:cantSplit/>
          <w:trHeight w:val="20"/>
        </w:trPr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143D" w14:textId="514476D4" w:rsidR="00685293" w:rsidRPr="003C4FDD" w:rsidRDefault="008D3759" w:rsidP="0068529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2.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5FF9" w14:textId="41D396A2" w:rsidR="00685293" w:rsidRPr="003C4FDD" w:rsidRDefault="00685293" w:rsidP="0068529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B.14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9805" w14:textId="6D468E94" w:rsidR="00685293" w:rsidRPr="003C4FDD" w:rsidRDefault="00685293" w:rsidP="00685293">
            <w:pPr>
              <w:spacing w:before="60" w:after="6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PRZEWLEKŁĄ BIAŁACZKĘ SZPIKOWĄ (ICD-10: C92.1)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B9C7" w14:textId="77777777" w:rsidR="00685293" w:rsidRPr="003C4FDD" w:rsidRDefault="00685293" w:rsidP="00F0779F">
            <w:p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Wprowadzenie kompleksowych zmian w zapisach programu lekowego, w tym zmian porządkujących i dostosowujących zapisy programu lekowego do aktualnych wytycznych klinicznych, m.in.:</w:t>
            </w:r>
          </w:p>
          <w:p w14:paraId="035BE46F" w14:textId="77777777" w:rsidR="00685293" w:rsidRPr="003C4FDD" w:rsidRDefault="00685293" w:rsidP="00F0779F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ujednolicenie kryteriów wyłączenia dla wszystkich terapii dostępnych w ramach programu,</w:t>
            </w:r>
          </w:p>
          <w:p w14:paraId="77572154" w14:textId="77777777" w:rsidR="00685293" w:rsidRPr="003C4FDD" w:rsidRDefault="00685293" w:rsidP="00F0779F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uogólnienie zapisów dotyczących stosowania inhibitorów kinazy tyrozynowej w przypadku oporności lub nietolerancji,</w:t>
            </w:r>
          </w:p>
          <w:p w14:paraId="64A69DC2" w14:textId="77777777" w:rsidR="00685293" w:rsidRPr="003C4FDD" w:rsidRDefault="00685293" w:rsidP="00F0779F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dodanie zapisów i wskaźników dotyczących oceny skuteczności terapii,</w:t>
            </w:r>
          </w:p>
          <w:p w14:paraId="089DB303" w14:textId="66FEFA42" w:rsidR="00685293" w:rsidRPr="003C4FDD" w:rsidRDefault="00685293" w:rsidP="00F0779F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jednoczesnym udostępnieniem w ramach programu terapii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asciminibem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 przeniesieniem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dazatynibu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 katalogu chemioterapii.</w:t>
            </w:r>
          </w:p>
        </w:tc>
        <w:tc>
          <w:tcPr>
            <w:tcW w:w="1034" w:type="pct"/>
            <w:vAlign w:val="center"/>
          </w:tcPr>
          <w:p w14:paraId="24E94099" w14:textId="77777777" w:rsidR="00685293" w:rsidRPr="003C4FDD" w:rsidRDefault="00685293" w:rsidP="00685293">
            <w:pPr>
              <w:suppressAutoHyphens w:val="0"/>
              <w:rPr>
                <w:rFonts w:ascii="Lato" w:hAnsi="Lato"/>
              </w:rPr>
            </w:pPr>
          </w:p>
        </w:tc>
      </w:tr>
      <w:tr w:rsidR="00685293" w:rsidRPr="003C4FDD" w14:paraId="6F732F68" w14:textId="77777777" w:rsidTr="009104F7">
        <w:trPr>
          <w:cantSplit/>
          <w:trHeight w:val="20"/>
        </w:trPr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7D5E" w14:textId="7C991C08" w:rsidR="00685293" w:rsidRPr="003C4FDD" w:rsidRDefault="008D3759" w:rsidP="0068529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lastRenderedPageBreak/>
              <w:t>3.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74A3" w14:textId="4D20D172" w:rsidR="00685293" w:rsidRPr="003C4FDD" w:rsidRDefault="00685293" w:rsidP="0068529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B.65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63DC" w14:textId="7F0FD116" w:rsidR="00685293" w:rsidRPr="003C4FDD" w:rsidRDefault="00685293" w:rsidP="00685293">
            <w:pPr>
              <w:spacing w:before="60" w:after="6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LECZENIE CHORYCH NA OSTRĄ BIAŁACZKĘ LIMFOBLASTYCZNĄ (ICD-10: C91.0)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2E8F" w14:textId="77777777" w:rsidR="00685293" w:rsidRPr="003C4FDD" w:rsidRDefault="00685293" w:rsidP="00F0779F">
            <w:p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Wprowadzenie kompleksowych zmian w zapisach programu lekowego, m.in.:</w:t>
            </w:r>
          </w:p>
          <w:p w14:paraId="3967D747" w14:textId="77777777" w:rsidR="00685293" w:rsidRPr="003C4FDD" w:rsidRDefault="00685293" w:rsidP="00F0779F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zmian porządkujących i dostosowujących zapisy programu lekowego do aktualnych wytycznych klinicznych,</w:t>
            </w:r>
          </w:p>
          <w:p w14:paraId="5FBA8287" w14:textId="04911F68" w:rsidR="00685293" w:rsidRPr="003C4FDD" w:rsidRDefault="00685293" w:rsidP="00F0779F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umożliwienie leczenia domowego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blinatumomabem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 dzieci</w:t>
            </w:r>
            <w:r w:rsidR="00395A36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</w:p>
          <w:p w14:paraId="112E56AD" w14:textId="77777777" w:rsidR="00685293" w:rsidRPr="003C4FDD" w:rsidRDefault="00685293" w:rsidP="00F0779F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umożliwienie zastosowania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blinatumomabu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 dzieci i dorosłych ze wznową, i u których nie jest planowane wykonanie przeszczepienia allogenicznych krwiotwórczych komórek macierzystych (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alloHSCT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),</w:t>
            </w:r>
          </w:p>
          <w:p w14:paraId="39BFF853" w14:textId="77777777" w:rsidR="00685293" w:rsidRPr="003C4FDD" w:rsidRDefault="00685293" w:rsidP="00F0779F">
            <w:pPr>
              <w:pStyle w:val="Akapitzlist"/>
              <w:numPr>
                <w:ilvl w:val="0"/>
                <w:numId w:val="29"/>
              </w:numPr>
              <w:suppressAutoHyphens w:val="0"/>
              <w:autoSpaceDN/>
              <w:spacing w:after="0" w:line="276" w:lineRule="auto"/>
              <w:contextualSpacing w:val="0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do leczenia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tisagenlecleucelem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(terapia CAR-T) także nawrotu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pozaszpikowego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ostrej białaczki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limfoblastycznej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</w:p>
          <w:p w14:paraId="14A65AF3" w14:textId="00AEA12C" w:rsidR="00685293" w:rsidRPr="003C4FDD" w:rsidRDefault="00685293" w:rsidP="00F0779F">
            <w:pPr>
              <w:pStyle w:val="Akapitzlist"/>
              <w:numPr>
                <w:ilvl w:val="0"/>
                <w:numId w:val="29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dodanie zapisów i wskaźników dotyczących oceny skuteczności terapii</w:t>
            </w:r>
            <w:r w:rsidR="00395A36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1090D62D" w14:textId="7A9CA142" w:rsidR="00685293" w:rsidRPr="003C4FDD" w:rsidRDefault="00395A36" w:rsidP="00F0779F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Jednocześnie wprowadzono modyfikacje związane z</w:t>
            </w:r>
            <w:r w:rsidR="0068529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przeniesieniem </w:t>
            </w:r>
            <w:proofErr w:type="spellStart"/>
            <w:r w:rsidR="0068529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dazatynibu</w:t>
            </w:r>
            <w:proofErr w:type="spellEnd"/>
            <w:r w:rsidR="00685293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 katalogu chemioterapii.</w:t>
            </w:r>
          </w:p>
        </w:tc>
        <w:tc>
          <w:tcPr>
            <w:tcW w:w="1034" w:type="pct"/>
            <w:vAlign w:val="center"/>
          </w:tcPr>
          <w:p w14:paraId="1F753B5D" w14:textId="77777777" w:rsidR="00685293" w:rsidRPr="003C4FDD" w:rsidRDefault="00685293" w:rsidP="00685293">
            <w:pPr>
              <w:suppressAutoHyphens w:val="0"/>
              <w:rPr>
                <w:rFonts w:ascii="Lato" w:hAnsi="Lato"/>
              </w:rPr>
            </w:pPr>
          </w:p>
        </w:tc>
      </w:tr>
      <w:tr w:rsidR="00694E14" w:rsidRPr="003C4FDD" w14:paraId="50DA02B0" w14:textId="1E94F3DA" w:rsidTr="009104F7">
        <w:trPr>
          <w:cantSplit/>
          <w:trHeight w:val="20"/>
        </w:trPr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4A83BFF4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49BFD97E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B.81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60078C6A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NOWOTWORY MIELOPROLIFERACYJNE </w:t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br/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Ph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(-) (ICD-10: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D45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, D47.1)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AFF4" w14:textId="77777777" w:rsidR="00694E14" w:rsidRPr="003C4FDD" w:rsidRDefault="00694E14" w:rsidP="00694E14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nazwy programu lekowego z dotychczasowej LECZENIE MIELOFIBROZY PIERWOTNEJ ORAZ MIELOFIBROZY WTÓRNEJ W PRZEBIEGU CZERWIENICY PRAWDZIWEJ I NADPŁYTKOWOŚCI SAMOISTNEJ (ICD-10: D47.1) w związku z udostępnieniem w ramach programu terapii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ruksolitynibem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leczeniu chorych na czerwienicę prawdziwą.</w:t>
            </w:r>
          </w:p>
          <w:p w14:paraId="2844D745" w14:textId="77777777" w:rsidR="00694E14" w:rsidRPr="003C4FDD" w:rsidRDefault="00694E14" w:rsidP="00694E14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Wprowadzenie zmian porządkujących oraz dostosowujących zapisy programu lekowego do aktualnych wytycznych klinicznych, m.in.:</w:t>
            </w:r>
          </w:p>
          <w:p w14:paraId="74032B4F" w14:textId="77777777" w:rsidR="00694E14" w:rsidRPr="003C4FDD" w:rsidRDefault="00694E14" w:rsidP="00694E14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zmiany w kryteriach kwalifikacji do leczenia chorych na pierwotną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mielofibrozę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(PMF) lub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mielofibrozę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 przebiegu czerwienicy prawdziwej (Post-PV MF) lub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mielofibrozę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przebiegu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nadpłytkowości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samoistnej (Post-ET MF):</w:t>
            </w:r>
          </w:p>
          <w:p w14:paraId="38A16D36" w14:textId="77777777" w:rsidR="00694E14" w:rsidRPr="003C4FDD" w:rsidRDefault="00694E14" w:rsidP="00694E14">
            <w:pPr>
              <w:pStyle w:val="Akapitzlist"/>
              <w:numPr>
                <w:ilvl w:val="0"/>
                <w:numId w:val="35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usunięcie warunku wcześniejszej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splenektomii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</w:p>
          <w:p w14:paraId="23E77FAB" w14:textId="77777777" w:rsidR="00694E14" w:rsidRPr="003C4FDD" w:rsidRDefault="00694E14" w:rsidP="00694E14">
            <w:pPr>
              <w:pStyle w:val="Akapitzlist"/>
              <w:numPr>
                <w:ilvl w:val="0"/>
                <w:numId w:val="35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uogólnienie zapisu dla kryterium dotyczącego powiększenia śledziony,</w:t>
            </w:r>
          </w:p>
          <w:p w14:paraId="03198ECD" w14:textId="77777777" w:rsidR="00694E14" w:rsidRDefault="00694E14" w:rsidP="00694E14">
            <w:pPr>
              <w:pStyle w:val="Akapitzlist"/>
              <w:numPr>
                <w:ilvl w:val="0"/>
                <w:numId w:val="35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obligatoryjne spełnienie przynajmniej jednego z dwóch poniższych kryteriów: kryterium powiększenia śledziony oraz kryterium w zakresie identyfikacji objawów ocenianych w skali MPN-SAF TSS (dotychczas obligatoryjne było spełnienie obu tych kryteriów),</w:t>
            </w:r>
          </w:p>
          <w:p w14:paraId="4BC7F39F" w14:textId="0688137C" w:rsidR="00694E14" w:rsidRPr="003C4FDD" w:rsidRDefault="00694E14" w:rsidP="00694E14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874D78">
              <w:rPr>
                <w:rFonts w:ascii="Lato" w:hAnsi="Lato" w:cstheme="majorHAnsi"/>
                <w:color w:val="000000"/>
                <w:sz w:val="18"/>
                <w:szCs w:val="18"/>
              </w:rPr>
              <w:t>dodanie zapisów i wskaźników dotyczących oceny skuteczności terapii.</w:t>
            </w:r>
          </w:p>
        </w:tc>
        <w:tc>
          <w:tcPr>
            <w:tcW w:w="1034" w:type="pct"/>
            <w:vAlign w:val="center"/>
          </w:tcPr>
          <w:p w14:paraId="535BA898" w14:textId="0EA0BB64" w:rsidR="00694E14" w:rsidRPr="003C4FDD" w:rsidRDefault="00694E14" w:rsidP="00694E14">
            <w:pPr>
              <w:suppressAutoHyphens w:val="0"/>
              <w:rPr>
                <w:rFonts w:ascii="Lato" w:hAnsi="Lato"/>
              </w:rPr>
            </w:pPr>
          </w:p>
        </w:tc>
      </w:tr>
      <w:tr w:rsidR="00694E14" w:rsidRPr="003C4FDD" w14:paraId="571B0832" w14:textId="77777777" w:rsidTr="009104F7">
        <w:trPr>
          <w:gridAfter w:val="1"/>
          <w:wAfter w:w="1034" w:type="pct"/>
          <w:cantSplit/>
          <w:trHeight w:val="20"/>
        </w:trPr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58A17ABF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5.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2D603AB1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/>
                <w:b/>
                <w:bCs/>
                <w:sz w:val="18"/>
                <w:szCs w:val="18"/>
              </w:rPr>
              <w:t>B.125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5FB85D13" w:rsidR="00694E14" w:rsidRPr="003C4FDD" w:rsidRDefault="00694E14" w:rsidP="00694E1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bCs/>
                <w:sz w:val="18"/>
                <w:szCs w:val="18"/>
                <w:lang w:eastAsia="en-US"/>
              </w:rPr>
            </w:pPr>
            <w:r w:rsidRPr="003C4FDD">
              <w:rPr>
                <w:rFonts w:ascii="Lato" w:eastAsia="Calibri" w:hAnsi="Lato" w:cstheme="majorHAnsi"/>
                <w:bCs/>
                <w:color w:val="000000"/>
                <w:sz w:val="18"/>
                <w:szCs w:val="18"/>
                <w:lang w:eastAsia="en-US"/>
              </w:rPr>
              <w:t>LECZENIE CHORYCH NA KOLCZYSTOKOMÓRKOWEGO RAKA SKÓRY (ICD-10: C44.12, C44.22, C44.32, C44.42, C44.52, C44.62, C44.72, C44.82, C44.92)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891E" w14:textId="77777777" w:rsidR="00694E14" w:rsidRPr="003C4FDD" w:rsidRDefault="00694E14" w:rsidP="00694E14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Zmiany w programie lekowym o charakterze porządkującym.</w:t>
            </w:r>
          </w:p>
          <w:p w14:paraId="4C89A20F" w14:textId="6DB41292" w:rsidR="00694E14" w:rsidRPr="00874D78" w:rsidRDefault="00694E14" w:rsidP="00694E14">
            <w:pPr>
              <w:pStyle w:val="Akapitzlist"/>
              <w:numPr>
                <w:ilvl w:val="0"/>
                <w:numId w:val="31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Między innymi: w kryteriach kwalifikacji dodano zapis o stopniu sprawności i uproszczono punkt dotyczący wydolności narządowej, do kryteriów wyłączenia z programu dodano udokumentowaną progresję choroby oraz doprecyzowano punkt odnośnie braku współpracy pacjenta z lekarzem, do badań przy kwalifikacji dodano testy na HCV i HBV.</w:t>
            </w:r>
          </w:p>
        </w:tc>
      </w:tr>
      <w:tr w:rsidR="00694E14" w:rsidRPr="003C4FDD" w14:paraId="67293BB2" w14:textId="77777777" w:rsidTr="009104F7">
        <w:trPr>
          <w:gridAfter w:val="1"/>
          <w:wAfter w:w="1034" w:type="pct"/>
          <w:cantSplit/>
          <w:trHeight w:val="20"/>
        </w:trPr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881F" w14:textId="75A3B9FB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F1AA" w14:textId="3039609A" w:rsidR="00694E14" w:rsidRPr="003C4FDD" w:rsidRDefault="00694E14" w:rsidP="00694E1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3C4FDD">
              <w:rPr>
                <w:rFonts w:ascii="Lato" w:hAnsi="Lato"/>
                <w:b/>
                <w:bCs/>
                <w:sz w:val="18"/>
                <w:szCs w:val="18"/>
              </w:rPr>
              <w:t>B.148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EFE2" w14:textId="243BCDA3" w:rsidR="00694E14" w:rsidRPr="003C4FDD" w:rsidRDefault="00694E14" w:rsidP="00694E1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3C4FDD">
              <w:rPr>
                <w:rFonts w:ascii="Lato" w:hAnsi="Lato"/>
                <w:sz w:val="18"/>
                <w:szCs w:val="18"/>
              </w:rPr>
              <w:t>LECZENIE CHORYCH NA RAKA ENDOMETRIUM (ICD10: C54)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84DF" w14:textId="254CA9F4" w:rsidR="00694E14" w:rsidRPr="003C4FDD" w:rsidRDefault="00694E14" w:rsidP="00694E14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 xml:space="preserve">Zmiana zapisu w pkt. 3 kryteriów kwalifikacji dot. zidentyfikowania obecności upośledzenia naprawy nieprawidłowo sparowanych nukleotydów (ang. </w:t>
            </w:r>
            <w:proofErr w:type="spellStart"/>
            <w:r w:rsidRPr="003C4FDD">
              <w:rPr>
                <w:rFonts w:ascii="Lato" w:hAnsi="Lato" w:cstheme="majorHAnsi"/>
                <w:sz w:val="18"/>
                <w:szCs w:val="18"/>
              </w:rPr>
              <w:t>mismatch</w:t>
            </w:r>
            <w:proofErr w:type="spellEnd"/>
            <w:r w:rsidRPr="003C4FDD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3C4FDD">
              <w:rPr>
                <w:rFonts w:ascii="Lato" w:hAnsi="Lato" w:cstheme="majorHAnsi"/>
                <w:sz w:val="18"/>
                <w:szCs w:val="18"/>
              </w:rPr>
              <w:t>repair</w:t>
            </w:r>
            <w:proofErr w:type="spellEnd"/>
            <w:r w:rsidRPr="003C4FDD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3C4FDD">
              <w:rPr>
                <w:rFonts w:ascii="Lato" w:hAnsi="Lato" w:cstheme="majorHAnsi"/>
                <w:sz w:val="18"/>
                <w:szCs w:val="18"/>
              </w:rPr>
              <w:t>deficient</w:t>
            </w:r>
            <w:proofErr w:type="spellEnd"/>
            <w:r w:rsidRPr="003C4FDD">
              <w:rPr>
                <w:rFonts w:ascii="Lato" w:hAnsi="Lato" w:cstheme="majorHAnsi"/>
                <w:sz w:val="18"/>
                <w:szCs w:val="18"/>
              </w:rPr>
              <w:t xml:space="preserve">, </w:t>
            </w:r>
            <w:proofErr w:type="spellStart"/>
            <w:r w:rsidRPr="003C4FDD">
              <w:rPr>
                <w:rFonts w:ascii="Lato" w:hAnsi="Lato" w:cstheme="majorHAnsi"/>
                <w:sz w:val="18"/>
                <w:szCs w:val="18"/>
              </w:rPr>
              <w:t>dMMR</w:t>
            </w:r>
            <w:proofErr w:type="spellEnd"/>
            <w:r w:rsidRPr="003C4FDD">
              <w:rPr>
                <w:rFonts w:ascii="Lato" w:hAnsi="Lato" w:cstheme="majorHAnsi"/>
                <w:sz w:val="18"/>
                <w:szCs w:val="18"/>
              </w:rPr>
              <w:t xml:space="preserve">) lub wysokiej niestabilności </w:t>
            </w:r>
            <w:proofErr w:type="spellStart"/>
            <w:r w:rsidRPr="003C4FDD">
              <w:rPr>
                <w:rFonts w:ascii="Lato" w:hAnsi="Lato" w:cstheme="majorHAnsi"/>
                <w:sz w:val="18"/>
                <w:szCs w:val="18"/>
              </w:rPr>
              <w:t>mikrosatelitarnej</w:t>
            </w:r>
            <w:proofErr w:type="spellEnd"/>
            <w:r w:rsidRPr="003C4FDD">
              <w:rPr>
                <w:rFonts w:ascii="Lato" w:hAnsi="Lato" w:cstheme="majorHAnsi"/>
                <w:sz w:val="18"/>
                <w:szCs w:val="18"/>
              </w:rPr>
              <w:t xml:space="preserve"> (ang. </w:t>
            </w:r>
            <w:proofErr w:type="spellStart"/>
            <w:r w:rsidRPr="003C4FDD">
              <w:rPr>
                <w:rFonts w:ascii="Lato" w:hAnsi="Lato" w:cstheme="majorHAnsi"/>
                <w:sz w:val="18"/>
                <w:szCs w:val="18"/>
              </w:rPr>
              <w:t>microsatellite</w:t>
            </w:r>
            <w:proofErr w:type="spellEnd"/>
            <w:r w:rsidRPr="003C4FDD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 w:rsidRPr="003C4FDD">
              <w:rPr>
                <w:rFonts w:ascii="Lato" w:hAnsi="Lato" w:cstheme="majorHAnsi"/>
                <w:sz w:val="18"/>
                <w:szCs w:val="18"/>
              </w:rPr>
              <w:t>instabilityhigh</w:t>
            </w:r>
            <w:proofErr w:type="spellEnd"/>
            <w:r w:rsidRPr="003C4FDD">
              <w:rPr>
                <w:rFonts w:ascii="Lato" w:hAnsi="Lato" w:cstheme="majorHAnsi"/>
                <w:sz w:val="18"/>
                <w:szCs w:val="18"/>
              </w:rPr>
              <w:t xml:space="preserve">, MSIH) potwierdzonej tylko z wykorzystaniem </w:t>
            </w:r>
            <w:proofErr w:type="spellStart"/>
            <w:r w:rsidRPr="003C4FDD">
              <w:rPr>
                <w:rFonts w:ascii="Lato" w:hAnsi="Lato" w:cstheme="majorHAnsi"/>
                <w:sz w:val="18"/>
                <w:szCs w:val="18"/>
              </w:rPr>
              <w:t>zwalidowanego</w:t>
            </w:r>
            <w:proofErr w:type="spellEnd"/>
            <w:r w:rsidRPr="003C4FDD">
              <w:rPr>
                <w:rFonts w:ascii="Lato" w:hAnsi="Lato" w:cstheme="majorHAnsi"/>
                <w:sz w:val="18"/>
                <w:szCs w:val="18"/>
              </w:rPr>
              <w:t xml:space="preserve"> testu.</w:t>
            </w:r>
          </w:p>
        </w:tc>
      </w:tr>
      <w:tr w:rsidR="00694E14" w:rsidRPr="003C4FDD" w14:paraId="66D571B6" w14:textId="77777777" w:rsidTr="008D3759">
        <w:trPr>
          <w:gridAfter w:val="1"/>
          <w:wAfter w:w="1034" w:type="pct"/>
          <w:cantSplit/>
          <w:trHeight w:val="20"/>
        </w:trPr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414D4FF9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0920B0EA" w:rsidR="00694E14" w:rsidRPr="003C4FDD" w:rsidRDefault="00694E14" w:rsidP="00694E1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3C4FDD">
              <w:rPr>
                <w:rFonts w:ascii="Lato" w:hAnsi="Lato"/>
                <w:b/>
                <w:bCs/>
                <w:sz w:val="18"/>
                <w:szCs w:val="18"/>
              </w:rPr>
              <w:t>C.82.c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462FA81F" w:rsidR="00694E14" w:rsidRPr="003C4FDD" w:rsidRDefault="00694E14" w:rsidP="00694E1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BEVACIZUMAB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800F" w14:textId="77777777" w:rsidR="00694E14" w:rsidRPr="003C4FDD" w:rsidRDefault="00694E14" w:rsidP="00694E14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Zniesi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enie</w:t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dotychczasow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ych</w:t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zapisów</w:t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ograniczając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ych</w:t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stosowanie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bewacyzumabu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wyłącznie w dwóch liniach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leczenia</w:t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, w skojarzeniu z konkretnymi dubletami chemioterapii.</w:t>
            </w:r>
          </w:p>
          <w:p w14:paraId="4C9AB9C4" w14:textId="2AAA8E47" w:rsidR="00694E14" w:rsidRPr="003C4FDD" w:rsidRDefault="00694E14" w:rsidP="00694E14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Nowe zapisy załącznika C.82.c wskazują na konieczność skojarzenia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bewacyzumabu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chemioterapią zawierającą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fluoropirymidynę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Ponadto,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bewacyzumab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może być zastosowany u danego pacjenta tylko w jednej, wybranej linii leczenia.</w:t>
            </w:r>
          </w:p>
        </w:tc>
      </w:tr>
      <w:tr w:rsidR="00694E14" w:rsidRPr="003C4FDD" w14:paraId="39427419" w14:textId="77777777" w:rsidTr="008D3759">
        <w:trPr>
          <w:gridAfter w:val="1"/>
          <w:wAfter w:w="1034" w:type="pct"/>
          <w:cantSplit/>
          <w:trHeight w:val="20"/>
        </w:trPr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1031" w14:textId="44C420EB" w:rsidR="00694E14" w:rsidRPr="003C4FDD" w:rsidRDefault="00694E14" w:rsidP="00694E14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8</w:t>
            </w:r>
            <w:r w:rsidRPr="003C4FDD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F090" w14:textId="77777777" w:rsidR="00694E14" w:rsidRPr="0004482C" w:rsidRDefault="00694E14" w:rsidP="00694E1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04482C">
              <w:rPr>
                <w:rFonts w:ascii="Lato" w:hAnsi="Lato"/>
                <w:b/>
                <w:bCs/>
                <w:sz w:val="18"/>
                <w:szCs w:val="18"/>
              </w:rPr>
              <w:t>C.92.a</w:t>
            </w:r>
          </w:p>
          <w:p w14:paraId="64511F4F" w14:textId="46B9BC0C" w:rsidR="00694E14" w:rsidRPr="003C4FDD" w:rsidRDefault="00694E14" w:rsidP="00694E1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04482C">
              <w:rPr>
                <w:rFonts w:ascii="Lato" w:hAnsi="Lato"/>
                <w:b/>
                <w:bCs/>
                <w:sz w:val="18"/>
                <w:szCs w:val="18"/>
              </w:rPr>
              <w:t>C.92.b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B0F0A" w14:textId="5E6FFC63" w:rsidR="00694E14" w:rsidRPr="003C4FDD" w:rsidRDefault="00694E14" w:rsidP="00694E1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sz w:val="18"/>
                <w:szCs w:val="18"/>
              </w:rPr>
              <w:t>DASATINIB</w:t>
            </w:r>
          </w:p>
        </w:tc>
        <w:tc>
          <w:tcPr>
            <w:tcW w:w="2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4E9D" w14:textId="77777777" w:rsidR="00694E14" w:rsidRPr="003C4FDD" w:rsidRDefault="00694E14" w:rsidP="00694E14">
            <w:pPr>
              <w:suppressAutoHyphens w:val="0"/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kategorii dostępności refundacyjnej dla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dazatynibu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:</w:t>
            </w:r>
          </w:p>
          <w:p w14:paraId="15E1F01F" w14:textId="77777777" w:rsidR="00694E14" w:rsidRDefault="00694E14" w:rsidP="00694E14">
            <w:pPr>
              <w:pStyle w:val="Akapitzlist"/>
              <w:numPr>
                <w:ilvl w:val="0"/>
                <w:numId w:val="21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z programu lekowego B.14 – LECZENIE CHORYCH NA PRZEWLEKŁĄ BIAŁACZKĘ SZPIKOWĄ (ICD-10: C92.1) do katalogu chemioterapii C.92.a,</w:t>
            </w:r>
          </w:p>
          <w:p w14:paraId="69ECB757" w14:textId="5AC01491" w:rsidR="00694E14" w:rsidRPr="00694E14" w:rsidRDefault="00694E14" w:rsidP="00694E14">
            <w:pPr>
              <w:pStyle w:val="Akapitzlist"/>
              <w:numPr>
                <w:ilvl w:val="0"/>
                <w:numId w:val="21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94E14">
              <w:rPr>
                <w:rFonts w:ascii="Lato" w:hAnsi="Lato" w:cstheme="majorHAnsi"/>
                <w:color w:val="000000"/>
                <w:sz w:val="18"/>
                <w:szCs w:val="18"/>
              </w:rPr>
              <w:t>z programu lekowego B.65 - LECZENIE CHORYCH NA OSTRĄ BIAŁACZKĘ LIMFOBLASTYCZNĄ (ICD-10: C91.0) do katalogu chemioterapii C.92.b.</w:t>
            </w:r>
          </w:p>
        </w:tc>
      </w:tr>
    </w:tbl>
    <w:p w14:paraId="08AE375A" w14:textId="43C53898" w:rsidR="0056748F" w:rsidRPr="003C4FDD" w:rsidRDefault="0056748F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</w:p>
    <w:p w14:paraId="13C8E853" w14:textId="77777777" w:rsidR="0009112E" w:rsidRPr="003C4FDD" w:rsidRDefault="0009112E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bookmarkStart w:id="1" w:name="_Hlk90283710"/>
    </w:p>
    <w:p w14:paraId="242DFDC3" w14:textId="77777777" w:rsidR="0009112E" w:rsidRPr="003C4FDD" w:rsidRDefault="0009112E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</w:p>
    <w:p w14:paraId="052EAE3A" w14:textId="77777777" w:rsidR="004D093B" w:rsidRPr="003C4FDD" w:rsidRDefault="004D093B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r w:rsidRPr="003C4FDD"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703841AA" w14:textId="36DADBCA" w:rsidR="0056748F" w:rsidRPr="003C4FDD" w:rsidRDefault="0056748F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3C4FDD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1837"/>
        <w:gridCol w:w="1446"/>
        <w:gridCol w:w="4862"/>
        <w:gridCol w:w="5383"/>
      </w:tblGrid>
      <w:tr w:rsidR="00AD08C5" w:rsidRPr="003C4FDD" w14:paraId="2CD1B9F9" w14:textId="77777777" w:rsidTr="004D093B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05E7E891" w14:textId="77777777" w:rsidR="00AD08C5" w:rsidRPr="003C4FDD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3C4FDD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3C4FDD" w14:paraId="7C1774EA" w14:textId="77777777" w:rsidTr="004D093B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3C4FDD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3C4FDD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3C4FDD" w14:paraId="7D53B9E1" w14:textId="77777777" w:rsidTr="00E55290">
        <w:trPr>
          <w:cantSplit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3C4FDD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3C4FDD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 xml:space="preserve">Nazwa leku, środka spożywczego specjalnego przeznaczenia lub wyrobu </w:t>
            </w:r>
            <w:r w:rsidRPr="003C4FDD">
              <w:rPr>
                <w:rFonts w:ascii="Lato" w:hAnsi="Lato" w:cstheme="majorHAnsi"/>
                <w:b/>
                <w:bCs/>
                <w:sz w:val="19"/>
                <w:szCs w:val="19"/>
              </w:rPr>
              <w:t>medycznego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3C4FDD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3C4FDD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3C4FDD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3C4FDD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Doprecyzowanie wskazania</w:t>
            </w:r>
          </w:p>
        </w:tc>
      </w:tr>
      <w:tr w:rsidR="009104F7" w:rsidRPr="003C4FDD" w14:paraId="0C276518" w14:textId="77777777" w:rsidTr="00E55290">
        <w:trPr>
          <w:cantSplit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F0A7" w14:textId="63575624" w:rsidR="009104F7" w:rsidRPr="003C4FDD" w:rsidRDefault="008B5033" w:rsidP="009104F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24A9" w14:textId="426ADFC7" w:rsidR="009104F7" w:rsidRPr="003C4FDD" w:rsidRDefault="009104F7" w:rsidP="009104F7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Glypvilo</w:t>
            </w:r>
            <w:proofErr w:type="spellEnd"/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5A1D" w14:textId="1917BD12" w:rsidR="009104F7" w:rsidRPr="003C4FDD" w:rsidRDefault="009104F7" w:rsidP="009104F7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wildagliptyna</w:t>
            </w:r>
            <w:proofErr w:type="spellEnd"/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C189" w14:textId="3BB93314" w:rsidR="009104F7" w:rsidRPr="003C4FDD" w:rsidRDefault="009104F7" w:rsidP="009104F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183B" w14:textId="6ECE57E9" w:rsidR="009104F7" w:rsidRPr="003C4FDD" w:rsidRDefault="00793222" w:rsidP="009104F7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</w:t>
            </w:r>
            <w:r w:rsidR="009104F7"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zupełnienie diety i ćwiczeń fizycznych w celu poprawy kontroli glikemii u osób dorosłych z cukrzycą typu 2:</w:t>
            </w:r>
          </w:p>
          <w:p w14:paraId="2AEE7CFB" w14:textId="20646C38" w:rsidR="009104F7" w:rsidRPr="003C4FDD" w:rsidRDefault="009104F7" w:rsidP="003C4FDD">
            <w:pPr>
              <w:spacing w:before="60" w:after="60" w:line="240" w:lineRule="auto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- w monoterapii u pacjentów, u których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metformina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jest nieodpowiednia z powodu występowania przeciwwskazań lub nietolerancji,</w:t>
            </w:r>
          </w:p>
          <w:p w14:paraId="41D464AF" w14:textId="500133F6" w:rsidR="009104F7" w:rsidRPr="003C4FDD" w:rsidRDefault="009104F7" w:rsidP="003C4FDD">
            <w:pPr>
              <w:spacing w:before="60" w:after="60" w:line="240" w:lineRule="auto"/>
              <w:jc w:val="both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- w skojarzeniu z innymi produktami leczniczymi stosowanymi w leczeniu cukrzycy, w tym z insuliną, gdy produkty te nie zapewniają wystarczającej kontroli glikemii.</w:t>
            </w:r>
          </w:p>
        </w:tc>
      </w:tr>
      <w:tr w:rsidR="00E55290" w:rsidRPr="003C4FDD" w14:paraId="46BBA744" w14:textId="77777777" w:rsidTr="00E55290">
        <w:trPr>
          <w:cantSplit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5F2C" w14:textId="25963FD2" w:rsidR="00E55290" w:rsidRPr="003C4FDD" w:rsidRDefault="00E55290" w:rsidP="00E5529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0861" w14:textId="4D3A0DD5" w:rsidR="00E55290" w:rsidRPr="003C4FDD" w:rsidRDefault="00E55290" w:rsidP="00E5529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Maysiglu</w:t>
            </w:r>
            <w:proofErr w:type="spellEnd"/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5292" w14:textId="47318ABB" w:rsidR="00E55290" w:rsidRPr="003C4FDD" w:rsidRDefault="00E55290" w:rsidP="00E55290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sitagliptyna</w:t>
            </w:r>
            <w:proofErr w:type="spellEnd"/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8302" w14:textId="52A411E2" w:rsidR="00E55290" w:rsidRPr="003C4FDD" w:rsidRDefault="00E55290" w:rsidP="00E5529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DECB" w14:textId="77777777" w:rsidR="00E55290" w:rsidRPr="003C4FDD" w:rsidRDefault="00E55290" w:rsidP="00E55290">
            <w:pPr>
              <w:tabs>
                <w:tab w:val="left" w:pos="4021"/>
              </w:tabs>
              <w:spacing w:after="120" w:line="240" w:lineRule="auto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 dorosłych z cukrzycą typu 2 w celu poprawy kontroli glikemii: </w:t>
            </w:r>
          </w:p>
          <w:p w14:paraId="1BC60DD4" w14:textId="77777777" w:rsidR="00E55290" w:rsidRPr="003C4FDD" w:rsidRDefault="00E55290" w:rsidP="00E55290">
            <w:pPr>
              <w:pStyle w:val="Akapitzlist"/>
              <w:numPr>
                <w:ilvl w:val="0"/>
                <w:numId w:val="26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 monoterapii (u pacjentów nieodpowiednio kontrolowanych wyłącznie dietą i ćwiczeniami fizycznymi, u których stosowanie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metforminy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jest niewłaściwe z powodu przeciwwskazań lub nietolerancji);</w:t>
            </w:r>
          </w:p>
          <w:p w14:paraId="180D5011" w14:textId="77777777" w:rsidR="00E55290" w:rsidRPr="003C4FDD" w:rsidRDefault="00E55290" w:rsidP="00E55290">
            <w:pPr>
              <w:pStyle w:val="Akapitzlist"/>
              <w:numPr>
                <w:ilvl w:val="0"/>
                <w:numId w:val="26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w dwuskładnikowej terapii doustnej w skojarzeniu z:</w:t>
            </w:r>
          </w:p>
          <w:p w14:paraId="51C54BAE" w14:textId="77777777" w:rsidR="00E55290" w:rsidRPr="003C4FDD" w:rsidRDefault="00E55290" w:rsidP="00E55290">
            <w:pPr>
              <w:pStyle w:val="Akapitzlist"/>
              <w:numPr>
                <w:ilvl w:val="0"/>
                <w:numId w:val="27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metforminą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przypadku, gdy dieta i ćwiczenia fizyczne oraz stosowanie jedynie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metforminy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nie wystarczają do odpowiedniej kontroli glikemii; </w:t>
            </w:r>
          </w:p>
          <w:p w14:paraId="18F53232" w14:textId="77777777" w:rsidR="00E55290" w:rsidRPr="003C4FDD" w:rsidRDefault="00E55290" w:rsidP="00E55290">
            <w:pPr>
              <w:pStyle w:val="Akapitzlist"/>
              <w:numPr>
                <w:ilvl w:val="0"/>
                <w:numId w:val="27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pochodną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sulfonylomocznika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przypadku, gdy dieta i ćwiczenia fizyczne oraz stosowanie jedynie maksymalnej tolerowanej dawki pochodnej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sulfonylomocznika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nie wystarczają do odpowiedniej kontroli glikemii oraz w przypadku, gdy stosowanie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metforminy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jest niewłaściwe z powodu przeciwwskazań lub nietolerancji; </w:t>
            </w:r>
          </w:p>
          <w:p w14:paraId="119375CB" w14:textId="77777777" w:rsidR="00E55290" w:rsidRPr="003C4FDD" w:rsidRDefault="00E55290" w:rsidP="00E55290">
            <w:pPr>
              <w:pStyle w:val="Akapitzlist"/>
              <w:numPr>
                <w:ilvl w:val="0"/>
                <w:numId w:val="27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agonistą receptora aktywowanego przez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proliferatory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peroksysomów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typu gamma (PPAR) (tj.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tiazolidynedionem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), jeśli zastosowanie agonisty receptora PPAR</w:t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 jest wskazane i kiedy stosowanie diety i ćwiczeń fizycznych w połączeniu z agonistą receptora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PPAR</w:t>
            </w:r>
            <w:r w:rsidRPr="003C4FDD">
              <w:rPr>
                <w:rFonts w:cs="Calibri"/>
                <w:color w:val="000000"/>
                <w:sz w:val="18"/>
                <w:szCs w:val="18"/>
              </w:rPr>
              <w:t>γ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monoterapii nie zapewnia odpowiedniej kontroli glikemii;</w:t>
            </w:r>
          </w:p>
          <w:p w14:paraId="611AA71D" w14:textId="77777777" w:rsidR="00E55290" w:rsidRPr="003C4FDD" w:rsidRDefault="00E55290" w:rsidP="00E55290">
            <w:pPr>
              <w:pStyle w:val="Akapitzlist"/>
              <w:numPr>
                <w:ilvl w:val="0"/>
                <w:numId w:val="26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w trójskładnikowej terapii doustnej w skojarzeniu z:</w:t>
            </w:r>
          </w:p>
          <w:p w14:paraId="5689F07B" w14:textId="77777777" w:rsidR="00E55290" w:rsidRPr="003C4FDD" w:rsidRDefault="00E55290" w:rsidP="00E55290">
            <w:pPr>
              <w:pStyle w:val="Akapitzlist"/>
              <w:numPr>
                <w:ilvl w:val="0"/>
                <w:numId w:val="28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pochodną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sulfonylomocznika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metforminą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przypadku, gdy dieta i ćwiczenia fizyczne oraz stosowanie tych produktów leczniczych nie wystarczają do odpowiedniej kontroli glikemii; </w:t>
            </w:r>
          </w:p>
          <w:p w14:paraId="04DB7C93" w14:textId="77777777" w:rsidR="00E55290" w:rsidRPr="003C4FDD" w:rsidRDefault="00E55290" w:rsidP="00E55290">
            <w:pPr>
              <w:pStyle w:val="Akapitzlist"/>
              <w:numPr>
                <w:ilvl w:val="0"/>
                <w:numId w:val="28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agonistą receptora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PPAR</w:t>
            </w:r>
            <w:r w:rsidRPr="003C4FDD">
              <w:rPr>
                <w:rFonts w:cs="Calibri"/>
                <w:color w:val="000000"/>
                <w:sz w:val="18"/>
                <w:szCs w:val="18"/>
              </w:rPr>
              <w:t>γ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metforminą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, kiedy zastosowanie agonisty receptora PPAR</w:t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 jest wskazane i kiedy stosowanie diety i ćwiczeń fizycznych w połączeniu z tymi produktami leczniczymi nie wystarczają do odpowiedniej kontroli glikemii. </w:t>
            </w:r>
          </w:p>
          <w:p w14:paraId="704CA0A4" w14:textId="7346B75D" w:rsidR="00E55290" w:rsidRPr="003C4FDD" w:rsidRDefault="00E55290" w:rsidP="00E55290">
            <w:pPr>
              <w:tabs>
                <w:tab w:val="left" w:pos="4021"/>
              </w:tabs>
              <w:spacing w:after="12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Produkt leczniczy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Maysiglu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jest także wskazany do stosowania jako lek uzupełniający w stosunku do insuliny (z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metforminą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bez), kiedy dieta i ćwiczenia fizyczne w połączeniu ze stałą dawką insuliny nie zapewniają odpowiedniej kontroli glikemii.</w:t>
            </w:r>
          </w:p>
        </w:tc>
      </w:tr>
      <w:tr w:rsidR="00E55290" w:rsidRPr="003C4FDD" w14:paraId="3A9F8BCC" w14:textId="77777777" w:rsidTr="00E55290">
        <w:trPr>
          <w:cantSplit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8B75" w14:textId="101B15BD" w:rsidR="00E55290" w:rsidRPr="003C4FDD" w:rsidRDefault="00E55290" w:rsidP="00E5529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E7EF" w14:textId="0195692D" w:rsidR="00E55290" w:rsidRPr="003C4FDD" w:rsidRDefault="00E55290" w:rsidP="00E5529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Maymetsi</w:t>
            </w:r>
            <w:proofErr w:type="spellEnd"/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B342" w14:textId="5BF09207" w:rsidR="00E55290" w:rsidRPr="003C4FDD" w:rsidRDefault="00E55290" w:rsidP="00E55290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sitagliptyna</w:t>
            </w:r>
            <w:proofErr w:type="spellEnd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metforminy</w:t>
            </w:r>
            <w:proofErr w:type="spellEnd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chlorowodorek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D97F" w14:textId="371EF69A" w:rsidR="00E55290" w:rsidRPr="003C4FDD" w:rsidRDefault="00E55290" w:rsidP="00E5529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75201" w14:textId="77777777" w:rsidR="00E55290" w:rsidRPr="003C4FDD" w:rsidRDefault="00E55290" w:rsidP="00E55290">
            <w:pPr>
              <w:shd w:val="clear" w:color="auto" w:fill="FFFFFF"/>
              <w:spacing w:after="120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U dorosłych pacjentów z cukrzycą typu 2:</w:t>
            </w:r>
          </w:p>
          <w:p w14:paraId="7A41C4F4" w14:textId="77777777" w:rsidR="00E55290" w:rsidRDefault="00E55290" w:rsidP="00E55290">
            <w:pPr>
              <w:shd w:val="clear" w:color="auto" w:fill="FFFFFF"/>
              <w:spacing w:after="120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- do stosowania, oprócz diety i ćwiczeń fizycznych, w celu poprawy kontroli glikemii u pacjentów z glikemią niedostatecznie wyrównaną podczas stosowania maksymalnej tolerowanej dawki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metforminy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monoterapii lub u pacjentów już leczonych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sitagliptyną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metforminą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</w:p>
          <w:p w14:paraId="482DC79D" w14:textId="77777777" w:rsidR="00E55290" w:rsidRPr="003C4FDD" w:rsidRDefault="00E55290" w:rsidP="00E55290">
            <w:pPr>
              <w:shd w:val="clear" w:color="auto" w:fill="FFFFFF"/>
              <w:spacing w:after="120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 xml:space="preserve">- do stosowania w skojarzeniu z pochodną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sulfonylomocznika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(tj. w leczeniu potrójnie skojarzonym), oprócz diety i ćwiczeń fizycznych, u pacjentów z glikemią niedostatecznie wyrównaną podczas stosowania maksymalnej tolerowanej dawki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metforminy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pochodnej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sulfonylomocznika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</w:p>
          <w:p w14:paraId="1F4FBF5C" w14:textId="77777777" w:rsidR="00E55290" w:rsidRPr="003C4FDD" w:rsidRDefault="00E55290" w:rsidP="00E55290">
            <w:pPr>
              <w:shd w:val="clear" w:color="auto" w:fill="FFFFFF"/>
              <w:spacing w:after="120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 xml:space="preserve">- w leczeniu potrójnie skojarzonym z agonistą receptora aktywowanego przez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proliferatory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peroksysomów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typu gamma (PPAR</w:t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sym w:font="Symbol" w:char="F067"/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(np.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tiazolidynedionem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), oprócz diety i ćwiczeń fizycznych, u pacjentów z glikemią niedostatecznie wyrównaną podczas stosowania maksymalnej tolerowanej dawki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metforminy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agonisty receptora PPAR</w:t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sym w:font="Symbol" w:char="F067"/>
            </w: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.,</w:t>
            </w:r>
          </w:p>
          <w:p w14:paraId="7341B3E7" w14:textId="516CE06C" w:rsidR="00E55290" w:rsidRPr="003C4FDD" w:rsidRDefault="00E55290" w:rsidP="00E55290">
            <w:pPr>
              <w:tabs>
                <w:tab w:val="left" w:pos="4021"/>
              </w:tabs>
              <w:spacing w:after="120" w:line="240" w:lineRule="auto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- do stosowania, jako lek uzupełniający podanie insuliny (tj. w leczeniu potrójnie skojarzonym), pomocniczo wraz z dietą i ćwiczeniami fizycznymi, w celu poprawy kontroli glikemii u pacjentów, u których stosowanie stałej dawki insuliny i 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metforminy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nie zapewnia odpowiedniej kontroli glikemii.</w:t>
            </w:r>
          </w:p>
        </w:tc>
      </w:tr>
      <w:tr w:rsidR="00E55290" w:rsidRPr="003C4FDD" w14:paraId="56C43699" w14:textId="77777777" w:rsidTr="00E55290">
        <w:trPr>
          <w:cantSplit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50DD" w14:textId="7A1D9AD8" w:rsidR="00E55290" w:rsidRPr="003C4FDD" w:rsidRDefault="00E55290" w:rsidP="00E5529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0A4C" w14:textId="42B3F948" w:rsidR="00E55290" w:rsidRPr="003C4FDD" w:rsidRDefault="00E55290" w:rsidP="00E5529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Oramorph</w:t>
            </w:r>
            <w:proofErr w:type="spellEnd"/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E18C" w14:textId="0D6F06CB" w:rsidR="00E55290" w:rsidRPr="003C4FDD" w:rsidRDefault="00E55290" w:rsidP="00E55290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siarczan morfiny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8CD3" w14:textId="56FD75B6" w:rsidR="00E55290" w:rsidRPr="003C4FDD" w:rsidRDefault="00E55290" w:rsidP="00E5529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>Nowotwory złośliwe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B7AA" w14:textId="77777777" w:rsidR="00533C14" w:rsidRPr="00533C14" w:rsidRDefault="00533C14" w:rsidP="00533C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Nowa postać farmaceutyczna siarczanu morfiny  w formie kropli doustnych </w:t>
            </w:r>
            <w:proofErr w:type="spellStart"/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>ułatwiajacych</w:t>
            </w:r>
            <w:proofErr w:type="spellEnd"/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podawanie leku dzieciom oraz pacjentom mających problem z przełykaniem. </w:t>
            </w:r>
          </w:p>
          <w:p w14:paraId="02677A1C" w14:textId="6180AF80" w:rsidR="00E55290" w:rsidRPr="00E55290" w:rsidRDefault="00533C14" w:rsidP="00533C14">
            <w:pPr>
              <w:shd w:val="clear" w:color="auto" w:fill="FFFFFF"/>
              <w:spacing w:after="120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Lek </w:t>
            </w:r>
            <w:proofErr w:type="spellStart"/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>Oramorph</w:t>
            </w:r>
            <w:proofErr w:type="spellEnd"/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wskazany jest u dorosłych, młodzieży i dzieci powyżej 1. roku życia.</w:t>
            </w:r>
          </w:p>
        </w:tc>
      </w:tr>
      <w:tr w:rsidR="0004482C" w:rsidRPr="003C4FDD" w14:paraId="2B2D1788" w14:textId="77777777" w:rsidTr="00E55290">
        <w:trPr>
          <w:cantSplit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B834" w14:textId="72FC4326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7E00" w14:textId="26485860" w:rsidR="0004482C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Oramorph</w:t>
            </w:r>
            <w:proofErr w:type="spellEnd"/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C168" w14:textId="407323EE" w:rsidR="0004482C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siarczan morfiny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592EA" w14:textId="462373DF" w:rsidR="0004482C" w:rsidRPr="009674E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Neuralgia </w:t>
            </w:r>
            <w:proofErr w:type="spellStart"/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>popółpaścowa</w:t>
            </w:r>
            <w:proofErr w:type="spellEnd"/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przewlekła, Wieloobjawowy miejscowy zespół bólowy typu I - odruchowa dystrofia współczulna oraz typu II – kauzalgia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0DC1" w14:textId="0105A505" w:rsidR="0004482C" w:rsidRPr="009674ED" w:rsidRDefault="0004482C" w:rsidP="00533C1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Nowa postać farmaceutyczna siarczanu morfiny </w:t>
            </w:r>
            <w:r w:rsid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f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orm</w:t>
            </w:r>
            <w:r w:rsidR="00533C14">
              <w:rPr>
                <w:rFonts w:ascii="Lato" w:hAnsi="Lato" w:cstheme="majorHAnsi"/>
                <w:color w:val="000000"/>
                <w:sz w:val="18"/>
                <w:szCs w:val="18"/>
              </w:rPr>
              <w:t>ie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kropli doustnych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ułatwia</w:t>
            </w:r>
            <w:r w:rsidR="00533C14">
              <w:rPr>
                <w:rFonts w:ascii="Lato" w:hAnsi="Lato" w:cstheme="majorHAnsi"/>
                <w:color w:val="000000"/>
                <w:sz w:val="18"/>
                <w:szCs w:val="18"/>
              </w:rPr>
              <w:t>jacych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podawanie leku dzieciom oraz pacjentom mających problem z przełykaniem. </w:t>
            </w:r>
          </w:p>
          <w:p w14:paraId="6B11F691" w14:textId="663B8671" w:rsidR="0004482C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Lek </w:t>
            </w:r>
            <w:proofErr w:type="spellStart"/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>Oramorph</w:t>
            </w:r>
            <w:proofErr w:type="spellEnd"/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wskazany jest u dorosłych, młodzieży i dzieci powyżej 1. roku życia.</w:t>
            </w:r>
          </w:p>
        </w:tc>
      </w:tr>
      <w:tr w:rsidR="0004482C" w:rsidRPr="003C4FDD" w14:paraId="1BAE640F" w14:textId="77777777" w:rsidTr="00E55290">
        <w:trPr>
          <w:cantSplit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1B93" w14:textId="5499B320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BF61" w14:textId="22C14756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3C4FD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VaxigripTetra</w:t>
            </w:r>
            <w:proofErr w:type="spellEnd"/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B225" w14:textId="3FEAB7F8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czterowalentna</w:t>
            </w:r>
            <w:proofErr w:type="spellEnd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szczepionka przeciw grypie (rozszczepiony </w:t>
            </w: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wirion</w:t>
            </w:r>
            <w:proofErr w:type="spellEnd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), inaktywowana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2157" w14:textId="3636A6BF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BDC8" w14:textId="77777777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Do zapobiegania grypie wywołanej przez dwa podtypy wirusa grypy A oraz dwa typy wirusa grypy B, które są zawarte w szczepionce:</w:t>
            </w:r>
          </w:p>
          <w:p w14:paraId="63289E09" w14:textId="56AB91B8" w:rsidR="0004482C" w:rsidRPr="00793222" w:rsidRDefault="0004482C" w:rsidP="0004482C">
            <w:pPr>
              <w:pStyle w:val="Akapitzlist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93222">
              <w:rPr>
                <w:rFonts w:ascii="Lato" w:hAnsi="Lato" w:cstheme="majorHAnsi"/>
                <w:color w:val="000000"/>
                <w:sz w:val="18"/>
                <w:szCs w:val="18"/>
              </w:rPr>
              <w:t>czynne uodpornienie dorosłych, w tym kobiet w ciąży, oraz dzieci od ukończenia 6. miesiąca życia,</w:t>
            </w:r>
          </w:p>
          <w:p w14:paraId="2843AD31" w14:textId="615D80B0" w:rsidR="0004482C" w:rsidRPr="00793222" w:rsidRDefault="0004482C" w:rsidP="0004482C">
            <w:pPr>
              <w:pStyle w:val="Akapitzlist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93222">
              <w:rPr>
                <w:rFonts w:ascii="Lato" w:hAnsi="Lato" w:cstheme="majorHAnsi"/>
                <w:color w:val="000000"/>
                <w:sz w:val="18"/>
                <w:szCs w:val="18"/>
              </w:rPr>
              <w:t>bierne uodpornienie niemowląt od urodzenia do wieku poniżej sześciu miesięcy po szczepieniu kobiet w ciąży.</w:t>
            </w:r>
          </w:p>
          <w:p w14:paraId="695FCFA9" w14:textId="4757F62F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Zastosowanie szczepionki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VaxigripTetra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powinno być zgodne z oficjalnymi zaleceniami.</w:t>
            </w:r>
          </w:p>
        </w:tc>
      </w:tr>
      <w:tr w:rsidR="0004482C" w:rsidRPr="003C4FDD" w14:paraId="3278AB75" w14:textId="77777777" w:rsidTr="00E55290">
        <w:trPr>
          <w:cantSplit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99FD" w14:textId="2779B947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61BD" w14:textId="25D4B730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sz w:val="18"/>
                <w:szCs w:val="18"/>
              </w:rPr>
              <w:t>Różne nazwy handlowe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7FE6" w14:textId="09CC6C2E" w:rsidR="0004482C" w:rsidRPr="003C4FDD" w:rsidRDefault="0047073D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</w:t>
            </w:r>
            <w:r w:rsidR="0004482C"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noksaparyna</w:t>
            </w:r>
            <w:proofErr w:type="spellEnd"/>
            <w:r w:rsidR="0004482C"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sodowa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9EA6" w14:textId="111C8E05" w:rsidR="0004482C" w:rsidRPr="00FA2B57" w:rsidRDefault="00FA2B57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12B91">
              <w:rPr>
                <w:rFonts w:ascii="Lato" w:hAnsi="Lato" w:cstheme="majorHAnsi"/>
                <w:color w:val="000000"/>
                <w:sz w:val="18"/>
                <w:szCs w:val="18"/>
              </w:rPr>
              <w:t>Profilaktyka i leczenie żylnej choroby zakrzepowo – zatorowej u kobiet w ciąży i połogu – w przypadkach innych niż określone w ChPL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4F80" w14:textId="373FC3BD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Poszerzenie wskazania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celu zwiększenie dostępności refundacyjnej do leczenie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enoksaparyną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dla kobiet w okresie połogu.</w:t>
            </w:r>
          </w:p>
        </w:tc>
      </w:tr>
      <w:tr w:rsidR="0004482C" w:rsidRPr="003C4FDD" w14:paraId="3A2194AA" w14:textId="77777777" w:rsidTr="00E55290">
        <w:trPr>
          <w:cantSplit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E2FF" w14:textId="0F8122B2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30D9" w14:textId="6E2743D3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sz w:val="18"/>
                <w:szCs w:val="18"/>
              </w:rPr>
              <w:t>Różne nazwy handlowe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B101" w14:textId="018B435A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nadroparyna</w:t>
            </w:r>
            <w:proofErr w:type="spellEnd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wapniowa</w:t>
            </w:r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215F" w14:textId="07F3FB35" w:rsidR="0004482C" w:rsidRPr="003C4FDD" w:rsidRDefault="00FA2B57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24950">
              <w:rPr>
                <w:rFonts w:ascii="Lato" w:hAnsi="Lato" w:cstheme="majorHAnsi"/>
                <w:color w:val="000000"/>
                <w:sz w:val="18"/>
                <w:szCs w:val="18"/>
              </w:rPr>
              <w:t>Profilaktyka i leczenie żylnej choroby zakrzepowo – zatorowej u kobiet w ciąży i połogu – w przypadkach innych niż określone w ChPL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0138" w14:textId="55F796BA" w:rsidR="0004482C" w:rsidRPr="003C4FDD" w:rsidRDefault="0004482C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Poszerzenie wskazania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celu zwiększenie dostępności refundacyjnej do leczenie </w:t>
            </w:r>
            <w:proofErr w:type="spellStart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nadroparyną</w:t>
            </w:r>
            <w:proofErr w:type="spellEnd"/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dla kobiet w okresie połogu.</w:t>
            </w:r>
          </w:p>
        </w:tc>
      </w:tr>
      <w:tr w:rsidR="00157EBF" w:rsidRPr="003C4FDD" w14:paraId="36C2EBBE" w14:textId="77777777" w:rsidTr="00E55290">
        <w:trPr>
          <w:cantSplit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5C44" w14:textId="536E04EB" w:rsidR="00157EBF" w:rsidRDefault="00157EBF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9B8F" w14:textId="6EB1E3FE" w:rsidR="00157EBF" w:rsidRPr="003C4FDD" w:rsidRDefault="00157EBF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b/>
                <w:bCs/>
                <w:sz w:val="18"/>
                <w:szCs w:val="18"/>
              </w:rPr>
              <w:t>Różne nazwy handlowe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845A" w14:textId="6CFEA02A" w:rsidR="00157EBF" w:rsidRPr="003C4FDD" w:rsidRDefault="00157EBF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aprepitant</w:t>
            </w:r>
            <w:proofErr w:type="spellEnd"/>
          </w:p>
        </w:tc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74DE" w14:textId="2CAC668C" w:rsidR="00157EBF" w:rsidRPr="00E24950" w:rsidRDefault="00157EBF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Wczesne albo opóźnione wymioty u osób dorosłych związane z silnie </w:t>
            </w:r>
            <w:proofErr w:type="spellStart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>emetogenną</w:t>
            </w:r>
            <w:proofErr w:type="spellEnd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chemioterapią z zastosowaniem </w:t>
            </w:r>
            <w:proofErr w:type="spellStart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>cisplatyny</w:t>
            </w:r>
            <w:proofErr w:type="spellEnd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dawce &gt;70 mg/</w:t>
            </w:r>
            <w:proofErr w:type="spellStart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>m2</w:t>
            </w:r>
            <w:proofErr w:type="spellEnd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>doksorubicyny</w:t>
            </w:r>
            <w:proofErr w:type="spellEnd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>cyklofosfamidu</w:t>
            </w:r>
            <w:proofErr w:type="spellEnd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– profilaktyka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525F" w14:textId="7E745481" w:rsidR="00157EBF" w:rsidRPr="003C4FDD" w:rsidRDefault="00157EBF" w:rsidP="0004482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wskazania refundacyjnego o w</w:t>
            </w:r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czesne albo opóźnione wymioty związane z silnie </w:t>
            </w:r>
            <w:proofErr w:type="spellStart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>emetogenną</w:t>
            </w:r>
            <w:proofErr w:type="spellEnd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chemioterapią z zastosowaniem </w:t>
            </w:r>
            <w:proofErr w:type="spellStart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>doksorubicyny</w:t>
            </w:r>
            <w:proofErr w:type="spellEnd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57EBF">
              <w:rPr>
                <w:rFonts w:ascii="Lato" w:hAnsi="Lato" w:cstheme="majorHAnsi"/>
                <w:color w:val="000000"/>
                <w:sz w:val="18"/>
                <w:szCs w:val="18"/>
              </w:rPr>
              <w:t>cyklofosfamidu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dla wszystkich produktów leczniczych z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aprepitantem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</w:tbl>
    <w:p w14:paraId="6B996492" w14:textId="0986F7C0" w:rsidR="009D10B8" w:rsidRDefault="009D10B8" w:rsidP="0068046C">
      <w:pPr>
        <w:suppressAutoHyphens w:val="0"/>
        <w:rPr>
          <w:rFonts w:ascii="Lato" w:hAnsi="Lato"/>
          <w:b/>
          <w:bCs/>
          <w:color w:val="00B0F0"/>
        </w:rPr>
      </w:pPr>
    </w:p>
    <w:p w14:paraId="6DCB6C8F" w14:textId="77777777" w:rsidR="005B41EF" w:rsidRPr="003C4FDD" w:rsidRDefault="005B41EF" w:rsidP="0068046C">
      <w:pPr>
        <w:suppressAutoHyphens w:val="0"/>
        <w:rPr>
          <w:rFonts w:ascii="Lato" w:hAnsi="Lato"/>
          <w:b/>
          <w:bCs/>
          <w:color w:val="00B0F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0" w:type="dxa"/>
          <w:bottom w:w="57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1"/>
        <w:gridCol w:w="5673"/>
        <w:gridCol w:w="5209"/>
      </w:tblGrid>
      <w:tr w:rsidR="005B41EF" w:rsidRPr="0044187C" w14:paraId="789CC5EF" w14:textId="77777777" w:rsidTr="00F2760C">
        <w:trPr>
          <w:trHeight w:val="328"/>
        </w:trPr>
        <w:tc>
          <w:tcPr>
            <w:tcW w:w="5000" w:type="pct"/>
            <w:gridSpan w:val="4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E15F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bookmarkStart w:id="2" w:name="_Hlk148004033"/>
            <w:r w:rsidRPr="0044187C">
              <w:rPr>
                <w:rFonts w:ascii="Lato" w:hAnsi="Lato" w:cstheme="majorHAnsi"/>
                <w:b/>
                <w:bCs/>
                <w:color w:val="FFFFFF"/>
              </w:rPr>
              <w:t xml:space="preserve">Zmiany na liście </w:t>
            </w:r>
            <w:r>
              <w:rPr>
                <w:rFonts w:ascii="Lato" w:hAnsi="Lato" w:cstheme="majorHAnsi"/>
                <w:b/>
                <w:bCs/>
                <w:color w:val="FFFFFF"/>
              </w:rPr>
              <w:t>6</w:t>
            </w:r>
            <w:r w:rsidRPr="0044187C">
              <w:rPr>
                <w:rFonts w:ascii="Lato" w:hAnsi="Lato" w:cstheme="majorHAnsi"/>
                <w:b/>
                <w:bCs/>
                <w:color w:val="FFFFFF"/>
              </w:rPr>
              <w:t>5+</w:t>
            </w:r>
          </w:p>
        </w:tc>
      </w:tr>
      <w:tr w:rsidR="005B41EF" w:rsidRPr="0044187C" w14:paraId="16B93F47" w14:textId="77777777" w:rsidTr="00F2760C">
        <w:tc>
          <w:tcPr>
            <w:tcW w:w="24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26C85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5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E630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202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077EF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861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E405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Dodatkowe informacje</w:t>
            </w:r>
          </w:p>
        </w:tc>
      </w:tr>
      <w:tr w:rsidR="005B41EF" w:rsidRPr="0044187C" w14:paraId="347A1273" w14:textId="77777777" w:rsidTr="00F2760C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D47C1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A377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wildagliptyna</w:t>
            </w:r>
            <w:proofErr w:type="spellEnd"/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B25E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CAB73" w14:textId="037570E0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zakresu wskazań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refundacyjnych </w:t>
            </w:r>
            <w:r w:rsidR="00116B7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leku </w:t>
            </w:r>
            <w:proofErr w:type="spellStart"/>
            <w:r w:rsidR="00116B73">
              <w:rPr>
                <w:rFonts w:ascii="Lato" w:hAnsi="Lato" w:cstheme="majorHAnsi"/>
                <w:color w:val="000000"/>
                <w:sz w:val="18"/>
                <w:szCs w:val="18"/>
              </w:rPr>
              <w:t>Glypvilo</w:t>
            </w:r>
            <w:proofErr w:type="spellEnd"/>
            <w:r w:rsidR="00116B7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w leczeniu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cukrzycy typu 2, u pacjentów 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 ukończeniu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65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>. roku życia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5B41EF" w:rsidRPr="0044187C" w14:paraId="1C5F85F2" w14:textId="77777777" w:rsidTr="00F2760C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9E0B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E4CA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sitagliptyna</w:t>
            </w:r>
            <w:proofErr w:type="spellEnd"/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D63A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356F" w14:textId="43B42BAB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zakresu wskazań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refundacyjnych </w:t>
            </w:r>
            <w:r w:rsidR="00116B7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leku </w:t>
            </w:r>
            <w:proofErr w:type="spellStart"/>
            <w:r w:rsidR="00116B73" w:rsidRPr="00116B73">
              <w:rPr>
                <w:rFonts w:ascii="Lato" w:hAnsi="Lato" w:cstheme="majorHAnsi"/>
                <w:color w:val="000000"/>
                <w:sz w:val="18"/>
                <w:szCs w:val="18"/>
              </w:rPr>
              <w:t>Maysiglu</w:t>
            </w:r>
            <w:proofErr w:type="spellEnd"/>
            <w:r w:rsidR="00116B7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w leczeniu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cukrzycy typu 2, u pacjentów 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 ukończeniu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65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>. roku życia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5B41EF" w:rsidRPr="0044187C" w14:paraId="3F0E4ED7" w14:textId="77777777" w:rsidTr="00F2760C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453F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3B6E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sitagliptyna</w:t>
            </w:r>
            <w:proofErr w:type="spellEnd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metforminy</w:t>
            </w:r>
            <w:proofErr w:type="spellEnd"/>
            <w:r w:rsidRPr="003C4FD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chlorowodorek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D7FC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C4FD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9D09" w14:textId="4860B949" w:rsidR="005B41EF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zakresu wskazań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refundacyjnych </w:t>
            </w:r>
            <w:r w:rsidR="00116B7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leku </w:t>
            </w:r>
            <w:proofErr w:type="spellStart"/>
            <w:r w:rsidR="00116B73" w:rsidRPr="00116B73">
              <w:rPr>
                <w:rFonts w:ascii="Lato" w:hAnsi="Lato" w:cstheme="majorHAnsi"/>
                <w:color w:val="000000"/>
                <w:sz w:val="18"/>
                <w:szCs w:val="18"/>
              </w:rPr>
              <w:t>Maymetsi</w:t>
            </w:r>
            <w:proofErr w:type="spellEnd"/>
            <w:r w:rsidR="00116B7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w leczeniu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cukrzycy typu 2, u pacjentów 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 ukończeniu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65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>. roku życia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5B41EF" w:rsidRPr="0044187C" w14:paraId="5C994147" w14:textId="77777777" w:rsidTr="00F2760C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6F84" w14:textId="77777777" w:rsidR="005B41EF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D385" w14:textId="77777777" w:rsidR="005B41EF" w:rsidRPr="003C4FDD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siarczan morfiny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9AD7" w14:textId="77777777" w:rsidR="005B41EF" w:rsidRPr="003C4FDD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>Nowotwory złośliwe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F7F4" w14:textId="6991FC4A" w:rsidR="005B41EF" w:rsidRPr="005B41EF" w:rsidRDefault="00585FA9" w:rsidP="005B41E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Pierwszy siarczan morfiny</w:t>
            </w:r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postaci</w:t>
            </w:r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kropli doustnych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dostępny bezpłatnie</w:t>
            </w:r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 pacjentów po ukończeniu 65. roku życia.</w:t>
            </w:r>
          </w:p>
        </w:tc>
      </w:tr>
      <w:tr w:rsidR="005B41EF" w:rsidRPr="0044187C" w14:paraId="194574B0" w14:textId="77777777" w:rsidTr="00F2760C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2186" w14:textId="77777777" w:rsidR="005B41EF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FEA0" w14:textId="77777777" w:rsidR="005B41EF" w:rsidRPr="003C4FDD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siarczan morfiny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1E2A" w14:textId="77777777" w:rsidR="005B41EF" w:rsidRPr="003C4FDD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Neuralgia </w:t>
            </w:r>
            <w:proofErr w:type="spellStart"/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>popółpaścowa</w:t>
            </w:r>
            <w:proofErr w:type="spellEnd"/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przewlekła, Wieloobjawowy miejscowy zespół bólowy typu I - odruchowa dystrofia współczulna oraz typu II – kauzalgia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6E328" w14:textId="3F47581D" w:rsidR="005B41EF" w:rsidRDefault="005B41EF" w:rsidP="00F2760C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Pierwszy siarczan morfiny</w:t>
            </w:r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postaci</w:t>
            </w:r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kropli doustnych </w:t>
            </w:r>
            <w:r w:rsidR="00585FA9">
              <w:rPr>
                <w:rFonts w:ascii="Lato" w:hAnsi="Lato" w:cstheme="majorHAnsi"/>
                <w:color w:val="000000"/>
                <w:sz w:val="18"/>
                <w:szCs w:val="18"/>
              </w:rPr>
              <w:t>dostępny bezpłatnie</w:t>
            </w:r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 pacjentów po ukończeniu 65. roku życia.</w:t>
            </w:r>
          </w:p>
        </w:tc>
      </w:tr>
      <w:bookmarkEnd w:id="2"/>
    </w:tbl>
    <w:p w14:paraId="3B4E4833" w14:textId="77777777" w:rsidR="008B5033" w:rsidRDefault="008B5033" w:rsidP="008B5033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</w:p>
    <w:p w14:paraId="65A980CE" w14:textId="77777777" w:rsidR="005B41EF" w:rsidRDefault="005B41EF" w:rsidP="008B5033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0" w:type="dxa"/>
          <w:bottom w:w="57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1"/>
        <w:gridCol w:w="5673"/>
        <w:gridCol w:w="5209"/>
      </w:tblGrid>
      <w:tr w:rsidR="005B41EF" w:rsidRPr="0044187C" w14:paraId="37D46A66" w14:textId="77777777" w:rsidTr="00F2760C">
        <w:trPr>
          <w:trHeight w:val="328"/>
        </w:trPr>
        <w:tc>
          <w:tcPr>
            <w:tcW w:w="5000" w:type="pct"/>
            <w:gridSpan w:val="4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7176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bookmarkStart w:id="3" w:name="_Hlk148004069"/>
            <w:r w:rsidRPr="0044187C">
              <w:rPr>
                <w:rFonts w:ascii="Lato" w:hAnsi="Lato" w:cstheme="majorHAnsi"/>
                <w:b/>
                <w:bCs/>
                <w:color w:val="FFFFFF"/>
              </w:rPr>
              <w:t xml:space="preserve">Zmiany na liście </w:t>
            </w:r>
            <w:r>
              <w:rPr>
                <w:rFonts w:ascii="Lato" w:hAnsi="Lato" w:cstheme="majorHAnsi"/>
                <w:b/>
                <w:bCs/>
                <w:color w:val="FFFFFF"/>
              </w:rPr>
              <w:t>bezpłatnych leków dla dzieci</w:t>
            </w:r>
          </w:p>
        </w:tc>
      </w:tr>
      <w:tr w:rsidR="005B41EF" w:rsidRPr="0044187C" w14:paraId="5884D3B0" w14:textId="77777777" w:rsidTr="00F2760C">
        <w:tc>
          <w:tcPr>
            <w:tcW w:w="24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9D2C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5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A42F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202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7B02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861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F70F" w14:textId="77777777" w:rsidR="005B41EF" w:rsidRPr="0044187C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Dodatkowe informacje</w:t>
            </w:r>
          </w:p>
        </w:tc>
      </w:tr>
      <w:tr w:rsidR="005B41EF" w:rsidRPr="0044187C" w14:paraId="1B9B2827" w14:textId="77777777" w:rsidTr="00F2760C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ED96" w14:textId="77777777" w:rsidR="005B41EF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8DDA" w14:textId="77777777" w:rsidR="005B41EF" w:rsidRPr="003C4FDD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siarczan morfiny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AF80" w14:textId="77777777" w:rsidR="005B41EF" w:rsidRPr="003C4FDD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>Nowotwory złośliwe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8A08" w14:textId="5C47901F" w:rsidR="005B41EF" w:rsidRDefault="005B41EF" w:rsidP="00F2760C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Pierwszy siarczan morfiny</w:t>
            </w:r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postaci</w:t>
            </w:r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kropli doustnych </w:t>
            </w:r>
            <w:r w:rsidR="00585FA9">
              <w:rPr>
                <w:rFonts w:ascii="Lato" w:hAnsi="Lato" w:cstheme="majorHAnsi"/>
                <w:color w:val="000000"/>
                <w:sz w:val="18"/>
                <w:szCs w:val="18"/>
              </w:rPr>
              <w:t>dostępny bezpłatnie u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dzieci i młodzieży.</w:t>
            </w:r>
          </w:p>
        </w:tc>
      </w:tr>
      <w:tr w:rsidR="005B41EF" w:rsidRPr="0044187C" w14:paraId="44058023" w14:textId="77777777" w:rsidTr="00F2760C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3271" w14:textId="77777777" w:rsidR="005B41EF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DD76" w14:textId="77777777" w:rsidR="005B41EF" w:rsidRPr="003C4FDD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siarczan morfiny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CB7C" w14:textId="77777777" w:rsidR="005B41EF" w:rsidRPr="003C4FDD" w:rsidRDefault="005B41EF" w:rsidP="00F2760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Neuralgia </w:t>
            </w:r>
            <w:proofErr w:type="spellStart"/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>popółpaścowa</w:t>
            </w:r>
            <w:proofErr w:type="spellEnd"/>
            <w:r w:rsidRPr="009674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przewlekła, Wieloobjawowy miejscowy zespół bólowy typu I - odruchowa dystrofia współczulna oraz typu II – kauzalgia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4928" w14:textId="48916572" w:rsidR="005B41EF" w:rsidRDefault="005B41EF" w:rsidP="00F2760C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Pierwszy siarczan morfiny</w:t>
            </w:r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postaci</w:t>
            </w:r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kropli doustnych </w:t>
            </w:r>
            <w:r w:rsidR="00585FA9">
              <w:rPr>
                <w:rFonts w:ascii="Lato" w:hAnsi="Lato" w:cstheme="majorHAnsi"/>
                <w:color w:val="000000"/>
                <w:sz w:val="18"/>
                <w:szCs w:val="18"/>
              </w:rPr>
              <w:t>dostępny bezpłatnie</w:t>
            </w:r>
            <w:r w:rsidRPr="00533C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 dzieci i młodzieży.</w:t>
            </w:r>
          </w:p>
        </w:tc>
      </w:tr>
      <w:bookmarkEnd w:id="3"/>
    </w:tbl>
    <w:p w14:paraId="5B95BBCF" w14:textId="77777777" w:rsidR="005B41EF" w:rsidRPr="003C4FDD" w:rsidRDefault="005B41EF" w:rsidP="008B5033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</w:p>
    <w:p w14:paraId="6640118F" w14:textId="35F8D527" w:rsidR="008B5033" w:rsidRPr="003C4FDD" w:rsidRDefault="008B5033" w:rsidP="008B5033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3C4FDD">
        <w:rPr>
          <w:rFonts w:ascii="Lato" w:hAnsi="Lato"/>
          <w:b/>
          <w:bCs/>
          <w:color w:val="00B0F0"/>
          <w:sz w:val="28"/>
          <w:szCs w:val="28"/>
        </w:rPr>
        <w:t>INFORMACJE DOTYCZĄCE BRAKU REFUNDACJI LEKÓW FORXIGA, INVOKANA</w:t>
      </w:r>
      <w:r w:rsidR="00E90D87">
        <w:rPr>
          <w:rFonts w:ascii="Lato" w:hAnsi="Lato"/>
          <w:b/>
          <w:bCs/>
          <w:color w:val="00B0F0"/>
          <w:sz w:val="28"/>
          <w:szCs w:val="28"/>
        </w:rPr>
        <w:t>, FLUENZ TETRA</w:t>
      </w:r>
      <w:r w:rsidR="00B0050A">
        <w:rPr>
          <w:rFonts w:ascii="Lato" w:hAnsi="Lato"/>
          <w:b/>
          <w:bCs/>
          <w:color w:val="00B0F0"/>
          <w:sz w:val="28"/>
          <w:szCs w:val="28"/>
        </w:rPr>
        <w:t xml:space="preserve"> </w:t>
      </w:r>
      <w:r w:rsidRPr="003C4FDD">
        <w:rPr>
          <w:rFonts w:ascii="Lato" w:hAnsi="Lato"/>
          <w:b/>
          <w:bCs/>
          <w:color w:val="00B0F0"/>
          <w:sz w:val="28"/>
          <w:szCs w:val="28"/>
        </w:rPr>
        <w:t>I XOFIGO OD LISTOPADA BIEŻĄCEGO ROKU</w:t>
      </w:r>
    </w:p>
    <w:p w14:paraId="3CA3DB60" w14:textId="485454A5" w:rsidR="007B25FE" w:rsidRPr="003C4FDD" w:rsidRDefault="007B25FE" w:rsidP="00BB4FF5">
      <w:pPr>
        <w:suppressAutoHyphens w:val="0"/>
        <w:spacing w:line="360" w:lineRule="auto"/>
        <w:jc w:val="both"/>
        <w:rPr>
          <w:rFonts w:ascii="Lato" w:hAnsi="Lato"/>
        </w:rPr>
      </w:pPr>
      <w:r w:rsidRPr="003C4FDD">
        <w:rPr>
          <w:rFonts w:ascii="Lato" w:hAnsi="Lato"/>
        </w:rPr>
        <w:t xml:space="preserve">31 października 2023 r. upływa termin obowiązywania decyzji o objęciu refundacją i ustaleniu ceny dla dwóch z trzech refundowanych aktualnie leków z grupy doustnych leków przeciwcukrzycowych – </w:t>
      </w:r>
      <w:proofErr w:type="spellStart"/>
      <w:r w:rsidRPr="003C4FDD">
        <w:rPr>
          <w:rFonts w:ascii="Lato" w:hAnsi="Lato"/>
        </w:rPr>
        <w:t>flozyn</w:t>
      </w:r>
      <w:proofErr w:type="spellEnd"/>
      <w:r w:rsidRPr="003C4FDD">
        <w:rPr>
          <w:rFonts w:ascii="Lato" w:hAnsi="Lato"/>
        </w:rPr>
        <w:t>:</w:t>
      </w:r>
    </w:p>
    <w:p w14:paraId="7523D90C" w14:textId="38596F35" w:rsidR="007B25FE" w:rsidRPr="003C4FDD" w:rsidRDefault="007B25FE" w:rsidP="00BB4FF5">
      <w:pPr>
        <w:pStyle w:val="Akapitzlist"/>
        <w:numPr>
          <w:ilvl w:val="1"/>
          <w:numId w:val="33"/>
        </w:numPr>
        <w:suppressAutoHyphens w:val="0"/>
        <w:spacing w:line="360" w:lineRule="auto"/>
        <w:jc w:val="both"/>
        <w:rPr>
          <w:rFonts w:ascii="Lato" w:hAnsi="Lato"/>
        </w:rPr>
      </w:pPr>
      <w:proofErr w:type="spellStart"/>
      <w:r w:rsidRPr="003C4FDD">
        <w:rPr>
          <w:rFonts w:ascii="Lato" w:hAnsi="Lato"/>
          <w:b/>
          <w:bCs/>
        </w:rPr>
        <w:t>Forxiga</w:t>
      </w:r>
      <w:proofErr w:type="spellEnd"/>
      <w:r w:rsidRPr="003C4FDD">
        <w:rPr>
          <w:rFonts w:ascii="Lato" w:hAnsi="Lato"/>
        </w:rPr>
        <w:t xml:space="preserve">, </w:t>
      </w:r>
      <w:proofErr w:type="spellStart"/>
      <w:r w:rsidRPr="003C4FDD">
        <w:rPr>
          <w:rFonts w:ascii="Lato" w:hAnsi="Lato"/>
        </w:rPr>
        <w:t>dapagliflozinum</w:t>
      </w:r>
      <w:proofErr w:type="spellEnd"/>
      <w:r w:rsidRPr="003C4FDD">
        <w:rPr>
          <w:rFonts w:ascii="Lato" w:hAnsi="Lato"/>
        </w:rPr>
        <w:t xml:space="preserve">, 10 mg, tabl. </w:t>
      </w:r>
      <w:proofErr w:type="spellStart"/>
      <w:r w:rsidRPr="003C4FDD">
        <w:rPr>
          <w:rFonts w:ascii="Lato" w:hAnsi="Lato"/>
        </w:rPr>
        <w:t>powl</w:t>
      </w:r>
      <w:proofErr w:type="spellEnd"/>
      <w:r w:rsidRPr="003C4FDD">
        <w:rPr>
          <w:rFonts w:ascii="Lato" w:hAnsi="Lato"/>
        </w:rPr>
        <w:t>., 30 tabl., GTIN: 05909990975884, podmiot odpowiedzialny AstraZeneca AB</w:t>
      </w:r>
      <w:r w:rsidR="00BB4FF5" w:rsidRPr="003C4FDD">
        <w:rPr>
          <w:rFonts w:ascii="Lato" w:hAnsi="Lato"/>
        </w:rPr>
        <w:t>,</w:t>
      </w:r>
    </w:p>
    <w:p w14:paraId="7B4AA621" w14:textId="7D40B1B9" w:rsidR="007B25FE" w:rsidRPr="003C4FDD" w:rsidRDefault="007B25FE" w:rsidP="00BB4FF5">
      <w:pPr>
        <w:pStyle w:val="Akapitzlist"/>
        <w:numPr>
          <w:ilvl w:val="1"/>
          <w:numId w:val="33"/>
        </w:numPr>
        <w:suppressAutoHyphens w:val="0"/>
        <w:spacing w:line="360" w:lineRule="auto"/>
        <w:jc w:val="both"/>
        <w:rPr>
          <w:rFonts w:ascii="Lato" w:hAnsi="Lato"/>
        </w:rPr>
      </w:pPr>
      <w:proofErr w:type="spellStart"/>
      <w:r w:rsidRPr="003C4FDD">
        <w:rPr>
          <w:rFonts w:ascii="Lato" w:hAnsi="Lato"/>
          <w:b/>
          <w:bCs/>
        </w:rPr>
        <w:t>Invokana</w:t>
      </w:r>
      <w:proofErr w:type="spellEnd"/>
      <w:r w:rsidRPr="003C4FDD">
        <w:rPr>
          <w:rFonts w:ascii="Lato" w:hAnsi="Lato"/>
        </w:rPr>
        <w:t xml:space="preserve">, </w:t>
      </w:r>
      <w:proofErr w:type="spellStart"/>
      <w:r w:rsidRPr="003C4FDD">
        <w:rPr>
          <w:rFonts w:ascii="Lato" w:hAnsi="Lato"/>
        </w:rPr>
        <w:t>canagliflozinum</w:t>
      </w:r>
      <w:proofErr w:type="spellEnd"/>
      <w:r w:rsidRPr="003C4FDD">
        <w:rPr>
          <w:rFonts w:ascii="Lato" w:hAnsi="Lato"/>
        </w:rPr>
        <w:t xml:space="preserve">, 100 mg, tabl. </w:t>
      </w:r>
      <w:proofErr w:type="spellStart"/>
      <w:r w:rsidRPr="003C4FDD">
        <w:rPr>
          <w:rFonts w:ascii="Lato" w:hAnsi="Lato"/>
        </w:rPr>
        <w:t>powl</w:t>
      </w:r>
      <w:proofErr w:type="spellEnd"/>
      <w:r w:rsidRPr="003C4FDD">
        <w:rPr>
          <w:rFonts w:ascii="Lato" w:hAnsi="Lato"/>
        </w:rPr>
        <w:t>., 30 tabl., GTIN: 05909991096106, podmiot odpowiedzialny Janssen-Cilag International NV.</w:t>
      </w:r>
    </w:p>
    <w:p w14:paraId="79D43B18" w14:textId="77777777" w:rsidR="007B25FE" w:rsidRPr="003C4FDD" w:rsidRDefault="007B25FE" w:rsidP="00BB4FF5">
      <w:pPr>
        <w:suppressAutoHyphens w:val="0"/>
        <w:spacing w:line="360" w:lineRule="auto"/>
        <w:jc w:val="both"/>
        <w:rPr>
          <w:rFonts w:ascii="Lato" w:hAnsi="Lato"/>
        </w:rPr>
      </w:pPr>
      <w:r w:rsidRPr="003C4FDD">
        <w:rPr>
          <w:rFonts w:ascii="Lato" w:hAnsi="Lato"/>
          <w:b/>
          <w:bCs/>
        </w:rPr>
        <w:t>Podmiot odpowiedzialny AstraZeneca AB</w:t>
      </w:r>
      <w:r w:rsidRPr="003C4FDD">
        <w:rPr>
          <w:rFonts w:ascii="Lato" w:hAnsi="Lato"/>
        </w:rPr>
        <w:t xml:space="preserve"> nie złożył wniosków o kontynuację refundacji na kolejny okres obowiązywania ww. leku </w:t>
      </w:r>
      <w:proofErr w:type="spellStart"/>
      <w:r w:rsidRPr="003C4FDD">
        <w:rPr>
          <w:rFonts w:ascii="Lato" w:hAnsi="Lato"/>
        </w:rPr>
        <w:t>Forxiga</w:t>
      </w:r>
      <w:proofErr w:type="spellEnd"/>
      <w:r w:rsidRPr="003C4FDD">
        <w:rPr>
          <w:rFonts w:ascii="Lato" w:hAnsi="Lato"/>
        </w:rPr>
        <w:t xml:space="preserve"> we wszystkich dotychczas obowiązujących wskazaniach (cukrzyca, przewlekła niewydolność serca, przewlekła choroba nerek).</w:t>
      </w:r>
    </w:p>
    <w:p w14:paraId="5DEBF257" w14:textId="77777777" w:rsidR="007B25FE" w:rsidRPr="003C4FDD" w:rsidRDefault="007B25FE" w:rsidP="00BB4FF5">
      <w:pPr>
        <w:suppressAutoHyphens w:val="0"/>
        <w:spacing w:line="360" w:lineRule="auto"/>
        <w:jc w:val="both"/>
        <w:rPr>
          <w:rFonts w:ascii="Lato" w:hAnsi="Lato"/>
        </w:rPr>
      </w:pPr>
      <w:r w:rsidRPr="003C4FDD">
        <w:rPr>
          <w:rFonts w:ascii="Lato" w:hAnsi="Lato"/>
        </w:rPr>
        <w:lastRenderedPageBreak/>
        <w:t xml:space="preserve">Złożony przez </w:t>
      </w:r>
      <w:r w:rsidRPr="003C4FDD">
        <w:rPr>
          <w:rFonts w:ascii="Lato" w:hAnsi="Lato"/>
          <w:b/>
          <w:bCs/>
        </w:rPr>
        <w:t>Janssen-Cilag International NV</w:t>
      </w:r>
      <w:r w:rsidRPr="003C4FDD">
        <w:rPr>
          <w:rFonts w:ascii="Lato" w:hAnsi="Lato"/>
        </w:rPr>
        <w:t xml:space="preserve"> wniosek o kontynuację refundacji leku </w:t>
      </w:r>
      <w:proofErr w:type="spellStart"/>
      <w:r w:rsidRPr="003C4FDD">
        <w:rPr>
          <w:rFonts w:ascii="Lato" w:hAnsi="Lato"/>
        </w:rPr>
        <w:t>Invokana</w:t>
      </w:r>
      <w:proofErr w:type="spellEnd"/>
      <w:r w:rsidRPr="003C4FDD">
        <w:rPr>
          <w:rFonts w:ascii="Lato" w:hAnsi="Lato"/>
        </w:rPr>
        <w:t xml:space="preserve"> nie spełniał natomiast warunków określonych przepisami art. 13 ust. 2 1 ustawy z 12 maja 2011 r. o refundacji leków, środków spożywczych specjalnego przeznaczenia żywieniowego oraz wyrobów medycznych (Dz. U. z 2023 r. poz. 826, z późn. zm., dalej jako ustawa o refundacji), który jednoznacznie wskazuje maksymalną cenę leku wnioskowanego do objęcia refundacją w przypadku upłynięcia jego okresu wyłączności rynkowej.</w:t>
      </w:r>
    </w:p>
    <w:p w14:paraId="3FBCDFBA" w14:textId="77777777" w:rsidR="007B25FE" w:rsidRPr="003C4FDD" w:rsidRDefault="007B25FE" w:rsidP="00BB4FF5">
      <w:pPr>
        <w:suppressAutoHyphens w:val="0"/>
        <w:spacing w:line="360" w:lineRule="auto"/>
        <w:jc w:val="both"/>
        <w:rPr>
          <w:rFonts w:ascii="Lato" w:hAnsi="Lato"/>
        </w:rPr>
      </w:pPr>
      <w:r w:rsidRPr="003C4FDD">
        <w:rPr>
          <w:rFonts w:ascii="Lato" w:hAnsi="Lato"/>
        </w:rPr>
        <w:t>W związku z powyższym Minister Zdrowia nie ma prawnych możliwości kontynuowania refundacji tych leków od 1 listopada 2023 r.</w:t>
      </w:r>
    </w:p>
    <w:p w14:paraId="4BDFC088" w14:textId="77777777" w:rsidR="007B25FE" w:rsidRPr="003C4FDD" w:rsidRDefault="007B25FE" w:rsidP="00BB4FF5">
      <w:pPr>
        <w:suppressAutoHyphens w:val="0"/>
        <w:spacing w:line="360" w:lineRule="auto"/>
        <w:jc w:val="both"/>
        <w:rPr>
          <w:rFonts w:ascii="Lato" w:hAnsi="Lato"/>
        </w:rPr>
      </w:pPr>
      <w:r w:rsidRPr="003C4FDD">
        <w:rPr>
          <w:rFonts w:ascii="Lato" w:hAnsi="Lato"/>
        </w:rPr>
        <w:t>Minister Zdrowia informuje, że decyzje o niedostosowaniu warunków finansowych do obowiązujących przepisów prawa i w konsekwencji brak kontynuacji refundacji przedmiotowych leków są indywidualnymi decyzjami AstraZeneca AB i Janssen-Cilag International NV wynikającymi ze strategii marketingowej tych koncernów.</w:t>
      </w:r>
    </w:p>
    <w:p w14:paraId="61E9F2B4" w14:textId="7EDBDC89" w:rsidR="007B25FE" w:rsidRPr="003C4FDD" w:rsidRDefault="00D06043" w:rsidP="00BB4FF5">
      <w:pPr>
        <w:suppressAutoHyphens w:val="0"/>
        <w:spacing w:line="360" w:lineRule="auto"/>
        <w:jc w:val="both"/>
        <w:rPr>
          <w:rFonts w:ascii="Lato" w:hAnsi="Lato"/>
        </w:rPr>
      </w:pPr>
      <w:r w:rsidRPr="00D06043">
        <w:rPr>
          <w:rFonts w:ascii="Lato" w:hAnsi="Lato"/>
        </w:rPr>
        <w:t xml:space="preserve">Podmioty odpowiedzialne zostały poinformowane przez Ministra Zdrowia, że leki te będą mogły zostać ponownie objęte refundacją, gdy zostaną złożone wnioski spełniające wymogi ustawy o refundacji. Trwające obecnie postępowania refundacyjne wobec leków </w:t>
      </w:r>
      <w:proofErr w:type="spellStart"/>
      <w:r w:rsidRPr="00D06043">
        <w:rPr>
          <w:rFonts w:ascii="Lato" w:hAnsi="Lato"/>
        </w:rPr>
        <w:t>Forxiga</w:t>
      </w:r>
      <w:proofErr w:type="spellEnd"/>
      <w:r w:rsidRPr="00D06043">
        <w:rPr>
          <w:rFonts w:ascii="Lato" w:hAnsi="Lato"/>
        </w:rPr>
        <w:t xml:space="preserve"> i </w:t>
      </w:r>
      <w:proofErr w:type="spellStart"/>
      <w:r w:rsidRPr="00D06043">
        <w:rPr>
          <w:rFonts w:ascii="Lato" w:hAnsi="Lato"/>
        </w:rPr>
        <w:t>Invokana</w:t>
      </w:r>
      <w:proofErr w:type="spellEnd"/>
      <w:r w:rsidRPr="00D06043">
        <w:rPr>
          <w:rFonts w:ascii="Lato" w:hAnsi="Lato"/>
        </w:rPr>
        <w:t>, zainicjowane na skutek przedłożenia wniosków o których mowa powyżej, są aktualnie na zaawansowanym etapie procedowania.</w:t>
      </w:r>
    </w:p>
    <w:p w14:paraId="6710C04D" w14:textId="77777777" w:rsidR="007B25FE" w:rsidRPr="003C4FDD" w:rsidRDefault="007B25FE" w:rsidP="00BB4FF5">
      <w:pPr>
        <w:suppressAutoHyphens w:val="0"/>
        <w:spacing w:line="360" w:lineRule="auto"/>
        <w:jc w:val="both"/>
        <w:rPr>
          <w:rFonts w:ascii="Lato" w:hAnsi="Lato"/>
        </w:rPr>
      </w:pPr>
      <w:r w:rsidRPr="003C4FDD">
        <w:rPr>
          <w:rFonts w:ascii="Lato" w:hAnsi="Lato"/>
        </w:rPr>
        <w:t xml:space="preserve">Jednocześnie Minister Zdrowia pragnie podkreślić, iż nadal refundowany będzie trzeci lek z grupy </w:t>
      </w:r>
      <w:proofErr w:type="spellStart"/>
      <w:r w:rsidRPr="003C4FDD">
        <w:rPr>
          <w:rFonts w:ascii="Lato" w:hAnsi="Lato"/>
        </w:rPr>
        <w:t>flozyn</w:t>
      </w:r>
      <w:proofErr w:type="spellEnd"/>
      <w:r w:rsidRPr="003C4FDD">
        <w:rPr>
          <w:rFonts w:ascii="Lato" w:hAnsi="Lato"/>
        </w:rPr>
        <w:t xml:space="preserve">, tj. </w:t>
      </w:r>
      <w:proofErr w:type="spellStart"/>
      <w:r w:rsidRPr="003C4FDD">
        <w:rPr>
          <w:rFonts w:ascii="Lato" w:hAnsi="Lato"/>
        </w:rPr>
        <w:t>Jardiance</w:t>
      </w:r>
      <w:proofErr w:type="spellEnd"/>
      <w:r w:rsidRPr="003C4FDD">
        <w:rPr>
          <w:rFonts w:ascii="Lato" w:hAnsi="Lato"/>
        </w:rPr>
        <w:t xml:space="preserve">, tabl. </w:t>
      </w:r>
      <w:proofErr w:type="spellStart"/>
      <w:r w:rsidRPr="003C4FDD">
        <w:rPr>
          <w:rFonts w:ascii="Lato" w:hAnsi="Lato"/>
        </w:rPr>
        <w:t>powl</w:t>
      </w:r>
      <w:proofErr w:type="spellEnd"/>
      <w:r w:rsidRPr="003C4FDD">
        <w:rPr>
          <w:rFonts w:ascii="Lato" w:hAnsi="Lato"/>
        </w:rPr>
        <w:t xml:space="preserve">., 10 mg, </w:t>
      </w:r>
      <w:proofErr w:type="spellStart"/>
      <w:r w:rsidRPr="003C4FDD">
        <w:rPr>
          <w:rFonts w:ascii="Lato" w:hAnsi="Lato"/>
        </w:rPr>
        <w:t>Empagliflozinum</w:t>
      </w:r>
      <w:proofErr w:type="spellEnd"/>
      <w:r w:rsidRPr="003C4FDD">
        <w:rPr>
          <w:rFonts w:ascii="Lato" w:hAnsi="Lato"/>
        </w:rPr>
        <w:t>, 28 szt. finansowany w następujących wskazaniach:</w:t>
      </w:r>
    </w:p>
    <w:p w14:paraId="11AD0486" w14:textId="77777777" w:rsidR="00997231" w:rsidRDefault="007B25FE" w:rsidP="00BB4FF5">
      <w:pPr>
        <w:pStyle w:val="Akapitzlist"/>
        <w:numPr>
          <w:ilvl w:val="1"/>
          <w:numId w:val="33"/>
        </w:numPr>
        <w:suppressAutoHyphens w:val="0"/>
        <w:spacing w:line="360" w:lineRule="auto"/>
        <w:jc w:val="both"/>
        <w:rPr>
          <w:rFonts w:ascii="Lato" w:hAnsi="Lato"/>
        </w:rPr>
      </w:pPr>
      <w:r w:rsidRPr="003C4FDD">
        <w:rPr>
          <w:rFonts w:ascii="Lato" w:hAnsi="Lato"/>
        </w:rPr>
        <w:t xml:space="preserve">Cukrzyca typu 2 u pacjentów leczonych co najmniej dwoma lekami hipoglikemizującymi, z HbA1c ≥ 7,5% oraz bardzo wysokim ryzykiem sercowo-naczyniowym rozumianym jako: 1) potwierdzona choroba sercowo-naczyniowa, lub 2) uszkodzenie innych narządów objawiające się poprzez: białkomocz lub przerost lewej komory lub retinopatię, lub 3) obecność 3 lub więcej głównych czynników ryzyka spośród wymienionych poniżej: </w:t>
      </w:r>
    </w:p>
    <w:p w14:paraId="6B554943" w14:textId="3D1DF273" w:rsidR="00997231" w:rsidRDefault="007B25FE" w:rsidP="00997231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rFonts w:ascii="Lato" w:hAnsi="Lato"/>
        </w:rPr>
      </w:pPr>
      <w:r w:rsidRPr="003C4FDD">
        <w:rPr>
          <w:rFonts w:ascii="Lato" w:hAnsi="Lato"/>
        </w:rPr>
        <w:t xml:space="preserve">wiek ≥ 55 lat dla mężczyzn, ≥60 lat dla kobiet, </w:t>
      </w:r>
    </w:p>
    <w:p w14:paraId="10E903E8" w14:textId="40EAFDD1" w:rsidR="00997231" w:rsidRDefault="007B25FE" w:rsidP="00997231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rFonts w:ascii="Lato" w:hAnsi="Lato"/>
        </w:rPr>
      </w:pPr>
      <w:proofErr w:type="spellStart"/>
      <w:r w:rsidRPr="003C4FDD">
        <w:rPr>
          <w:rFonts w:ascii="Lato" w:hAnsi="Lato"/>
        </w:rPr>
        <w:t>dyslipidemia</w:t>
      </w:r>
      <w:proofErr w:type="spellEnd"/>
      <w:r w:rsidRPr="003C4FDD">
        <w:rPr>
          <w:rFonts w:ascii="Lato" w:hAnsi="Lato"/>
        </w:rPr>
        <w:t xml:space="preserve">, </w:t>
      </w:r>
    </w:p>
    <w:p w14:paraId="11AFA07D" w14:textId="1218252D" w:rsidR="00997231" w:rsidRDefault="007B25FE" w:rsidP="00997231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rFonts w:ascii="Lato" w:hAnsi="Lato"/>
        </w:rPr>
      </w:pPr>
      <w:r w:rsidRPr="003C4FDD">
        <w:rPr>
          <w:rFonts w:ascii="Lato" w:hAnsi="Lato"/>
        </w:rPr>
        <w:t xml:space="preserve">nadciśnienie tętnicze, </w:t>
      </w:r>
    </w:p>
    <w:p w14:paraId="0D653B75" w14:textId="4356F88D" w:rsidR="00997231" w:rsidRDefault="007B25FE" w:rsidP="00997231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rFonts w:ascii="Lato" w:hAnsi="Lato"/>
        </w:rPr>
      </w:pPr>
      <w:r w:rsidRPr="003C4FDD">
        <w:rPr>
          <w:rFonts w:ascii="Lato" w:hAnsi="Lato"/>
        </w:rPr>
        <w:t xml:space="preserve">palenie tytoniu, </w:t>
      </w:r>
    </w:p>
    <w:p w14:paraId="08AE2CCF" w14:textId="7A8A24D1" w:rsidR="007B25FE" w:rsidRPr="003C4FDD" w:rsidRDefault="007B25FE" w:rsidP="00997231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rFonts w:ascii="Lato" w:hAnsi="Lato"/>
        </w:rPr>
      </w:pPr>
      <w:r w:rsidRPr="003C4FDD">
        <w:rPr>
          <w:rFonts w:ascii="Lato" w:hAnsi="Lato"/>
        </w:rPr>
        <w:lastRenderedPageBreak/>
        <w:t>otyłość</w:t>
      </w:r>
      <w:r w:rsidR="00BB4FF5" w:rsidRPr="003C4FDD">
        <w:rPr>
          <w:rFonts w:ascii="Lato" w:hAnsi="Lato"/>
        </w:rPr>
        <w:t>,</w:t>
      </w:r>
    </w:p>
    <w:p w14:paraId="1CF9A4B8" w14:textId="188E972C" w:rsidR="007B25FE" w:rsidRPr="003C4FDD" w:rsidRDefault="007B25FE" w:rsidP="00BB4FF5">
      <w:pPr>
        <w:pStyle w:val="Akapitzlist"/>
        <w:numPr>
          <w:ilvl w:val="1"/>
          <w:numId w:val="33"/>
        </w:numPr>
        <w:suppressAutoHyphens w:val="0"/>
        <w:spacing w:line="360" w:lineRule="auto"/>
        <w:jc w:val="both"/>
        <w:rPr>
          <w:rFonts w:ascii="Lato" w:hAnsi="Lato"/>
        </w:rPr>
      </w:pPr>
      <w:r w:rsidRPr="003C4FDD">
        <w:rPr>
          <w:rFonts w:ascii="Lato" w:hAnsi="Lato"/>
        </w:rPr>
        <w:t xml:space="preserve">Przewlekła niewydolność serca u dorosłych pacjentów z obniżoną frakcją wyrzutową lewej komory serca (LVEF≤40%) oraz utrzymującymi się objawami choroby w klasie II-IV NYHA pomimo zastosowania terapii opartej na </w:t>
      </w:r>
      <w:proofErr w:type="spellStart"/>
      <w:r w:rsidRPr="003C4FDD">
        <w:rPr>
          <w:rFonts w:ascii="Lato" w:hAnsi="Lato"/>
        </w:rPr>
        <w:t>ACEi</w:t>
      </w:r>
      <w:proofErr w:type="spellEnd"/>
      <w:r w:rsidRPr="003C4FDD">
        <w:rPr>
          <w:rFonts w:ascii="Lato" w:hAnsi="Lato"/>
        </w:rPr>
        <w:t xml:space="preserve"> (lub ARB/</w:t>
      </w:r>
      <w:proofErr w:type="spellStart"/>
      <w:r w:rsidRPr="003C4FDD">
        <w:rPr>
          <w:rFonts w:ascii="Lato" w:hAnsi="Lato"/>
        </w:rPr>
        <w:t>ARNi</w:t>
      </w:r>
      <w:proofErr w:type="spellEnd"/>
      <w:r w:rsidRPr="003C4FDD">
        <w:rPr>
          <w:rFonts w:ascii="Lato" w:hAnsi="Lato"/>
        </w:rPr>
        <w:t xml:space="preserve">) i lekach z grupy </w:t>
      </w:r>
      <w:proofErr w:type="spellStart"/>
      <w:r w:rsidRPr="003C4FDD">
        <w:rPr>
          <w:rFonts w:ascii="Lato" w:hAnsi="Lato"/>
        </w:rPr>
        <w:t>betaadrenolityków</w:t>
      </w:r>
      <w:proofErr w:type="spellEnd"/>
      <w:r w:rsidRPr="003C4FDD">
        <w:rPr>
          <w:rFonts w:ascii="Lato" w:hAnsi="Lato"/>
        </w:rPr>
        <w:t xml:space="preserve"> oraz jeśli wskazane antagonistach receptora </w:t>
      </w:r>
      <w:proofErr w:type="spellStart"/>
      <w:r w:rsidRPr="003C4FDD">
        <w:rPr>
          <w:rFonts w:ascii="Lato" w:hAnsi="Lato"/>
        </w:rPr>
        <w:t>mineralokortykoidów</w:t>
      </w:r>
      <w:proofErr w:type="spellEnd"/>
      <w:r w:rsidRPr="003C4FDD">
        <w:rPr>
          <w:rFonts w:ascii="Lato" w:hAnsi="Lato"/>
        </w:rPr>
        <w:t>.</w:t>
      </w:r>
    </w:p>
    <w:p w14:paraId="5A10518D" w14:textId="05568AB7" w:rsidR="00284294" w:rsidRPr="00F763E5" w:rsidRDefault="00E90D87" w:rsidP="00912B91">
      <w:pPr>
        <w:spacing w:line="360" w:lineRule="auto"/>
        <w:jc w:val="both"/>
        <w:textAlignment w:val="auto"/>
        <w:rPr>
          <w:rFonts w:ascii="Lato" w:hAnsi="Lato" w:cs="Calibri Light"/>
        </w:rPr>
      </w:pPr>
      <w:r w:rsidRPr="00F763E5">
        <w:rPr>
          <w:rFonts w:ascii="Lato" w:hAnsi="Lato" w:cs="Calibri Light"/>
        </w:rPr>
        <w:t xml:space="preserve">Szczepionka </w:t>
      </w:r>
      <w:proofErr w:type="spellStart"/>
      <w:r w:rsidRPr="00912B91">
        <w:rPr>
          <w:rFonts w:ascii="Lato" w:hAnsi="Lato" w:cs="Calibri Light"/>
          <w:b/>
          <w:bCs/>
        </w:rPr>
        <w:t>Fluenz</w:t>
      </w:r>
      <w:proofErr w:type="spellEnd"/>
      <w:r w:rsidRPr="00912B91">
        <w:rPr>
          <w:rFonts w:ascii="Lato" w:hAnsi="Lato" w:cs="Calibri Light"/>
          <w:b/>
          <w:bCs/>
        </w:rPr>
        <w:t xml:space="preserve"> Tetra</w:t>
      </w:r>
      <w:r w:rsidRPr="00F763E5">
        <w:rPr>
          <w:rFonts w:ascii="Lato" w:hAnsi="Lato" w:cs="Calibri Light"/>
        </w:rPr>
        <w:t xml:space="preserve"> w postaci aerozolu donosowego, </w:t>
      </w:r>
      <w:r w:rsidR="00F763E5">
        <w:rPr>
          <w:rFonts w:ascii="Lato" w:hAnsi="Lato" w:cs="Calibri Light"/>
        </w:rPr>
        <w:t>refundowana</w:t>
      </w:r>
      <w:r w:rsidRPr="00F763E5">
        <w:rPr>
          <w:rFonts w:ascii="Lato" w:hAnsi="Lato" w:cs="Calibri Light"/>
        </w:rPr>
        <w:t xml:space="preserve"> dotychczas w zapobieganiu grypie u dzieci w wieku od ukończonego 24 miesiąca życia do ukończonego 60 miesiąca życia oraz zapobieganiu grypie u dzieci i młodzieży w wieku od ukończonego 60 miesiąca życia do ukończonego 18 roku życia, </w:t>
      </w:r>
      <w:r w:rsidR="00F763E5" w:rsidRPr="00F763E5">
        <w:rPr>
          <w:rFonts w:ascii="Lato" w:hAnsi="Lato" w:cs="Calibri Light"/>
        </w:rPr>
        <w:t xml:space="preserve">od 1 listopada 2023 r. nie będzie </w:t>
      </w:r>
      <w:r w:rsidR="00F763E5">
        <w:rPr>
          <w:rFonts w:ascii="Lato" w:hAnsi="Lato" w:cs="Calibri Light"/>
        </w:rPr>
        <w:t>finansowana ze środków publicznych</w:t>
      </w:r>
      <w:r w:rsidR="00F763E5" w:rsidRPr="00F763E5">
        <w:rPr>
          <w:rFonts w:ascii="Lato" w:hAnsi="Lato" w:cs="Calibri Light"/>
        </w:rPr>
        <w:t xml:space="preserve">. </w:t>
      </w:r>
      <w:r w:rsidR="00B0050A" w:rsidRPr="003C4FDD">
        <w:rPr>
          <w:rFonts w:ascii="Lato" w:hAnsi="Lato"/>
        </w:rPr>
        <w:t xml:space="preserve">31 października 2023 r. upływa termin obowiązywania decyzji o objęciu refundacją i ustaleniu </w:t>
      </w:r>
      <w:r w:rsidR="00B0050A">
        <w:rPr>
          <w:rFonts w:ascii="Lato" w:hAnsi="Lato"/>
        </w:rPr>
        <w:t xml:space="preserve">urzędowej </w:t>
      </w:r>
      <w:r w:rsidR="00B0050A" w:rsidRPr="003C4FDD">
        <w:rPr>
          <w:rFonts w:ascii="Lato" w:hAnsi="Lato"/>
        </w:rPr>
        <w:t>ceny</w:t>
      </w:r>
      <w:r w:rsidR="00B0050A">
        <w:rPr>
          <w:rFonts w:ascii="Lato" w:hAnsi="Lato"/>
        </w:rPr>
        <w:t xml:space="preserve"> zbytu, niemniej</w:t>
      </w:r>
      <w:r w:rsidR="00B0050A" w:rsidRPr="00F763E5">
        <w:rPr>
          <w:rFonts w:ascii="Lato" w:hAnsi="Lato" w:cs="Calibri Light"/>
          <w:b/>
          <w:bCs/>
        </w:rPr>
        <w:t xml:space="preserve"> </w:t>
      </w:r>
      <w:r w:rsidR="00B0050A">
        <w:rPr>
          <w:rFonts w:ascii="Lato" w:hAnsi="Lato" w:cs="Calibri Light"/>
          <w:b/>
          <w:bCs/>
        </w:rPr>
        <w:t>p</w:t>
      </w:r>
      <w:r w:rsidR="00F763E5" w:rsidRPr="00F763E5">
        <w:rPr>
          <w:rFonts w:ascii="Lato" w:hAnsi="Lato" w:cs="Calibri Light"/>
          <w:b/>
          <w:bCs/>
        </w:rPr>
        <w:t>odmiot odpowiedzialny AstraZeneca AB</w:t>
      </w:r>
      <w:r w:rsidR="00F763E5" w:rsidRPr="00912B91">
        <w:rPr>
          <w:rFonts w:ascii="Lato" w:hAnsi="Lato" w:cs="Calibri Light"/>
        </w:rPr>
        <w:t xml:space="preserve">, podobnie jak </w:t>
      </w:r>
      <w:r w:rsidR="00F763E5">
        <w:rPr>
          <w:rFonts w:ascii="Lato" w:hAnsi="Lato" w:cs="Calibri Light"/>
        </w:rPr>
        <w:t xml:space="preserve">w </w:t>
      </w:r>
      <w:r w:rsidR="00F763E5" w:rsidRPr="00912B91">
        <w:rPr>
          <w:rFonts w:ascii="Lato" w:hAnsi="Lato" w:cs="Calibri Light"/>
        </w:rPr>
        <w:t xml:space="preserve">wyżej wymienionym przypadku, </w:t>
      </w:r>
      <w:r w:rsidR="00F763E5" w:rsidRPr="00F763E5">
        <w:rPr>
          <w:rFonts w:ascii="Lato" w:hAnsi="Lato" w:cs="Calibri Light"/>
        </w:rPr>
        <w:t xml:space="preserve">nie złożył wniosków o kontynuację refundacji na kolejny okres obowiązywania </w:t>
      </w:r>
      <w:r w:rsidR="00B0050A">
        <w:rPr>
          <w:rFonts w:ascii="Lato" w:hAnsi="Lato" w:cs="Calibri Light"/>
        </w:rPr>
        <w:t xml:space="preserve">decyzji dla </w:t>
      </w:r>
      <w:r w:rsidR="00F763E5" w:rsidRPr="00F763E5">
        <w:rPr>
          <w:rFonts w:ascii="Lato" w:hAnsi="Lato" w:cs="Calibri Light"/>
        </w:rPr>
        <w:t xml:space="preserve">szczepionki </w:t>
      </w:r>
      <w:proofErr w:type="spellStart"/>
      <w:r w:rsidR="00F763E5" w:rsidRPr="00F763E5">
        <w:rPr>
          <w:rFonts w:ascii="Lato" w:hAnsi="Lato" w:cs="Calibri Light"/>
        </w:rPr>
        <w:t>Fluenz</w:t>
      </w:r>
      <w:proofErr w:type="spellEnd"/>
      <w:r w:rsidR="00F763E5" w:rsidRPr="00F763E5">
        <w:rPr>
          <w:rFonts w:ascii="Lato" w:hAnsi="Lato" w:cs="Calibri Light"/>
        </w:rPr>
        <w:t xml:space="preserve"> Tetra</w:t>
      </w:r>
      <w:r w:rsidR="007374BE">
        <w:rPr>
          <w:rFonts w:ascii="Lato" w:hAnsi="Lato" w:cs="Calibri Light"/>
        </w:rPr>
        <w:t>.</w:t>
      </w:r>
    </w:p>
    <w:p w14:paraId="2CD66AFE" w14:textId="6276E31F" w:rsidR="00284294" w:rsidRPr="003C4FDD" w:rsidRDefault="00237DE2" w:rsidP="00284294">
      <w:pPr>
        <w:spacing w:line="360" w:lineRule="auto"/>
        <w:jc w:val="both"/>
        <w:textAlignment w:val="auto"/>
        <w:rPr>
          <w:rFonts w:ascii="Lato" w:hAnsi="Lato" w:cs="Calibri Light"/>
        </w:rPr>
      </w:pPr>
      <w:r w:rsidRPr="003C4FDD">
        <w:rPr>
          <w:rFonts w:ascii="Lato" w:hAnsi="Lato" w:cs="Calibri Light"/>
        </w:rPr>
        <w:t>L</w:t>
      </w:r>
      <w:r w:rsidR="00284294" w:rsidRPr="003C4FDD">
        <w:rPr>
          <w:rFonts w:ascii="Lato" w:hAnsi="Lato" w:cs="Calibri Light"/>
        </w:rPr>
        <w:t xml:space="preserve">ek </w:t>
      </w:r>
      <w:proofErr w:type="spellStart"/>
      <w:r w:rsidR="00284294" w:rsidRPr="003C4FDD">
        <w:rPr>
          <w:rFonts w:ascii="Lato" w:hAnsi="Lato" w:cs="Calibri Light"/>
          <w:b/>
          <w:bCs/>
        </w:rPr>
        <w:t>Xofigo</w:t>
      </w:r>
      <w:proofErr w:type="spellEnd"/>
      <w:r w:rsidR="00284294" w:rsidRPr="003C4FDD">
        <w:rPr>
          <w:rFonts w:ascii="Lato" w:hAnsi="Lato" w:cs="Calibri Light"/>
          <w:b/>
          <w:bCs/>
        </w:rPr>
        <w:t xml:space="preserve"> </w:t>
      </w:r>
      <w:r w:rsidR="00284294" w:rsidRPr="003C4FDD">
        <w:rPr>
          <w:rFonts w:ascii="Lato" w:hAnsi="Lato" w:cs="Calibri Light"/>
        </w:rPr>
        <w:t xml:space="preserve">(radium </w:t>
      </w:r>
      <w:proofErr w:type="spellStart"/>
      <w:r w:rsidR="00284294" w:rsidRPr="003C4FDD">
        <w:rPr>
          <w:rFonts w:ascii="Lato" w:hAnsi="Lato" w:cs="Calibri Light"/>
        </w:rPr>
        <w:t>dichloridum</w:t>
      </w:r>
      <w:proofErr w:type="spellEnd"/>
      <w:r w:rsidR="00284294" w:rsidRPr="003C4FDD">
        <w:rPr>
          <w:rFonts w:ascii="Lato" w:hAnsi="Lato" w:cs="Calibri Light"/>
        </w:rPr>
        <w:t xml:space="preserve"> </w:t>
      </w:r>
      <w:proofErr w:type="spellStart"/>
      <w:r w:rsidR="00284294" w:rsidRPr="003C4FDD">
        <w:rPr>
          <w:rFonts w:ascii="Lato" w:hAnsi="Lato" w:cs="Calibri Light"/>
        </w:rPr>
        <w:t>Ra223</w:t>
      </w:r>
      <w:proofErr w:type="spellEnd"/>
      <w:r w:rsidR="00284294" w:rsidRPr="003C4FDD">
        <w:rPr>
          <w:rFonts w:ascii="Lato" w:hAnsi="Lato" w:cs="Calibri Light"/>
        </w:rPr>
        <w:t xml:space="preserve">) refundowany dotychczas w programie lekowym B.56. LECZENIE CHORYCH NA RAKA GRUCZOŁU KROKOWEGO (ICD-10: C61) </w:t>
      </w:r>
      <w:r w:rsidRPr="003C4FDD">
        <w:rPr>
          <w:rFonts w:ascii="Lato" w:hAnsi="Lato" w:cs="Calibri Light"/>
        </w:rPr>
        <w:t xml:space="preserve">również </w:t>
      </w:r>
      <w:r w:rsidR="00284294" w:rsidRPr="003C4FDD">
        <w:rPr>
          <w:rFonts w:ascii="Lato" w:hAnsi="Lato" w:cs="Calibri Light"/>
        </w:rPr>
        <w:t>nie znajdzie się na kolejnym wykazie refundacyjnym obowiązującym od 1 listopada 2023 r., ponieważ pod</w:t>
      </w:r>
      <w:bookmarkStart w:id="4" w:name="_Hlk122289578"/>
      <w:r w:rsidR="00284294" w:rsidRPr="003C4FDD">
        <w:rPr>
          <w:rFonts w:ascii="Lato" w:hAnsi="Lato" w:cs="Calibri Light"/>
        </w:rPr>
        <w:t>m</w:t>
      </w:r>
      <w:bookmarkEnd w:id="4"/>
      <w:r w:rsidR="00284294" w:rsidRPr="003C4FDD">
        <w:rPr>
          <w:rFonts w:ascii="Lato" w:hAnsi="Lato" w:cs="Calibri Light"/>
        </w:rPr>
        <w:t xml:space="preserve">iot odpowiedzialny </w:t>
      </w:r>
      <w:r w:rsidR="00284294" w:rsidRPr="003C4FDD">
        <w:rPr>
          <w:rFonts w:ascii="Lato" w:hAnsi="Lato" w:cs="Calibri Light"/>
          <w:b/>
          <w:bCs/>
        </w:rPr>
        <w:t>Bayer sp. z o.o.</w:t>
      </w:r>
      <w:r w:rsidR="00284294" w:rsidRPr="003C4FDD">
        <w:rPr>
          <w:rFonts w:ascii="Lato" w:hAnsi="Lato" w:cs="Calibri Light"/>
        </w:rPr>
        <w:t xml:space="preserve"> </w:t>
      </w:r>
      <w:r w:rsidR="00284294" w:rsidRPr="003C4FDD">
        <w:rPr>
          <w:rFonts w:ascii="Lato" w:hAnsi="Lato" w:cs="Calibri Light"/>
          <w:b/>
          <w:bCs/>
        </w:rPr>
        <w:t>nie spełnił ustawowego warunku</w:t>
      </w:r>
      <w:r w:rsidR="00284294" w:rsidRPr="003C4FDD">
        <w:rPr>
          <w:rFonts w:ascii="Lato" w:hAnsi="Lato" w:cs="Calibri Light"/>
        </w:rPr>
        <w:t xml:space="preserve"> wynikającego z art. 13 ust. 2 ustawy z dnia 12 maja 2011 r. o </w:t>
      </w:r>
      <w:r w:rsidR="00284294" w:rsidRPr="003C4FDD">
        <w:rPr>
          <w:rFonts w:ascii="Lato" w:hAnsi="Lato" w:cs="Calibri Light"/>
          <w:i/>
          <w:iCs/>
        </w:rPr>
        <w:t>refundacji leków, środków spożywczych specjalnego przeznaczenia żywieniowego oraz wyrobów medycznych</w:t>
      </w:r>
      <w:r w:rsidR="00284294" w:rsidRPr="003C4FDD">
        <w:rPr>
          <w:rFonts w:ascii="Lato" w:hAnsi="Lato" w:cs="Calibri Light"/>
        </w:rPr>
        <w:t xml:space="preserve"> odnośnie konieczności obniżenia urzędowej ceny zbytu o 25% w związku z upływem okresu wyłączności rynkowej dla tego preparatu. Podmiot deklaruje złożenie wniosku do Prezesa Narodowego Funduszu Zdrowia w celu finansowania leku </w:t>
      </w:r>
      <w:proofErr w:type="spellStart"/>
      <w:r w:rsidR="00284294" w:rsidRPr="003C4FDD">
        <w:rPr>
          <w:rFonts w:ascii="Lato" w:hAnsi="Lato" w:cs="Calibri Light"/>
        </w:rPr>
        <w:t>Xofigo</w:t>
      </w:r>
      <w:proofErr w:type="spellEnd"/>
      <w:r w:rsidR="00284294" w:rsidRPr="003C4FDD">
        <w:rPr>
          <w:rFonts w:ascii="Lato" w:hAnsi="Lato" w:cs="Calibri Light"/>
        </w:rPr>
        <w:t xml:space="preserve"> zapewniającego kontynuację leczenia dla pacjentów, którzy </w:t>
      </w:r>
      <w:r w:rsidRPr="003C4FDD">
        <w:rPr>
          <w:rFonts w:ascii="Lato" w:hAnsi="Lato" w:cs="Calibri Light"/>
        </w:rPr>
        <w:t>rozpoczęli</w:t>
      </w:r>
      <w:r w:rsidR="00284294" w:rsidRPr="003C4FDD">
        <w:rPr>
          <w:rFonts w:ascii="Lato" w:hAnsi="Lato" w:cs="Calibri Light"/>
        </w:rPr>
        <w:t xml:space="preserve"> terapię lekiem </w:t>
      </w:r>
      <w:proofErr w:type="spellStart"/>
      <w:r w:rsidR="00284294" w:rsidRPr="003C4FDD">
        <w:rPr>
          <w:rFonts w:ascii="Lato" w:hAnsi="Lato" w:cs="Calibri Light"/>
        </w:rPr>
        <w:t>Xofigo</w:t>
      </w:r>
      <w:proofErr w:type="spellEnd"/>
      <w:r w:rsidR="00284294" w:rsidRPr="003C4FDD">
        <w:rPr>
          <w:rFonts w:ascii="Lato" w:hAnsi="Lato" w:cs="Calibri Light"/>
        </w:rPr>
        <w:t xml:space="preserve"> w programie lekowym B.56. LECZENIE CHORYCH NA RAKA GRUCZOŁU KROKOWEGO (ICD-10: C61) na zasadach opisanych w art. 37b ustawy o refundacji.</w:t>
      </w:r>
    </w:p>
    <w:p w14:paraId="3245D908" w14:textId="4048A557" w:rsidR="007B25FE" w:rsidRDefault="007B25FE" w:rsidP="00912B91">
      <w:pPr>
        <w:spacing w:line="360" w:lineRule="auto"/>
        <w:jc w:val="both"/>
        <w:textAlignment w:val="auto"/>
        <w:rPr>
          <w:rFonts w:ascii="Lato" w:hAnsi="Lato" w:cs="Calibri Light"/>
        </w:rPr>
      </w:pPr>
    </w:p>
    <w:p w14:paraId="05B37334" w14:textId="09A9E1B4" w:rsidR="00F727B3" w:rsidRDefault="00F727B3" w:rsidP="00F727B3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F727B3">
        <w:rPr>
          <w:rFonts w:ascii="Lato" w:hAnsi="Lato"/>
          <w:b/>
          <w:bCs/>
          <w:color w:val="00B0F0"/>
          <w:sz w:val="28"/>
          <w:szCs w:val="28"/>
        </w:rPr>
        <w:t xml:space="preserve">INFORMACJA DOTYCZĄCA BRAKU LEKÓW TOUJEO ORAZ ENSTILAR NA WYKAZIE </w:t>
      </w:r>
      <w:r>
        <w:rPr>
          <w:rFonts w:ascii="Lato" w:hAnsi="Lato"/>
          <w:b/>
          <w:bCs/>
          <w:color w:val="00B0F0"/>
          <w:sz w:val="28"/>
          <w:szCs w:val="28"/>
        </w:rPr>
        <w:t>BEZPŁATNYCH LEKÓW DLA DZIECI I MŁODZIEŻY W WIEKU DO 18. ROKU ŻYCIA</w:t>
      </w:r>
      <w:r w:rsidRPr="00F727B3">
        <w:rPr>
          <w:rFonts w:ascii="Lato" w:hAnsi="Lato"/>
          <w:b/>
          <w:bCs/>
          <w:color w:val="00B0F0"/>
          <w:sz w:val="28"/>
          <w:szCs w:val="28"/>
        </w:rPr>
        <w:t xml:space="preserve"> </w:t>
      </w:r>
    </w:p>
    <w:p w14:paraId="38A1EE61" w14:textId="3BDD50E4" w:rsidR="00F727B3" w:rsidRDefault="00D76F69" w:rsidP="00F727B3">
      <w:pPr>
        <w:spacing w:line="360" w:lineRule="auto"/>
        <w:jc w:val="both"/>
        <w:textAlignment w:val="auto"/>
        <w:rPr>
          <w:rFonts w:ascii="Lato" w:hAnsi="Lato" w:cs="Calibri Light"/>
        </w:rPr>
      </w:pPr>
      <w:r>
        <w:rPr>
          <w:rFonts w:ascii="Lato" w:hAnsi="Lato" w:cs="Calibri Light"/>
        </w:rPr>
        <w:lastRenderedPageBreak/>
        <w:t>Od 1 listopada 2023 r. na wykazie</w:t>
      </w:r>
      <w:r w:rsidRPr="00D76F69">
        <w:rPr>
          <w:rFonts w:ascii="Lato" w:hAnsi="Lato"/>
          <w:b/>
          <w:bCs/>
          <w:color w:val="00B0F0"/>
          <w:sz w:val="28"/>
          <w:szCs w:val="28"/>
        </w:rPr>
        <w:t xml:space="preserve"> </w:t>
      </w:r>
      <w:r w:rsidRPr="00D76F69">
        <w:rPr>
          <w:rFonts w:ascii="Lato" w:hAnsi="Lato" w:cs="Calibri Light"/>
        </w:rPr>
        <w:t>bezpłatnych leków dla dzieci i młodzieży w wieku do 18. roku życia</w:t>
      </w:r>
      <w:r>
        <w:rPr>
          <w:rFonts w:ascii="Lato" w:hAnsi="Lato" w:cs="Calibri Light"/>
        </w:rPr>
        <w:t xml:space="preserve"> – załącznik D1 do obwieszczenia Ministra Zdrowia w sprawie refundowanych leków, </w:t>
      </w:r>
      <w:r w:rsidRPr="00D76F69">
        <w:rPr>
          <w:rFonts w:ascii="Lato" w:hAnsi="Lato" w:cs="Calibri Light"/>
        </w:rPr>
        <w:t>środków spożywczych specjalnego przeznaczenia żywieniowego oraz wyrobów medycznych</w:t>
      </w:r>
      <w:r>
        <w:rPr>
          <w:rFonts w:ascii="Lato" w:hAnsi="Lato" w:cs="Calibri Light"/>
        </w:rPr>
        <w:t xml:space="preserve">, zabraknie leków </w:t>
      </w:r>
      <w:proofErr w:type="spellStart"/>
      <w:r>
        <w:rPr>
          <w:rFonts w:ascii="Lato" w:hAnsi="Lato" w:cs="Calibri Light"/>
        </w:rPr>
        <w:t>Toujeo</w:t>
      </w:r>
      <w:proofErr w:type="spellEnd"/>
      <w:r>
        <w:rPr>
          <w:rFonts w:ascii="Lato" w:hAnsi="Lato" w:cs="Calibri Light"/>
        </w:rPr>
        <w:t xml:space="preserve"> oraz </w:t>
      </w:r>
      <w:proofErr w:type="spellStart"/>
      <w:r>
        <w:rPr>
          <w:rFonts w:ascii="Lato" w:hAnsi="Lato" w:cs="Calibri Light"/>
        </w:rPr>
        <w:t>Enstilar</w:t>
      </w:r>
      <w:proofErr w:type="spellEnd"/>
      <w:r>
        <w:rPr>
          <w:rFonts w:ascii="Lato" w:hAnsi="Lato" w:cs="Calibri Light"/>
        </w:rPr>
        <w:t xml:space="preserve">. Brak wspomnianych produktów leczniczych na </w:t>
      </w:r>
      <w:r w:rsidRPr="00D76F69">
        <w:rPr>
          <w:rFonts w:ascii="Lato" w:hAnsi="Lato" w:cs="Calibri Light"/>
          <w:i/>
          <w:iCs/>
        </w:rPr>
        <w:t>liście 18-</w:t>
      </w:r>
      <w:r>
        <w:rPr>
          <w:rFonts w:ascii="Lato" w:hAnsi="Lato" w:cs="Calibri Light"/>
        </w:rPr>
        <w:t xml:space="preserve">  wynika bezpośrednio z zakresów wskazań refundacyjnych, które w przypadku leków  </w:t>
      </w:r>
      <w:proofErr w:type="spellStart"/>
      <w:r>
        <w:rPr>
          <w:rFonts w:ascii="Lato" w:hAnsi="Lato" w:cs="Calibri Light"/>
        </w:rPr>
        <w:t>Toujeo</w:t>
      </w:r>
      <w:proofErr w:type="spellEnd"/>
      <w:r>
        <w:rPr>
          <w:rFonts w:ascii="Lato" w:hAnsi="Lato" w:cs="Calibri Light"/>
        </w:rPr>
        <w:t xml:space="preserve"> i </w:t>
      </w:r>
      <w:proofErr w:type="spellStart"/>
      <w:r>
        <w:rPr>
          <w:rFonts w:ascii="Lato" w:hAnsi="Lato" w:cs="Calibri Light"/>
        </w:rPr>
        <w:t>Enstilar</w:t>
      </w:r>
      <w:proofErr w:type="spellEnd"/>
      <w:r>
        <w:rPr>
          <w:rFonts w:ascii="Lato" w:hAnsi="Lato" w:cs="Calibri Light"/>
        </w:rPr>
        <w:t xml:space="preserve"> dotyczą wyłącznie pacjentów dorosłych:</w:t>
      </w:r>
    </w:p>
    <w:p w14:paraId="07C3F709" w14:textId="4CB8B4A2" w:rsidR="00D76F69" w:rsidRPr="00D76F69" w:rsidRDefault="00D76F69" w:rsidP="00D76F69">
      <w:pPr>
        <w:pStyle w:val="Akapitzlist"/>
        <w:numPr>
          <w:ilvl w:val="1"/>
          <w:numId w:val="33"/>
        </w:numPr>
        <w:spacing w:line="360" w:lineRule="auto"/>
        <w:jc w:val="both"/>
        <w:textAlignment w:val="auto"/>
        <w:rPr>
          <w:rFonts w:ascii="Lato" w:hAnsi="Lato" w:cs="Calibri Light"/>
        </w:rPr>
      </w:pPr>
      <w:r w:rsidRPr="00D76F69">
        <w:rPr>
          <w:rFonts w:ascii="Lato" w:hAnsi="Lato" w:cs="Calibri Light"/>
        </w:rPr>
        <w:t xml:space="preserve">Wskazanie refundacyjne leku </w:t>
      </w:r>
      <w:proofErr w:type="spellStart"/>
      <w:r w:rsidRPr="00D76F69">
        <w:rPr>
          <w:rFonts w:ascii="Lato" w:hAnsi="Lato" w:cs="Calibri Light"/>
        </w:rPr>
        <w:t>Toujeo</w:t>
      </w:r>
      <w:proofErr w:type="spellEnd"/>
      <w:r w:rsidRPr="00D76F69">
        <w:rPr>
          <w:rFonts w:ascii="Lato" w:hAnsi="Lato" w:cs="Calibri Light"/>
        </w:rPr>
        <w:t xml:space="preserve">: </w:t>
      </w:r>
      <w:r w:rsidRPr="00D76F69">
        <w:rPr>
          <w:rFonts w:ascii="Lato" w:hAnsi="Lato" w:cs="Calibri Light"/>
          <w:i/>
          <w:iCs/>
        </w:rPr>
        <w:t xml:space="preserve">Cukrzyca typu I u </w:t>
      </w:r>
      <w:r w:rsidRPr="00D76F69">
        <w:rPr>
          <w:rFonts w:ascii="Lato" w:hAnsi="Lato" w:cs="Calibri Light"/>
          <w:b/>
          <w:bCs/>
          <w:i/>
          <w:iCs/>
        </w:rPr>
        <w:t>dorosłych</w:t>
      </w:r>
      <w:r w:rsidRPr="00D76F69">
        <w:rPr>
          <w:rFonts w:ascii="Lato" w:hAnsi="Lato" w:cs="Calibri Light"/>
          <w:i/>
          <w:iCs/>
        </w:rPr>
        <w:t xml:space="preserve">; Cukrzyca typu 2 u </w:t>
      </w:r>
      <w:r w:rsidRPr="00D76F69">
        <w:rPr>
          <w:rFonts w:ascii="Lato" w:hAnsi="Lato" w:cs="Calibri Light"/>
          <w:b/>
          <w:bCs/>
          <w:i/>
          <w:iCs/>
        </w:rPr>
        <w:t>dorosłych</w:t>
      </w:r>
      <w:r w:rsidRPr="00D76F69">
        <w:rPr>
          <w:rFonts w:ascii="Lato" w:hAnsi="Lato" w:cs="Calibri Light"/>
          <w:i/>
          <w:iCs/>
        </w:rPr>
        <w:t xml:space="preserve"> pacjentów leczonych insuliną NPH od co najmniej 6 miesięcy i z HbA1c ≥8% oraz cukrzyca typu 2 u dorosłych pacjentów leczonych insuliną NPH od co najmniej 6 miesięcy i z udokumentowanymi nawracającymi epizodami ciężkiej lub nocnej hipoglikemii oraz cukrzyca u dorosłych o znanej przyczynie (zgodnie z definicją wg WHO),</w:t>
      </w:r>
    </w:p>
    <w:p w14:paraId="5F72D5CD" w14:textId="03E5D9E9" w:rsidR="00D76F69" w:rsidRPr="00D76F69" w:rsidRDefault="00D76F69" w:rsidP="00D76F69">
      <w:pPr>
        <w:pStyle w:val="Akapitzlist"/>
        <w:numPr>
          <w:ilvl w:val="1"/>
          <w:numId w:val="33"/>
        </w:numPr>
        <w:spacing w:line="360" w:lineRule="auto"/>
        <w:jc w:val="both"/>
        <w:textAlignment w:val="auto"/>
        <w:rPr>
          <w:rFonts w:ascii="Lato" w:hAnsi="Lato" w:cs="Calibri Light"/>
          <w:b/>
          <w:bCs/>
          <w:i/>
          <w:iCs/>
        </w:rPr>
      </w:pPr>
      <w:r w:rsidRPr="00D76F69">
        <w:rPr>
          <w:rFonts w:ascii="Lato" w:hAnsi="Lato" w:cs="Calibri Light"/>
        </w:rPr>
        <w:t xml:space="preserve">Wskazanie refundacyjne leku </w:t>
      </w:r>
      <w:proofErr w:type="spellStart"/>
      <w:r w:rsidRPr="00D76F69">
        <w:rPr>
          <w:rFonts w:ascii="Lato" w:hAnsi="Lato" w:cs="Calibri Light"/>
        </w:rPr>
        <w:t>Enstilar</w:t>
      </w:r>
      <w:proofErr w:type="spellEnd"/>
      <w:r w:rsidRPr="00D76F69">
        <w:rPr>
          <w:rFonts w:ascii="Lato" w:hAnsi="Lato" w:cs="Calibri Light"/>
        </w:rPr>
        <w:t xml:space="preserve">: </w:t>
      </w:r>
      <w:r w:rsidRPr="00D76F69">
        <w:rPr>
          <w:rFonts w:ascii="Lato" w:hAnsi="Lato" w:cs="Calibri Light"/>
          <w:i/>
          <w:iCs/>
        </w:rPr>
        <w:t xml:space="preserve">Leczenie miejscowe łuszczycy zwyczajnej u </w:t>
      </w:r>
      <w:r w:rsidRPr="00D76F69">
        <w:rPr>
          <w:rFonts w:ascii="Lato" w:hAnsi="Lato" w:cs="Calibri Light"/>
          <w:b/>
          <w:bCs/>
          <w:i/>
          <w:iCs/>
        </w:rPr>
        <w:t>dorosłych.</w:t>
      </w:r>
    </w:p>
    <w:p w14:paraId="543E9E27" w14:textId="68216E78" w:rsidR="00D76F69" w:rsidRDefault="00D76F69" w:rsidP="00F727B3">
      <w:pPr>
        <w:spacing w:line="360" w:lineRule="auto"/>
        <w:jc w:val="both"/>
        <w:textAlignment w:val="auto"/>
        <w:rPr>
          <w:rFonts w:ascii="Lato" w:hAnsi="Lato" w:cs="Calibri Light"/>
        </w:rPr>
      </w:pPr>
      <w:r w:rsidRPr="00D76F69">
        <w:rPr>
          <w:rFonts w:ascii="Lato" w:hAnsi="Lato" w:cs="Calibri Light"/>
        </w:rPr>
        <w:t xml:space="preserve">Przez wzgląd na brak refundacji w populacji pediatrycznej, od 1 listopada br. niniejsze produkty lecznicze nie znajdą się na wykazie bezpłatnych leków dla dzieci i młodzieży. </w:t>
      </w:r>
    </w:p>
    <w:p w14:paraId="7E23ACD6" w14:textId="77777777" w:rsidR="00AE5EF3" w:rsidRDefault="00AE5EF3" w:rsidP="00F727B3">
      <w:pPr>
        <w:spacing w:line="360" w:lineRule="auto"/>
        <w:jc w:val="both"/>
        <w:textAlignment w:val="auto"/>
        <w:rPr>
          <w:rFonts w:ascii="Lato" w:hAnsi="Lato" w:cs="Calibri Light"/>
        </w:rPr>
      </w:pPr>
    </w:p>
    <w:p w14:paraId="42AB0A76" w14:textId="77777777" w:rsidR="00AE5EF3" w:rsidRPr="003C4FDD" w:rsidRDefault="00AE5EF3" w:rsidP="00AE5EF3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3C4FDD">
        <w:rPr>
          <w:rFonts w:ascii="Lato" w:hAnsi="Lato"/>
          <w:b/>
          <w:bCs/>
          <w:color w:val="00B0F0"/>
          <w:sz w:val="28"/>
          <w:szCs w:val="28"/>
        </w:rPr>
        <w:t>INFORMACJA DOTYCZĄCA PROGRAMU WCZESNEGO DOSTĘPU DO LECZENIA TRASTUZUMABEM DERUKSTEKAN</w:t>
      </w:r>
    </w:p>
    <w:p w14:paraId="5F39ACE7" w14:textId="36BD23F7" w:rsidR="00AE5EF3" w:rsidRPr="00D76F69" w:rsidRDefault="00AE5EF3" w:rsidP="00AE5EF3">
      <w:pPr>
        <w:spacing w:line="360" w:lineRule="auto"/>
        <w:jc w:val="both"/>
        <w:textAlignment w:val="auto"/>
        <w:rPr>
          <w:rFonts w:ascii="Lato" w:hAnsi="Lato"/>
          <w:sz w:val="28"/>
          <w:szCs w:val="28"/>
        </w:rPr>
      </w:pPr>
      <w:r w:rsidRPr="003C4FDD">
        <w:rPr>
          <w:rFonts w:ascii="Lato" w:hAnsi="Lato" w:cs="Calibri Light"/>
        </w:rPr>
        <w:t xml:space="preserve">Zgodnie z komunikatem Ministra Zdrowia, od 18 września do 31 października 2023 r. został uruchomiony pomostowy Program Wczesnego Dostępu finansowany przez firmę AstraZeneca w celu przyspieszenia terapii lekiem </w:t>
      </w:r>
      <w:proofErr w:type="spellStart"/>
      <w:r w:rsidRPr="003C4FDD">
        <w:rPr>
          <w:rFonts w:ascii="Lato" w:hAnsi="Lato" w:cs="Calibri Light"/>
        </w:rPr>
        <w:t>trastuzumab</w:t>
      </w:r>
      <w:proofErr w:type="spellEnd"/>
      <w:r w:rsidRPr="003C4FDD">
        <w:rPr>
          <w:rFonts w:ascii="Lato" w:hAnsi="Lato" w:cs="Calibri Light"/>
        </w:rPr>
        <w:t xml:space="preserve"> </w:t>
      </w:r>
      <w:proofErr w:type="spellStart"/>
      <w:r w:rsidRPr="003C4FDD">
        <w:rPr>
          <w:rFonts w:ascii="Lato" w:hAnsi="Lato" w:cs="Calibri Light"/>
        </w:rPr>
        <w:t>derukstekan</w:t>
      </w:r>
      <w:proofErr w:type="spellEnd"/>
      <w:r w:rsidRPr="003C4FDD">
        <w:rPr>
          <w:rFonts w:ascii="Lato" w:hAnsi="Lato" w:cs="Calibri Light"/>
        </w:rPr>
        <w:t xml:space="preserve"> dla pacjentów z HER2-dodatnim przerzutowym rakiem piersi. Z programu mogą skorzystać wszyscy pacjenci spełniający kryteria kwalifikacji do programu lekowego B.9.FM – w drugiej, trzeciej lub czwartej linii leczenia stosowanego z powodu nieoperacyjnego lub zaawansowanego HER2-dodatniego raka piersi.  Od 1 listopada 2023 r. wszyscy pacjenci spełniający kryteria i włączeni do Programu Wczesnego Dostępu od 18 września do 31 października,  na mocy zapisu </w:t>
      </w:r>
      <w:r w:rsidRPr="003C4FDD">
        <w:rPr>
          <w:rFonts w:ascii="Lato" w:hAnsi="Lato" w:cs="Calibri Light"/>
          <w:i/>
          <w:iCs/>
        </w:rPr>
        <w:t xml:space="preserve">„Ponadto do programu lekowego w zakresie leczenia przerzutowego, HER2-dodatniego raka piersi kwalifikowani są również pacjenci wymagający kontynuacji leczenia, którzy byli leczeni substancjami czynnymi finansowanymi w programie lekowym w ramach innego sposobu </w:t>
      </w:r>
      <w:r w:rsidRPr="003C4FDD">
        <w:rPr>
          <w:rFonts w:ascii="Lato" w:hAnsi="Lato" w:cs="Calibri Light"/>
          <w:i/>
          <w:iCs/>
        </w:rPr>
        <w:lastRenderedPageBreak/>
        <w:t>finansowania terapii, za wyjątkiem trwających badań klinicznych tych leków, pod warunkiem, że w chwili rozpoczęcia leczenia spełniali kryteria kwalifikacji do programu lekowego”</w:t>
      </w:r>
      <w:r w:rsidRPr="003C4FDD">
        <w:rPr>
          <w:rFonts w:ascii="Lato" w:hAnsi="Lato" w:cs="Calibri Light"/>
        </w:rPr>
        <w:t xml:space="preserve">, będą mogli kontynuować terapię </w:t>
      </w:r>
      <w:proofErr w:type="spellStart"/>
      <w:r w:rsidRPr="003C4FDD">
        <w:rPr>
          <w:rFonts w:ascii="Lato" w:hAnsi="Lato" w:cs="Calibri Light"/>
        </w:rPr>
        <w:t>trastuzumabem</w:t>
      </w:r>
      <w:proofErr w:type="spellEnd"/>
      <w:r w:rsidRPr="003C4FDD">
        <w:rPr>
          <w:rFonts w:ascii="Lato" w:hAnsi="Lato" w:cs="Calibri Light"/>
        </w:rPr>
        <w:t xml:space="preserve"> </w:t>
      </w:r>
      <w:proofErr w:type="spellStart"/>
      <w:r w:rsidRPr="003C4FDD">
        <w:rPr>
          <w:rFonts w:ascii="Lato" w:hAnsi="Lato" w:cs="Calibri Light"/>
        </w:rPr>
        <w:t>derukstekanem</w:t>
      </w:r>
      <w:proofErr w:type="spellEnd"/>
      <w:r w:rsidRPr="003C4FDD">
        <w:rPr>
          <w:rFonts w:ascii="Lato" w:hAnsi="Lato" w:cs="Calibri Light"/>
        </w:rPr>
        <w:t xml:space="preserve"> w ramach programu lekowego B.9.FM - LECZENIE CHORYCH NA RAKA PIERSI (ICD-10: C50).</w:t>
      </w:r>
    </w:p>
    <w:sectPr w:rsidR="00AE5EF3" w:rsidRPr="00D76F69" w:rsidSect="005058F2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82B1" w14:textId="77777777" w:rsidR="00F07A1E" w:rsidRDefault="00F07A1E">
      <w:pPr>
        <w:spacing w:after="0" w:line="240" w:lineRule="auto"/>
      </w:pPr>
      <w:r>
        <w:separator/>
      </w:r>
    </w:p>
  </w:endnote>
  <w:endnote w:type="continuationSeparator" w:id="0">
    <w:p w14:paraId="38BED8DC" w14:textId="77777777" w:rsidR="00F07A1E" w:rsidRDefault="00F0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9826" w14:textId="77777777" w:rsidR="00F07A1E" w:rsidRDefault="00F07A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9FD7A3" w14:textId="77777777" w:rsidR="00F07A1E" w:rsidRDefault="00F0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4633511D" w:rsidR="005058F2" w:rsidRDefault="00143D0B">
    <w:pPr>
      <w:pStyle w:val="Nagwek"/>
    </w:pPr>
    <w:bookmarkStart w:id="5" w:name="_Hlk74147372"/>
    <w:bookmarkEnd w:id="5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405"/>
    <w:multiLevelType w:val="hybridMultilevel"/>
    <w:tmpl w:val="B308D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CF6"/>
    <w:multiLevelType w:val="hybridMultilevel"/>
    <w:tmpl w:val="11287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1D5"/>
    <w:multiLevelType w:val="hybridMultilevel"/>
    <w:tmpl w:val="CED09C14"/>
    <w:lvl w:ilvl="0" w:tplc="41943DD6">
      <w:start w:val="1"/>
      <w:numFmt w:val="lowerLetter"/>
      <w:lvlText w:val="%1)"/>
      <w:lvlJc w:val="left"/>
      <w:pPr>
        <w:ind w:left="567" w:hanging="207"/>
      </w:pPr>
      <w:rPr>
        <w:rFonts w:ascii="Lato" w:eastAsiaTheme="minorHAnsi" w:hAnsi="Lato" w:cs="Arial" w:hint="default"/>
      </w:rPr>
    </w:lvl>
    <w:lvl w:ilvl="1" w:tplc="252C51DC">
      <w:numFmt w:val="bullet"/>
      <w:lvlText w:val="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5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2754095A"/>
    <w:multiLevelType w:val="hybridMultilevel"/>
    <w:tmpl w:val="E8244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47F2B"/>
    <w:multiLevelType w:val="hybridMultilevel"/>
    <w:tmpl w:val="5E207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D3FDC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5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 w15:restartNumberingAfterBreak="0">
    <w:nsid w:val="37CD012E"/>
    <w:multiLevelType w:val="hybridMultilevel"/>
    <w:tmpl w:val="8FFC63CA"/>
    <w:lvl w:ilvl="0" w:tplc="C1569FCA">
      <w:start w:val="1"/>
      <w:numFmt w:val="bullet"/>
      <w:lvlText w:val="o"/>
      <w:lvlJc w:val="left"/>
      <w:pPr>
        <w:ind w:left="1068" w:hanging="217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C42D8"/>
    <w:multiLevelType w:val="hybridMultilevel"/>
    <w:tmpl w:val="154C5C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25CDC"/>
    <w:multiLevelType w:val="hybridMultilevel"/>
    <w:tmpl w:val="23BA0A4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076C3"/>
    <w:multiLevelType w:val="hybridMultilevel"/>
    <w:tmpl w:val="ED32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5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EB6498"/>
    <w:multiLevelType w:val="hybridMultilevel"/>
    <w:tmpl w:val="F1366E56"/>
    <w:lvl w:ilvl="0" w:tplc="0CEC03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BB03E5C"/>
    <w:multiLevelType w:val="hybridMultilevel"/>
    <w:tmpl w:val="FF32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348AE"/>
    <w:multiLevelType w:val="hybridMultilevel"/>
    <w:tmpl w:val="FDF40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0E35"/>
    <w:multiLevelType w:val="hybridMultilevel"/>
    <w:tmpl w:val="4F46BCC6"/>
    <w:lvl w:ilvl="0" w:tplc="EE4685BA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47E04"/>
    <w:multiLevelType w:val="hybridMultilevel"/>
    <w:tmpl w:val="5CC0C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4478E"/>
    <w:multiLevelType w:val="hybridMultilevel"/>
    <w:tmpl w:val="AF20E1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108AF"/>
    <w:multiLevelType w:val="hybridMultilevel"/>
    <w:tmpl w:val="C63A4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E6242"/>
    <w:multiLevelType w:val="hybridMultilevel"/>
    <w:tmpl w:val="A3463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8"/>
  </w:num>
  <w:num w:numId="2" w16cid:durableId="983047750">
    <w:abstractNumId w:val="6"/>
  </w:num>
  <w:num w:numId="3" w16cid:durableId="912206815">
    <w:abstractNumId w:val="9"/>
  </w:num>
  <w:num w:numId="4" w16cid:durableId="1919241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33"/>
  </w:num>
  <w:num w:numId="6" w16cid:durableId="1164782895">
    <w:abstractNumId w:val="7"/>
  </w:num>
  <w:num w:numId="7" w16cid:durableId="1764568987">
    <w:abstractNumId w:val="13"/>
  </w:num>
  <w:num w:numId="8" w16cid:durableId="1605840971">
    <w:abstractNumId w:val="15"/>
  </w:num>
  <w:num w:numId="9" w16cid:durableId="969629549">
    <w:abstractNumId w:val="29"/>
  </w:num>
  <w:num w:numId="10" w16cid:durableId="1576276737">
    <w:abstractNumId w:val="4"/>
  </w:num>
  <w:num w:numId="11" w16cid:durableId="409036424">
    <w:abstractNumId w:val="38"/>
  </w:num>
  <w:num w:numId="12" w16cid:durableId="1526747669">
    <w:abstractNumId w:val="5"/>
  </w:num>
  <w:num w:numId="13" w16cid:durableId="1746950255">
    <w:abstractNumId w:val="17"/>
  </w:num>
  <w:num w:numId="14" w16cid:durableId="329715522">
    <w:abstractNumId w:val="20"/>
  </w:num>
  <w:num w:numId="15" w16cid:durableId="1837842867">
    <w:abstractNumId w:val="18"/>
  </w:num>
  <w:num w:numId="16" w16cid:durableId="1970238000">
    <w:abstractNumId w:val="32"/>
  </w:num>
  <w:num w:numId="17" w16cid:durableId="485172914">
    <w:abstractNumId w:val="24"/>
  </w:num>
  <w:num w:numId="18" w16cid:durableId="338780148">
    <w:abstractNumId w:val="10"/>
  </w:num>
  <w:num w:numId="19" w16cid:durableId="1977641737">
    <w:abstractNumId w:val="4"/>
  </w:num>
  <w:num w:numId="20" w16cid:durableId="1099830501">
    <w:abstractNumId w:val="3"/>
  </w:num>
  <w:num w:numId="21" w16cid:durableId="1796680411">
    <w:abstractNumId w:val="26"/>
  </w:num>
  <w:num w:numId="22" w16cid:durableId="1157845039">
    <w:abstractNumId w:val="25"/>
  </w:num>
  <w:num w:numId="23" w16cid:durableId="1318220489">
    <w:abstractNumId w:val="22"/>
  </w:num>
  <w:num w:numId="24" w16cid:durableId="791442922">
    <w:abstractNumId w:val="28"/>
  </w:num>
  <w:num w:numId="25" w16cid:durableId="1530946489">
    <w:abstractNumId w:val="0"/>
  </w:num>
  <w:num w:numId="26" w16cid:durableId="1890258346">
    <w:abstractNumId w:val="2"/>
  </w:num>
  <w:num w:numId="27" w16cid:durableId="1649245800">
    <w:abstractNumId w:val="30"/>
  </w:num>
  <w:num w:numId="28" w16cid:durableId="611791289">
    <w:abstractNumId w:val="1"/>
  </w:num>
  <w:num w:numId="29" w16cid:durableId="1781562961">
    <w:abstractNumId w:val="37"/>
  </w:num>
  <w:num w:numId="30" w16cid:durableId="270279854">
    <w:abstractNumId w:val="27"/>
  </w:num>
  <w:num w:numId="31" w16cid:durableId="1770471421">
    <w:abstractNumId w:val="12"/>
  </w:num>
  <w:num w:numId="32" w16cid:durableId="1010982881">
    <w:abstractNumId w:val="36"/>
  </w:num>
  <w:num w:numId="33" w16cid:durableId="1406343733">
    <w:abstractNumId w:val="35"/>
  </w:num>
  <w:num w:numId="34" w16cid:durableId="1826360189">
    <w:abstractNumId w:val="14"/>
  </w:num>
  <w:num w:numId="35" w16cid:durableId="594823733">
    <w:abstractNumId w:val="21"/>
  </w:num>
  <w:num w:numId="36" w16cid:durableId="179323471">
    <w:abstractNumId w:val="19"/>
  </w:num>
  <w:num w:numId="37" w16cid:durableId="1776514804">
    <w:abstractNumId w:val="16"/>
  </w:num>
  <w:num w:numId="38" w16cid:durableId="653799481">
    <w:abstractNumId w:val="31"/>
  </w:num>
  <w:num w:numId="39" w16cid:durableId="757291277">
    <w:abstractNumId w:val="34"/>
  </w:num>
  <w:num w:numId="40" w16cid:durableId="481896344">
    <w:abstractNumId w:val="11"/>
  </w:num>
  <w:num w:numId="41" w16cid:durableId="654212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38E4"/>
    <w:rsid w:val="00003F3A"/>
    <w:rsid w:val="00006AE8"/>
    <w:rsid w:val="00006BD6"/>
    <w:rsid w:val="00026DCC"/>
    <w:rsid w:val="00031E9F"/>
    <w:rsid w:val="00033ED5"/>
    <w:rsid w:val="0004009C"/>
    <w:rsid w:val="0004482C"/>
    <w:rsid w:val="0005011B"/>
    <w:rsid w:val="00052E44"/>
    <w:rsid w:val="0006066F"/>
    <w:rsid w:val="000702E4"/>
    <w:rsid w:val="00070A13"/>
    <w:rsid w:val="00070A89"/>
    <w:rsid w:val="00077F0C"/>
    <w:rsid w:val="0008118E"/>
    <w:rsid w:val="00084C5D"/>
    <w:rsid w:val="00084DF3"/>
    <w:rsid w:val="00086074"/>
    <w:rsid w:val="0009112E"/>
    <w:rsid w:val="00097B17"/>
    <w:rsid w:val="000A4576"/>
    <w:rsid w:val="000A688D"/>
    <w:rsid w:val="000A6B96"/>
    <w:rsid w:val="000B21F0"/>
    <w:rsid w:val="000B32C4"/>
    <w:rsid w:val="000B65F8"/>
    <w:rsid w:val="000B7075"/>
    <w:rsid w:val="000D02C0"/>
    <w:rsid w:val="000D2FED"/>
    <w:rsid w:val="000E3BBE"/>
    <w:rsid w:val="000E649C"/>
    <w:rsid w:val="000F077F"/>
    <w:rsid w:val="000F3ED2"/>
    <w:rsid w:val="000F5E24"/>
    <w:rsid w:val="001030B2"/>
    <w:rsid w:val="00116B73"/>
    <w:rsid w:val="001204EA"/>
    <w:rsid w:val="00125F02"/>
    <w:rsid w:val="001275D1"/>
    <w:rsid w:val="00134135"/>
    <w:rsid w:val="001377DD"/>
    <w:rsid w:val="0014120D"/>
    <w:rsid w:val="00143D0B"/>
    <w:rsid w:val="00144B55"/>
    <w:rsid w:val="00155C8E"/>
    <w:rsid w:val="00157EBF"/>
    <w:rsid w:val="00161605"/>
    <w:rsid w:val="00170D7F"/>
    <w:rsid w:val="00172790"/>
    <w:rsid w:val="00173D8E"/>
    <w:rsid w:val="00175C1F"/>
    <w:rsid w:val="00180F5C"/>
    <w:rsid w:val="00186CB7"/>
    <w:rsid w:val="00190358"/>
    <w:rsid w:val="001933DE"/>
    <w:rsid w:val="00194CB4"/>
    <w:rsid w:val="00197FA2"/>
    <w:rsid w:val="001A1A5B"/>
    <w:rsid w:val="001A7E82"/>
    <w:rsid w:val="001B010E"/>
    <w:rsid w:val="001B0859"/>
    <w:rsid w:val="001B354B"/>
    <w:rsid w:val="001B440C"/>
    <w:rsid w:val="001B7475"/>
    <w:rsid w:val="001D026F"/>
    <w:rsid w:val="001D6485"/>
    <w:rsid w:val="001E2320"/>
    <w:rsid w:val="001E610A"/>
    <w:rsid w:val="001E721F"/>
    <w:rsid w:val="00205C55"/>
    <w:rsid w:val="00206C0B"/>
    <w:rsid w:val="00221A2A"/>
    <w:rsid w:val="002241C0"/>
    <w:rsid w:val="002270E2"/>
    <w:rsid w:val="00230BB7"/>
    <w:rsid w:val="00237DE2"/>
    <w:rsid w:val="0024697E"/>
    <w:rsid w:val="00255E53"/>
    <w:rsid w:val="00267DD2"/>
    <w:rsid w:val="00275115"/>
    <w:rsid w:val="00280311"/>
    <w:rsid w:val="00281BE7"/>
    <w:rsid w:val="0028225A"/>
    <w:rsid w:val="00284294"/>
    <w:rsid w:val="00286651"/>
    <w:rsid w:val="00287196"/>
    <w:rsid w:val="0029287B"/>
    <w:rsid w:val="0029403F"/>
    <w:rsid w:val="002C0340"/>
    <w:rsid w:val="002C19DE"/>
    <w:rsid w:val="002D55B8"/>
    <w:rsid w:val="002D6ED9"/>
    <w:rsid w:val="002E3000"/>
    <w:rsid w:val="002E46AC"/>
    <w:rsid w:val="002F0FB2"/>
    <w:rsid w:val="002F43BB"/>
    <w:rsid w:val="002F61E3"/>
    <w:rsid w:val="003051DF"/>
    <w:rsid w:val="0031104C"/>
    <w:rsid w:val="003130CA"/>
    <w:rsid w:val="00326537"/>
    <w:rsid w:val="003357D9"/>
    <w:rsid w:val="00337B00"/>
    <w:rsid w:val="00355899"/>
    <w:rsid w:val="00356E75"/>
    <w:rsid w:val="0035733E"/>
    <w:rsid w:val="00372855"/>
    <w:rsid w:val="00374DBE"/>
    <w:rsid w:val="0037704D"/>
    <w:rsid w:val="0037714E"/>
    <w:rsid w:val="003841AB"/>
    <w:rsid w:val="003935E8"/>
    <w:rsid w:val="00395A36"/>
    <w:rsid w:val="003975D4"/>
    <w:rsid w:val="003A0F16"/>
    <w:rsid w:val="003A5B7D"/>
    <w:rsid w:val="003A6433"/>
    <w:rsid w:val="003B46BF"/>
    <w:rsid w:val="003C4FDD"/>
    <w:rsid w:val="003C6D56"/>
    <w:rsid w:val="003D2AE2"/>
    <w:rsid w:val="003D71C6"/>
    <w:rsid w:val="003F072E"/>
    <w:rsid w:val="00404F9B"/>
    <w:rsid w:val="00411C64"/>
    <w:rsid w:val="004156E6"/>
    <w:rsid w:val="00415707"/>
    <w:rsid w:val="00416F70"/>
    <w:rsid w:val="0041703B"/>
    <w:rsid w:val="00425E4A"/>
    <w:rsid w:val="004403B4"/>
    <w:rsid w:val="00446466"/>
    <w:rsid w:val="00447CE9"/>
    <w:rsid w:val="00453B55"/>
    <w:rsid w:val="0045419D"/>
    <w:rsid w:val="00457779"/>
    <w:rsid w:val="00466FE8"/>
    <w:rsid w:val="0047073D"/>
    <w:rsid w:val="004744CD"/>
    <w:rsid w:val="0048011A"/>
    <w:rsid w:val="004850DC"/>
    <w:rsid w:val="00490715"/>
    <w:rsid w:val="00491267"/>
    <w:rsid w:val="00491300"/>
    <w:rsid w:val="00492285"/>
    <w:rsid w:val="004A2F20"/>
    <w:rsid w:val="004A2F45"/>
    <w:rsid w:val="004A5135"/>
    <w:rsid w:val="004A6973"/>
    <w:rsid w:val="004B2F38"/>
    <w:rsid w:val="004C35E7"/>
    <w:rsid w:val="004D093B"/>
    <w:rsid w:val="004D2191"/>
    <w:rsid w:val="004D3DF8"/>
    <w:rsid w:val="004D7DDC"/>
    <w:rsid w:val="004E219F"/>
    <w:rsid w:val="004E4723"/>
    <w:rsid w:val="004F3FEF"/>
    <w:rsid w:val="004F78B7"/>
    <w:rsid w:val="005058F2"/>
    <w:rsid w:val="00512C38"/>
    <w:rsid w:val="00512C7C"/>
    <w:rsid w:val="005130EF"/>
    <w:rsid w:val="005143E4"/>
    <w:rsid w:val="00533C14"/>
    <w:rsid w:val="0055182D"/>
    <w:rsid w:val="0056748F"/>
    <w:rsid w:val="00574D83"/>
    <w:rsid w:val="00585FA9"/>
    <w:rsid w:val="005871C9"/>
    <w:rsid w:val="005B06B3"/>
    <w:rsid w:val="005B41EF"/>
    <w:rsid w:val="005B598A"/>
    <w:rsid w:val="005C1959"/>
    <w:rsid w:val="005C27EF"/>
    <w:rsid w:val="005C499F"/>
    <w:rsid w:val="005C608D"/>
    <w:rsid w:val="005C6551"/>
    <w:rsid w:val="005D269A"/>
    <w:rsid w:val="005D3140"/>
    <w:rsid w:val="005D5D31"/>
    <w:rsid w:val="005E0E08"/>
    <w:rsid w:val="005E4CF5"/>
    <w:rsid w:val="005E7898"/>
    <w:rsid w:val="005F70FE"/>
    <w:rsid w:val="006008CD"/>
    <w:rsid w:val="00611BBA"/>
    <w:rsid w:val="00626EE9"/>
    <w:rsid w:val="00633806"/>
    <w:rsid w:val="00633883"/>
    <w:rsid w:val="00634434"/>
    <w:rsid w:val="0064109C"/>
    <w:rsid w:val="0064487F"/>
    <w:rsid w:val="006648F3"/>
    <w:rsid w:val="00670C14"/>
    <w:rsid w:val="0068046C"/>
    <w:rsid w:val="00680B0E"/>
    <w:rsid w:val="00685293"/>
    <w:rsid w:val="00687B5F"/>
    <w:rsid w:val="00687E5A"/>
    <w:rsid w:val="006905E7"/>
    <w:rsid w:val="00694E14"/>
    <w:rsid w:val="006967BC"/>
    <w:rsid w:val="006A03EB"/>
    <w:rsid w:val="006A0DB9"/>
    <w:rsid w:val="006A533F"/>
    <w:rsid w:val="006A7DCE"/>
    <w:rsid w:val="006B1374"/>
    <w:rsid w:val="006C1B62"/>
    <w:rsid w:val="006C452F"/>
    <w:rsid w:val="006C4ED5"/>
    <w:rsid w:val="006D079B"/>
    <w:rsid w:val="006D183E"/>
    <w:rsid w:val="006D336E"/>
    <w:rsid w:val="006D7964"/>
    <w:rsid w:val="006F33D9"/>
    <w:rsid w:val="006F498A"/>
    <w:rsid w:val="006F5BEB"/>
    <w:rsid w:val="007135A8"/>
    <w:rsid w:val="007156F6"/>
    <w:rsid w:val="00715B91"/>
    <w:rsid w:val="0071620E"/>
    <w:rsid w:val="007321D8"/>
    <w:rsid w:val="00733AF9"/>
    <w:rsid w:val="00734732"/>
    <w:rsid w:val="007374BE"/>
    <w:rsid w:val="00740ABA"/>
    <w:rsid w:val="0074295D"/>
    <w:rsid w:val="00755E27"/>
    <w:rsid w:val="00760E62"/>
    <w:rsid w:val="0078723A"/>
    <w:rsid w:val="00793222"/>
    <w:rsid w:val="00795A57"/>
    <w:rsid w:val="007A4FB5"/>
    <w:rsid w:val="007B043E"/>
    <w:rsid w:val="007B25FE"/>
    <w:rsid w:val="007C4332"/>
    <w:rsid w:val="007C4C95"/>
    <w:rsid w:val="007D0493"/>
    <w:rsid w:val="007D1551"/>
    <w:rsid w:val="007D273D"/>
    <w:rsid w:val="007D6A3A"/>
    <w:rsid w:val="007D6B6F"/>
    <w:rsid w:val="007D74C7"/>
    <w:rsid w:val="007D74E2"/>
    <w:rsid w:val="007F016E"/>
    <w:rsid w:val="008008F6"/>
    <w:rsid w:val="008017A7"/>
    <w:rsid w:val="00823875"/>
    <w:rsid w:val="00827817"/>
    <w:rsid w:val="00827986"/>
    <w:rsid w:val="008279BD"/>
    <w:rsid w:val="0084154E"/>
    <w:rsid w:val="00843352"/>
    <w:rsid w:val="00844624"/>
    <w:rsid w:val="008462C0"/>
    <w:rsid w:val="00861524"/>
    <w:rsid w:val="0087118E"/>
    <w:rsid w:val="00872947"/>
    <w:rsid w:val="00874D78"/>
    <w:rsid w:val="008771C8"/>
    <w:rsid w:val="00882DCA"/>
    <w:rsid w:val="0088727A"/>
    <w:rsid w:val="00896D35"/>
    <w:rsid w:val="008B00C4"/>
    <w:rsid w:val="008B43B0"/>
    <w:rsid w:val="008B5033"/>
    <w:rsid w:val="008C0493"/>
    <w:rsid w:val="008C0E92"/>
    <w:rsid w:val="008C43D9"/>
    <w:rsid w:val="008C4EA3"/>
    <w:rsid w:val="008D3759"/>
    <w:rsid w:val="008D45C3"/>
    <w:rsid w:val="008E18D7"/>
    <w:rsid w:val="008E33C7"/>
    <w:rsid w:val="008F1D35"/>
    <w:rsid w:val="009002AC"/>
    <w:rsid w:val="009066C7"/>
    <w:rsid w:val="009104F7"/>
    <w:rsid w:val="00912B91"/>
    <w:rsid w:val="0092099E"/>
    <w:rsid w:val="0092216D"/>
    <w:rsid w:val="00933339"/>
    <w:rsid w:val="00953B84"/>
    <w:rsid w:val="00954927"/>
    <w:rsid w:val="00973F6D"/>
    <w:rsid w:val="00982754"/>
    <w:rsid w:val="009943F4"/>
    <w:rsid w:val="00995FDD"/>
    <w:rsid w:val="00996389"/>
    <w:rsid w:val="00997231"/>
    <w:rsid w:val="009A2234"/>
    <w:rsid w:val="009A6D46"/>
    <w:rsid w:val="009B2F99"/>
    <w:rsid w:val="009B7A4D"/>
    <w:rsid w:val="009C573D"/>
    <w:rsid w:val="009D10B8"/>
    <w:rsid w:val="009D185F"/>
    <w:rsid w:val="009D43CC"/>
    <w:rsid w:val="009E2331"/>
    <w:rsid w:val="009F413F"/>
    <w:rsid w:val="009F550A"/>
    <w:rsid w:val="009F7497"/>
    <w:rsid w:val="00A01F60"/>
    <w:rsid w:val="00A118F0"/>
    <w:rsid w:val="00A159DA"/>
    <w:rsid w:val="00A22494"/>
    <w:rsid w:val="00A22A7B"/>
    <w:rsid w:val="00A242D8"/>
    <w:rsid w:val="00A248A1"/>
    <w:rsid w:val="00A434EB"/>
    <w:rsid w:val="00A5351C"/>
    <w:rsid w:val="00A54C06"/>
    <w:rsid w:val="00A633F0"/>
    <w:rsid w:val="00A6481E"/>
    <w:rsid w:val="00A66140"/>
    <w:rsid w:val="00A66626"/>
    <w:rsid w:val="00A7064A"/>
    <w:rsid w:val="00A7345A"/>
    <w:rsid w:val="00A75027"/>
    <w:rsid w:val="00A76AA7"/>
    <w:rsid w:val="00A84589"/>
    <w:rsid w:val="00A90397"/>
    <w:rsid w:val="00A90CB0"/>
    <w:rsid w:val="00A9374D"/>
    <w:rsid w:val="00A94461"/>
    <w:rsid w:val="00A960EA"/>
    <w:rsid w:val="00AA4608"/>
    <w:rsid w:val="00AA6179"/>
    <w:rsid w:val="00AB1235"/>
    <w:rsid w:val="00AB2D5E"/>
    <w:rsid w:val="00AC0511"/>
    <w:rsid w:val="00AD08C5"/>
    <w:rsid w:val="00AE069A"/>
    <w:rsid w:val="00AE5EF3"/>
    <w:rsid w:val="00AF1EBC"/>
    <w:rsid w:val="00AF5762"/>
    <w:rsid w:val="00AF7CEB"/>
    <w:rsid w:val="00B0050A"/>
    <w:rsid w:val="00B1467F"/>
    <w:rsid w:val="00B31928"/>
    <w:rsid w:val="00B326A9"/>
    <w:rsid w:val="00B447A5"/>
    <w:rsid w:val="00B45ED3"/>
    <w:rsid w:val="00B5393C"/>
    <w:rsid w:val="00B543E9"/>
    <w:rsid w:val="00B57127"/>
    <w:rsid w:val="00B71266"/>
    <w:rsid w:val="00B76B2B"/>
    <w:rsid w:val="00B8251D"/>
    <w:rsid w:val="00B94288"/>
    <w:rsid w:val="00B9538B"/>
    <w:rsid w:val="00BA15A9"/>
    <w:rsid w:val="00BB30C0"/>
    <w:rsid w:val="00BB4FF5"/>
    <w:rsid w:val="00BC376D"/>
    <w:rsid w:val="00BD18E8"/>
    <w:rsid w:val="00BD1D9A"/>
    <w:rsid w:val="00BD20BC"/>
    <w:rsid w:val="00C15673"/>
    <w:rsid w:val="00C15E6F"/>
    <w:rsid w:val="00C210A9"/>
    <w:rsid w:val="00C22821"/>
    <w:rsid w:val="00C243BF"/>
    <w:rsid w:val="00C25F63"/>
    <w:rsid w:val="00C276AE"/>
    <w:rsid w:val="00C4237C"/>
    <w:rsid w:val="00C552AA"/>
    <w:rsid w:val="00C55C85"/>
    <w:rsid w:val="00C60868"/>
    <w:rsid w:val="00C6097A"/>
    <w:rsid w:val="00C64DAA"/>
    <w:rsid w:val="00C65204"/>
    <w:rsid w:val="00C70530"/>
    <w:rsid w:val="00C77217"/>
    <w:rsid w:val="00C816A5"/>
    <w:rsid w:val="00C83BE1"/>
    <w:rsid w:val="00C964C8"/>
    <w:rsid w:val="00C97315"/>
    <w:rsid w:val="00CA1AD2"/>
    <w:rsid w:val="00CA2878"/>
    <w:rsid w:val="00CA3038"/>
    <w:rsid w:val="00CA7D06"/>
    <w:rsid w:val="00CB2BB1"/>
    <w:rsid w:val="00CB2E2B"/>
    <w:rsid w:val="00CB3D33"/>
    <w:rsid w:val="00CC0463"/>
    <w:rsid w:val="00CC13E2"/>
    <w:rsid w:val="00CC7F58"/>
    <w:rsid w:val="00CD47C3"/>
    <w:rsid w:val="00CE099F"/>
    <w:rsid w:val="00CE73E2"/>
    <w:rsid w:val="00CF402D"/>
    <w:rsid w:val="00CF5E4F"/>
    <w:rsid w:val="00CF7674"/>
    <w:rsid w:val="00D06043"/>
    <w:rsid w:val="00D17D3E"/>
    <w:rsid w:val="00D25F43"/>
    <w:rsid w:val="00D25FC6"/>
    <w:rsid w:val="00D44A5D"/>
    <w:rsid w:val="00D510E8"/>
    <w:rsid w:val="00D554A2"/>
    <w:rsid w:val="00D5628B"/>
    <w:rsid w:val="00D63F4F"/>
    <w:rsid w:val="00D6426A"/>
    <w:rsid w:val="00D66456"/>
    <w:rsid w:val="00D76F69"/>
    <w:rsid w:val="00D77CD0"/>
    <w:rsid w:val="00D9306F"/>
    <w:rsid w:val="00D96647"/>
    <w:rsid w:val="00DB0B88"/>
    <w:rsid w:val="00DC3784"/>
    <w:rsid w:val="00DD18C6"/>
    <w:rsid w:val="00DD6D00"/>
    <w:rsid w:val="00DE00F0"/>
    <w:rsid w:val="00DE1894"/>
    <w:rsid w:val="00DE5079"/>
    <w:rsid w:val="00DF3CBA"/>
    <w:rsid w:val="00DF6B3A"/>
    <w:rsid w:val="00E10271"/>
    <w:rsid w:val="00E34DF7"/>
    <w:rsid w:val="00E35DF6"/>
    <w:rsid w:val="00E50D44"/>
    <w:rsid w:val="00E52765"/>
    <w:rsid w:val="00E55290"/>
    <w:rsid w:val="00E64133"/>
    <w:rsid w:val="00E66456"/>
    <w:rsid w:val="00E67C4E"/>
    <w:rsid w:val="00E738D5"/>
    <w:rsid w:val="00E8288D"/>
    <w:rsid w:val="00E8348C"/>
    <w:rsid w:val="00E900DE"/>
    <w:rsid w:val="00E90D87"/>
    <w:rsid w:val="00E91E64"/>
    <w:rsid w:val="00EA326D"/>
    <w:rsid w:val="00EB1B3E"/>
    <w:rsid w:val="00EB5A68"/>
    <w:rsid w:val="00EB77EA"/>
    <w:rsid w:val="00EC0C4F"/>
    <w:rsid w:val="00EC2B8F"/>
    <w:rsid w:val="00EC74BA"/>
    <w:rsid w:val="00ED15F0"/>
    <w:rsid w:val="00ED4931"/>
    <w:rsid w:val="00ED51E7"/>
    <w:rsid w:val="00EE4384"/>
    <w:rsid w:val="00EE4BD7"/>
    <w:rsid w:val="00EF3551"/>
    <w:rsid w:val="00F017D6"/>
    <w:rsid w:val="00F0779F"/>
    <w:rsid w:val="00F07A1E"/>
    <w:rsid w:val="00F12CF6"/>
    <w:rsid w:val="00F147FC"/>
    <w:rsid w:val="00F15BD4"/>
    <w:rsid w:val="00F25A2F"/>
    <w:rsid w:val="00F31A79"/>
    <w:rsid w:val="00F42214"/>
    <w:rsid w:val="00F5061B"/>
    <w:rsid w:val="00F61A7D"/>
    <w:rsid w:val="00F63AA8"/>
    <w:rsid w:val="00F67CA2"/>
    <w:rsid w:val="00F727B3"/>
    <w:rsid w:val="00F763E5"/>
    <w:rsid w:val="00F859A8"/>
    <w:rsid w:val="00F9203E"/>
    <w:rsid w:val="00F957B7"/>
    <w:rsid w:val="00FA2B57"/>
    <w:rsid w:val="00FA53DF"/>
    <w:rsid w:val="00FB2364"/>
    <w:rsid w:val="00FB30AC"/>
    <w:rsid w:val="00FB3B6F"/>
    <w:rsid w:val="00FC712D"/>
    <w:rsid w:val="00FD39E3"/>
    <w:rsid w:val="00FD48BC"/>
    <w:rsid w:val="00FE1242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34"/>
    <w:qFormat/>
    <w:rsid w:val="001933DE"/>
  </w:style>
  <w:style w:type="paragraph" w:styleId="Poprawka">
    <w:name w:val="Revision"/>
    <w:hidden/>
    <w:uiPriority w:val="99"/>
    <w:semiHidden/>
    <w:rsid w:val="002F43BB"/>
    <w:pPr>
      <w:autoSpaceDN/>
      <w:spacing w:after="0" w:line="240" w:lineRule="auto"/>
      <w:textAlignment w:val="auto"/>
    </w:pPr>
  </w:style>
  <w:style w:type="character" w:styleId="Pogrubienie">
    <w:name w:val="Strong"/>
    <w:basedOn w:val="Domylnaczcionkaakapitu"/>
    <w:uiPriority w:val="22"/>
    <w:qFormat/>
    <w:rsid w:val="00FA2B57"/>
    <w:rPr>
      <w:b/>
      <w:bCs/>
    </w:rPr>
  </w:style>
  <w:style w:type="character" w:customStyle="1" w:styleId="ui-provider">
    <w:name w:val="ui-provider"/>
    <w:basedOn w:val="Domylnaczcionkaakapitu"/>
    <w:rsid w:val="006F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stopad%202023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stopad%202023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stopad%202023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stopad%202023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ONKO/NIEONKO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3291030153488859E-2"/>
          <c:y val="0.11894515781244411"/>
          <c:w val="0.9172645506005298"/>
          <c:h val="0.729973889538953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2023'!$B$3:$G$3</c:f>
              <c:numCache>
                <c:formatCode>General</c:formatCode>
                <c:ptCount val="6"/>
                <c:pt idx="0">
                  <c:v>21</c:v>
                </c:pt>
                <c:pt idx="1">
                  <c:v>10</c:v>
                </c:pt>
                <c:pt idx="2">
                  <c:v>8</c:v>
                </c:pt>
                <c:pt idx="3">
                  <c:v>7</c:v>
                </c:pt>
                <c:pt idx="4">
                  <c:v>14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F3-4B53-AE27-44524C5DBFA2}"/>
            </c:ext>
          </c:extLst>
        </c:ser>
        <c:ser>
          <c:idx val="1"/>
          <c:order val="1"/>
          <c:tx>
            <c:strRef>
              <c:f>'miesiące 2023'!$A$4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2023'!$B$4:$G$4</c:f>
              <c:numCache>
                <c:formatCode>General</c:formatCode>
                <c:ptCount val="6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32</c:v>
                </c:pt>
                <c:pt idx="4">
                  <c:v>8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F3-4B53-AE27-44524C5DBF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006461172659766"/>
          <c:y val="0.92427455328629027"/>
          <c:w val="0.6998705468162213"/>
          <c:h val="6.70730564909107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choroby rzadkie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6171214485286109E-2"/>
          <c:y val="0.11815866978635811"/>
          <c:w val="0.91438436626873265"/>
          <c:h val="0.72804552755193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2023'!$B$18:$G$18</c:f>
              <c:numCache>
                <c:formatCode>General</c:formatCode>
                <c:ptCount val="6"/>
                <c:pt idx="0">
                  <c:v>17</c:v>
                </c:pt>
                <c:pt idx="1">
                  <c:v>3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C6-4209-99C0-627261C43A33}"/>
            </c:ext>
          </c:extLst>
        </c:ser>
        <c:ser>
          <c:idx val="1"/>
          <c:order val="1"/>
          <c:tx>
            <c:strRef>
              <c:f>'miesiące 2023'!$A$19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2023'!$B$19:$G$19</c:f>
              <c:numCache>
                <c:formatCode>General</c:formatCode>
                <c:ptCount val="6"/>
                <c:pt idx="0">
                  <c:v>6</c:v>
                </c:pt>
                <c:pt idx="1">
                  <c:v>16</c:v>
                </c:pt>
                <c:pt idx="2">
                  <c:v>8</c:v>
                </c:pt>
                <c:pt idx="3">
                  <c:v>35</c:v>
                </c:pt>
                <c:pt idx="4">
                  <c:v>15</c:v>
                </c:pt>
                <c:pt idx="5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C6-4209-99C0-627261C43A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147601802939189"/>
          <c:y val="0.93374385894070933"/>
          <c:w val="0.39704774244991525"/>
          <c:h val="6.6256141059290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2023 r.</a:t>
            </a:r>
          </a:p>
        </c:rich>
      </c:tx>
      <c:layout>
        <c:manualLayout>
          <c:xMode val="edge"/>
          <c:yMode val="edge"/>
          <c:x val="0.20131068362217433"/>
          <c:y val="1.76978379374818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582997522272922"/>
          <c:y val="8.9144392068048334E-2"/>
          <c:w val="0.84009663854336591"/>
          <c:h val="0.83278715578612872"/>
        </c:manualLayout>
      </c:layout>
      <c:barChart>
        <c:barDir val="bar"/>
        <c:grouping val="clustered"/>
        <c:varyColors val="0"/>
        <c:ser>
          <c:idx val="10"/>
          <c:order val="0"/>
          <c:tx>
            <c:strRef>
              <c:f>'miesiące 2023'!$B$2</c:f>
              <c:strCache>
                <c:ptCount val="1"/>
                <c:pt idx="0">
                  <c:v>2023
(stan na listopad)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('miesiące 2023'!$A$3:$A$8,'miesiące 2023'!$A$10:$A$12)</c:f>
              <c:strCache>
                <c:ptCount val="9"/>
                <c:pt idx="0">
                  <c:v>Inne</c:v>
                </c:pt>
                <c:pt idx="1">
                  <c:v>Nowotwory układu 
urologicznego</c:v>
                </c:pt>
                <c:pt idx="2">
                  <c:v>Nowotwory skóry</c:v>
                </c:pt>
                <c:pt idx="3">
                  <c:v>Nowotwory układu 
pokarmowego</c:v>
                </c:pt>
                <c:pt idx="4">
                  <c:v>Nowotwory układu 
oddechowego</c:v>
                </c:pt>
                <c:pt idx="5">
                  <c:v>Nowotwory nerki</c:v>
                </c:pt>
                <c:pt idx="6">
                  <c:v>Nowotwory 
ginekologiczne</c:v>
                </c:pt>
                <c:pt idx="7">
                  <c:v>Nowotwory układu 
endokrynnego</c:v>
                </c:pt>
                <c:pt idx="8">
                  <c:v>Hematoonkologia</c:v>
                </c:pt>
              </c:strCache>
              <c:extLst/>
            </c:strRef>
          </c:cat>
          <c:val>
            <c:numRef>
              <c:f>('miesiące 2023'!$B$3:$B$8,'miesiące 2023'!$B$10:$B$12)</c:f>
              <c:numCache>
                <c:formatCode>General</c:formatCode>
                <c:ptCount val="9"/>
                <c:pt idx="0">
                  <c:v>5</c:v>
                </c:pt>
                <c:pt idx="1">
                  <c:v>8</c:v>
                </c:pt>
                <c:pt idx="2">
                  <c:v>1</c:v>
                </c:pt>
                <c:pt idx="3">
                  <c:v>9</c:v>
                </c:pt>
                <c:pt idx="4">
                  <c:v>11</c:v>
                </c:pt>
                <c:pt idx="5">
                  <c:v>1</c:v>
                </c:pt>
                <c:pt idx="6">
                  <c:v>11</c:v>
                </c:pt>
                <c:pt idx="7">
                  <c:v>1</c:v>
                </c:pt>
                <c:pt idx="8">
                  <c:v>28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64C-40FE-B457-6F513CEA7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</c:bar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2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latin typeface="Lato" panose="020F0502020204030203" pitchFamily="34" charset="-18"/>
              </a:rPr>
              <a:t>Cząsteczko-wskazania nieonkologiczne w 2023 r. </a:t>
            </a:r>
          </a:p>
        </c:rich>
      </c:tx>
      <c:layout>
        <c:manualLayout>
          <c:xMode val="edge"/>
          <c:yMode val="edge"/>
          <c:x val="0.27720079861812147"/>
          <c:y val="8.98876404494382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6153060995580679"/>
          <c:y val="0.1036439883216845"/>
          <c:w val="0.70650357807838127"/>
          <c:h val="0.811419976997257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'miesiące 2023'!$B$19</c:f>
              <c:strCache>
                <c:ptCount val="1"/>
                <c:pt idx="0">
                  <c:v>2023
(stan na listopad)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('miesiące 2023'!$A$20:$A$25,'miesiące 2023'!$A$27:$A$28,'miesiące 2023'!$A$30,'miesiące 2023'!$A$32:$A$38)</c:f>
              <c:strCache>
                <c:ptCount val="16"/>
                <c:pt idx="0">
                  <c:v>Urologia</c:v>
                </c:pt>
                <c:pt idx="1">
                  <c:v>Reumatologia</c:v>
                </c:pt>
                <c:pt idx="2">
                  <c:v>Pulmonologia</c:v>
                </c:pt>
                <c:pt idx="3">
                  <c:v>Psychiatria</c:v>
                </c:pt>
                <c:pt idx="4">
                  <c:v>Okulistyka</c:v>
                </c:pt>
                <c:pt idx="5">
                  <c:v>Neurologia</c:v>
                </c:pt>
                <c:pt idx="6">
                  <c:v>Kardiologia</c:v>
                </c:pt>
                <c:pt idx="7">
                  <c:v>Immunologia</c:v>
                </c:pt>
                <c:pt idx="8">
                  <c:v>Hematologia</c:v>
                </c:pt>
                <c:pt idx="9">
                  <c:v>Gastroenterologia</c:v>
                </c:pt>
                <c:pt idx="10">
                  <c:v>Endokrynologia</c:v>
                </c:pt>
                <c:pt idx="11">
                  <c:v>Diabetologia</c:v>
                </c:pt>
                <c:pt idx="12">
                  <c:v>Dermatologia</c:v>
                </c:pt>
                <c:pt idx="13">
                  <c:v>Choroby metaboliczne</c:v>
                </c:pt>
                <c:pt idx="14">
                  <c:v>Angiologia</c:v>
                </c:pt>
                <c:pt idx="15">
                  <c:v>Alergologia</c:v>
                </c:pt>
              </c:strCache>
              <c:extLst/>
            </c:strRef>
          </c:cat>
          <c:val>
            <c:numRef>
              <c:f>('miesiące 2023'!$B$20:$B$25,'miesiące 2023'!$B$27:$B$28,'miesiące 2023'!$B$30,'miesiące 2023'!$B$32:$B$38)</c:f>
              <c:numCache>
                <c:formatCode>General</c:formatCode>
                <c:ptCount val="16"/>
                <c:pt idx="0">
                  <c:v>1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20</c:v>
                </c:pt>
                <c:pt idx="7">
                  <c:v>3</c:v>
                </c:pt>
                <c:pt idx="8">
                  <c:v>7</c:v>
                </c:pt>
                <c:pt idx="9">
                  <c:v>4</c:v>
                </c:pt>
                <c:pt idx="10">
                  <c:v>1</c:v>
                </c:pt>
                <c:pt idx="11">
                  <c:v>6</c:v>
                </c:pt>
                <c:pt idx="12">
                  <c:v>6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F1F-4E12-B192-521BD7079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2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18</Pages>
  <Words>4100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Joanna Królak-Buzakowska</cp:lastModifiedBy>
  <cp:revision>8</cp:revision>
  <dcterms:created xsi:type="dcterms:W3CDTF">2023-10-16T08:33:00Z</dcterms:created>
  <dcterms:modified xsi:type="dcterms:W3CDTF">2023-10-16T11:54:00Z</dcterms:modified>
</cp:coreProperties>
</file>