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16348" w14:textId="77777777" w:rsidR="009478D5" w:rsidRPr="009478D5" w:rsidRDefault="009478D5" w:rsidP="009478D5">
      <w:pPr>
        <w:pStyle w:val="OZNRODZAKTUtznustawalubrozporzdzenieiorganwydajcy"/>
      </w:pPr>
      <w:r w:rsidRPr="009478D5">
        <w:t>Uzasadnienie</w:t>
      </w:r>
    </w:p>
    <w:p w14:paraId="7FAA8004" w14:textId="7EF5DD89" w:rsidR="009478D5" w:rsidRPr="009478D5" w:rsidRDefault="009478D5" w:rsidP="009478D5">
      <w:pPr>
        <w:pStyle w:val="NIEARTTEKSTtekstnieartykuowanynppodstprawnarozplubpreambua"/>
      </w:pPr>
      <w:r w:rsidRPr="009478D5">
        <w:t xml:space="preserve">Projektowane rozporządzenie </w:t>
      </w:r>
      <w:r>
        <w:t xml:space="preserve">stanowi </w:t>
      </w:r>
      <w:r w:rsidRPr="009478D5">
        <w:t>wykonanie delegacji ustawowej zawartej w art. 300</w:t>
      </w:r>
      <w:r w:rsidRPr="009478D5">
        <w:rPr>
          <w:rStyle w:val="IGindeksgrny"/>
        </w:rPr>
        <w:t>7</w:t>
      </w:r>
      <w:r w:rsidRPr="009478D5">
        <w:t xml:space="preserve"> § 5 </w:t>
      </w:r>
      <w:r>
        <w:t xml:space="preserve">ustawy z dnia 15 września 2000 r. – </w:t>
      </w:r>
      <w:r w:rsidRPr="009478D5">
        <w:t>Kodeks spółek handlowych</w:t>
      </w:r>
      <w:r w:rsidR="004D73AE">
        <w:t xml:space="preserve"> (Dz. U. z 2020 r. poz. 1526 i 2320)</w:t>
      </w:r>
      <w:r w:rsidRPr="009478D5">
        <w:t>, zgodnie z którą Minister Sprawiedliwości określi, w drodze rozporządzenia, wzorzec umowy prostej spółki akcyjnej, a także wzorce uchwał i innych czynności wykonywanych w systemie teleinformatycznym</w:t>
      </w:r>
      <w:r>
        <w:t xml:space="preserve">, </w:t>
      </w:r>
      <w:r w:rsidRPr="009478D5">
        <w:t>mając na względzie potrzebę ułatwienia zakładania spółek, zapewnienia sprawności postępowania przy ich zakładaniu oraz sprawności postępowania sądowego w przedmiocie ich rejestracji, wdrożenia ułatwień w ich funkcjonowaniu, a także konieczność zapewnienia bezpieczeństwa i pewności obrotu gospodarczego.</w:t>
      </w:r>
    </w:p>
    <w:p w14:paraId="4AFE28DE" w14:textId="3940D10C" w:rsidR="009478D5" w:rsidRPr="009478D5" w:rsidRDefault="009478D5" w:rsidP="009478D5">
      <w:pPr>
        <w:pStyle w:val="NIEARTTEKSTtekstnieartykuowanynppodstprawnarozplubpreambua"/>
      </w:pPr>
      <w:r w:rsidRPr="009478D5">
        <w:t>Projektowane rozporządzenie reguluje przede wszystkim zasady zawierania umowy prostej spółki akcyjnej przy wykorzystaniu wzorca udostępnianego w systemie teleinformatycznym. Wzorzec umowy (załącznik nr 1 do projektu rozporządzenia) zawiera podstawowe i wariantowe (naprzemienne) uregulowania poszczególnych paragrafów umowy oraz zasady wyboru poszczególnych dopuszczalnych wariantów konstruowanej przez użytkowników umowy. Przy określaniu wzorców oparto się na rozwiązaniach już sprawdzonych – przewidzianych obecnie dla spółek handlowych rejestrowanych w systemie teleinformatycznym. Uwzględniono przy tym praktykę funkcjonowania systemu teleinformatycznego i jego możliwości techniczne.</w:t>
      </w:r>
    </w:p>
    <w:p w14:paraId="1372999A" w14:textId="77777777" w:rsidR="009478D5" w:rsidRPr="009478D5" w:rsidRDefault="009478D5" w:rsidP="009478D5">
      <w:pPr>
        <w:pStyle w:val="NIEARTTEKSTtekstnieartykuowanynppodstprawnarozplubpreambua"/>
      </w:pPr>
      <w:r w:rsidRPr="009478D5">
        <w:t>Kształt wzorca umowy, przyjęty w projekcie rozporządzenia, jest na tyle elastyczny, że umożliwia założycielom samodzielne kreowanie umowy spółki, w szczególności przewidzenie akcji różnego rodzaju, co jest cechą charakterystyczną prostej spółki akcyjnej. Takie ukształtowanie wzorca powinno stanowić zachętę do zakładania prostych spółek akcyjnych w trybie S-24 i wpłynąć na atrakcyjność tej formy spółki w obrocie gospodarczym. W celu zapewnienia sprawności postępowania przy zakładaniu spółek oraz sprawności postępowania sądowego w przedmiocie ich rejestracji, a także mając na uwadze postulat, by wypełnienie wzorca było stosunkowo proste, przewidziano w tym zakresie ustandaryzowane wariantowe rozwiązania.</w:t>
      </w:r>
    </w:p>
    <w:p w14:paraId="2E7B7154" w14:textId="28729EF5" w:rsidR="009478D5" w:rsidRPr="009478D5" w:rsidRDefault="009478D5" w:rsidP="009478D5">
      <w:pPr>
        <w:pStyle w:val="NIEARTTEKSTtekstnieartykuowanynppodstprawnarozplubpreambua"/>
      </w:pPr>
      <w:r w:rsidRPr="009478D5">
        <w:t>W załącznikach 2-</w:t>
      </w:r>
      <w:r w:rsidR="00665B9A">
        <w:t>8</w:t>
      </w:r>
      <w:r w:rsidRPr="009478D5">
        <w:t xml:space="preserve"> do projektu rozporządzenia przewidziano wzorce uchwał i innych czynności, które można będzie podjąć z wykorzystaniem systemu teleinformatycznego. Obok wzorca umowy projektodawca przewiduje przede wszystkim te uchwały i czynności, które </w:t>
      </w:r>
      <w:r w:rsidRPr="009478D5">
        <w:lastRenderedPageBreak/>
        <w:t xml:space="preserve">mogą być potrzebne w procesie zakładania spółki, mając na względzie potrzebę ułatwienia zakładania spółek. </w:t>
      </w:r>
    </w:p>
    <w:p w14:paraId="50B768D3" w14:textId="4DD24F33" w:rsidR="009478D5" w:rsidRDefault="009478D5" w:rsidP="009478D5">
      <w:pPr>
        <w:pStyle w:val="NIEARTTEKSTtekstnieartykuowanynppodstprawnarozplubpreambua"/>
      </w:pPr>
      <w:r w:rsidRPr="009478D5">
        <w:t>Wszystkie postanowienia rozporządzenia i wzorców są zgodne z przepisami Kodeksu spółek handlowych.</w:t>
      </w:r>
    </w:p>
    <w:p w14:paraId="469BA1A2" w14:textId="5172879B" w:rsidR="00EB5CA0" w:rsidRPr="00EB5CA0" w:rsidRDefault="00EB5CA0" w:rsidP="00EB5CA0">
      <w:pPr>
        <w:pStyle w:val="ARTartustawynprozporzdzenia"/>
      </w:pPr>
      <w:r w:rsidRPr="00EB5CA0">
        <w:t xml:space="preserve">Proponowana data wejścia w życie niniejszego rozporządzenia, tj. </w:t>
      </w:r>
      <w:r w:rsidR="007A0659">
        <w:t xml:space="preserve">dnia </w:t>
      </w:r>
      <w:r w:rsidRPr="00EB5CA0">
        <w:t xml:space="preserve">1 </w:t>
      </w:r>
      <w:r>
        <w:t>lipca 2021</w:t>
      </w:r>
      <w:r w:rsidRPr="00EB5CA0">
        <w:t xml:space="preserve"> r., odpowiada terminowi wejścia w życie przepisów ustawy z dnia </w:t>
      </w:r>
      <w:r w:rsidR="00C40DF8">
        <w:t>19 lipca 2019 r.</w:t>
      </w:r>
      <w:r>
        <w:t xml:space="preserve"> </w:t>
      </w:r>
      <w:r w:rsidR="00665B9A" w:rsidRPr="00665B9A">
        <w:t>o zmianie ustawy Kodeks spółek handlowych oraz niektórych innych ustaw (Dz.U z 2019 poz. 1655, 2020 i 2217 oraz Dz.U. z 2020 poz. 228)</w:t>
      </w:r>
      <w:r w:rsidR="00665B9A">
        <w:t xml:space="preserve"> </w:t>
      </w:r>
      <w:r w:rsidRPr="00EB5CA0">
        <w:t>w zakresie, w jakim stanowi podstawę prawną do wprowadzenia wzorców, które mogą być wykonywane z wykorzystaniem systemu teleinformatycznego.</w:t>
      </w:r>
    </w:p>
    <w:p w14:paraId="6D35B0FC" w14:textId="3617C2BD" w:rsidR="00EB5CA0" w:rsidRPr="00EB5CA0" w:rsidRDefault="00EB5CA0" w:rsidP="00665B9A">
      <w:pPr>
        <w:pStyle w:val="ARTartustawynprozporzdzenia"/>
        <w:ind w:firstLine="0"/>
      </w:pPr>
      <w:r w:rsidRPr="00EB5CA0">
        <w:t xml:space="preserve">Zgodnie z art. 5 ustawy z dnia 7 lipca 2005 r. o działalności lobbingowej w procesie stanowienia prawa (Dz. U. z 2017 r. poz. 248) oraz § 52 ust. 1 uchwały nr 190 Rady Ministrów z dnia 29 października 2013 r. – Regulamin pracy Rady Ministrów (M.P. z 2016 r. poz. 1006, z </w:t>
      </w:r>
      <w:proofErr w:type="spellStart"/>
      <w:r w:rsidRPr="00EB5CA0">
        <w:t>późn</w:t>
      </w:r>
      <w:proofErr w:type="spellEnd"/>
      <w:r w:rsidRPr="00EB5CA0">
        <w:t>. zm.), projekt został udostępniony w Biuletynie Informacji Publicznej na stronie podmiotowej Rządowego Centrum Legislacji, w serwisie Rządowy Proces Legislacyjny, z chwilą przekazania projektu do uzgodnień z członkami Rady Ministrów.</w:t>
      </w:r>
      <w:r w:rsidR="007F231B" w:rsidRPr="007F231B">
        <w:t xml:space="preserve"> Do chwili obecnej żaden podmiot nie zgłosił zainteresowania pracami nad projektem rozporządzenia.</w:t>
      </w:r>
    </w:p>
    <w:p w14:paraId="3FD39EEB" w14:textId="77777777" w:rsidR="00EB5CA0" w:rsidRPr="00EB5CA0" w:rsidRDefault="00EB5CA0" w:rsidP="00EB5CA0">
      <w:pPr>
        <w:pStyle w:val="ARTartustawynprozporzdzenia"/>
      </w:pPr>
      <w:r w:rsidRPr="00EB5CA0">
        <w:t xml:space="preserve">Projekt rozporządzenia nie dotyczy funkcjonowania samorządu terytorialnego oraz nie podlega notyfikacji na zasadach przewidzianych w rozporządzeniu Rady Ministrów z dnia 23 grudnia 2002 r. w sprawie sposobu funkcjonowania krajowego systemu notyfikacji norm i aktów prawnych (Dz. U. poz. 2039 oraz z 2004 r. poz. 597). </w:t>
      </w:r>
    </w:p>
    <w:p w14:paraId="34848273" w14:textId="77777777" w:rsidR="00EB5CA0" w:rsidRPr="00EB5CA0" w:rsidRDefault="00EB5CA0" w:rsidP="00EB5CA0">
      <w:pPr>
        <w:pStyle w:val="ARTartustawynprozporzdzenia"/>
      </w:pPr>
      <w:r w:rsidRPr="00EB5CA0">
        <w:t xml:space="preserve">Projektowane rozporządzenie pozostaje bez negatywnego wpływu na działalność mikro przedsiębiorców oraz małych i średnich przedsiębiorców. </w:t>
      </w:r>
    </w:p>
    <w:p w14:paraId="3E2C1C08" w14:textId="4896915F" w:rsidR="00B74A5D" w:rsidRDefault="00EB5CA0" w:rsidP="009478D5">
      <w:pPr>
        <w:pStyle w:val="NIEARTTEKSTtekstnieartykuowanynppodstprawnarozplubpreambua"/>
      </w:pPr>
      <w:r w:rsidRPr="00EB5CA0">
        <w:t xml:space="preserve">Projekt rozporządzenia jest zgodny z prawem Unii Europejskiej i nie wymaga przedstawienia właściwym instytucjom i organom Unii Europejskiej </w:t>
      </w:r>
      <w:r w:rsidR="007221F6">
        <w:t xml:space="preserve">w tym </w:t>
      </w:r>
      <w:r w:rsidRPr="00EB5CA0">
        <w:t>Europejskiemu Bankowi Centralnemu celem uzyskania opinii, dokonania powiadomienia, konsultacji albo uzgodnienia, w przypadkach określonych w obowiązujących na terytorium Rzeczypospolitej Polskiej przepisach Unii Europejskiej.</w:t>
      </w:r>
      <w:r w:rsidR="00B74A5D">
        <w:t xml:space="preserve"> </w:t>
      </w:r>
    </w:p>
    <w:p w14:paraId="042CA589" w14:textId="129C9B47" w:rsidR="007F231B" w:rsidRPr="007F231B" w:rsidRDefault="00665B9A" w:rsidP="00665B9A">
      <w:pPr>
        <w:pStyle w:val="ARTartustawynprozporzdzenia"/>
      </w:pPr>
      <w:r w:rsidRPr="00665B9A">
        <w:t xml:space="preserve">Koordynator OSR nie dokonywał oceny OSR w trybie § 32 uchwały nr 190 Rady Ministrów z dnia 29 października 2013 r. – Regulamin pracy Rady Ministrów (M. P. z 2016 r.  poz. 1006, z </w:t>
      </w:r>
      <w:proofErr w:type="spellStart"/>
      <w:r w:rsidRPr="00665B9A">
        <w:t>późn</w:t>
      </w:r>
      <w:proofErr w:type="spellEnd"/>
      <w:r w:rsidRPr="00665B9A">
        <w:t>. zm.).</w:t>
      </w:r>
    </w:p>
    <w:sectPr w:rsidR="007F231B" w:rsidRPr="007F231B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54563" w14:textId="77777777" w:rsidR="00051DB0" w:rsidRDefault="00051DB0">
      <w:r>
        <w:separator/>
      </w:r>
    </w:p>
  </w:endnote>
  <w:endnote w:type="continuationSeparator" w:id="0">
    <w:p w14:paraId="44C25BA5" w14:textId="77777777" w:rsidR="00051DB0" w:rsidRDefault="0005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456E4" w14:textId="77777777" w:rsidR="00051DB0" w:rsidRDefault="00051DB0">
      <w:r>
        <w:separator/>
      </w:r>
    </w:p>
  </w:footnote>
  <w:footnote w:type="continuationSeparator" w:id="0">
    <w:p w14:paraId="2FC4932A" w14:textId="77777777" w:rsidR="00051DB0" w:rsidRDefault="00051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BD653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948F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87B3251"/>
    <w:multiLevelType w:val="hybridMultilevel"/>
    <w:tmpl w:val="F260F2A6"/>
    <w:lvl w:ilvl="0" w:tplc="E7A2E7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3E3FF7"/>
    <w:multiLevelType w:val="hybridMultilevel"/>
    <w:tmpl w:val="6FCA2CC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49C1C27"/>
    <w:multiLevelType w:val="hybridMultilevel"/>
    <w:tmpl w:val="A4D65252"/>
    <w:lvl w:ilvl="0" w:tplc="E7A2E7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5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4C00CF"/>
    <w:multiLevelType w:val="hybridMultilevel"/>
    <w:tmpl w:val="B192A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 w15:restartNumberingAfterBreak="0">
    <w:nsid w:val="759A5BB4"/>
    <w:multiLevelType w:val="hybridMultilevel"/>
    <w:tmpl w:val="8D56BF10"/>
    <w:lvl w:ilvl="0" w:tplc="813A15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40"/>
  </w:num>
  <w:num w:numId="6">
    <w:abstractNumId w:val="34"/>
  </w:num>
  <w:num w:numId="7">
    <w:abstractNumId w:val="40"/>
  </w:num>
  <w:num w:numId="8">
    <w:abstractNumId w:val="34"/>
  </w:num>
  <w:num w:numId="9">
    <w:abstractNumId w:val="40"/>
  </w:num>
  <w:num w:numId="10">
    <w:abstractNumId w:val="34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7"/>
  </w:num>
  <w:num w:numId="28">
    <w:abstractNumId w:val="27"/>
  </w:num>
  <w:num w:numId="29">
    <w:abstractNumId w:val="41"/>
  </w:num>
  <w:num w:numId="30">
    <w:abstractNumId w:val="35"/>
  </w:num>
  <w:num w:numId="31">
    <w:abstractNumId w:val="19"/>
  </w:num>
  <w:num w:numId="32">
    <w:abstractNumId w:val="11"/>
  </w:num>
  <w:num w:numId="33">
    <w:abstractNumId w:val="33"/>
  </w:num>
  <w:num w:numId="34">
    <w:abstractNumId w:val="21"/>
  </w:num>
  <w:num w:numId="35">
    <w:abstractNumId w:val="17"/>
  </w:num>
  <w:num w:numId="36">
    <w:abstractNumId w:val="23"/>
  </w:num>
  <w:num w:numId="37">
    <w:abstractNumId w:val="29"/>
  </w:num>
  <w:num w:numId="38">
    <w:abstractNumId w:val="25"/>
  </w:num>
  <w:num w:numId="39">
    <w:abstractNumId w:val="13"/>
  </w:num>
  <w:num w:numId="40">
    <w:abstractNumId w:val="32"/>
  </w:num>
  <w:num w:numId="41">
    <w:abstractNumId w:val="30"/>
  </w:num>
  <w:num w:numId="42">
    <w:abstractNumId w:val="22"/>
  </w:num>
  <w:num w:numId="43">
    <w:abstractNumId w:val="38"/>
  </w:num>
  <w:num w:numId="44">
    <w:abstractNumId w:val="12"/>
  </w:num>
  <w:num w:numId="45">
    <w:abstractNumId w:val="36"/>
  </w:num>
  <w:num w:numId="46">
    <w:abstractNumId w:val="26"/>
  </w:num>
  <w:num w:numId="47">
    <w:abstractNumId w:val="20"/>
  </w:num>
  <w:num w:numId="48">
    <w:abstractNumId w:val="31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6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1DB0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4A89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53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D62ED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075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8FF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1348"/>
    <w:rsid w:val="00334E3A"/>
    <w:rsid w:val="003361DD"/>
    <w:rsid w:val="00341A6A"/>
    <w:rsid w:val="00343966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3930"/>
    <w:rsid w:val="003A60DC"/>
    <w:rsid w:val="003A6A46"/>
    <w:rsid w:val="003A7A63"/>
    <w:rsid w:val="003B000C"/>
    <w:rsid w:val="003B0F1D"/>
    <w:rsid w:val="003B3330"/>
    <w:rsid w:val="003B4A57"/>
    <w:rsid w:val="003C023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1CBA"/>
    <w:rsid w:val="00482151"/>
    <w:rsid w:val="0048396C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3AE"/>
    <w:rsid w:val="004D7FD9"/>
    <w:rsid w:val="004E1324"/>
    <w:rsid w:val="004E19A5"/>
    <w:rsid w:val="004E37E5"/>
    <w:rsid w:val="004E3FDB"/>
    <w:rsid w:val="004F0AC5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0718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4D"/>
    <w:rsid w:val="005C348E"/>
    <w:rsid w:val="005C68E1"/>
    <w:rsid w:val="005C7520"/>
    <w:rsid w:val="005D3763"/>
    <w:rsid w:val="005D55E1"/>
    <w:rsid w:val="005E19F7"/>
    <w:rsid w:val="005E4F04"/>
    <w:rsid w:val="005E62C2"/>
    <w:rsid w:val="005E6C71"/>
    <w:rsid w:val="005F0963"/>
    <w:rsid w:val="005F157C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5B9A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3F0F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1F6"/>
    <w:rsid w:val="0072457F"/>
    <w:rsid w:val="00725406"/>
    <w:rsid w:val="0072621B"/>
    <w:rsid w:val="00730555"/>
    <w:rsid w:val="007312CC"/>
    <w:rsid w:val="00733504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0659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31B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1B85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478D5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3CE8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160F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5C2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4A5D"/>
    <w:rsid w:val="00B774CB"/>
    <w:rsid w:val="00B80402"/>
    <w:rsid w:val="00B80B9A"/>
    <w:rsid w:val="00B830B7"/>
    <w:rsid w:val="00B848EA"/>
    <w:rsid w:val="00B84B2B"/>
    <w:rsid w:val="00B90500"/>
    <w:rsid w:val="00B9176C"/>
    <w:rsid w:val="00B91C0B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546A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DF8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1F2A"/>
    <w:rsid w:val="00CE31A6"/>
    <w:rsid w:val="00CF05FF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654F"/>
    <w:rsid w:val="00D402FB"/>
    <w:rsid w:val="00D47D7A"/>
    <w:rsid w:val="00D50ABD"/>
    <w:rsid w:val="00D55290"/>
    <w:rsid w:val="00D57791"/>
    <w:rsid w:val="00D6046A"/>
    <w:rsid w:val="00D62870"/>
    <w:rsid w:val="00D63848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52D3"/>
    <w:rsid w:val="00D76EC9"/>
    <w:rsid w:val="00D80E7D"/>
    <w:rsid w:val="00D81397"/>
    <w:rsid w:val="00D848B9"/>
    <w:rsid w:val="00D90E69"/>
    <w:rsid w:val="00D91368"/>
    <w:rsid w:val="00D93106"/>
    <w:rsid w:val="00D933E9"/>
    <w:rsid w:val="00D93A90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0724F"/>
    <w:rsid w:val="00E11420"/>
    <w:rsid w:val="00E132FB"/>
    <w:rsid w:val="00E15B41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7878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305D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5CA0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5DAE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6083"/>
    <w:rsid w:val="00FD1DBE"/>
    <w:rsid w:val="00FD25A7"/>
    <w:rsid w:val="00FD27B6"/>
    <w:rsid w:val="00FD3689"/>
    <w:rsid w:val="00FD42A3"/>
    <w:rsid w:val="00FD7468"/>
    <w:rsid w:val="00FD7CE0"/>
    <w:rsid w:val="00FE0B3B"/>
    <w:rsid w:val="00FE0C49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D1E8"/>
  <w15:docId w15:val="{5F309D1B-E8FF-4674-A76E-CCEE5BAC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8D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ichalak\Downloads\Projekt%20rozp.%20dot.%20spos.%20prowadz.%20i%20udost.%20akt%20do%20zg&#322;osze&#324;%20wierzytelno&#347;ci%20(2)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3ECCA4-C399-441F-A887-B1950B9A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 rozp. dot. spos. prowadz. i udost. akt do zgłoszeń wierzytelności (2)</Template>
  <TotalTime>6</TotalTime>
  <Pages>2</Pages>
  <Words>614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Michalak Katarzyna  (DLPC)</dc:creator>
  <cp:lastModifiedBy>Orliński Adrian  (DLPC)</cp:lastModifiedBy>
  <cp:revision>3</cp:revision>
  <cp:lastPrinted>2012-04-23T06:39:00Z</cp:lastPrinted>
  <dcterms:created xsi:type="dcterms:W3CDTF">2021-05-10T13:37:00Z</dcterms:created>
  <dcterms:modified xsi:type="dcterms:W3CDTF">2021-05-10T13:43:00Z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