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089E" w14:textId="77777777" w:rsidR="00A64743" w:rsidRDefault="001A3819">
      <w:pPr>
        <w:pStyle w:val="Tekstpodstawowy"/>
        <w:ind w:left="8527"/>
        <w:jc w:val="left"/>
        <w:rPr>
          <w:rFonts w:ascii="Times New Roman"/>
        </w:rPr>
      </w:pPr>
      <w:r>
        <w:rPr>
          <w:rFonts w:ascii="Times New Roman"/>
          <w:noProof/>
          <w:lang w:eastAsia="pl-PL" w:bidi="ar-SA"/>
        </w:rPr>
        <w:drawing>
          <wp:inline distT="0" distB="0" distL="0" distR="0" wp14:anchorId="1090FEE9" wp14:editId="258FE8C5">
            <wp:extent cx="1410777"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10777" cy="368807"/>
                    </a:xfrm>
                    <a:prstGeom prst="rect">
                      <a:avLst/>
                    </a:prstGeom>
                  </pic:spPr>
                </pic:pic>
              </a:graphicData>
            </a:graphic>
          </wp:inline>
        </w:drawing>
      </w:r>
    </w:p>
    <w:p w14:paraId="3E435B4F" w14:textId="77777777" w:rsidR="00A64743" w:rsidRDefault="00A64743">
      <w:pPr>
        <w:pStyle w:val="Tekstpodstawowy"/>
        <w:ind w:left="0"/>
        <w:jc w:val="left"/>
        <w:rPr>
          <w:rFonts w:ascii="Times New Roman"/>
        </w:rPr>
      </w:pPr>
    </w:p>
    <w:p w14:paraId="3912AB3C" w14:textId="77777777" w:rsidR="00A64743" w:rsidRDefault="00A64743">
      <w:pPr>
        <w:pStyle w:val="Tekstpodstawowy"/>
        <w:ind w:left="0"/>
        <w:jc w:val="left"/>
        <w:rPr>
          <w:rFonts w:ascii="Times New Roman"/>
        </w:rPr>
      </w:pPr>
    </w:p>
    <w:p w14:paraId="1C3FE5DB" w14:textId="77777777" w:rsidR="00A64743" w:rsidRDefault="00A64743">
      <w:pPr>
        <w:pStyle w:val="Tekstpodstawowy"/>
        <w:spacing w:before="4"/>
        <w:ind w:left="0"/>
        <w:jc w:val="left"/>
        <w:rPr>
          <w:rFonts w:ascii="Times New Roman"/>
          <w:sz w:val="23"/>
        </w:rPr>
      </w:pPr>
    </w:p>
    <w:p w14:paraId="5A61B9DB" w14:textId="22F804CA" w:rsidR="00A64743" w:rsidRDefault="004B7905">
      <w:pPr>
        <w:pStyle w:val="Tekstpodstawowy"/>
        <w:ind w:left="0" w:right="136"/>
        <w:jc w:val="right"/>
      </w:pPr>
      <w:r>
        <w:rPr>
          <w:noProof/>
          <w:lang w:eastAsia="pl-PL" w:bidi="ar-SA"/>
        </w:rPr>
        <mc:AlternateContent>
          <mc:Choice Requires="wpg">
            <w:drawing>
              <wp:anchor distT="0" distB="0" distL="0" distR="0" simplePos="0" relativeHeight="251652608" behindDoc="1" locked="0" layoutInCell="1" allowOverlap="1" wp14:anchorId="1CE182EB" wp14:editId="42B488FC">
                <wp:simplePos x="0" y="0"/>
                <wp:positionH relativeFrom="page">
                  <wp:posOffset>429895</wp:posOffset>
                </wp:positionH>
                <wp:positionV relativeFrom="paragraph">
                  <wp:posOffset>173355</wp:posOffset>
                </wp:positionV>
                <wp:extent cx="6764020" cy="12700"/>
                <wp:effectExtent l="1270" t="3810" r="0" b="2540"/>
                <wp:wrapTopAndBottom/>
                <wp:docPr id="5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12700"/>
                          <a:chOff x="677" y="273"/>
                          <a:chExt cx="10652" cy="20"/>
                        </a:xfrm>
                      </wpg:grpSpPr>
                      <wps:wsp>
                        <wps:cNvPr id="60" name="Rectangle 361"/>
                        <wps:cNvSpPr>
                          <a:spLocks noChangeArrowheads="1"/>
                        </wps:cNvSpPr>
                        <wps:spPr bwMode="auto">
                          <a:xfrm>
                            <a:off x="676" y="273"/>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360"/>
                        <wps:cNvCnPr>
                          <a:cxnSpLocks noChangeShapeType="1"/>
                        </wps:cNvCnPr>
                        <wps:spPr bwMode="auto">
                          <a:xfrm>
                            <a:off x="696" y="283"/>
                            <a:ext cx="4495"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62" name="Rectangle 359"/>
                        <wps:cNvSpPr>
                          <a:spLocks noChangeArrowheads="1"/>
                        </wps:cNvSpPr>
                        <wps:spPr bwMode="auto">
                          <a:xfrm>
                            <a:off x="5191" y="273"/>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58"/>
                        <wps:cNvCnPr>
                          <a:cxnSpLocks noChangeShapeType="1"/>
                        </wps:cNvCnPr>
                        <wps:spPr bwMode="auto">
                          <a:xfrm>
                            <a:off x="5210" y="283"/>
                            <a:ext cx="6099"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64" name="Rectangle 357"/>
                        <wps:cNvSpPr>
                          <a:spLocks noChangeArrowheads="1"/>
                        </wps:cNvSpPr>
                        <wps:spPr bwMode="auto">
                          <a:xfrm>
                            <a:off x="11308" y="273"/>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79B3BB" id="Group 356" o:spid="_x0000_s1026" style="position:absolute;margin-left:33.85pt;margin-top:13.65pt;width:532.6pt;height:1pt;z-index:-251663872;mso-wrap-distance-left:0;mso-wrap-distance-right:0;mso-position-horizontal-relative:page" coordorigin="677,273"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">
                <v:rect id="Rectangle 361" o:spid="_x0000_s1027" style="position:absolute;left:676;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" fillcolor="gray" stroked="f"/>
                <v:line id="Line 360" o:spid="_x0000_s1028" style="position:absolute;visibility:visible;mso-wrap-style:square" from="696,283" to="519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" strokecolor="gray" strokeweight=".96pt"/>
                <v:rect id="Rectangle 359" o:spid="_x0000_s1029" style="position:absolute;left:5191;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" fillcolor="gray" stroked="f"/>
                <v:line id="Line 358" o:spid="_x0000_s1030" style="position:absolute;visibility:visible;mso-wrap-style:square" from="5210,283" to="1130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" strokecolor="gray" strokeweight=".96pt"/>
                <v:rect id="Rectangle 357" o:spid="_x0000_s1031" style="position:absolute;left:11308;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" fillcolor="gray" stroked="f"/>
                <w10:wrap type="topAndBottom" anchorx="page"/>
              </v:group>
            </w:pict>
          </mc:Fallback>
        </mc:AlternateContent>
      </w:r>
      <w:r w:rsidR="001A3819">
        <w:rPr>
          <w:noProof/>
          <w:lang w:eastAsia="pl-PL" w:bidi="ar-SA"/>
        </w:rPr>
        <w:drawing>
          <wp:anchor distT="0" distB="0" distL="0" distR="0" simplePos="0" relativeHeight="251647488" behindDoc="0" locked="0" layoutInCell="1" allowOverlap="1" wp14:anchorId="12683170" wp14:editId="423D54C7">
            <wp:simplePos x="0" y="0"/>
            <wp:positionH relativeFrom="page">
              <wp:posOffset>442725</wp:posOffset>
            </wp:positionH>
            <wp:positionV relativeFrom="paragraph">
              <wp:posOffset>-761321</wp:posOffset>
            </wp:positionV>
            <wp:extent cx="2391409" cy="885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91409" cy="885189"/>
                    </a:xfrm>
                    <a:prstGeom prst="rect">
                      <a:avLst/>
                    </a:prstGeom>
                  </pic:spPr>
                </pic:pic>
              </a:graphicData>
            </a:graphic>
          </wp:anchor>
        </w:drawing>
      </w:r>
      <w:r w:rsidR="00F90F00">
        <w:t>Zestawienie</w:t>
      </w:r>
      <w:r w:rsidR="001A3819">
        <w:t xml:space="preserve"> – Pozbawienie wolności migrantów</w:t>
      </w:r>
    </w:p>
    <w:p w14:paraId="7223E258" w14:textId="77777777" w:rsidR="00A64743" w:rsidRDefault="00A64743">
      <w:pPr>
        <w:pStyle w:val="Tekstpodstawowy"/>
        <w:spacing w:before="4"/>
        <w:ind w:left="0"/>
        <w:jc w:val="left"/>
        <w:rPr>
          <w:sz w:val="13"/>
        </w:rPr>
      </w:pPr>
    </w:p>
    <w:p w14:paraId="57153DD0" w14:textId="0A52BAF0" w:rsidR="00F90F00" w:rsidRDefault="00A24467" w:rsidP="00F90F00">
      <w:pPr>
        <w:spacing w:before="100"/>
        <w:ind w:left="4393" w:right="965"/>
        <w:jc w:val="right"/>
        <w:rPr>
          <w:color w:val="EB7E12"/>
          <w:sz w:val="18"/>
        </w:rPr>
      </w:pPr>
      <w:r>
        <w:rPr>
          <w:color w:val="EB7E12"/>
          <w:sz w:val="18"/>
        </w:rPr>
        <w:t xml:space="preserve">październik </w:t>
      </w:r>
      <w:r w:rsidR="000E2AE9">
        <w:rPr>
          <w:color w:val="EB7E12"/>
          <w:sz w:val="18"/>
        </w:rPr>
        <w:t xml:space="preserve">2019 r. </w:t>
      </w:r>
    </w:p>
    <w:p w14:paraId="65AF375D" w14:textId="51833786" w:rsidR="00A64743" w:rsidRDefault="001A3819" w:rsidP="00B85600">
      <w:pPr>
        <w:spacing w:before="100"/>
        <w:ind w:left="4393" w:right="965"/>
        <w:jc w:val="right"/>
        <w:rPr>
          <w:sz w:val="18"/>
        </w:rPr>
      </w:pPr>
      <w:r>
        <w:rPr>
          <w:color w:val="EB7E12"/>
          <w:sz w:val="18"/>
        </w:rPr>
        <w:t xml:space="preserve">Niniejsze zestawienie nie jest wiążące dla Trybunału </w:t>
      </w:r>
      <w:r w:rsidR="008D1215">
        <w:rPr>
          <w:color w:val="EB7E12"/>
          <w:sz w:val="18"/>
        </w:rPr>
        <w:br/>
      </w:r>
      <w:r>
        <w:rPr>
          <w:color w:val="EB7E12"/>
          <w:sz w:val="18"/>
        </w:rPr>
        <w:t>i nie ma charakteru wyczerpującego</w:t>
      </w:r>
    </w:p>
    <w:p w14:paraId="0DEBCC1F" w14:textId="77777777" w:rsidR="00A64743" w:rsidRDefault="00A64743">
      <w:pPr>
        <w:pStyle w:val="Tekstpodstawowy"/>
        <w:spacing w:before="2"/>
        <w:ind w:left="0"/>
        <w:jc w:val="left"/>
      </w:pPr>
    </w:p>
    <w:p w14:paraId="2A0272DE" w14:textId="77777777" w:rsidR="00A64743" w:rsidRDefault="001A3819">
      <w:pPr>
        <w:spacing w:after="17"/>
        <w:ind w:left="880"/>
        <w:rPr>
          <w:sz w:val="48"/>
        </w:rPr>
      </w:pPr>
      <w:r>
        <w:rPr>
          <w:color w:val="0071BB"/>
          <w:sz w:val="48"/>
        </w:rPr>
        <w:t>Pozbawienie wolności migrantów</w:t>
      </w:r>
    </w:p>
    <w:p w14:paraId="3AFD6B91" w14:textId="0390E68B" w:rsidR="00A64743" w:rsidRDefault="004B7905">
      <w:pPr>
        <w:pStyle w:val="Tekstpodstawowy"/>
        <w:spacing w:line="60" w:lineRule="exact"/>
        <w:ind w:left="821"/>
        <w:jc w:val="left"/>
        <w:rPr>
          <w:sz w:val="6"/>
        </w:rPr>
      </w:pPr>
      <w:r>
        <w:rPr>
          <w:noProof/>
          <w:sz w:val="6"/>
          <w:lang w:eastAsia="pl-PL" w:bidi="ar-SA"/>
        </w:rPr>
        <mc:AlternateContent>
          <mc:Choice Requires="wpg">
            <w:drawing>
              <wp:inline distT="0" distB="0" distL="0" distR="0" wp14:anchorId="43EF1DE7" wp14:editId="1F86705A">
                <wp:extent cx="5768340" cy="38100"/>
                <wp:effectExtent l="19685" t="6350" r="22225" b="3175"/>
                <wp:docPr id="57"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58" name="Line 355"/>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A77DB" id="Group 354"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">
                <v:line id="Line 355"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" strokecolor="#eaeaea" strokeweight="3pt"/>
                <w10:anchorlock/>
              </v:group>
            </w:pict>
          </mc:Fallback>
        </mc:AlternateContent>
      </w:r>
    </w:p>
    <w:p w14:paraId="27146701" w14:textId="22DA39F8" w:rsidR="00A64743" w:rsidRDefault="001A3819" w:rsidP="000E2AE9">
      <w:pPr>
        <w:pStyle w:val="Tekstpodstawowy"/>
        <w:tabs>
          <w:tab w:val="left" w:pos="1458"/>
          <w:tab w:val="left" w:pos="2065"/>
          <w:tab w:val="left" w:pos="2595"/>
          <w:tab w:val="left" w:pos="3827"/>
          <w:tab w:val="left" w:pos="4280"/>
          <w:tab w:val="left" w:pos="5910"/>
          <w:tab w:val="left" w:pos="6901"/>
          <w:tab w:val="left" w:pos="7899"/>
          <w:tab w:val="left" w:pos="8288"/>
          <w:tab w:val="left" w:pos="9536"/>
        </w:tabs>
        <w:spacing w:before="120"/>
        <w:ind w:right="976"/>
        <w:rPr>
          <w:color w:val="E26C09"/>
        </w:rPr>
      </w:pPr>
      <w:r>
        <w:rPr>
          <w:color w:val="E26C09"/>
        </w:rPr>
        <w:t>Zobacz r</w:t>
      </w:r>
      <w:r w:rsidR="000E2AE9">
        <w:rPr>
          <w:color w:val="E26C09"/>
        </w:rPr>
        <w:t xml:space="preserve">ównież </w:t>
      </w:r>
      <w:r w:rsidR="00A24467">
        <w:rPr>
          <w:color w:val="E26C09"/>
        </w:rPr>
        <w:t>zestawienia</w:t>
      </w:r>
      <w:r w:rsidR="000E2AE9">
        <w:rPr>
          <w:color w:val="E26C09"/>
        </w:rPr>
        <w:t xml:space="preserve"> pt. </w:t>
      </w:r>
      <w:hyperlink r:id="rId11">
        <w:r>
          <w:rPr>
            <w:color w:val="0071BB"/>
            <w:u w:val="single" w:color="0071BB"/>
          </w:rPr>
          <w:t>„Pozbawieni</w:t>
        </w:r>
        <w:r w:rsidR="000E2AE9">
          <w:rPr>
            <w:color w:val="0071BB"/>
            <w:u w:val="single" w:color="0071BB"/>
          </w:rPr>
          <w:t>e wolności dzieci migrujących w </w:t>
        </w:r>
        <w:r>
          <w:rPr>
            <w:color w:val="0071BB"/>
            <w:u w:val="single" w:color="0071BB"/>
          </w:rPr>
          <w:t>towarzystwie osoby dorosłej”</w:t>
        </w:r>
      </w:hyperlink>
      <w:r w:rsidR="000E2AE9">
        <w:rPr>
          <w:color w:val="0071BB"/>
        </w:rPr>
        <w:t xml:space="preserve"> </w:t>
      </w:r>
      <w:r>
        <w:rPr>
          <w:color w:val="E26C09"/>
        </w:rPr>
        <w:t xml:space="preserve">oraz </w:t>
      </w:r>
      <w:hyperlink r:id="rId12">
        <w:r>
          <w:rPr>
            <w:color w:val="0071BB"/>
            <w:u w:val="single" w:color="0071BB"/>
          </w:rPr>
          <w:t>„Pozbawienie wolności małoletnich migrujących bez opieki osoby dorosłej”</w:t>
        </w:r>
      </w:hyperlink>
      <w:r>
        <w:rPr>
          <w:color w:val="E26C09"/>
        </w:rPr>
        <w:t>.</w:t>
      </w:r>
    </w:p>
    <w:p w14:paraId="18E3F6DD" w14:textId="77777777" w:rsidR="008D1215" w:rsidRDefault="008D1215" w:rsidP="008D1215">
      <w:pPr>
        <w:pStyle w:val="Tekstpodstawowy"/>
        <w:pBdr>
          <w:top w:val="single" w:sz="4" w:space="1" w:color="auto"/>
          <w:left w:val="single" w:sz="4" w:space="4" w:color="auto"/>
          <w:bottom w:val="single" w:sz="4" w:space="1" w:color="auto"/>
          <w:right w:val="single" w:sz="4" w:space="4" w:color="auto"/>
        </w:pBdr>
        <w:shd w:val="pct5" w:color="auto" w:fill="auto"/>
        <w:spacing w:before="19"/>
        <w:ind w:left="851" w:right="967"/>
      </w:pPr>
      <w:r>
        <w:rPr>
          <w:color w:val="404040"/>
        </w:rPr>
        <w:t>„(…) Pozbawienie wolności obcokrajowców, którym towarzyszą odpowiednie gwarancje wobec danej osoby, jest dopuszczalne wyłącznie w celu umożliwienia Układającym się Strony zapobieżenia nielegalnej imigracji, przy czym jednocześnie musi być ono zgodne ze zobowiązaniami międzynarodowymi, w szczególności postanowieniami</w:t>
      </w:r>
      <w:hyperlink r:id="rId13"/>
      <w:r>
        <w:rPr>
          <w:color w:val="0071BB"/>
        </w:rPr>
        <w:t xml:space="preserve"> </w:t>
      </w:r>
      <w:hyperlink r:id="rId14">
        <w:r>
          <w:rPr>
            <w:color w:val="0071BB"/>
            <w:u w:val="single" w:color="0071BB"/>
          </w:rPr>
          <w:t xml:space="preserve">Konwencji genewskiej z 1951 roku, dotyczącej statusu uchodźców </w:t>
        </w:r>
      </w:hyperlink>
      <w:r>
        <w:rPr>
          <w:color w:val="0071BB"/>
        </w:rPr>
        <w:t xml:space="preserve"> </w:t>
      </w:r>
      <w:r>
        <w:rPr>
          <w:color w:val="404040"/>
        </w:rPr>
        <w:t xml:space="preserve">oraz </w:t>
      </w:r>
      <w:hyperlink r:id="rId15">
        <w:r>
          <w:rPr>
            <w:color w:val="0071BB"/>
            <w:u w:val="single" w:color="0071BB"/>
          </w:rPr>
          <w:t>Europejskiej Konwencji Praw Człowieka</w:t>
        </w:r>
      </w:hyperlink>
      <w:hyperlink r:id="rId16"/>
      <w:r>
        <w:rPr>
          <w:color w:val="404040"/>
        </w:rPr>
        <w:t>. Uzasadniony interes państw w zapobieganiu coraz częstszym próbom obejścia ograniczeń imigracyjnych nie może prowadzić do pozbawienia osób ubiegających się o azyl ochrony przewidzianej tymi konwencjami (…). W przypadkach gdy [Europejski] Trybunał [Praw Człowieka] ma zbadać zgodność sposobu i metody wykonania środka z postanowieniami [Europejskiej] Konwencji [Praw Człowieka], musi brać pod uwagę indywidualną sytuację danej osoby (…). Państwa muszą zwrócić szczególną uwagę na art. 3 Konwencji, który chroni jedną z najbardziej fundamentalnych dóbr w społeczeństwach demokratycznych i bezwzględnie zakazuje tortur oraz nieludzkiego lub poniżającego traktowania albo karania, niezależnie od okoliczności i zachowania  ofiary (…)” (</w:t>
      </w:r>
      <w:hyperlink r:id="rId17">
        <w:r>
          <w:rPr>
            <w:i/>
            <w:color w:val="0071BB"/>
            <w:u w:val="single" w:color="0071BB"/>
          </w:rPr>
          <w:t>M.S.S. przeciwko Belgii i Grecji</w:t>
        </w:r>
      </w:hyperlink>
      <w:r>
        <w:rPr>
          <w:i/>
          <w:color w:val="0071BB"/>
        </w:rPr>
        <w:t xml:space="preserve"> </w:t>
      </w:r>
      <w:r>
        <w:rPr>
          <w:i/>
          <w:color w:val="404040"/>
        </w:rPr>
        <w:t>(skarga nr 30696/09)</w:t>
      </w:r>
      <w:r>
        <w:rPr>
          <w:color w:val="404040"/>
        </w:rPr>
        <w:t>, wyrok Wielkiej Izby z dnia 21 stycznia 2011 r., §§ 216–218).</w:t>
      </w:r>
    </w:p>
    <w:p w14:paraId="52D64B51" w14:textId="55E4DB5A" w:rsidR="00A64743" w:rsidRDefault="004B7905">
      <w:pPr>
        <w:pStyle w:val="Nagwek1"/>
        <w:spacing w:before="101" w:line="242" w:lineRule="auto"/>
        <w:ind w:left="879" w:right="975"/>
      </w:pPr>
      <w:r>
        <w:rPr>
          <w:noProof/>
          <w:lang w:eastAsia="pl-PL" w:bidi="ar-SA"/>
        </w:rPr>
        <mc:AlternateContent>
          <mc:Choice Requires="wps">
            <w:drawing>
              <wp:anchor distT="0" distB="0" distL="0" distR="0" simplePos="0" relativeHeight="251654656" behindDoc="1" locked="0" layoutInCell="1" allowOverlap="1" wp14:anchorId="0A6F562F" wp14:editId="01A5EF95">
                <wp:simplePos x="0" y="0"/>
                <wp:positionH relativeFrom="page">
                  <wp:posOffset>895985</wp:posOffset>
                </wp:positionH>
                <wp:positionV relativeFrom="paragraph">
                  <wp:posOffset>558165</wp:posOffset>
                </wp:positionV>
                <wp:extent cx="5768340" cy="0"/>
                <wp:effectExtent l="10160" t="16510" r="12700" b="12065"/>
                <wp:wrapTopAndBottom/>
                <wp:docPr id="5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EF95C" id="Line 35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3.95pt" to="524.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" strokecolor="#999" strokeweight="1.44pt">
                <w10:wrap type="topAndBottom" anchorx="page"/>
              </v:line>
            </w:pict>
          </mc:Fallback>
        </mc:AlternateContent>
      </w:r>
      <w:r w:rsidR="001A3819">
        <w:rPr>
          <w:color w:val="0071BB"/>
        </w:rPr>
        <w:t xml:space="preserve">Pobawienie wolności / Ograniczenie swobody </w:t>
      </w:r>
      <w:r w:rsidR="00695EF3">
        <w:rPr>
          <w:color w:val="0071BB"/>
        </w:rPr>
        <w:t xml:space="preserve">przemieszczania </w:t>
      </w:r>
      <w:r w:rsidR="001A3819">
        <w:rPr>
          <w:color w:val="0071BB"/>
        </w:rPr>
        <w:t>się</w:t>
      </w:r>
    </w:p>
    <w:p w14:paraId="02143AEC" w14:textId="77777777" w:rsidR="00A64743" w:rsidRDefault="00711FD6">
      <w:pPr>
        <w:pStyle w:val="Nagwek2"/>
        <w:spacing w:before="91"/>
        <w:jc w:val="left"/>
        <w:rPr>
          <w:u w:val="none"/>
        </w:rPr>
      </w:pPr>
      <w:hyperlink r:id="rId18">
        <w:proofErr w:type="spellStart"/>
        <w:r w:rsidR="001A3819">
          <w:rPr>
            <w:color w:val="0071BB"/>
            <w:u w:val="thick" w:color="0071BB"/>
          </w:rPr>
          <w:t>Amuur</w:t>
        </w:r>
        <w:proofErr w:type="spellEnd"/>
        <w:r w:rsidR="001A3819">
          <w:rPr>
            <w:color w:val="0071BB"/>
            <w:u w:val="thick" w:color="0071BB"/>
          </w:rPr>
          <w:t xml:space="preserve"> przeciwko Francji</w:t>
        </w:r>
      </w:hyperlink>
    </w:p>
    <w:p w14:paraId="5D2510B4" w14:textId="77777777" w:rsidR="00A64743" w:rsidRDefault="001A3819">
      <w:pPr>
        <w:spacing w:before="60"/>
        <w:ind w:left="880"/>
        <w:rPr>
          <w:sz w:val="18"/>
        </w:rPr>
      </w:pPr>
      <w:r>
        <w:rPr>
          <w:color w:val="808080"/>
          <w:sz w:val="18"/>
        </w:rPr>
        <w:t>25 czerwca 1996 r.</w:t>
      </w:r>
    </w:p>
    <w:p w14:paraId="71FEA03B" w14:textId="72C7267F" w:rsidR="00A64743" w:rsidRDefault="001A3819">
      <w:pPr>
        <w:pStyle w:val="Tekstpodstawowy"/>
        <w:spacing w:before="1"/>
        <w:ind w:right="973" w:hanging="1"/>
      </w:pPr>
      <w:r>
        <w:t xml:space="preserve">Skarżący, będący obywatelami Somalii – </w:t>
      </w:r>
      <w:r w:rsidR="008A6763">
        <w:t xml:space="preserve">trzech </w:t>
      </w:r>
      <w:r>
        <w:t>braci i s</w:t>
      </w:r>
      <w:r w:rsidR="000E2AE9">
        <w:t>iostra – urodzeni mi</w:t>
      </w:r>
      <w:r w:rsidR="008A6763">
        <w:t>ę</w:t>
      </w:r>
      <w:r w:rsidR="000E2AE9">
        <w:t>dzy 1970 a </w:t>
      </w:r>
      <w:r>
        <w:t xml:space="preserve">1975 r., przybyli do Francji przez Syrię w marcu 1992 r. Utrzymywali, że po obaleniu reżimu prezydenta </w:t>
      </w:r>
      <w:proofErr w:type="spellStart"/>
      <w:r>
        <w:t>Siyada</w:t>
      </w:r>
      <w:proofErr w:type="spellEnd"/>
      <w:r>
        <w:t xml:space="preserve"> Barra ich życie w Somalii było zagrożone. Nie zostali przyjęci na terytorium Francji </w:t>
      </w:r>
      <w:r w:rsidR="008A6763">
        <w:t>ponieważ ich paszporty były sfałszowane</w:t>
      </w:r>
      <w:r>
        <w:t xml:space="preserve">. </w:t>
      </w:r>
      <w:r w:rsidR="008E2521">
        <w:t>Zarzucali, że byli</w:t>
      </w:r>
      <w:r>
        <w:t xml:space="preserve"> przetrzymywani</w:t>
      </w:r>
      <w:r w:rsidR="008E2521">
        <w:t xml:space="preserve">, zanim odesłano </w:t>
      </w:r>
      <w:r>
        <w:t>ich  do Syrii</w:t>
      </w:r>
      <w:r w:rsidR="008E2521">
        <w:t>,</w:t>
      </w:r>
      <w:r>
        <w:t xml:space="preserve"> </w:t>
      </w:r>
      <w:r w:rsidR="008E2521">
        <w:t xml:space="preserve">przez 20 dni </w:t>
      </w:r>
      <w:r>
        <w:t>w strefie tranzytowej portu lotniczego Paris-Orly.</w:t>
      </w:r>
    </w:p>
    <w:p w14:paraId="5055FC48" w14:textId="6199ACEC" w:rsidR="00A64743" w:rsidRDefault="001A3819">
      <w:pPr>
        <w:pStyle w:val="Tekstpodstawowy"/>
        <w:ind w:right="973"/>
        <w:rPr>
          <w:noProof/>
          <w:lang w:eastAsia="pl-PL" w:bidi="ar-SA"/>
        </w:rPr>
      </w:pPr>
      <w:r>
        <w:rPr>
          <w:color w:val="0071BB"/>
        </w:rPr>
        <w:t xml:space="preserve">Europejski Trybunał Praw Człowieka orzekł, że </w:t>
      </w:r>
      <w:r>
        <w:rPr>
          <w:b/>
          <w:color w:val="0071BB"/>
        </w:rPr>
        <w:t xml:space="preserve">doszło do naruszenia art. 5 ust. 1 (prawo do wolności i bezpieczeństwa osobistego) </w:t>
      </w:r>
      <w:hyperlink r:id="rId19">
        <w:r w:rsidR="001D23DE">
          <w:rPr>
            <w:color w:val="0071BB"/>
            <w:u w:val="single" w:color="0071BB"/>
          </w:rPr>
          <w:t>Europejskiej Konwencji Praw Człowieka</w:t>
        </w:r>
      </w:hyperlink>
      <w:r>
        <w:rPr>
          <w:b/>
          <w:color w:val="0071BB"/>
        </w:rPr>
        <w:t>.</w:t>
      </w:r>
      <w:r>
        <w:rPr>
          <w:color w:val="0071BB"/>
        </w:rPr>
        <w:t xml:space="preserve"> Trybunał uznał, że art. 5 Konwencji miał zastosowanie, ponieważ przetrzymywanie skarżących w strefie tranzytowej było w praktyce równoważne pozbawieniu wolności. </w:t>
      </w:r>
      <w:r w:rsidR="008E2521">
        <w:rPr>
          <w:color w:val="0071BB"/>
        </w:rPr>
        <w:t>To p</w:t>
      </w:r>
      <w:r>
        <w:rPr>
          <w:color w:val="0071BB"/>
        </w:rPr>
        <w:t xml:space="preserve">ozbawienie wolności było niezgodne z prawem, ponieważ przepisy prawa francuskiego obowiązujące w tamtym czasie nie pozwalały sądom powszechnym na </w:t>
      </w:r>
      <w:r w:rsidR="008E2521">
        <w:rPr>
          <w:color w:val="0071BB"/>
        </w:rPr>
        <w:t xml:space="preserve">ocenę </w:t>
      </w:r>
      <w:r>
        <w:rPr>
          <w:color w:val="0071BB"/>
        </w:rPr>
        <w:t xml:space="preserve">warunków pozbawienia wolności obcokrajowców lub </w:t>
      </w:r>
      <w:r w:rsidR="00E243A5">
        <w:rPr>
          <w:color w:val="0071BB"/>
        </w:rPr>
        <w:t>ograniczenie</w:t>
      </w:r>
      <w:r>
        <w:rPr>
          <w:color w:val="0071BB"/>
        </w:rPr>
        <w:t xml:space="preserve"> czasu trwania pozbawienia wolności. Przepisy te nie przewidywały również pomocy prawnej, humanitarnej ani socjalnej.</w:t>
      </w:r>
      <w:r w:rsidR="000C1207" w:rsidRPr="000C1207">
        <w:rPr>
          <w:noProof/>
          <w:lang w:eastAsia="pl-PL" w:bidi="ar-SA"/>
        </w:rPr>
        <w:t xml:space="preserve"> </w:t>
      </w:r>
    </w:p>
    <w:p w14:paraId="05020DAB" w14:textId="77777777" w:rsidR="008D1215" w:rsidRDefault="008D1215">
      <w:pPr>
        <w:pStyle w:val="Nagwek2"/>
        <w:spacing w:before="118"/>
        <w:jc w:val="left"/>
      </w:pPr>
    </w:p>
    <w:p w14:paraId="0B6D4040" w14:textId="77777777" w:rsidR="00A64743" w:rsidRDefault="00711FD6">
      <w:pPr>
        <w:pStyle w:val="Nagwek2"/>
        <w:spacing w:before="118"/>
        <w:jc w:val="left"/>
        <w:rPr>
          <w:u w:val="none"/>
        </w:rPr>
      </w:pPr>
      <w:hyperlink r:id="rId20">
        <w:proofErr w:type="spellStart"/>
        <w:r w:rsidR="001A3819">
          <w:rPr>
            <w:color w:val="0071BB"/>
            <w:u w:val="thick" w:color="0071BB"/>
          </w:rPr>
          <w:t>Shamsa</w:t>
        </w:r>
        <w:proofErr w:type="spellEnd"/>
        <w:r w:rsidR="001A3819">
          <w:rPr>
            <w:color w:val="0071BB"/>
            <w:u w:val="thick" w:color="0071BB"/>
          </w:rPr>
          <w:t xml:space="preserve"> przeciwko Polsce</w:t>
        </w:r>
      </w:hyperlink>
    </w:p>
    <w:p w14:paraId="794688D9" w14:textId="77777777" w:rsidR="00A64743" w:rsidRDefault="001A3819">
      <w:pPr>
        <w:spacing w:before="63" w:line="218" w:lineRule="exact"/>
        <w:ind w:left="880"/>
        <w:rPr>
          <w:sz w:val="18"/>
        </w:rPr>
      </w:pPr>
      <w:r>
        <w:rPr>
          <w:color w:val="808080"/>
          <w:sz w:val="18"/>
        </w:rPr>
        <w:t>27 listopada 2003 r.</w:t>
      </w:r>
    </w:p>
    <w:p w14:paraId="21FCF67A" w14:textId="06DDBD9D" w:rsidR="00A64743" w:rsidRDefault="001A3819" w:rsidP="000C1207">
      <w:pPr>
        <w:pStyle w:val="Tekstpodstawowy"/>
        <w:ind w:right="975"/>
      </w:pPr>
      <w:r>
        <w:t>Skarżący, dwa</w:t>
      </w:r>
      <w:r w:rsidR="00E243A5">
        <w:t>j</w:t>
      </w:r>
      <w:r>
        <w:t xml:space="preserve"> bracia będący obywatelami libijskimi, zostali zatrzymani w Warszawie bez ważnych dokumentów tożsamości i bez zezwol</w:t>
      </w:r>
      <w:r w:rsidR="000C1207">
        <w:t>enia na pobyt. Wydano decyzję o </w:t>
      </w:r>
      <w:r>
        <w:t xml:space="preserve">wydaleniu ich w terminie 90 dni i w oczekiwaniu na wydalenie zostali pozbawieni wolności. </w:t>
      </w:r>
      <w:r w:rsidR="00E243A5">
        <w:t xml:space="preserve">Władze </w:t>
      </w:r>
      <w:r>
        <w:t>podjęły trzy próby wykonania decyzji o wydaleniu, które okazały się bezskuteczne</w:t>
      </w:r>
      <w:r w:rsidR="00E243A5">
        <w:t>, częściowo z tego powodu</w:t>
      </w:r>
      <w:r>
        <w:t>, ż</w:t>
      </w:r>
      <w:r w:rsidR="00E243A5">
        <w:t>e</w:t>
      </w:r>
      <w:r>
        <w:t xml:space="preserve"> bracia</w:t>
      </w:r>
      <w:r w:rsidR="000C1207">
        <w:rPr>
          <w:sz w:val="15"/>
        </w:rPr>
        <w:t xml:space="preserve"> </w:t>
      </w:r>
      <w:r>
        <w:t xml:space="preserve">odmawiali współpracy. Zgodnie z polskim prawem decyzja o wydaleniu musi zostać wykonana w terminie 90 dni, a po upływie tego terminu osoba musi zostać zwolniona. Skarżący podnosili w skardze, że </w:t>
      </w:r>
      <w:r w:rsidR="00E243A5">
        <w:t xml:space="preserve">byli przetrzymywani przez </w:t>
      </w:r>
      <w:r>
        <w:t>Straż Graniczn</w:t>
      </w:r>
      <w:r w:rsidR="00E243A5">
        <w:t>ą,</w:t>
      </w:r>
      <w:r>
        <w:t xml:space="preserve"> w celu wydalenia</w:t>
      </w:r>
      <w:r w:rsidR="00E243A5">
        <w:t>,</w:t>
      </w:r>
      <w:r>
        <w:t xml:space="preserve"> w strefie tranzytowej warszawskiego portu lotniczego po dacie, w której powinni zostać zwolnieni w świetle polskiego prawa, </w:t>
      </w:r>
      <w:r w:rsidR="001F1DF6">
        <w:t>mianowicie</w:t>
      </w:r>
      <w:r>
        <w:t xml:space="preserve"> 25 sierpnia 1997 r. Tymczasem </w:t>
      </w:r>
      <w:r w:rsidR="001F1DF6">
        <w:t>władze</w:t>
      </w:r>
      <w:r>
        <w:t xml:space="preserve">, bez żadnej podstawy prawnej, kontynuowały wykonanie decyzji o wydaleniu po upływie ustawowego terminu, aż do 3 października 1997 r., kiedy to skarżący zostali zabrani przez policję do szpitala na badanie i </w:t>
      </w:r>
      <w:r w:rsidR="001F1DF6">
        <w:t>zwolnieni</w:t>
      </w:r>
      <w:r>
        <w:t>.</w:t>
      </w:r>
    </w:p>
    <w:p w14:paraId="008873BA" w14:textId="3A4DF903" w:rsidR="00A64743" w:rsidRDefault="001A3819">
      <w:pPr>
        <w:pStyle w:val="Tekstpodstawowy"/>
        <w:ind w:right="977"/>
      </w:pPr>
      <w:r>
        <w:rPr>
          <w:color w:val="0071BB"/>
        </w:rPr>
        <w:t xml:space="preserve">Trybunał zauważył, że pozbawienie wolności, które obejmuje okres kilku dni i które nie zostało zarządzone przez sąd, sędziego lub inną osobę upoważnioną </w:t>
      </w:r>
      <w:r w:rsidR="001F1DF6">
        <w:rPr>
          <w:color w:val="0071BB"/>
        </w:rPr>
        <w:t xml:space="preserve">przez prawo </w:t>
      </w:r>
      <w:r>
        <w:rPr>
          <w:color w:val="0071BB"/>
        </w:rPr>
        <w:t>do wykonywania władzy sądowniczej nie może być uznane za „zgodne z prawem” w rozumieniu art. 5 ust. 1 Konwencji (prawo do wolności i bezpieczeństwa).</w:t>
      </w:r>
      <w:r w:rsidR="006346C2">
        <w:rPr>
          <w:color w:val="0071BB"/>
        </w:rPr>
        <w:t xml:space="preserve"> </w:t>
      </w:r>
      <w:r w:rsidR="001F1DF6">
        <w:rPr>
          <w:color w:val="0071BB"/>
        </w:rPr>
        <w:t>Biorąc pod uwagę</w:t>
      </w:r>
      <w:r>
        <w:rPr>
          <w:color w:val="0071BB"/>
        </w:rPr>
        <w:t xml:space="preserve">, że pozbawienie skarżących wolności w okresie od 25 sierpnia do 3 października 1997 r. nie </w:t>
      </w:r>
      <w:r w:rsidR="00331C53">
        <w:rPr>
          <w:color w:val="0071BB"/>
        </w:rPr>
        <w:t>było</w:t>
      </w:r>
      <w:r>
        <w:rPr>
          <w:color w:val="0071BB"/>
        </w:rPr>
        <w:t xml:space="preserve"> „</w:t>
      </w:r>
      <w:r w:rsidR="00331C53">
        <w:rPr>
          <w:color w:val="0071BB"/>
        </w:rPr>
        <w:t>nakazane prawem</w:t>
      </w:r>
      <w:r>
        <w:rPr>
          <w:color w:val="0071BB"/>
        </w:rPr>
        <w:t xml:space="preserve">” ani „zgodne z prawem”, Trybunał orzekł, iż doszło do </w:t>
      </w:r>
      <w:r>
        <w:rPr>
          <w:b/>
          <w:bCs/>
          <w:color w:val="0071BB"/>
        </w:rPr>
        <w:t>naruszenia art. 5 ust. 1</w:t>
      </w:r>
      <w:r>
        <w:rPr>
          <w:color w:val="0071BB"/>
        </w:rPr>
        <w:t xml:space="preserve"> Konwencji.</w:t>
      </w:r>
    </w:p>
    <w:p w14:paraId="0DCC4C0A" w14:textId="77777777" w:rsidR="00A64743" w:rsidRDefault="001A3819">
      <w:pPr>
        <w:spacing w:before="120"/>
        <w:ind w:left="880"/>
        <w:jc w:val="both"/>
        <w:rPr>
          <w:sz w:val="16"/>
        </w:rPr>
      </w:pPr>
      <w:proofErr w:type="spellStart"/>
      <w:r>
        <w:rPr>
          <w:b/>
          <w:color w:val="0071BB"/>
          <w:sz w:val="20"/>
          <w:u w:val="thick" w:color="0071BB"/>
        </w:rPr>
        <w:t>Riad</w:t>
      </w:r>
      <w:proofErr w:type="spellEnd"/>
      <w:r>
        <w:rPr>
          <w:b/>
          <w:color w:val="0071BB"/>
          <w:sz w:val="20"/>
          <w:u w:val="thick" w:color="0071BB"/>
        </w:rPr>
        <w:t xml:space="preserve"> i </w:t>
      </w:r>
      <w:proofErr w:type="spellStart"/>
      <w:r>
        <w:rPr>
          <w:b/>
          <w:color w:val="0071BB"/>
          <w:sz w:val="20"/>
          <w:u w:val="thick" w:color="0071BB"/>
        </w:rPr>
        <w:t>Idiab</w:t>
      </w:r>
      <w:proofErr w:type="spellEnd"/>
      <w:r>
        <w:rPr>
          <w:b/>
          <w:color w:val="0071BB"/>
          <w:sz w:val="20"/>
          <w:u w:val="thick" w:color="0071BB"/>
        </w:rPr>
        <w:t xml:space="preserve"> </w:t>
      </w:r>
      <w:r>
        <w:rPr>
          <w:b/>
          <w:color w:val="0071BB"/>
          <w:sz w:val="20"/>
        </w:rPr>
        <w:t xml:space="preserve">przeciwko Belgii </w:t>
      </w:r>
      <w:r>
        <w:rPr>
          <w:color w:val="808080"/>
          <w:sz w:val="16"/>
        </w:rPr>
        <w:t>(zobacz również poniżej w „Warunkach pozbawienia wolności”)</w:t>
      </w:r>
    </w:p>
    <w:p w14:paraId="718DC837" w14:textId="77777777" w:rsidR="00A64743" w:rsidRDefault="001A3819">
      <w:pPr>
        <w:spacing w:before="60" w:line="218" w:lineRule="exact"/>
        <w:ind w:left="880"/>
        <w:jc w:val="both"/>
        <w:rPr>
          <w:sz w:val="18"/>
        </w:rPr>
      </w:pPr>
      <w:r>
        <w:rPr>
          <w:color w:val="808080"/>
          <w:sz w:val="18"/>
        </w:rPr>
        <w:t>24 stycznia 2008 r.</w:t>
      </w:r>
    </w:p>
    <w:p w14:paraId="6746CE3E" w14:textId="7CC04756" w:rsidR="00A64743" w:rsidRDefault="001A3819">
      <w:pPr>
        <w:pStyle w:val="Tekstpodstawowy"/>
        <w:ind w:left="879" w:right="976"/>
      </w:pPr>
      <w:r>
        <w:t xml:space="preserve">Skarżący, będący obywatelami palestyńskimi, </w:t>
      </w:r>
      <w:r w:rsidR="00300269">
        <w:t xml:space="preserve">skarżyli się </w:t>
      </w:r>
      <w:r>
        <w:t xml:space="preserve">w szczególności </w:t>
      </w:r>
      <w:r w:rsidR="00300269">
        <w:t>na warunki, w jakich przebywali będąc zatrzymanymi</w:t>
      </w:r>
      <w:r>
        <w:t xml:space="preserve"> w strefie tranzytowej brukselskiego portu lotniczego </w:t>
      </w:r>
      <w:proofErr w:type="spellStart"/>
      <w:r>
        <w:t>Brussel</w:t>
      </w:r>
      <w:proofErr w:type="spellEnd"/>
      <w:r>
        <w:t xml:space="preserve"> </w:t>
      </w:r>
      <w:proofErr w:type="spellStart"/>
      <w:r>
        <w:t>Nationaal</w:t>
      </w:r>
      <w:proofErr w:type="spellEnd"/>
      <w:r>
        <w:t xml:space="preserve"> (</w:t>
      </w:r>
      <w:proofErr w:type="spellStart"/>
      <w:r>
        <w:t>Brussels</w:t>
      </w:r>
      <w:proofErr w:type="spellEnd"/>
      <w:r>
        <w:t xml:space="preserve"> </w:t>
      </w:r>
      <w:proofErr w:type="spellStart"/>
      <w:r>
        <w:t>Zaventem</w:t>
      </w:r>
      <w:proofErr w:type="spellEnd"/>
      <w:r>
        <w:t>) w następstwie niezgodnego z prawem przekroczenia granicy Belgii.</w:t>
      </w:r>
    </w:p>
    <w:p w14:paraId="2263041B" w14:textId="29F94FFD" w:rsidR="00A64743" w:rsidRDefault="001A3819">
      <w:pPr>
        <w:pStyle w:val="Tekstpodstawowy"/>
        <w:ind w:left="879" w:right="976"/>
      </w:pPr>
      <w:r>
        <w:rPr>
          <w:color w:val="0071BB"/>
        </w:rPr>
        <w:t>Trybunał orzekł, że przetrzymywanie skarżących w strefi</w:t>
      </w:r>
      <w:r w:rsidR="00660EBE">
        <w:rPr>
          <w:color w:val="0071BB"/>
        </w:rPr>
        <w:t>e tranzytowej nie było zgodne z </w:t>
      </w:r>
      <w:r>
        <w:rPr>
          <w:color w:val="0071BB"/>
        </w:rPr>
        <w:t>prawem</w:t>
      </w:r>
      <w:r w:rsidR="00773C25">
        <w:rPr>
          <w:b/>
          <w:bCs/>
          <w:color w:val="0071BB"/>
        </w:rPr>
        <w:t xml:space="preserve"> i</w:t>
      </w:r>
      <w:r>
        <w:rPr>
          <w:b/>
          <w:bCs/>
          <w:color w:val="0071BB"/>
        </w:rPr>
        <w:t xml:space="preserve"> art. 5 ust. 1 </w:t>
      </w:r>
      <w:r>
        <w:rPr>
          <w:color w:val="0071BB"/>
        </w:rPr>
        <w:t>Konwencji</w:t>
      </w:r>
      <w:r>
        <w:rPr>
          <w:b/>
          <w:bCs/>
          <w:color w:val="0071BB"/>
        </w:rPr>
        <w:t xml:space="preserve"> </w:t>
      </w:r>
      <w:r w:rsidR="00660EBE">
        <w:rPr>
          <w:color w:val="0071BB"/>
        </w:rPr>
        <w:t>(prawo do wolności i </w:t>
      </w:r>
      <w:r>
        <w:rPr>
          <w:color w:val="0071BB"/>
        </w:rPr>
        <w:t xml:space="preserve">bezpieczeństwa osobistego). Orzekł również, że fakt przetrzymywania skarżących w tym miejscu przez ponad dziesięć dni stanowił nieludzkie i poniżające traktowanie </w:t>
      </w:r>
      <w:r w:rsidR="000C1207">
        <w:rPr>
          <w:b/>
          <w:bCs/>
          <w:color w:val="0071BB"/>
        </w:rPr>
        <w:t>z </w:t>
      </w:r>
      <w:r>
        <w:rPr>
          <w:b/>
          <w:bCs/>
          <w:color w:val="0071BB"/>
        </w:rPr>
        <w:t xml:space="preserve">naruszeniem art. 3 </w:t>
      </w:r>
      <w:r>
        <w:rPr>
          <w:color w:val="0071BB"/>
        </w:rPr>
        <w:t>Konwencji (zakaz nieludzkiego lub poniżającego traktowania).</w:t>
      </w:r>
    </w:p>
    <w:p w14:paraId="4BA142A5" w14:textId="77777777" w:rsidR="00A64743" w:rsidRDefault="001A3819">
      <w:pPr>
        <w:pStyle w:val="Nagwek2"/>
        <w:ind w:left="879"/>
        <w:rPr>
          <w:u w:val="none"/>
        </w:rPr>
      </w:pPr>
      <w:proofErr w:type="spellStart"/>
      <w:r>
        <w:rPr>
          <w:color w:val="0071BB"/>
          <w:u w:val="thick" w:color="0071BB"/>
        </w:rPr>
        <w:t>Nolan</w:t>
      </w:r>
      <w:proofErr w:type="spellEnd"/>
      <w:r>
        <w:rPr>
          <w:color w:val="0071BB"/>
          <w:u w:val="thick" w:color="0071BB"/>
        </w:rPr>
        <w:t xml:space="preserve"> i K. przeciwko Rosji</w:t>
      </w:r>
    </w:p>
    <w:p w14:paraId="04868EAF" w14:textId="77777777" w:rsidR="00A64743" w:rsidRDefault="001A3819">
      <w:pPr>
        <w:spacing w:before="63" w:line="218" w:lineRule="exact"/>
        <w:ind w:left="880"/>
        <w:jc w:val="both"/>
        <w:rPr>
          <w:sz w:val="18"/>
        </w:rPr>
      </w:pPr>
      <w:r>
        <w:rPr>
          <w:color w:val="808080"/>
          <w:sz w:val="18"/>
        </w:rPr>
        <w:t>12 maja 2009 r.</w:t>
      </w:r>
    </w:p>
    <w:p w14:paraId="391C81C7" w14:textId="7A36FA13" w:rsidR="00A64743" w:rsidRDefault="001A3819">
      <w:pPr>
        <w:pStyle w:val="Tekstpodstawowy"/>
        <w:ind w:left="879" w:right="978"/>
      </w:pPr>
      <w:r>
        <w:t>Skarżący, będący obywatelem amerykańskim, podnosił w skardze, że w dniu 2 czerwca 2002 r.</w:t>
      </w:r>
      <w:r w:rsidR="00773C25">
        <w:t>,</w:t>
      </w:r>
      <w:r>
        <w:t xml:space="preserve"> po powrocie z krótkiego pobytu za granicą</w:t>
      </w:r>
      <w:r w:rsidR="00773C25">
        <w:t>,</w:t>
      </w:r>
      <w:r>
        <w:t xml:space="preserve"> był przetrzymywany przez dziewięć godzin w pomieszczeniu dla osób zatrzymanych w porcie lotniczym Moskwa </w:t>
      </w:r>
      <w:proofErr w:type="spellStart"/>
      <w:r>
        <w:t>Szeremietiewo</w:t>
      </w:r>
      <w:proofErr w:type="spellEnd"/>
      <w:r>
        <w:t xml:space="preserve"> i </w:t>
      </w:r>
      <w:r w:rsidR="00773C25">
        <w:t>mimo że</w:t>
      </w:r>
      <w:r>
        <w:t xml:space="preserve"> posiadał ważną </w:t>
      </w:r>
      <w:r w:rsidR="00773C25">
        <w:t xml:space="preserve">wizę </w:t>
      </w:r>
      <w:r>
        <w:t>rosyjską nie udzielono mu zezwolenia na ponowny wjazd do Rosji.</w:t>
      </w:r>
    </w:p>
    <w:p w14:paraId="15AB7D99" w14:textId="0F61B14C" w:rsidR="00A64743" w:rsidRDefault="001A3819">
      <w:pPr>
        <w:pStyle w:val="Tekstpodstawowy"/>
        <w:ind w:left="879" w:right="976"/>
      </w:pPr>
      <w:r>
        <w:rPr>
          <w:color w:val="0071BB"/>
        </w:rPr>
        <w:t xml:space="preserve">Trybunał stwierdził, że </w:t>
      </w:r>
      <w:r w:rsidR="00773C25">
        <w:rPr>
          <w:color w:val="0071BB"/>
        </w:rPr>
        <w:t xml:space="preserve">warunki </w:t>
      </w:r>
      <w:r>
        <w:rPr>
          <w:color w:val="0071BB"/>
        </w:rPr>
        <w:t>całonocn</w:t>
      </w:r>
      <w:r w:rsidR="00773C25">
        <w:rPr>
          <w:color w:val="0071BB"/>
        </w:rPr>
        <w:t>ego</w:t>
      </w:r>
      <w:r>
        <w:rPr>
          <w:color w:val="0071BB"/>
        </w:rPr>
        <w:t xml:space="preserve"> pobyt</w:t>
      </w:r>
      <w:r w:rsidR="00773C25">
        <w:rPr>
          <w:color w:val="0071BB"/>
        </w:rPr>
        <w:t>u</w:t>
      </w:r>
      <w:r>
        <w:rPr>
          <w:color w:val="0071BB"/>
        </w:rPr>
        <w:t xml:space="preserve"> skarżącego w strefie tranzytowej moskiewskiego portu lotniczego</w:t>
      </w:r>
      <w:r w:rsidR="000C1CCA">
        <w:rPr>
          <w:color w:val="0071BB"/>
        </w:rPr>
        <w:t>,</w:t>
      </w:r>
      <w:r>
        <w:rPr>
          <w:color w:val="0071BB"/>
        </w:rPr>
        <w:t xml:space="preserve"> </w:t>
      </w:r>
      <w:r w:rsidR="000C1CCA">
        <w:rPr>
          <w:color w:val="0071BB"/>
        </w:rPr>
        <w:t xml:space="preserve">za które odpowiedzialne były rosyjskie władze, </w:t>
      </w:r>
      <w:r>
        <w:rPr>
          <w:color w:val="0071BB"/>
        </w:rPr>
        <w:t>w praktyce był</w:t>
      </w:r>
      <w:r w:rsidR="00773C25">
        <w:rPr>
          <w:color w:val="0071BB"/>
        </w:rPr>
        <w:t>y</w:t>
      </w:r>
      <w:r>
        <w:rPr>
          <w:color w:val="0071BB"/>
        </w:rPr>
        <w:t xml:space="preserve"> </w:t>
      </w:r>
      <w:r w:rsidR="000C1CCA">
        <w:rPr>
          <w:color w:val="0071BB"/>
        </w:rPr>
        <w:t>równoznaczne</w:t>
      </w:r>
      <w:r>
        <w:rPr>
          <w:color w:val="0071BB"/>
        </w:rPr>
        <w:t xml:space="preserve"> z pozbawieniem wolności</w:t>
      </w:r>
      <w:r w:rsidR="000C1CCA">
        <w:rPr>
          <w:color w:val="0071BB"/>
        </w:rPr>
        <w:t>.</w:t>
      </w:r>
      <w:r>
        <w:rPr>
          <w:color w:val="0071BB"/>
        </w:rPr>
        <w:t xml:space="preserve"> Z uwagi na brak dostępności i przewidywalności Wytycznych w sprawie przekraczania granicy Trybunał uznał, że system krajowy nie chronił skarżącego przed arbitralnym pobawieniem wolności, </w:t>
      </w:r>
      <w:r w:rsidR="000C1CCA">
        <w:rPr>
          <w:color w:val="0071BB"/>
        </w:rPr>
        <w:t>z</w:t>
      </w:r>
      <w:r>
        <w:rPr>
          <w:color w:val="0071BB"/>
        </w:rPr>
        <w:t xml:space="preserve"> </w:t>
      </w:r>
      <w:r>
        <w:rPr>
          <w:b/>
          <w:bCs/>
          <w:color w:val="0071BB"/>
        </w:rPr>
        <w:t>naruszenie</w:t>
      </w:r>
      <w:r w:rsidR="000C1CCA">
        <w:rPr>
          <w:b/>
          <w:bCs/>
          <w:color w:val="0071BB"/>
        </w:rPr>
        <w:t>m</w:t>
      </w:r>
      <w:r>
        <w:rPr>
          <w:b/>
          <w:bCs/>
          <w:color w:val="0071BB"/>
        </w:rPr>
        <w:t xml:space="preserve"> art. 5 ust. 1 </w:t>
      </w:r>
      <w:r>
        <w:rPr>
          <w:color w:val="0071BB"/>
        </w:rPr>
        <w:t>Konwencji (prawo do wolności i bezpieczeństwa osobistego).</w:t>
      </w:r>
    </w:p>
    <w:p w14:paraId="6EFE02F0" w14:textId="77777777" w:rsidR="00A64743" w:rsidRDefault="00711FD6">
      <w:pPr>
        <w:pStyle w:val="Nagwek2"/>
        <w:spacing w:before="120"/>
        <w:ind w:left="879"/>
        <w:rPr>
          <w:u w:val="none"/>
        </w:rPr>
      </w:pPr>
      <w:hyperlink r:id="rId21">
        <w:proofErr w:type="spellStart"/>
        <w:r w:rsidR="001A3819">
          <w:rPr>
            <w:color w:val="0071BB"/>
            <w:u w:val="thick" w:color="0071BB"/>
          </w:rPr>
          <w:t>Khlaifia</w:t>
        </w:r>
        <w:proofErr w:type="spellEnd"/>
        <w:r w:rsidR="001A3819">
          <w:rPr>
            <w:color w:val="0071BB"/>
            <w:u w:val="thick" w:color="0071BB"/>
          </w:rPr>
          <w:t xml:space="preserve"> i Inni przeciwko Włochom</w:t>
        </w:r>
      </w:hyperlink>
    </w:p>
    <w:p w14:paraId="21C39F69" w14:textId="77777777" w:rsidR="00A64743" w:rsidRDefault="001A3819">
      <w:pPr>
        <w:spacing w:before="60" w:line="218" w:lineRule="exact"/>
        <w:ind w:left="880"/>
        <w:jc w:val="both"/>
        <w:rPr>
          <w:sz w:val="18"/>
        </w:rPr>
      </w:pPr>
      <w:r>
        <w:rPr>
          <w:color w:val="808080"/>
          <w:sz w:val="18"/>
        </w:rPr>
        <w:t>15 grudnia 2016 r. (Wielka Izba)</w:t>
      </w:r>
    </w:p>
    <w:p w14:paraId="68C73A1C" w14:textId="61116849" w:rsidR="00A64743" w:rsidRDefault="001A3819">
      <w:pPr>
        <w:pStyle w:val="Tekstpodstawowy"/>
        <w:ind w:left="879" w:right="974"/>
      </w:pPr>
      <w:r>
        <w:t xml:space="preserve">Sprawa dotyczyła umieszczenia w ośrodku recepcyjnym na </w:t>
      </w:r>
      <w:proofErr w:type="spellStart"/>
      <w:r>
        <w:t>Lampeduzie</w:t>
      </w:r>
      <w:proofErr w:type="spellEnd"/>
      <w:r>
        <w:t xml:space="preserve">, a następnie na statkach </w:t>
      </w:r>
      <w:r w:rsidR="000C1CCA">
        <w:t>za</w:t>
      </w:r>
      <w:r>
        <w:t xml:space="preserve">cumowanych w porcie w Palermo, jak również </w:t>
      </w:r>
      <w:r w:rsidR="000C1CCA">
        <w:t xml:space="preserve">deportowania </w:t>
      </w:r>
      <w:r>
        <w:t>do Tunezji nielegalnych migrantów, którzy znaleźli się na wybrzeżu Włoch w 2011 r. podczas wydarzeń powiązanych z tzw. Arabską Wiosną.</w:t>
      </w:r>
    </w:p>
    <w:p w14:paraId="3E0D4280" w14:textId="7A870D4A" w:rsidR="00A64743" w:rsidRDefault="001A3819" w:rsidP="000C1207">
      <w:pPr>
        <w:pStyle w:val="Tekstpodstawowy"/>
        <w:ind w:left="879" w:right="975"/>
      </w:pPr>
      <w:r>
        <w:rPr>
          <w:color w:val="0071BB"/>
        </w:rPr>
        <w:t xml:space="preserve">Wielka Izba orzekła, że doszło do </w:t>
      </w:r>
      <w:r>
        <w:rPr>
          <w:b/>
          <w:bCs/>
          <w:color w:val="0071BB"/>
        </w:rPr>
        <w:t xml:space="preserve">naruszenia art. 5 ust. 1 </w:t>
      </w:r>
      <w:r>
        <w:rPr>
          <w:color w:val="0071BB"/>
        </w:rPr>
        <w:t xml:space="preserve">Konwencji (prawo do wolności i bezpieczeństwa osobistego), </w:t>
      </w:r>
      <w:r>
        <w:rPr>
          <w:b/>
          <w:bCs/>
          <w:color w:val="0071BB"/>
        </w:rPr>
        <w:t xml:space="preserve">naruszenia art. 5 ust. 2 </w:t>
      </w:r>
      <w:r>
        <w:rPr>
          <w:color w:val="0071BB"/>
        </w:rPr>
        <w:t xml:space="preserve">Konwencji (prawo do niezwłocznego uzyskania informacji o przyczynach </w:t>
      </w:r>
      <w:r w:rsidR="002E159B">
        <w:rPr>
          <w:color w:val="0071BB"/>
        </w:rPr>
        <w:t>zatrzymania</w:t>
      </w:r>
      <w:r>
        <w:rPr>
          <w:color w:val="0071BB"/>
        </w:rPr>
        <w:t xml:space="preserve">) oraz </w:t>
      </w:r>
      <w:r>
        <w:rPr>
          <w:b/>
          <w:bCs/>
          <w:color w:val="0071BB"/>
        </w:rPr>
        <w:t xml:space="preserve">naruszenia art. 5 </w:t>
      </w:r>
      <w:r>
        <w:rPr>
          <w:b/>
          <w:bCs/>
          <w:color w:val="0071BB"/>
        </w:rPr>
        <w:lastRenderedPageBreak/>
        <w:t xml:space="preserve">ust. 4 </w:t>
      </w:r>
      <w:r>
        <w:rPr>
          <w:color w:val="0071BB"/>
        </w:rPr>
        <w:t xml:space="preserve">Konwencji (prawo do bezzwłocznego </w:t>
      </w:r>
      <w:r w:rsidR="002E159B">
        <w:rPr>
          <w:color w:val="0071BB"/>
        </w:rPr>
        <w:t xml:space="preserve">zbadania </w:t>
      </w:r>
      <w:r>
        <w:rPr>
          <w:color w:val="0071BB"/>
        </w:rPr>
        <w:t>przez sąd legalności pozbawienia wolności).</w:t>
      </w:r>
      <w:r w:rsidR="006346C2">
        <w:rPr>
          <w:color w:val="0071BB"/>
        </w:rPr>
        <w:t xml:space="preserve"> </w:t>
      </w:r>
      <w:r>
        <w:rPr>
          <w:color w:val="0071BB"/>
        </w:rPr>
        <w:t>Trybunał zauważył</w:t>
      </w:r>
      <w:r w:rsidR="002E159B" w:rsidRPr="002E159B">
        <w:rPr>
          <w:color w:val="0071BB"/>
        </w:rPr>
        <w:t xml:space="preserve"> </w:t>
      </w:r>
      <w:r w:rsidR="002E159B">
        <w:rPr>
          <w:color w:val="0071BB"/>
        </w:rPr>
        <w:t>w szczególności</w:t>
      </w:r>
      <w:r>
        <w:rPr>
          <w:color w:val="0071BB"/>
        </w:rPr>
        <w:t xml:space="preserve">, że pozbawienie skarżących wolności bez jasnej i dostępnej podstawy nie czyniło zadość ogólnej zasadzie pewności prawa i </w:t>
      </w:r>
      <w:r w:rsidR="002E159B">
        <w:rPr>
          <w:color w:val="0071BB"/>
        </w:rPr>
        <w:t>było niezgodne</w:t>
      </w:r>
      <w:r>
        <w:rPr>
          <w:color w:val="0071BB"/>
        </w:rPr>
        <w:t xml:space="preserve"> z potrzebą ochrony jednostki przed arbitralnością. Decyzje o odmowie </w:t>
      </w:r>
      <w:r w:rsidR="002E159B">
        <w:rPr>
          <w:color w:val="0071BB"/>
        </w:rPr>
        <w:t xml:space="preserve">zezwolenia na wjazd </w:t>
      </w:r>
      <w:r>
        <w:rPr>
          <w:color w:val="0071BB"/>
        </w:rPr>
        <w:t xml:space="preserve">wydane przez włoskie organy nie </w:t>
      </w:r>
      <w:r w:rsidR="00F03095">
        <w:rPr>
          <w:color w:val="0071BB"/>
        </w:rPr>
        <w:t>odnosiły się</w:t>
      </w:r>
      <w:r>
        <w:rPr>
          <w:color w:val="0071BB"/>
        </w:rPr>
        <w:t xml:space="preserve"> do prawnych i faktycznych podstaw pobawienia skarżących wolności i nie przedstawiono ich „niezwłocznie” </w:t>
      </w:r>
      <w:r w:rsidR="00F03095">
        <w:rPr>
          <w:color w:val="0071BB"/>
        </w:rPr>
        <w:t xml:space="preserve">skarżącym. </w:t>
      </w:r>
      <w:r>
        <w:rPr>
          <w:color w:val="0071BB"/>
        </w:rPr>
        <w:t>Wielka Izba zauważyła również, że włoski system prawny nie zapewnił im środka odwoławczego, dzięki któremu mo</w:t>
      </w:r>
      <w:r w:rsidR="000C1207">
        <w:rPr>
          <w:color w:val="0071BB"/>
        </w:rPr>
        <w:t>gliby uzyskać orzeczenie sądu w </w:t>
      </w:r>
      <w:r>
        <w:rPr>
          <w:color w:val="0071BB"/>
        </w:rPr>
        <w:t xml:space="preserve">przedmiocie legalności pozbawienia ich wolności. Wielka Izba </w:t>
      </w:r>
      <w:r w:rsidR="00F03095">
        <w:rPr>
          <w:color w:val="0071BB"/>
        </w:rPr>
        <w:t>uznała także</w:t>
      </w:r>
      <w:r>
        <w:rPr>
          <w:color w:val="0071BB"/>
        </w:rPr>
        <w:t xml:space="preserve">, że </w:t>
      </w:r>
      <w:r>
        <w:rPr>
          <w:b/>
          <w:bCs/>
          <w:color w:val="0071BB"/>
        </w:rPr>
        <w:t>nie doszło do</w:t>
      </w:r>
      <w:r w:rsidR="000C1207">
        <w:rPr>
          <w:b/>
          <w:sz w:val="15"/>
        </w:rPr>
        <w:t xml:space="preserve"> </w:t>
      </w:r>
      <w:r>
        <w:rPr>
          <w:b/>
          <w:bCs/>
          <w:color w:val="0071BB"/>
        </w:rPr>
        <w:t xml:space="preserve">naruszenia art. 4 </w:t>
      </w:r>
      <w:r w:rsidR="00F03095">
        <w:rPr>
          <w:b/>
          <w:bCs/>
          <w:color w:val="0071BB"/>
        </w:rPr>
        <w:t xml:space="preserve">protokołu nr 4 </w:t>
      </w:r>
      <w:r w:rsidR="00F03095" w:rsidRPr="004B7905">
        <w:rPr>
          <w:color w:val="0071BB"/>
        </w:rPr>
        <w:t>do</w:t>
      </w:r>
      <w:r w:rsidR="00F03095">
        <w:rPr>
          <w:b/>
          <w:bCs/>
          <w:color w:val="0071BB"/>
        </w:rPr>
        <w:t xml:space="preserve"> </w:t>
      </w:r>
      <w:r>
        <w:rPr>
          <w:color w:val="0071BB"/>
        </w:rPr>
        <w:t xml:space="preserve">Konwencji (zakaz zbiorowego wydalania cudzoziemców), </w:t>
      </w:r>
      <w:r>
        <w:rPr>
          <w:b/>
          <w:bCs/>
          <w:color w:val="0071BB"/>
        </w:rPr>
        <w:t>nie doszło do naruszenia art. 13</w:t>
      </w:r>
      <w:r>
        <w:rPr>
          <w:color w:val="0071BB"/>
        </w:rPr>
        <w:t xml:space="preserve"> Konwencji </w:t>
      </w:r>
      <w:r w:rsidR="00B66426">
        <w:rPr>
          <w:b/>
          <w:bCs/>
          <w:color w:val="0071BB"/>
        </w:rPr>
        <w:t>w zw. z art. 4 protokołu nr 4</w:t>
      </w:r>
      <w:r w:rsidR="00B66426">
        <w:rPr>
          <w:color w:val="0071BB"/>
        </w:rPr>
        <w:t xml:space="preserve"> do Konwencji </w:t>
      </w:r>
      <w:r>
        <w:rPr>
          <w:color w:val="0071BB"/>
        </w:rPr>
        <w:t xml:space="preserve">(prawo do skutecznego środka odwoławczego), </w:t>
      </w:r>
      <w:r>
        <w:rPr>
          <w:b/>
          <w:bCs/>
          <w:color w:val="0071BB"/>
        </w:rPr>
        <w:t>nie doszło do</w:t>
      </w:r>
      <w:r>
        <w:rPr>
          <w:color w:val="0071BB"/>
        </w:rPr>
        <w:t xml:space="preserve"> </w:t>
      </w:r>
      <w:r>
        <w:rPr>
          <w:b/>
          <w:bCs/>
          <w:color w:val="0071BB"/>
        </w:rPr>
        <w:t xml:space="preserve">naruszenia art. 3 </w:t>
      </w:r>
      <w:r>
        <w:rPr>
          <w:color w:val="0071BB"/>
        </w:rPr>
        <w:t xml:space="preserve">Konwencji (zakaz nieludzkiego lub poniżającego traktowania) zarówno w odniesieniu do warunków w ośrodku recepcyjnym i </w:t>
      </w:r>
      <w:r w:rsidR="00B66426">
        <w:rPr>
          <w:color w:val="0071BB"/>
        </w:rPr>
        <w:t xml:space="preserve">centrum </w:t>
      </w:r>
      <w:r>
        <w:rPr>
          <w:color w:val="0071BB"/>
        </w:rPr>
        <w:t xml:space="preserve">pomocy na </w:t>
      </w:r>
      <w:proofErr w:type="spellStart"/>
      <w:r>
        <w:rPr>
          <w:color w:val="0071BB"/>
        </w:rPr>
        <w:t>Lampeduzie</w:t>
      </w:r>
      <w:proofErr w:type="spellEnd"/>
      <w:r>
        <w:rPr>
          <w:color w:val="0071BB"/>
        </w:rPr>
        <w:t>, jak i na statkach w porcie Palermo</w:t>
      </w:r>
      <w:r w:rsidR="00B66426">
        <w:rPr>
          <w:color w:val="0071BB"/>
        </w:rPr>
        <w:t xml:space="preserve"> oraz</w:t>
      </w:r>
      <w:r>
        <w:rPr>
          <w:color w:val="0071BB"/>
        </w:rPr>
        <w:t xml:space="preserve"> że </w:t>
      </w:r>
      <w:r w:rsidR="00B66426">
        <w:rPr>
          <w:b/>
          <w:bCs/>
          <w:color w:val="0071BB"/>
        </w:rPr>
        <w:t>doszło do naruszenia</w:t>
      </w:r>
      <w:r>
        <w:rPr>
          <w:b/>
          <w:bCs/>
          <w:color w:val="0071BB"/>
        </w:rPr>
        <w:t xml:space="preserve"> art. 13 </w:t>
      </w:r>
      <w:r w:rsidR="00B66426">
        <w:rPr>
          <w:b/>
          <w:bCs/>
          <w:color w:val="0071BB"/>
        </w:rPr>
        <w:t xml:space="preserve">w zw. z art. 3 </w:t>
      </w:r>
      <w:r>
        <w:rPr>
          <w:color w:val="0071BB"/>
        </w:rPr>
        <w:t>Konwencji (prawo do skutecznego środka odwoławczego) na skutek braku środka odwoławczego, który umożliwiałby skarżący</w:t>
      </w:r>
      <w:r w:rsidR="000C1207">
        <w:rPr>
          <w:color w:val="0071BB"/>
        </w:rPr>
        <w:t>m złożenie skargi na warunki, w </w:t>
      </w:r>
      <w:r>
        <w:rPr>
          <w:color w:val="0071BB"/>
        </w:rPr>
        <w:t xml:space="preserve">których przebywali w ośrodku recepcyjnym na </w:t>
      </w:r>
      <w:proofErr w:type="spellStart"/>
      <w:r>
        <w:rPr>
          <w:color w:val="0071BB"/>
        </w:rPr>
        <w:t>Lampeduzie</w:t>
      </w:r>
      <w:proofErr w:type="spellEnd"/>
      <w:r>
        <w:rPr>
          <w:color w:val="0071BB"/>
        </w:rPr>
        <w:t xml:space="preserve"> lub na statkach.</w:t>
      </w:r>
    </w:p>
    <w:p w14:paraId="1DBD0BC8" w14:textId="77777777" w:rsidR="00A64743" w:rsidRDefault="00711FD6">
      <w:pPr>
        <w:pStyle w:val="Nagwek2"/>
        <w:spacing w:before="120"/>
        <w:ind w:left="879"/>
        <w:rPr>
          <w:u w:val="none"/>
        </w:rPr>
      </w:pPr>
      <w:hyperlink r:id="rId22">
        <w:r w:rsidR="001A3819">
          <w:rPr>
            <w:color w:val="0071BB"/>
            <w:u w:val="thick" w:color="0071BB"/>
          </w:rPr>
          <w:t>S.K. przeciwko Rosji (skarga nr 52722/15)</w:t>
        </w:r>
      </w:hyperlink>
    </w:p>
    <w:p w14:paraId="7879C4FB" w14:textId="77777777" w:rsidR="00A64743" w:rsidRDefault="001A3819">
      <w:pPr>
        <w:spacing w:before="61" w:line="218" w:lineRule="exact"/>
        <w:ind w:left="880"/>
        <w:jc w:val="both"/>
        <w:rPr>
          <w:sz w:val="18"/>
        </w:rPr>
      </w:pPr>
      <w:r>
        <w:rPr>
          <w:color w:val="808080"/>
          <w:sz w:val="18"/>
        </w:rPr>
        <w:t>14 lutego 2017 r.</w:t>
      </w:r>
    </w:p>
    <w:p w14:paraId="7286BC67" w14:textId="3A2C000E" w:rsidR="00A64743" w:rsidRDefault="00FC2D9A">
      <w:pPr>
        <w:pStyle w:val="Tekstpodstawowy"/>
        <w:ind w:right="975"/>
      </w:pPr>
      <w:r>
        <w:t>Sprawa dotyczy</w:t>
      </w:r>
      <w:r w:rsidR="001A3819">
        <w:t xml:space="preserve"> decyzj</w:t>
      </w:r>
      <w:r>
        <w:t>i</w:t>
      </w:r>
      <w:r w:rsidR="001A3819">
        <w:t xml:space="preserve"> </w:t>
      </w:r>
      <w:r>
        <w:t>władz</w:t>
      </w:r>
      <w:r w:rsidR="001A3819">
        <w:t xml:space="preserve"> </w:t>
      </w:r>
      <w:r>
        <w:t xml:space="preserve">rosyjskich </w:t>
      </w:r>
      <w:r w:rsidR="001A3819">
        <w:t>o pozbawieniu wolności skarżącego</w:t>
      </w:r>
      <w:r>
        <w:t>,</w:t>
      </w:r>
      <w:r w:rsidR="001A3819">
        <w:t xml:space="preserve"> będącego obywatelem syryjskim i wydaleniu go do kraju pochodzenia. Skarżący </w:t>
      </w:r>
      <w:r>
        <w:t>zarzucał</w:t>
      </w:r>
      <w:r w:rsidR="001A3819">
        <w:t xml:space="preserve"> w szczególności, że pozbawienie go wolności było arbitralne, </w:t>
      </w:r>
      <w:r w:rsidR="007A338E">
        <w:t xml:space="preserve">biorąc pod uwagę, że </w:t>
      </w:r>
      <w:r w:rsidR="001A3819">
        <w:t>nie mógł być wydalony do Syrii</w:t>
      </w:r>
      <w:r w:rsidR="007A338E">
        <w:t xml:space="preserve"> oraz</w:t>
      </w:r>
      <w:r w:rsidR="001A3819">
        <w:t xml:space="preserve"> że nie istniała procedura krajowa, z której mógłby skorzystać w celu przeprowadzenia sądowej kontroli pozbawienia wolności.</w:t>
      </w:r>
    </w:p>
    <w:p w14:paraId="35F6B8EC" w14:textId="18AD2916" w:rsidR="00A64743" w:rsidRDefault="001A3819">
      <w:pPr>
        <w:pStyle w:val="Tekstpodstawowy"/>
        <w:ind w:right="973" w:hanging="1"/>
      </w:pPr>
      <w:r>
        <w:rPr>
          <w:color w:val="0071BB"/>
        </w:rPr>
        <w:t xml:space="preserve">Trybunał </w:t>
      </w:r>
      <w:r w:rsidR="007A338E">
        <w:rPr>
          <w:color w:val="0071BB"/>
        </w:rPr>
        <w:t>stwierdził</w:t>
      </w:r>
      <w:r>
        <w:rPr>
          <w:color w:val="0071BB"/>
        </w:rPr>
        <w:t xml:space="preserve">, że doszło do </w:t>
      </w:r>
      <w:r>
        <w:rPr>
          <w:b/>
          <w:bCs/>
          <w:color w:val="0071BB"/>
        </w:rPr>
        <w:t xml:space="preserve">naruszenia art. 5 ust. 1 </w:t>
      </w:r>
      <w:r w:rsidR="000C1207">
        <w:rPr>
          <w:color w:val="0071BB"/>
        </w:rPr>
        <w:t>Konwencji (prawo do wolności i </w:t>
      </w:r>
      <w:r>
        <w:rPr>
          <w:color w:val="0071BB"/>
        </w:rPr>
        <w:t xml:space="preserve">bezpieczeństwa osobistego) oraz </w:t>
      </w:r>
      <w:r>
        <w:rPr>
          <w:b/>
          <w:bCs/>
          <w:color w:val="0071BB"/>
        </w:rPr>
        <w:t>art. 5 ust. 4</w:t>
      </w:r>
      <w:r>
        <w:rPr>
          <w:color w:val="0071BB"/>
        </w:rPr>
        <w:t xml:space="preserve"> Konwencji (prawo do bezzwłocznego </w:t>
      </w:r>
      <w:r w:rsidR="007A338E">
        <w:rPr>
          <w:color w:val="0071BB"/>
        </w:rPr>
        <w:t xml:space="preserve">zbadania </w:t>
      </w:r>
      <w:r>
        <w:rPr>
          <w:color w:val="0071BB"/>
        </w:rPr>
        <w:t>przez sąd legalności pozbawienia wolności) ze względu na pozbawienie skarżącego wolności w celu wykonania kary wydalenia</w:t>
      </w:r>
      <w:r w:rsidR="000C1207">
        <w:rPr>
          <w:color w:val="0071BB"/>
        </w:rPr>
        <w:t xml:space="preserve"> administracyjnego.</w:t>
      </w:r>
      <w:r w:rsidR="006346C2">
        <w:rPr>
          <w:color w:val="0071BB"/>
        </w:rPr>
        <w:t xml:space="preserve"> </w:t>
      </w:r>
      <w:r w:rsidR="000C1207">
        <w:rPr>
          <w:color w:val="0071BB"/>
        </w:rPr>
        <w:t>Zauważył w </w:t>
      </w:r>
      <w:r>
        <w:rPr>
          <w:color w:val="0071BB"/>
        </w:rPr>
        <w:t>szczególności, że ani Kodeks wykroczeń administracyjnych ani inne obowiązujące przepisy prawa nie przewidywały procedury, która umożliwiałaby skarżącemu przeprowadzenie kontroli sądowej decyzji o pozbawieniu</w:t>
      </w:r>
      <w:r w:rsidR="000C1207">
        <w:rPr>
          <w:color w:val="0071BB"/>
        </w:rPr>
        <w:t xml:space="preserve"> wolności i uzyskanie decyzji o </w:t>
      </w:r>
      <w:r>
        <w:rPr>
          <w:color w:val="0071BB"/>
        </w:rPr>
        <w:t>zwolnieniu. Nie istniały również żadne przepisy</w:t>
      </w:r>
      <w:r w:rsidR="00AF5EDA">
        <w:rPr>
          <w:color w:val="0071BB"/>
        </w:rPr>
        <w:t xml:space="preserve"> zobowiązujące do automatycznego regularnego badania pozbawienia go wolności</w:t>
      </w:r>
      <w:r>
        <w:rPr>
          <w:color w:val="0071BB"/>
        </w:rPr>
        <w:t>. Trybunał zauważył</w:t>
      </w:r>
      <w:r w:rsidR="00AF5EDA">
        <w:rPr>
          <w:color w:val="0071BB"/>
        </w:rPr>
        <w:t xml:space="preserve"> także</w:t>
      </w:r>
      <w:r>
        <w:rPr>
          <w:color w:val="0071BB"/>
        </w:rPr>
        <w:t>, że pozbawienie wolności w celu wydalenia byłoby zgodne z art. 5 ust. 1 Konwencji jedynie wówczas, gdyby postępowanie w przedmiocie wydalenia toczyło się i było prowadzone z zachowaniem należytej staranności, a pozbawienie wolności byłoby zgodne z pr</w:t>
      </w:r>
      <w:r w:rsidR="000C1207">
        <w:rPr>
          <w:color w:val="0071BB"/>
        </w:rPr>
        <w:t>awem i nie byłoby arbitralne. W </w:t>
      </w:r>
      <w:r>
        <w:rPr>
          <w:color w:val="0071BB"/>
        </w:rPr>
        <w:t xml:space="preserve">tej sprawie należy uznać, że w lutym i marcu 2015 r. dla organów rosyjskich dostatecznie oczywiste powinno było być, że wydalenie skarżącego do Syrii </w:t>
      </w:r>
      <w:r w:rsidR="00E3061A">
        <w:rPr>
          <w:color w:val="0071BB"/>
        </w:rPr>
        <w:t>było niewykonalne</w:t>
      </w:r>
      <w:r>
        <w:rPr>
          <w:color w:val="0071BB"/>
        </w:rPr>
        <w:t>, jak również że pozostanie mało prawdopodobne ze względu na zaostrzający się konflikt w Syrii.</w:t>
      </w:r>
      <w:r w:rsidR="006346C2">
        <w:rPr>
          <w:color w:val="0071BB"/>
        </w:rPr>
        <w:t xml:space="preserve"> </w:t>
      </w:r>
      <w:r w:rsidR="00E3061A">
        <w:rPr>
          <w:color w:val="0071BB"/>
        </w:rPr>
        <w:t>Na władzach spoczywał</w:t>
      </w:r>
      <w:r>
        <w:rPr>
          <w:color w:val="0071BB"/>
        </w:rPr>
        <w:t xml:space="preserve"> zatem obowiązek rozważenia alternatywnych rozwiązań.</w:t>
      </w:r>
      <w:r w:rsidR="006346C2">
        <w:rPr>
          <w:color w:val="0071BB"/>
        </w:rPr>
        <w:t xml:space="preserve"> </w:t>
      </w:r>
      <w:r>
        <w:rPr>
          <w:color w:val="0071BB"/>
        </w:rPr>
        <w:t>Ty</w:t>
      </w:r>
      <w:r w:rsidR="000C1207">
        <w:rPr>
          <w:color w:val="0071BB"/>
        </w:rPr>
        <w:t>m niemniej po wydaniu decyzji o </w:t>
      </w:r>
      <w:r>
        <w:rPr>
          <w:color w:val="0071BB"/>
        </w:rPr>
        <w:t xml:space="preserve">umieszczeniu skarżącego w specjalnym ośrodku detencyjnym dla obcokrajowców nie dokonano powtórnej oceny zasadności pozbawienia wolności. Wreszcie na podstawie </w:t>
      </w:r>
      <w:r>
        <w:rPr>
          <w:b/>
          <w:bCs/>
          <w:color w:val="0071BB"/>
        </w:rPr>
        <w:t xml:space="preserve">art. 46 </w:t>
      </w:r>
      <w:r>
        <w:rPr>
          <w:color w:val="0071BB"/>
        </w:rPr>
        <w:t>Konwencji (moc obowiązująca oraz wykonywa</w:t>
      </w:r>
      <w:r w:rsidR="000C1207">
        <w:rPr>
          <w:color w:val="0071BB"/>
        </w:rPr>
        <w:t>nie wyroków) Trybunał wskazał w </w:t>
      </w:r>
      <w:r>
        <w:rPr>
          <w:color w:val="0071BB"/>
        </w:rPr>
        <w:t xml:space="preserve">odniesieniu do ustaleń dokonanych na podstawie art. 5, że właściwe byłoby </w:t>
      </w:r>
      <w:r w:rsidR="000263EC">
        <w:rPr>
          <w:color w:val="0071BB"/>
        </w:rPr>
        <w:t xml:space="preserve">niezwłoczne </w:t>
      </w:r>
      <w:r>
        <w:rPr>
          <w:color w:val="0071BB"/>
        </w:rPr>
        <w:t>zwolnienie skarżącego</w:t>
      </w:r>
      <w:r w:rsidR="000263EC">
        <w:rPr>
          <w:color w:val="0071BB"/>
        </w:rPr>
        <w:t>,</w:t>
      </w:r>
      <w:r>
        <w:rPr>
          <w:color w:val="0071BB"/>
        </w:rPr>
        <w:t xml:space="preserve"> nie później niż w dniu następującym po dniu</w:t>
      </w:r>
      <w:r w:rsidR="000263EC">
        <w:rPr>
          <w:color w:val="0071BB"/>
        </w:rPr>
        <w:t xml:space="preserve"> ogłoszenia</w:t>
      </w:r>
      <w:r>
        <w:rPr>
          <w:color w:val="0071BB"/>
        </w:rPr>
        <w:t xml:space="preserve">, </w:t>
      </w:r>
      <w:r w:rsidR="000263EC">
        <w:rPr>
          <w:color w:val="0071BB"/>
        </w:rPr>
        <w:t>że niniejszy</w:t>
      </w:r>
      <w:r>
        <w:rPr>
          <w:color w:val="0071BB"/>
        </w:rPr>
        <w:t xml:space="preserve"> wyrok stał się ostateczny.</w:t>
      </w:r>
    </w:p>
    <w:p w14:paraId="5521192A" w14:textId="77777777" w:rsidR="00A64743" w:rsidRDefault="00711FD6" w:rsidP="000C1207">
      <w:pPr>
        <w:spacing w:before="120"/>
        <w:ind w:left="880" w:right="967"/>
        <w:jc w:val="both"/>
        <w:rPr>
          <w:sz w:val="16"/>
        </w:rPr>
      </w:pPr>
      <w:hyperlink r:id="rId23">
        <w:r w:rsidR="001A3819">
          <w:rPr>
            <w:b/>
            <w:color w:val="0071BB"/>
            <w:sz w:val="20"/>
            <w:u w:val="thick" w:color="0071BB"/>
          </w:rPr>
          <w:t>J.R. i inni przeciwko Grecji (skarga nr 22696/16)</w:t>
        </w:r>
      </w:hyperlink>
      <w:r w:rsidR="001A3819">
        <w:rPr>
          <w:b/>
          <w:color w:val="0071BB"/>
          <w:sz w:val="20"/>
        </w:rPr>
        <w:t xml:space="preserve"> </w:t>
      </w:r>
      <w:r w:rsidR="001A3819">
        <w:rPr>
          <w:color w:val="808080"/>
          <w:sz w:val="16"/>
        </w:rPr>
        <w:t>(zobacz również poniżej „Warunki pozbawienia wolności”)</w:t>
      </w:r>
    </w:p>
    <w:p w14:paraId="71CF3B85" w14:textId="77777777" w:rsidR="00A64743" w:rsidRDefault="001A3819">
      <w:pPr>
        <w:spacing w:before="59" w:line="218" w:lineRule="exact"/>
        <w:ind w:left="880"/>
        <w:jc w:val="both"/>
        <w:rPr>
          <w:sz w:val="18"/>
        </w:rPr>
      </w:pPr>
      <w:r>
        <w:rPr>
          <w:color w:val="808080"/>
          <w:sz w:val="18"/>
        </w:rPr>
        <w:t>25 stycznia 2018 r.</w:t>
      </w:r>
    </w:p>
    <w:p w14:paraId="362B404C" w14:textId="657512AA" w:rsidR="00A64743" w:rsidRDefault="001A3819">
      <w:pPr>
        <w:pStyle w:val="Tekstpodstawowy"/>
        <w:ind w:left="879" w:right="977"/>
      </w:pPr>
      <w:r>
        <w:t xml:space="preserve">Sprawa dotyczyła warunków przetrzymywania trzech obywateli afgańskich w ośrodku recepcyjnym w </w:t>
      </w:r>
      <w:proofErr w:type="spellStart"/>
      <w:r>
        <w:t>Vial</w:t>
      </w:r>
      <w:proofErr w:type="spellEnd"/>
      <w:r>
        <w:t xml:space="preserve"> na greckiej wyspie Chios oraz okoliczności pozbawienia wolności tych osób. Skarżący </w:t>
      </w:r>
      <w:r w:rsidR="00550CBE">
        <w:t>podnosili</w:t>
      </w:r>
      <w:r>
        <w:t xml:space="preserve"> w szczególności kwestię </w:t>
      </w:r>
      <w:r w:rsidR="00550CBE">
        <w:t>okresu ich pozbawienia wolności, którą uważali za arbitralną</w:t>
      </w:r>
      <w:r>
        <w:t xml:space="preserve">. </w:t>
      </w:r>
      <w:r w:rsidR="00550CBE">
        <w:t xml:space="preserve">Zarzucali </w:t>
      </w:r>
      <w:r>
        <w:t xml:space="preserve">również, że nie otrzymali żadnej informacji o przyczynach </w:t>
      </w:r>
      <w:r>
        <w:lastRenderedPageBreak/>
        <w:t xml:space="preserve">pozbawienia wolności </w:t>
      </w:r>
      <w:r w:rsidR="000C1207">
        <w:t>– ani w języku ojczystym, ani w </w:t>
      </w:r>
      <w:r>
        <w:t>żadnym innym języku.</w:t>
      </w:r>
    </w:p>
    <w:p w14:paraId="344E7B80" w14:textId="699E1754" w:rsidR="001A3819" w:rsidRDefault="001A3819" w:rsidP="001A3819">
      <w:pPr>
        <w:pStyle w:val="Tekstpodstawowy"/>
        <w:spacing w:before="100"/>
        <w:ind w:left="851" w:right="978"/>
      </w:pPr>
      <w:r>
        <w:rPr>
          <w:color w:val="0071BB"/>
        </w:rPr>
        <w:t xml:space="preserve">Trybunał </w:t>
      </w:r>
      <w:r w:rsidR="00550CBE">
        <w:rPr>
          <w:color w:val="0071BB"/>
        </w:rPr>
        <w:t>stwierdził</w:t>
      </w:r>
      <w:r>
        <w:rPr>
          <w:color w:val="0071BB"/>
        </w:rPr>
        <w:t>, że</w:t>
      </w:r>
      <w:r>
        <w:rPr>
          <w:b/>
          <w:color w:val="0071BB"/>
        </w:rPr>
        <w:t xml:space="preserve"> nie doszło do naruszenia art. 5</w:t>
      </w:r>
      <w:r>
        <w:rPr>
          <w:color w:val="0071BB"/>
        </w:rPr>
        <w:t xml:space="preserve"> </w:t>
      </w:r>
      <w:r>
        <w:rPr>
          <w:b/>
          <w:bCs/>
          <w:color w:val="0071BB"/>
        </w:rPr>
        <w:t>ust. 1</w:t>
      </w:r>
      <w:r>
        <w:rPr>
          <w:color w:val="0071BB"/>
        </w:rPr>
        <w:t xml:space="preserve"> Konwencji (prawo do wolności i bezpieczeństwa osobistego). </w:t>
      </w:r>
      <w:r w:rsidR="00550CBE">
        <w:rPr>
          <w:color w:val="0071BB"/>
        </w:rPr>
        <w:t xml:space="preserve">Ustalił </w:t>
      </w:r>
      <w:r>
        <w:rPr>
          <w:color w:val="0071BB"/>
        </w:rPr>
        <w:t xml:space="preserve">w szczególności, że skarżący byli pozbawieni wolności przez pierwszy miesiąc w ośrodku, do 21 kwietnia 2016 r., kiedy stał się on ośrodkiem półotwartym. Niemniej jednak Trybunał był zdania, że miesięczny okres pozbawienia wolności, którego celem było zagwarantowanie możliwości wydalenia skarżących na podstawie deklaracji zawartej między UE a Turcją, nie był arbitralny i nie mógł być </w:t>
      </w:r>
      <w:r w:rsidR="00550CBE">
        <w:rPr>
          <w:color w:val="0071BB"/>
        </w:rPr>
        <w:t>uznany za</w:t>
      </w:r>
      <w:r>
        <w:rPr>
          <w:color w:val="0071BB"/>
        </w:rPr>
        <w:t xml:space="preserve"> „niezgodny z prawem” w rozumieniu art. 5 ust. 1 lit. f). Trybunał </w:t>
      </w:r>
      <w:r w:rsidR="00FC4F12">
        <w:rPr>
          <w:color w:val="0071BB"/>
        </w:rPr>
        <w:t>stwierdził jednak</w:t>
      </w:r>
      <w:r>
        <w:rPr>
          <w:color w:val="0071BB"/>
        </w:rPr>
        <w:t xml:space="preserve">, że doszło do </w:t>
      </w:r>
      <w:r>
        <w:rPr>
          <w:b/>
          <w:color w:val="0071BB"/>
        </w:rPr>
        <w:t xml:space="preserve">naruszenia art. 5 ust. 2 </w:t>
      </w:r>
      <w:r>
        <w:rPr>
          <w:color w:val="0071BB"/>
        </w:rPr>
        <w:t xml:space="preserve">Konwencji (prawo do niezwłocznego otrzymania informacji o przyczynach zatrzymania) uznając, że </w:t>
      </w:r>
      <w:r w:rsidR="000C1207">
        <w:rPr>
          <w:color w:val="0071BB"/>
        </w:rPr>
        <w:t>skarżący nie zostali odpowiednio</w:t>
      </w:r>
      <w:r>
        <w:rPr>
          <w:color w:val="0071BB"/>
        </w:rPr>
        <w:t xml:space="preserve"> poinformowani o przyczynach zatrzymania i dostępnych środkach odwoławczych umożliwiających zakwestionowanie pozbawienia wolności.</w:t>
      </w:r>
    </w:p>
    <w:p w14:paraId="41E4B9D0" w14:textId="77777777" w:rsidR="00A64743" w:rsidRDefault="00711FD6">
      <w:pPr>
        <w:pStyle w:val="Nagwek2"/>
        <w:spacing w:before="118"/>
        <w:ind w:left="879"/>
        <w:rPr>
          <w:u w:val="none"/>
        </w:rPr>
      </w:pPr>
      <w:hyperlink r:id="rId24">
        <w:r w:rsidR="001A3819">
          <w:rPr>
            <w:color w:val="0071BB"/>
            <w:u w:val="thick" w:color="0071BB"/>
          </w:rPr>
          <w:t>K.G. przeciwko Belgii (skarga nr 52548/15)</w:t>
        </w:r>
      </w:hyperlink>
    </w:p>
    <w:p w14:paraId="7EB93202" w14:textId="77777777" w:rsidR="00A64743" w:rsidRDefault="001A3819">
      <w:pPr>
        <w:spacing w:before="63" w:line="218" w:lineRule="exact"/>
        <w:ind w:left="880"/>
        <w:jc w:val="both"/>
        <w:rPr>
          <w:sz w:val="18"/>
        </w:rPr>
      </w:pPr>
      <w:r>
        <w:rPr>
          <w:color w:val="808080"/>
          <w:sz w:val="18"/>
        </w:rPr>
        <w:t>6 listopada 2018 r.</w:t>
      </w:r>
    </w:p>
    <w:p w14:paraId="21C06194" w14:textId="45A1D742" w:rsidR="00A64743" w:rsidRDefault="001A3819">
      <w:pPr>
        <w:pStyle w:val="Tekstpodstawowy"/>
        <w:ind w:right="976"/>
      </w:pPr>
      <w:r>
        <w:t xml:space="preserve">Sprawa dotyczyła osoby ubiegającej się o azyl, która została pozbawiona wolności i ze względów bezpieczeństwa </w:t>
      </w:r>
      <w:r w:rsidR="002001AF">
        <w:t>była przetrzymywana</w:t>
      </w:r>
      <w:r>
        <w:t xml:space="preserve"> na podstawie czterech decyzji w oczekiwaniu na rozpatrzenie wniosku o azyl. W szczególności skarżący „</w:t>
      </w:r>
      <w:r w:rsidR="002001AF">
        <w:t xml:space="preserve">pozostawał </w:t>
      </w:r>
      <w:r>
        <w:t xml:space="preserve">do dyspozycji Rządu” i </w:t>
      </w:r>
      <w:r w:rsidR="002001AF">
        <w:t xml:space="preserve">był </w:t>
      </w:r>
      <w:r>
        <w:t>przetrzymywany na tej podstawie przez około 13 miesięcy.</w:t>
      </w:r>
    </w:p>
    <w:p w14:paraId="6C6C1F23" w14:textId="7A945D0D" w:rsidR="00A64743" w:rsidRDefault="001A3819">
      <w:pPr>
        <w:pStyle w:val="Tekstpodstawowy"/>
        <w:ind w:right="975" w:hanging="1"/>
      </w:pPr>
      <w:r>
        <w:rPr>
          <w:color w:val="0071BB"/>
        </w:rPr>
        <w:t xml:space="preserve">Trybunał </w:t>
      </w:r>
      <w:r w:rsidR="002001AF">
        <w:rPr>
          <w:color w:val="0071BB"/>
        </w:rPr>
        <w:t>stwierdził</w:t>
      </w:r>
      <w:r>
        <w:rPr>
          <w:color w:val="0071BB"/>
        </w:rPr>
        <w:t>, że</w:t>
      </w:r>
      <w:r>
        <w:rPr>
          <w:b/>
          <w:color w:val="0071BB"/>
        </w:rPr>
        <w:t xml:space="preserve"> nie doszło do naruszenia art. 5</w:t>
      </w:r>
      <w:r>
        <w:rPr>
          <w:color w:val="0071BB"/>
        </w:rPr>
        <w:t xml:space="preserve"> </w:t>
      </w:r>
      <w:r>
        <w:rPr>
          <w:b/>
          <w:bCs/>
          <w:color w:val="0071BB"/>
        </w:rPr>
        <w:t>ust. 1</w:t>
      </w:r>
      <w:r>
        <w:rPr>
          <w:color w:val="0071BB"/>
        </w:rPr>
        <w:t xml:space="preserve"> Konwencji (prawo do wolności i bezpieczeństwa osobistego). Uznał w szczególności, że względy interesu publicznego miały duże znaczenie dla decyzji o dalszym pozbawieniu skarżącego wolności i </w:t>
      </w:r>
      <w:r w:rsidR="002001AF">
        <w:rPr>
          <w:color w:val="0071BB"/>
        </w:rPr>
        <w:t>nie znalazł dowodów</w:t>
      </w:r>
      <w:r>
        <w:rPr>
          <w:color w:val="0071BB"/>
        </w:rPr>
        <w:t xml:space="preserve"> arbitralności w ocenie dokonanej przez organy krajowe. Zauważył również, że zdrowie skarżącego nie było zagrożone i że w obydwu ośrodkach, w których przebywał, został on objęty szczególną opieką. Wreszcie Trybunał uznał, że z uwagi na kwestie będące przedmiotem sprawy oraz fakt, że organy krajowe działały z wymaganą starannością, okres, </w:t>
      </w:r>
      <w:r w:rsidR="002001AF">
        <w:rPr>
          <w:color w:val="0071BB"/>
        </w:rPr>
        <w:t>przez który</w:t>
      </w:r>
      <w:r>
        <w:rPr>
          <w:color w:val="0071BB"/>
        </w:rPr>
        <w:t xml:space="preserve"> skarżący pozostawał do dyspozycji Rządu, nie może </w:t>
      </w:r>
      <w:r w:rsidR="002001AF">
        <w:rPr>
          <w:color w:val="0071BB"/>
        </w:rPr>
        <w:t xml:space="preserve">być </w:t>
      </w:r>
      <w:r>
        <w:rPr>
          <w:color w:val="0071BB"/>
        </w:rPr>
        <w:t>uzna</w:t>
      </w:r>
      <w:r w:rsidR="002001AF">
        <w:rPr>
          <w:color w:val="0071BB"/>
        </w:rPr>
        <w:t>wa</w:t>
      </w:r>
      <w:r>
        <w:rPr>
          <w:color w:val="0071BB"/>
        </w:rPr>
        <w:t>ny za nadmierny.</w:t>
      </w:r>
    </w:p>
    <w:p w14:paraId="0AF380A6" w14:textId="3AD31ECE" w:rsidR="00A64743" w:rsidRDefault="001A3819" w:rsidP="008D1215">
      <w:pPr>
        <w:shd w:val="pct5" w:color="auto" w:fill="auto"/>
        <w:spacing w:before="118"/>
        <w:ind w:left="880" w:right="967"/>
        <w:jc w:val="both"/>
        <w:rPr>
          <w:b/>
          <w:sz w:val="20"/>
        </w:rPr>
      </w:pPr>
      <w:r>
        <w:rPr>
          <w:b/>
          <w:color w:val="5F5F5F"/>
          <w:sz w:val="20"/>
        </w:rPr>
        <w:t>Skargi oczekujące na rozpatrzenie</w:t>
      </w:r>
    </w:p>
    <w:p w14:paraId="3A9B0864" w14:textId="77777777" w:rsidR="00A64743" w:rsidRDefault="00711FD6" w:rsidP="008D1215">
      <w:pPr>
        <w:shd w:val="pct5" w:color="auto" w:fill="auto"/>
        <w:spacing w:before="122"/>
        <w:ind w:left="880" w:right="967"/>
        <w:jc w:val="both"/>
        <w:rPr>
          <w:sz w:val="16"/>
        </w:rPr>
      </w:pPr>
      <w:hyperlink r:id="rId25">
        <w:proofErr w:type="spellStart"/>
        <w:r w:rsidR="001A3819">
          <w:rPr>
            <w:b/>
            <w:color w:val="0071BB"/>
            <w:sz w:val="20"/>
            <w:u w:val="thick" w:color="0071BB"/>
          </w:rPr>
          <w:t>Ilias</w:t>
        </w:r>
        <w:proofErr w:type="spellEnd"/>
        <w:r w:rsidR="001A3819">
          <w:rPr>
            <w:b/>
            <w:color w:val="0071BB"/>
            <w:sz w:val="20"/>
            <w:u w:val="thick" w:color="0071BB"/>
          </w:rPr>
          <w:t xml:space="preserve"> i Ahmed przeciwko Węgrom (skarga nr 47287/15)</w:t>
        </w:r>
      </w:hyperlink>
      <w:r w:rsidR="001A3819">
        <w:rPr>
          <w:b/>
          <w:color w:val="0071BB"/>
          <w:sz w:val="20"/>
        </w:rPr>
        <w:t xml:space="preserve"> </w:t>
      </w:r>
      <w:r w:rsidR="001A3819">
        <w:rPr>
          <w:color w:val="808080"/>
          <w:sz w:val="16"/>
        </w:rPr>
        <w:t>(zobacz również poniżej „Warunki pobawienia wolności”)</w:t>
      </w:r>
    </w:p>
    <w:p w14:paraId="689DC4FC" w14:textId="28C2B196" w:rsidR="00A64743" w:rsidRDefault="001A3819" w:rsidP="008D1215">
      <w:pPr>
        <w:shd w:val="pct5" w:color="auto" w:fill="auto"/>
        <w:spacing w:before="60" w:line="218" w:lineRule="exact"/>
        <w:ind w:left="880" w:right="967"/>
        <w:jc w:val="both"/>
        <w:rPr>
          <w:sz w:val="18"/>
        </w:rPr>
      </w:pPr>
      <w:r>
        <w:rPr>
          <w:color w:val="808080"/>
          <w:sz w:val="18"/>
        </w:rPr>
        <w:t xml:space="preserve">14 marca 2017 r. – sprawa przekazana </w:t>
      </w:r>
      <w:r w:rsidR="00894FB6">
        <w:rPr>
          <w:color w:val="808080"/>
          <w:sz w:val="18"/>
        </w:rPr>
        <w:t>do Wielkiej Izby</w:t>
      </w:r>
      <w:r>
        <w:rPr>
          <w:color w:val="808080"/>
          <w:sz w:val="18"/>
        </w:rPr>
        <w:t xml:space="preserve"> we wrześniu 2017 r.</w:t>
      </w:r>
    </w:p>
    <w:p w14:paraId="079ADD87" w14:textId="0058DDEB" w:rsidR="00A64743" w:rsidRDefault="001A3819" w:rsidP="008D1215">
      <w:pPr>
        <w:pStyle w:val="Tekstpodstawowy"/>
        <w:shd w:val="pct5" w:color="auto" w:fill="auto"/>
        <w:ind w:right="967"/>
      </w:pPr>
      <w:r>
        <w:t xml:space="preserve">Sprawa dotyczy przetrzymywania przez 23 dni w strefie granicznej dwóch obywateli </w:t>
      </w:r>
      <w:r w:rsidR="00430DAF">
        <w:t xml:space="preserve">Bangladeszu </w:t>
      </w:r>
      <w:r>
        <w:t xml:space="preserve">ubiegających się o azyl, jak również wydalenia ich z Węgier do </w:t>
      </w:r>
      <w:r w:rsidR="0081737A">
        <w:t>Serbii</w:t>
      </w:r>
      <w:r>
        <w:t>. Skarżący zarzucają w szczególności, że 23-dniowy pobyt w strefie tranzytowej stanowił pobawienie wolności bez podstawy prawnej i że nie mogli oni skorzystać ze środka odwoławczego umożliwiającego odpowiednią kontrolę sądową zastosowanego wobec nich środka.</w:t>
      </w:r>
    </w:p>
    <w:p w14:paraId="5B313FAF" w14:textId="033CD016" w:rsidR="00A64743" w:rsidRDefault="001A3819" w:rsidP="008D1215">
      <w:pPr>
        <w:pStyle w:val="Tekstpodstawowy"/>
        <w:shd w:val="pct5" w:color="auto" w:fill="auto"/>
        <w:spacing w:before="1"/>
        <w:ind w:right="967"/>
      </w:pPr>
      <w:r>
        <w:rPr>
          <w:color w:val="0071BB"/>
        </w:rPr>
        <w:t xml:space="preserve">W </w:t>
      </w:r>
      <w:hyperlink r:id="rId26">
        <w:r>
          <w:rPr>
            <w:color w:val="0071BB"/>
            <w:u w:val="single" w:color="0071BB"/>
          </w:rPr>
          <w:t>wyroku</w:t>
        </w:r>
      </w:hyperlink>
      <w:r>
        <w:rPr>
          <w:color w:val="0071BB"/>
        </w:rPr>
        <w:t xml:space="preserve"> Izby Trybunał orzekł jednogłośnie, że doszło </w:t>
      </w:r>
      <w:r w:rsidR="00516F30">
        <w:rPr>
          <w:color w:val="0071BB"/>
        </w:rPr>
        <w:t xml:space="preserve">do </w:t>
      </w:r>
      <w:r>
        <w:rPr>
          <w:b/>
          <w:color w:val="0071BB"/>
        </w:rPr>
        <w:t xml:space="preserve">naruszenia art. 5 ust. 1 i 4 </w:t>
      </w:r>
      <w:r>
        <w:rPr>
          <w:color w:val="0071BB"/>
        </w:rPr>
        <w:t xml:space="preserve">Konwencji (prawo do wolności i bezpieczeństwa osobistego) uznając, że przetrzymywanie skarżących w strefie granicznej </w:t>
      </w:r>
      <w:proofErr w:type="spellStart"/>
      <w:r>
        <w:rPr>
          <w:color w:val="0071BB"/>
        </w:rPr>
        <w:t>Röszke</w:t>
      </w:r>
      <w:proofErr w:type="spellEnd"/>
      <w:r>
        <w:rPr>
          <w:color w:val="0071BB"/>
        </w:rPr>
        <w:t xml:space="preserve"> stanowiło pozbawienie wolności, co oznacza, że byli oni w sposób rzeczywisty pozbawieni wolności bez żadnej </w:t>
      </w:r>
      <w:r w:rsidR="00894FB6">
        <w:rPr>
          <w:color w:val="0071BB"/>
        </w:rPr>
        <w:t xml:space="preserve">formalnej </w:t>
      </w:r>
      <w:r>
        <w:rPr>
          <w:color w:val="0071BB"/>
        </w:rPr>
        <w:t>uzasadnionej decyzji i bez odpowiedniej kontroli sądowej.</w:t>
      </w:r>
    </w:p>
    <w:p w14:paraId="0B650CE5" w14:textId="6ED8AE9F" w:rsidR="00A64743" w:rsidRDefault="001A3819" w:rsidP="008D1215">
      <w:pPr>
        <w:pStyle w:val="Tekstpodstawowy"/>
        <w:shd w:val="pct5" w:color="auto" w:fill="auto"/>
        <w:ind w:right="967"/>
      </w:pPr>
      <w:r>
        <w:rPr>
          <w:color w:val="0071BB"/>
        </w:rPr>
        <w:t xml:space="preserve">W dniu 18 września 2017 r. </w:t>
      </w:r>
      <w:r w:rsidR="00894FB6">
        <w:rPr>
          <w:color w:val="0071BB"/>
        </w:rPr>
        <w:t>p</w:t>
      </w:r>
      <w:r>
        <w:rPr>
          <w:color w:val="0071BB"/>
        </w:rPr>
        <w:t xml:space="preserve">anel Wielkiej Izby </w:t>
      </w:r>
      <w:hyperlink r:id="rId27">
        <w:r>
          <w:rPr>
            <w:color w:val="0071BB"/>
            <w:u w:val="single" w:color="0071BB"/>
          </w:rPr>
          <w:t>uwzględnił</w:t>
        </w:r>
      </w:hyperlink>
      <w:r>
        <w:rPr>
          <w:color w:val="0071BB"/>
        </w:rPr>
        <w:t xml:space="preserve"> wniosek Rządu węgierskiego o </w:t>
      </w:r>
      <w:r w:rsidR="00894FB6">
        <w:rPr>
          <w:color w:val="0071BB"/>
        </w:rPr>
        <w:t xml:space="preserve">przekazanie </w:t>
      </w:r>
      <w:r>
        <w:rPr>
          <w:color w:val="0071BB"/>
        </w:rPr>
        <w:t>sprawy do Wielkiej Izby.</w:t>
      </w:r>
    </w:p>
    <w:p w14:paraId="3EAC6B62" w14:textId="49A8D061" w:rsidR="00A64743" w:rsidRDefault="001A3819" w:rsidP="008D1215">
      <w:pPr>
        <w:pStyle w:val="Tekstpodstawowy"/>
        <w:shd w:val="pct5" w:color="auto" w:fill="auto"/>
        <w:ind w:right="967"/>
      </w:pPr>
      <w:r>
        <w:rPr>
          <w:color w:val="0071BB"/>
        </w:rPr>
        <w:t xml:space="preserve">W dniu 18 kwietnia 2018 r. </w:t>
      </w:r>
      <w:r w:rsidR="00894FB6">
        <w:rPr>
          <w:color w:val="0071BB"/>
        </w:rPr>
        <w:t xml:space="preserve">miała miejsce </w:t>
      </w:r>
      <w:r w:rsidR="00894FB6" w:rsidRPr="004B7905">
        <w:rPr>
          <w:color w:val="0071BB"/>
          <w:u w:val="single"/>
        </w:rPr>
        <w:t>rozprawa</w:t>
      </w:r>
      <w:r w:rsidR="00894FB6">
        <w:rPr>
          <w:color w:val="0071BB"/>
        </w:rPr>
        <w:t xml:space="preserve"> przed </w:t>
      </w:r>
      <w:r>
        <w:rPr>
          <w:color w:val="0071BB"/>
        </w:rPr>
        <w:t>Wielk</w:t>
      </w:r>
      <w:r w:rsidR="00894FB6">
        <w:rPr>
          <w:color w:val="0071BB"/>
        </w:rPr>
        <w:t>ą</w:t>
      </w:r>
      <w:r>
        <w:rPr>
          <w:color w:val="0071BB"/>
        </w:rPr>
        <w:t xml:space="preserve"> Izb</w:t>
      </w:r>
      <w:r w:rsidR="00894FB6">
        <w:rPr>
          <w:color w:val="0071BB"/>
        </w:rPr>
        <w:t>ą</w:t>
      </w:r>
      <w:r>
        <w:rPr>
          <w:color w:val="0071BB"/>
        </w:rPr>
        <w:t xml:space="preserve"> w tej sprawie.</w:t>
      </w:r>
    </w:p>
    <w:p w14:paraId="77A05F4C" w14:textId="7F610E01" w:rsidR="00A64743" w:rsidRDefault="00711FD6" w:rsidP="008D1215">
      <w:pPr>
        <w:pStyle w:val="Nagwek2"/>
        <w:shd w:val="pct5" w:color="auto" w:fill="auto"/>
        <w:ind w:right="967"/>
        <w:rPr>
          <w:u w:val="none"/>
        </w:rPr>
      </w:pPr>
      <w:hyperlink r:id="rId28">
        <w:r w:rsidR="001A3819">
          <w:rPr>
            <w:color w:val="0071BB"/>
            <w:u w:val="thick" w:color="0071BB"/>
          </w:rPr>
          <w:t>Z.A. i Inni przeciwko Rosji (skargi nr</w:t>
        </w:r>
      </w:hyperlink>
      <w:hyperlink r:id="rId29">
        <w:r w:rsidR="001A3819">
          <w:rPr>
            <w:color w:val="0071BB"/>
            <w:u w:val="thick" w:color="0071BB"/>
          </w:rPr>
          <w:t xml:space="preserve"> 61411/15, 61420/15, 61427/15 i 3028/16)</w:t>
        </w:r>
      </w:hyperlink>
    </w:p>
    <w:p w14:paraId="5E74D880" w14:textId="6C4EF34D" w:rsidR="00A64743" w:rsidRDefault="001A3819" w:rsidP="008D1215">
      <w:pPr>
        <w:shd w:val="pct5" w:color="auto" w:fill="auto"/>
        <w:spacing w:before="60" w:line="218" w:lineRule="exact"/>
        <w:ind w:left="880" w:right="967"/>
        <w:jc w:val="both"/>
        <w:rPr>
          <w:sz w:val="18"/>
        </w:rPr>
      </w:pPr>
      <w:r>
        <w:rPr>
          <w:color w:val="808080"/>
          <w:sz w:val="18"/>
        </w:rPr>
        <w:t xml:space="preserve">28 marca 2017 r. – sprawa przekazana </w:t>
      </w:r>
      <w:r w:rsidR="00894FB6">
        <w:rPr>
          <w:color w:val="808080"/>
          <w:sz w:val="18"/>
        </w:rPr>
        <w:t xml:space="preserve">do </w:t>
      </w:r>
      <w:r>
        <w:rPr>
          <w:color w:val="808080"/>
          <w:sz w:val="18"/>
        </w:rPr>
        <w:t>Wielkiej Izb</w:t>
      </w:r>
      <w:r w:rsidR="00894FB6">
        <w:rPr>
          <w:color w:val="808080"/>
          <w:sz w:val="18"/>
        </w:rPr>
        <w:t>y</w:t>
      </w:r>
      <w:r>
        <w:rPr>
          <w:color w:val="808080"/>
          <w:sz w:val="18"/>
        </w:rPr>
        <w:t xml:space="preserve"> we wrześniu 2017 r.</w:t>
      </w:r>
    </w:p>
    <w:p w14:paraId="43A283F0" w14:textId="75036B78" w:rsidR="00A64743" w:rsidRDefault="001A3819" w:rsidP="008D1215">
      <w:pPr>
        <w:pStyle w:val="Tekstpodstawowy"/>
        <w:shd w:val="pct5" w:color="auto" w:fill="auto"/>
        <w:ind w:right="967"/>
      </w:pPr>
      <w:r>
        <w:t xml:space="preserve">Sprawa dotyczy zarzutów podnoszonych przez cztery osoby z Iraku, terytorium palestyńskiego, Somalii i Syrii, które podróżowały przez port lotniczy Moskwa </w:t>
      </w:r>
      <w:proofErr w:type="spellStart"/>
      <w:r>
        <w:t>Szeremietiewo</w:t>
      </w:r>
      <w:proofErr w:type="spellEnd"/>
      <w:r>
        <w:t xml:space="preserve"> i którym odmówiono wjazdu do Rosji. Troje </w:t>
      </w:r>
      <w:r w:rsidR="00894FB6">
        <w:t xml:space="preserve">spośród </w:t>
      </w:r>
      <w:r>
        <w:t xml:space="preserve">skarżących spędziło w strefie tranzytowej lotniska od pięciu do ośmiu miesięcy; jeden ze skarżących, pochodzący z Somalii, spędził w tej strefie </w:t>
      </w:r>
      <w:r w:rsidR="00657A93">
        <w:t xml:space="preserve">prawie </w:t>
      </w:r>
      <w:r>
        <w:t>dwa lata.</w:t>
      </w:r>
    </w:p>
    <w:p w14:paraId="4CAC5512" w14:textId="21D17948" w:rsidR="00A64743" w:rsidRDefault="001A3819" w:rsidP="008D1215">
      <w:pPr>
        <w:pStyle w:val="Tekstpodstawowy"/>
        <w:shd w:val="pct5" w:color="auto" w:fill="auto"/>
        <w:spacing w:before="1"/>
        <w:ind w:right="967"/>
      </w:pP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w:t>
      </w:r>
      <w:r>
        <w:rPr>
          <w:b/>
          <w:bCs/>
          <w:color w:val="0071BB"/>
        </w:rPr>
        <w:t xml:space="preserve"> ust. 1</w:t>
      </w:r>
      <w:r>
        <w:rPr>
          <w:color w:val="0071BB"/>
        </w:rPr>
        <w:t xml:space="preserve"> Konwencji (prawo do wolności i bezpieczeństwa osobistego). </w:t>
      </w:r>
      <w:r w:rsidR="00657A93">
        <w:rPr>
          <w:color w:val="0071BB"/>
        </w:rPr>
        <w:t xml:space="preserve">Stwierdził </w:t>
      </w:r>
      <w:r>
        <w:rPr>
          <w:color w:val="0071BB"/>
        </w:rPr>
        <w:t xml:space="preserve">w szczególności, że </w:t>
      </w:r>
      <w:r w:rsidR="00657A93">
        <w:rPr>
          <w:color w:val="0071BB"/>
        </w:rPr>
        <w:t xml:space="preserve">przetrzymywanie </w:t>
      </w:r>
      <w:r>
        <w:rPr>
          <w:color w:val="0071BB"/>
        </w:rPr>
        <w:t xml:space="preserve">skarżących </w:t>
      </w:r>
      <w:r>
        <w:rPr>
          <w:color w:val="0071BB"/>
        </w:rPr>
        <w:lastRenderedPageBreak/>
        <w:t xml:space="preserve">w strefie tranzytowej, </w:t>
      </w:r>
      <w:r w:rsidR="00657A93">
        <w:rPr>
          <w:color w:val="0071BB"/>
        </w:rPr>
        <w:t>co nie było ich wyborem</w:t>
      </w:r>
      <w:r>
        <w:rPr>
          <w:color w:val="0071BB"/>
        </w:rPr>
        <w:t xml:space="preserve">, </w:t>
      </w:r>
      <w:r w:rsidR="00D45A3B">
        <w:rPr>
          <w:color w:val="0071BB"/>
        </w:rPr>
        <w:t>stanowiło</w:t>
      </w:r>
      <w:r w:rsidR="00657A93">
        <w:rPr>
          <w:color w:val="0071BB"/>
        </w:rPr>
        <w:t xml:space="preserve"> </w:t>
      </w:r>
      <w:r>
        <w:rPr>
          <w:color w:val="0071BB"/>
        </w:rPr>
        <w:t xml:space="preserve">pozbawienie wolności i </w:t>
      </w:r>
      <w:r w:rsidR="00D45A3B">
        <w:rPr>
          <w:color w:val="0071BB"/>
        </w:rPr>
        <w:t>zgodnie z prawem krajowym</w:t>
      </w:r>
      <w:r>
        <w:rPr>
          <w:color w:val="0071BB"/>
        </w:rPr>
        <w:t xml:space="preserve"> nie było ku </w:t>
      </w:r>
      <w:r w:rsidR="00D45A3B">
        <w:rPr>
          <w:color w:val="0071BB"/>
        </w:rPr>
        <w:t xml:space="preserve">temu </w:t>
      </w:r>
      <w:r>
        <w:rPr>
          <w:color w:val="0071BB"/>
        </w:rPr>
        <w:t>podstaw prawn</w:t>
      </w:r>
      <w:r w:rsidR="00D45A3B">
        <w:rPr>
          <w:color w:val="0071BB"/>
        </w:rPr>
        <w:t>ych</w:t>
      </w:r>
      <w:r>
        <w:rPr>
          <w:color w:val="0071BB"/>
        </w:rPr>
        <w:t xml:space="preserve">. Co więcej, Trybunał orzekł, że skarżący byli pozbawieni wolności przez kolejne okresy w niedopuszczalnych warunkach, które godziły w ich godność, sprawiały, że czuli się oni poniżeni i upodleni, a zatem stanowiło to nieludzkie lub poniżające traktowanie </w:t>
      </w:r>
      <w:r w:rsidR="00D45A3B">
        <w:rPr>
          <w:b/>
          <w:bCs/>
          <w:color w:val="0071BB"/>
        </w:rPr>
        <w:t xml:space="preserve">sprzeczne z </w:t>
      </w:r>
      <w:r>
        <w:rPr>
          <w:b/>
          <w:bCs/>
          <w:color w:val="0071BB"/>
        </w:rPr>
        <w:t xml:space="preserve">art. 3 </w:t>
      </w:r>
      <w:r>
        <w:rPr>
          <w:color w:val="0071BB"/>
        </w:rPr>
        <w:t>Konwencji (zakaz nieludzkiego lub poniżającego traktowania).</w:t>
      </w:r>
    </w:p>
    <w:p w14:paraId="0A4866F0" w14:textId="30DAF8B9" w:rsidR="00A64743" w:rsidRDefault="001A3819" w:rsidP="008D1215">
      <w:pPr>
        <w:pStyle w:val="Tekstpodstawowy"/>
        <w:shd w:val="pct5" w:color="auto" w:fill="auto"/>
        <w:ind w:right="967"/>
      </w:pPr>
      <w:r>
        <w:rPr>
          <w:color w:val="0071BB"/>
        </w:rPr>
        <w:t xml:space="preserve">W dniu 18 września 2017 r. </w:t>
      </w:r>
      <w:r w:rsidR="00D45A3B">
        <w:rPr>
          <w:color w:val="0071BB"/>
        </w:rPr>
        <w:t>p</w:t>
      </w:r>
      <w:r>
        <w:rPr>
          <w:color w:val="0071BB"/>
        </w:rPr>
        <w:t xml:space="preserve">anel Wielkiej Izby </w:t>
      </w:r>
      <w:hyperlink r:id="rId30">
        <w:r>
          <w:rPr>
            <w:color w:val="0071BB"/>
            <w:u w:val="single" w:color="0071BB"/>
          </w:rPr>
          <w:t>uwzględnił</w:t>
        </w:r>
      </w:hyperlink>
      <w:r>
        <w:rPr>
          <w:color w:val="0071BB"/>
        </w:rPr>
        <w:t xml:space="preserve"> wniosek Rządu rosyjskiego</w:t>
      </w:r>
      <w:r w:rsidR="00506886">
        <w:rPr>
          <w:color w:val="0071BB"/>
        </w:rPr>
        <w:t xml:space="preserve"> </w:t>
      </w:r>
      <w:r>
        <w:rPr>
          <w:color w:val="0071BB"/>
        </w:rPr>
        <w:t>o </w:t>
      </w:r>
      <w:r w:rsidR="00D45A3B">
        <w:rPr>
          <w:color w:val="0071BB"/>
        </w:rPr>
        <w:t xml:space="preserve">przekazanie </w:t>
      </w:r>
      <w:r>
        <w:rPr>
          <w:color w:val="0071BB"/>
        </w:rPr>
        <w:t>sprawy do Wielkiej Izby.</w:t>
      </w:r>
    </w:p>
    <w:p w14:paraId="16A1BF09" w14:textId="7AE4E737" w:rsidR="00A64743" w:rsidRDefault="001A3819" w:rsidP="008D1215">
      <w:pPr>
        <w:pStyle w:val="Tekstpodstawowy"/>
        <w:shd w:val="pct5" w:color="auto" w:fill="auto"/>
        <w:ind w:right="967"/>
        <w:rPr>
          <w:color w:val="0071BB"/>
        </w:rPr>
      </w:pPr>
      <w:r>
        <w:rPr>
          <w:color w:val="0071BB"/>
        </w:rPr>
        <w:t xml:space="preserve">W dniu 18 kwietnia 2018 r. </w:t>
      </w:r>
      <w:r w:rsidR="00D45A3B">
        <w:rPr>
          <w:color w:val="0071BB"/>
        </w:rPr>
        <w:t xml:space="preserve">miała miejsce rozprawa przed </w:t>
      </w:r>
      <w:r>
        <w:rPr>
          <w:color w:val="0071BB"/>
        </w:rPr>
        <w:t>Wielk</w:t>
      </w:r>
      <w:r w:rsidR="00C67230">
        <w:rPr>
          <w:color w:val="0071BB"/>
        </w:rPr>
        <w:t>ą</w:t>
      </w:r>
      <w:r>
        <w:rPr>
          <w:color w:val="0071BB"/>
        </w:rPr>
        <w:t xml:space="preserve"> Izb</w:t>
      </w:r>
      <w:r w:rsidR="00C67230">
        <w:rPr>
          <w:color w:val="0071BB"/>
        </w:rPr>
        <w:t>ą</w:t>
      </w:r>
      <w:r>
        <w:rPr>
          <w:color w:val="0071BB"/>
        </w:rPr>
        <w:t xml:space="preserve"> w tej sprawie.</w:t>
      </w:r>
    </w:p>
    <w:p w14:paraId="6A67B9CA" w14:textId="77777777" w:rsidR="008D1215" w:rsidRDefault="008D1215" w:rsidP="008D1215">
      <w:pPr>
        <w:shd w:val="pct5" w:color="auto" w:fill="auto"/>
        <w:spacing w:before="120"/>
        <w:ind w:left="880" w:right="967"/>
        <w:jc w:val="both"/>
        <w:rPr>
          <w:b/>
          <w:sz w:val="20"/>
        </w:rPr>
      </w:pPr>
      <w:hyperlink r:id="rId31">
        <w:r>
          <w:rPr>
            <w:b/>
            <w:color w:val="0071BB"/>
            <w:sz w:val="20"/>
            <w:u w:val="thick" w:color="0071BB"/>
          </w:rPr>
          <w:t>A.E. i T.B. przeciwko Włochom i inne skargi (skargi nr</w:t>
        </w:r>
      </w:hyperlink>
      <w:hyperlink r:id="rId32">
        <w:r>
          <w:rPr>
            <w:b/>
            <w:color w:val="0071BB"/>
            <w:sz w:val="20"/>
            <w:u w:val="thick" w:color="0071BB"/>
          </w:rPr>
          <w:t xml:space="preserve"> 18911/17, 18941/17 i</w:t>
        </w:r>
      </w:hyperlink>
      <w:hyperlink r:id="rId33">
        <w:r>
          <w:rPr>
            <w:b/>
            <w:color w:val="0071BB"/>
            <w:sz w:val="20"/>
            <w:u w:val="thick" w:color="0071BB"/>
          </w:rPr>
          <w:t> 18959/17)</w:t>
        </w:r>
      </w:hyperlink>
    </w:p>
    <w:p w14:paraId="284F665B" w14:textId="77777777" w:rsidR="008D1215" w:rsidRDefault="008D1215" w:rsidP="008D1215">
      <w:pPr>
        <w:shd w:val="pct5" w:color="auto" w:fill="auto"/>
        <w:spacing w:before="62" w:line="218" w:lineRule="exact"/>
        <w:ind w:left="880" w:right="967"/>
        <w:rPr>
          <w:sz w:val="18"/>
        </w:rPr>
      </w:pPr>
      <w:r>
        <w:rPr>
          <w:color w:val="808080"/>
          <w:sz w:val="18"/>
        </w:rPr>
        <w:t>Skargi zostały zakomunikowane Rządowi włoskiemu w dniu 24 listopada 2017 r.</w:t>
      </w:r>
    </w:p>
    <w:p w14:paraId="09168116" w14:textId="77777777" w:rsidR="008D1215" w:rsidRDefault="008D1215" w:rsidP="008D1215">
      <w:pPr>
        <w:pStyle w:val="Tekstpodstawowy"/>
        <w:shd w:val="pct5" w:color="auto" w:fill="auto"/>
        <w:ind w:right="967"/>
      </w:pPr>
      <w:r>
        <w:t xml:space="preserve">Sprawa dotyczy czterech obywateli sudańskich zatrzymanych w </w:t>
      </w:r>
      <w:proofErr w:type="spellStart"/>
      <w:r>
        <w:t>Ventimiglii</w:t>
      </w:r>
      <w:proofErr w:type="spellEnd"/>
      <w:r>
        <w:t xml:space="preserve">, a następnie przeniesionych do punktu szybkiej rejestracji migrantów w </w:t>
      </w:r>
      <w:proofErr w:type="spellStart"/>
      <w:r>
        <w:t>Taranto</w:t>
      </w:r>
      <w:proofErr w:type="spellEnd"/>
      <w:r>
        <w:t>. Skarżący zostali następnie przewiezieni do Turynu w celu umieszczenia na pokładzie samolotu do Sudanu.</w:t>
      </w:r>
    </w:p>
    <w:p w14:paraId="3F62DC2B" w14:textId="77777777" w:rsidR="008D1215" w:rsidRDefault="008D1215" w:rsidP="008D1215">
      <w:pPr>
        <w:pStyle w:val="Tekstpodstawowy"/>
        <w:shd w:val="pct5" w:color="auto" w:fill="auto"/>
        <w:ind w:right="967"/>
      </w:pPr>
      <w:r>
        <w:rPr>
          <w:color w:val="0071BB"/>
        </w:rPr>
        <w:t xml:space="preserve">Trybunał zakomunikował skargi Rządowi włoskiemu i skierował pytania do stron zgodnie </w:t>
      </w:r>
      <w:r>
        <w:rPr>
          <w:color w:val="0071BB"/>
        </w:rPr>
        <w:br/>
        <w:t>z art. 3 Konwencji (zakaz nieludzkiego lub poniżającego traktowania), art. 5 ust. 1, 2, 3 i 4 Konwencji (prawo do wolności i bezpieczeństwa osobistego), art. 8 Konwencji (prawo do poszanowania życia prywatnego i rodzinnego) i art. 13 Konwencji (prawo do skutecznego środka odwoławczego).</w:t>
      </w:r>
    </w:p>
    <w:p w14:paraId="640F4827" w14:textId="77777777" w:rsidR="00A64743" w:rsidRDefault="00A64743">
      <w:pPr>
        <w:pStyle w:val="Tekstpodstawowy"/>
        <w:spacing w:before="8"/>
        <w:ind w:left="0"/>
        <w:jc w:val="left"/>
        <w:rPr>
          <w:sz w:val="9"/>
        </w:rPr>
      </w:pPr>
    </w:p>
    <w:p w14:paraId="394FF9DA" w14:textId="37407D34" w:rsidR="00A64743" w:rsidRDefault="004B7905">
      <w:pPr>
        <w:pStyle w:val="Nagwek1"/>
        <w:spacing w:before="101"/>
        <w:jc w:val="left"/>
      </w:pPr>
      <w:r>
        <w:rPr>
          <w:noProof/>
          <w:lang w:eastAsia="pl-PL" w:bidi="ar-SA"/>
        </w:rPr>
        <mc:AlternateContent>
          <mc:Choice Requires="wps">
            <w:drawing>
              <wp:anchor distT="0" distB="0" distL="0" distR="0" simplePos="0" relativeHeight="251655680" behindDoc="1" locked="0" layoutInCell="1" allowOverlap="1" wp14:anchorId="111F9AD8" wp14:editId="4D1845F4">
                <wp:simplePos x="0" y="0"/>
                <wp:positionH relativeFrom="page">
                  <wp:posOffset>895985</wp:posOffset>
                </wp:positionH>
                <wp:positionV relativeFrom="paragraph">
                  <wp:posOffset>342265</wp:posOffset>
                </wp:positionV>
                <wp:extent cx="5768340" cy="0"/>
                <wp:effectExtent l="10160" t="11430" r="12700" b="17145"/>
                <wp:wrapTopAndBottom/>
                <wp:docPr id="5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5D8DE" id="Line 34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" strokecolor="#999" strokeweight="1.44pt">
                <w10:wrap type="topAndBottom" anchorx="page"/>
              </v:line>
            </w:pict>
          </mc:Fallback>
        </mc:AlternateContent>
      </w:r>
      <w:r w:rsidR="001A3819">
        <w:rPr>
          <w:color w:val="0071BB"/>
        </w:rPr>
        <w:t>Warunki pozbawienia wolności</w:t>
      </w:r>
    </w:p>
    <w:p w14:paraId="4C30F96F" w14:textId="77777777" w:rsidR="00A64743" w:rsidRDefault="00711FD6">
      <w:pPr>
        <w:pStyle w:val="Nagwek2"/>
        <w:spacing w:before="91"/>
        <w:jc w:val="left"/>
        <w:rPr>
          <w:u w:val="none"/>
        </w:rPr>
      </w:pPr>
      <w:hyperlink r:id="rId34">
        <w:proofErr w:type="spellStart"/>
        <w:r w:rsidR="001A3819">
          <w:rPr>
            <w:color w:val="0071BB"/>
            <w:u w:val="thick" w:color="0071BB"/>
          </w:rPr>
          <w:t>Dougoz</w:t>
        </w:r>
        <w:proofErr w:type="spellEnd"/>
        <w:r w:rsidR="001A3819">
          <w:rPr>
            <w:color w:val="0071BB"/>
            <w:u w:val="thick" w:color="0071BB"/>
          </w:rPr>
          <w:t xml:space="preserve"> przeciwko Grecji</w:t>
        </w:r>
      </w:hyperlink>
    </w:p>
    <w:p w14:paraId="0DDDFDFB" w14:textId="77777777" w:rsidR="00A64743" w:rsidRDefault="001A3819">
      <w:pPr>
        <w:spacing w:before="60" w:line="218" w:lineRule="exact"/>
        <w:ind w:left="880"/>
        <w:rPr>
          <w:sz w:val="18"/>
        </w:rPr>
      </w:pPr>
      <w:r>
        <w:rPr>
          <w:color w:val="808080"/>
          <w:sz w:val="18"/>
        </w:rPr>
        <w:t>6 czerwca 2001 r.</w:t>
      </w:r>
    </w:p>
    <w:p w14:paraId="186533D1" w14:textId="680C12A5" w:rsidR="00A64743" w:rsidRDefault="001A3819">
      <w:pPr>
        <w:pStyle w:val="Tekstpodstawowy"/>
        <w:ind w:right="974" w:hanging="1"/>
      </w:pPr>
      <w:r>
        <w:t xml:space="preserve">Skarżący, będący obywatelem syryjskim, został umieszczony w policyjnej izbie zatrzymań w Grecji w oczekiwaniu na wydalenie do Syrii. Przez kilka miesięcy przebywał na posterunku policji w </w:t>
      </w:r>
      <w:proofErr w:type="spellStart"/>
      <w:r>
        <w:t>Drapetsonie</w:t>
      </w:r>
      <w:proofErr w:type="spellEnd"/>
      <w:r>
        <w:t xml:space="preserve">, gdzie </w:t>
      </w:r>
      <w:r w:rsidR="0044358D">
        <w:t xml:space="preserve">– jak zarzucał - </w:t>
      </w:r>
      <w:r>
        <w:t>miał być przetrzymywany w przeludnionej i brudnej celi z niedostateczną infrastrukturą sanitarną i noclegową, ograniczonym dostępem do ciepłej wody, bez świeżego powietrza</w:t>
      </w:r>
      <w:r w:rsidR="0044358D">
        <w:t>,</w:t>
      </w:r>
      <w:r>
        <w:t xml:space="preserve"> naturalnego światła słonecznego i bez dostępu do placu umożliwiającego ćwiczenia. W kwietniu 1998 r. został przeniesiony </w:t>
      </w:r>
      <w:r w:rsidR="0044358D">
        <w:t xml:space="preserve">do głównej komendy </w:t>
      </w:r>
      <w:r>
        <w:t xml:space="preserve">policji, gdzie – jak utrzymywał – warunki były zbliżone do warunków w </w:t>
      </w:r>
      <w:proofErr w:type="spellStart"/>
      <w:r>
        <w:t>Drapetsonie</w:t>
      </w:r>
      <w:proofErr w:type="spellEnd"/>
      <w:r>
        <w:t>, przy czym w celach było tam naturalne światło i powietrze oraz odpowiednio ciepła woda. Pozostawał tam do dnia 3 grudnia 1998 r., kiedy został wydalony do Syrii.</w:t>
      </w:r>
    </w:p>
    <w:p w14:paraId="7D81A426" w14:textId="16D9F723" w:rsidR="00A64743" w:rsidRDefault="001A3819">
      <w:pPr>
        <w:pStyle w:val="Tekstpodstawowy"/>
        <w:ind w:right="974"/>
      </w:pPr>
      <w:r>
        <w:rPr>
          <w:color w:val="0071BB"/>
        </w:rPr>
        <w:t xml:space="preserve">Trybunał orzekł, że warunki pozbawienia wolności skarżącego na komendzie </w:t>
      </w:r>
      <w:r w:rsidR="0044358D">
        <w:rPr>
          <w:color w:val="0071BB"/>
        </w:rPr>
        <w:t xml:space="preserve">głównej </w:t>
      </w:r>
      <w:r>
        <w:rPr>
          <w:color w:val="0071BB"/>
        </w:rPr>
        <w:t xml:space="preserve">policji i w areszcie w </w:t>
      </w:r>
      <w:proofErr w:type="spellStart"/>
      <w:r>
        <w:rPr>
          <w:color w:val="0071BB"/>
        </w:rPr>
        <w:t>Drapetsonie</w:t>
      </w:r>
      <w:proofErr w:type="spellEnd"/>
      <w:r>
        <w:rPr>
          <w:color w:val="0071BB"/>
        </w:rPr>
        <w:t xml:space="preserve">, w szczególności </w:t>
      </w:r>
      <w:r w:rsidR="0044358D">
        <w:rPr>
          <w:color w:val="0071BB"/>
        </w:rPr>
        <w:t xml:space="preserve">znaczne </w:t>
      </w:r>
      <w:r>
        <w:rPr>
          <w:color w:val="0071BB"/>
        </w:rPr>
        <w:t xml:space="preserve">przeludnienie i brak infrastruktury noclegowej, w powiązaniu ze zbyt długim okresem pozbawienia wolności stanowiły </w:t>
      </w:r>
      <w:r w:rsidR="0044358D">
        <w:rPr>
          <w:color w:val="0071BB"/>
        </w:rPr>
        <w:t xml:space="preserve">poniżające </w:t>
      </w:r>
      <w:r>
        <w:rPr>
          <w:color w:val="0071BB"/>
        </w:rPr>
        <w:t xml:space="preserve">traktowanie </w:t>
      </w:r>
      <w:r w:rsidR="0044358D">
        <w:rPr>
          <w:b/>
          <w:bCs/>
          <w:color w:val="0071BB"/>
        </w:rPr>
        <w:t xml:space="preserve">sprzeczne z </w:t>
      </w:r>
      <w:r>
        <w:rPr>
          <w:b/>
          <w:bCs/>
          <w:color w:val="0071BB"/>
        </w:rPr>
        <w:t xml:space="preserve">art. 3 </w:t>
      </w:r>
      <w:r>
        <w:rPr>
          <w:color w:val="0071BB"/>
        </w:rPr>
        <w:t>Konwencji (zakaz nieludzkiego lub poniżającego traktowania).</w:t>
      </w:r>
    </w:p>
    <w:p w14:paraId="71835417" w14:textId="51B5C744" w:rsidR="00A64743" w:rsidRDefault="001A3819">
      <w:pPr>
        <w:spacing w:before="120"/>
        <w:ind w:left="880"/>
        <w:rPr>
          <w:sz w:val="16"/>
        </w:rPr>
      </w:pPr>
      <w:proofErr w:type="spellStart"/>
      <w:r>
        <w:rPr>
          <w:b/>
          <w:color w:val="0071BB"/>
          <w:sz w:val="20"/>
          <w:u w:val="thick" w:color="0071BB"/>
        </w:rPr>
        <w:t>Riad</w:t>
      </w:r>
      <w:proofErr w:type="spellEnd"/>
      <w:r>
        <w:rPr>
          <w:b/>
          <w:color w:val="0071BB"/>
          <w:sz w:val="20"/>
          <w:u w:val="thick" w:color="0071BB"/>
        </w:rPr>
        <w:t xml:space="preserve"> i </w:t>
      </w:r>
      <w:proofErr w:type="spellStart"/>
      <w:r>
        <w:rPr>
          <w:b/>
          <w:color w:val="0071BB"/>
          <w:sz w:val="20"/>
          <w:u w:val="thick" w:color="0071BB"/>
        </w:rPr>
        <w:t>Idiab</w:t>
      </w:r>
      <w:proofErr w:type="spellEnd"/>
      <w:r>
        <w:rPr>
          <w:b/>
          <w:color w:val="0071BB"/>
          <w:sz w:val="20"/>
          <w:u w:val="thick" w:color="0071BB"/>
        </w:rPr>
        <w:t xml:space="preserve"> przeciwko Belgii</w:t>
      </w:r>
      <w:r>
        <w:rPr>
          <w:b/>
          <w:color w:val="0071BB"/>
          <w:sz w:val="20"/>
        </w:rPr>
        <w:t xml:space="preserve"> </w:t>
      </w:r>
      <w:r>
        <w:rPr>
          <w:color w:val="808080"/>
          <w:sz w:val="16"/>
        </w:rPr>
        <w:t>(zobacz również</w:t>
      </w:r>
      <w:r w:rsidR="0044358D">
        <w:rPr>
          <w:color w:val="808080"/>
          <w:sz w:val="16"/>
        </w:rPr>
        <w:t xml:space="preserve"> powyżej</w:t>
      </w:r>
      <w:r>
        <w:rPr>
          <w:color w:val="808080"/>
          <w:sz w:val="16"/>
        </w:rPr>
        <w:t xml:space="preserve"> „Pozbawienie wolności”)</w:t>
      </w:r>
    </w:p>
    <w:p w14:paraId="563DF429" w14:textId="77777777" w:rsidR="00A64743" w:rsidRDefault="001A3819">
      <w:pPr>
        <w:spacing w:before="60" w:line="218" w:lineRule="exact"/>
        <w:ind w:left="880"/>
        <w:rPr>
          <w:sz w:val="18"/>
        </w:rPr>
      </w:pPr>
      <w:r>
        <w:rPr>
          <w:color w:val="808080"/>
          <w:sz w:val="18"/>
        </w:rPr>
        <w:t>24 stycznia 2008 r.</w:t>
      </w:r>
    </w:p>
    <w:p w14:paraId="21CCA1D6" w14:textId="4B95EF22" w:rsidR="00A64743" w:rsidRDefault="001A3819">
      <w:pPr>
        <w:pStyle w:val="Tekstpodstawowy"/>
        <w:ind w:left="879" w:right="976"/>
      </w:pPr>
      <w:r>
        <w:t xml:space="preserve">Skarżący, będący obywatelami palestyńskimi, </w:t>
      </w:r>
      <w:r w:rsidR="00AC38EE">
        <w:t xml:space="preserve">skarżyli się </w:t>
      </w:r>
      <w:r>
        <w:t xml:space="preserve">w szczególności </w:t>
      </w:r>
      <w:r w:rsidR="00AC38EE">
        <w:t xml:space="preserve">na warunki </w:t>
      </w:r>
      <w:r>
        <w:t>pozbawienia ich wolności w strefie tranzytowej brukselskiego portu lotniczego</w:t>
      </w:r>
      <w:r w:rsidR="00AC38EE">
        <w:t>, mającego miejsce po</w:t>
      </w:r>
      <w:r>
        <w:t xml:space="preserve"> </w:t>
      </w:r>
      <w:r w:rsidR="00AC38EE">
        <w:t xml:space="preserve">niezgodnym </w:t>
      </w:r>
      <w:r>
        <w:t>z prawem przekroczeni</w:t>
      </w:r>
      <w:r w:rsidR="00AC38EE">
        <w:t>em przez nich</w:t>
      </w:r>
      <w:r>
        <w:t xml:space="preserve"> granicy Belgii.</w:t>
      </w:r>
    </w:p>
    <w:p w14:paraId="42695985" w14:textId="4A3EEED1" w:rsidR="00A64743" w:rsidRDefault="001A3819">
      <w:pPr>
        <w:pStyle w:val="Tekstpodstawowy"/>
        <w:ind w:left="879" w:right="974"/>
      </w:pPr>
      <w:r>
        <w:rPr>
          <w:color w:val="0071BB"/>
        </w:rPr>
        <w:t xml:space="preserve">Trybunał </w:t>
      </w:r>
      <w:r w:rsidR="00AC38EE">
        <w:rPr>
          <w:color w:val="0071BB"/>
        </w:rPr>
        <w:t>stwierdził</w:t>
      </w:r>
      <w:r>
        <w:rPr>
          <w:color w:val="0071BB"/>
        </w:rPr>
        <w:t xml:space="preserve">, że fakt przetrzymywania skarżących w strefie tranzytowej przez ponad dziesięć dni stanowił nieludzkie i poniżające traktowanie </w:t>
      </w:r>
      <w:r>
        <w:rPr>
          <w:b/>
          <w:bCs/>
          <w:color w:val="0071BB"/>
        </w:rPr>
        <w:t xml:space="preserve">z naruszeniem art. 3 </w:t>
      </w:r>
      <w:r>
        <w:rPr>
          <w:color w:val="0071BB"/>
        </w:rPr>
        <w:t xml:space="preserve">Konwencji (zakaz nieludzkiego lub poniżającego traktowania). Ze </w:t>
      </w:r>
      <w:r w:rsidR="00AC38EE">
        <w:rPr>
          <w:color w:val="0071BB"/>
        </w:rPr>
        <w:t>sw</w:t>
      </w:r>
      <w:r w:rsidR="0022081F">
        <w:rPr>
          <w:color w:val="0071BB"/>
        </w:rPr>
        <w:t>ej natury</w:t>
      </w:r>
      <w:r>
        <w:rPr>
          <w:color w:val="0071BB"/>
        </w:rPr>
        <w:t xml:space="preserve"> było to miejsce przeznaczone do przetrzymywania osób przez </w:t>
      </w:r>
      <w:r w:rsidR="0022081F">
        <w:rPr>
          <w:color w:val="0071BB"/>
        </w:rPr>
        <w:t>bardzo</w:t>
      </w:r>
      <w:r w:rsidR="00AC38EE">
        <w:rPr>
          <w:color w:val="0071BB"/>
        </w:rPr>
        <w:t xml:space="preserve"> </w:t>
      </w:r>
      <w:r>
        <w:rPr>
          <w:color w:val="0071BB"/>
        </w:rPr>
        <w:t xml:space="preserve">krótki czas. Strefa tranzytowa, </w:t>
      </w:r>
      <w:r w:rsidR="0022081F">
        <w:rPr>
          <w:color w:val="0071BB"/>
        </w:rPr>
        <w:t xml:space="preserve">charakter której </w:t>
      </w:r>
      <w:r>
        <w:rPr>
          <w:color w:val="0071BB"/>
        </w:rPr>
        <w:t xml:space="preserve">może powodować u osób w niej przebywających poczucie osamotnienia, nie </w:t>
      </w:r>
      <w:r w:rsidR="0022081F">
        <w:rPr>
          <w:color w:val="0071BB"/>
        </w:rPr>
        <w:t xml:space="preserve">posiada </w:t>
      </w:r>
      <w:r>
        <w:rPr>
          <w:color w:val="0071BB"/>
        </w:rPr>
        <w:t>przestrzeni zewnętrznej umożliwiającej spacer</w:t>
      </w:r>
      <w:r w:rsidR="0022081F">
        <w:rPr>
          <w:color w:val="0071BB"/>
        </w:rPr>
        <w:t>owanie</w:t>
      </w:r>
      <w:r>
        <w:rPr>
          <w:color w:val="0071BB"/>
        </w:rPr>
        <w:t xml:space="preserve"> lub ćwiczenia fizyczne, </w:t>
      </w:r>
      <w:r w:rsidR="0022081F">
        <w:rPr>
          <w:color w:val="0071BB"/>
        </w:rPr>
        <w:t>wewnętrznych obiektów gastronomicznych</w:t>
      </w:r>
      <w:r>
        <w:rPr>
          <w:color w:val="0071BB"/>
        </w:rPr>
        <w:t xml:space="preserve"> ani radia lub telewizji umożliwiających kontakt ze światem zewnętrznym; w żaden sposób nie została ona przystosowana do wymogów przebywania w niej przez okres przekraczający dziesięć dni.</w:t>
      </w:r>
    </w:p>
    <w:p w14:paraId="4EA539C8" w14:textId="77777777" w:rsidR="008D1215" w:rsidRDefault="008D1215">
      <w:pPr>
        <w:pStyle w:val="Nagwek2"/>
        <w:spacing w:before="120"/>
        <w:ind w:left="879"/>
      </w:pPr>
    </w:p>
    <w:p w14:paraId="5E9C27CB" w14:textId="77777777" w:rsidR="00A64743" w:rsidRDefault="00711FD6">
      <w:pPr>
        <w:pStyle w:val="Nagwek2"/>
        <w:spacing w:before="120"/>
        <w:ind w:left="879"/>
        <w:rPr>
          <w:u w:val="none"/>
        </w:rPr>
      </w:pPr>
      <w:hyperlink r:id="rId35">
        <w:r w:rsidR="001A3819">
          <w:rPr>
            <w:color w:val="0071BB"/>
            <w:u w:val="thick" w:color="0071BB"/>
          </w:rPr>
          <w:t>S.D. przeciwko Grecji (skarga nr 53541/07)</w:t>
        </w:r>
      </w:hyperlink>
    </w:p>
    <w:p w14:paraId="27AF86D7" w14:textId="77777777" w:rsidR="00A64743" w:rsidRDefault="001A3819">
      <w:pPr>
        <w:spacing w:before="60" w:line="218" w:lineRule="exact"/>
        <w:ind w:left="880"/>
        <w:jc w:val="both"/>
        <w:rPr>
          <w:sz w:val="18"/>
        </w:rPr>
      </w:pPr>
      <w:r>
        <w:rPr>
          <w:color w:val="808080"/>
          <w:sz w:val="18"/>
        </w:rPr>
        <w:t>11 czerwca 2009 r.</w:t>
      </w:r>
    </w:p>
    <w:p w14:paraId="13D4B5C2" w14:textId="5BBC6D9D" w:rsidR="00A64743" w:rsidRDefault="001A3819" w:rsidP="001A3819">
      <w:pPr>
        <w:pStyle w:val="Tekstpodstawowy"/>
        <w:spacing w:line="242" w:lineRule="exact"/>
        <w:ind w:right="967"/>
      </w:pPr>
      <w:r>
        <w:t>Skarżący, będący obywatelem tureckim, był przetrzymywany przez dwa miesiące w </w:t>
      </w:r>
      <w:r w:rsidR="000A53E2">
        <w:t>izbie zatrzymań</w:t>
      </w:r>
      <w:r>
        <w:t xml:space="preserve"> na posterunku Straży Granicznej w Grecji po nielegalnym wjeździe do tego kraju. W okresie pozbawienia wolności nie mógł wychodzić na zewnątrz</w:t>
      </w:r>
      <w:r w:rsidR="000A53E2">
        <w:t>, telefonować</w:t>
      </w:r>
      <w:r>
        <w:t xml:space="preserve"> i nie miał dostępu do koców, czystej pościeli ani ciepłej wody.</w:t>
      </w:r>
    </w:p>
    <w:p w14:paraId="624D8A2C" w14:textId="49F5623D" w:rsidR="00A64743" w:rsidRDefault="001A3819">
      <w:pPr>
        <w:pStyle w:val="Tekstpodstawowy"/>
        <w:ind w:left="879" w:right="976"/>
      </w:pPr>
      <w:r>
        <w:rPr>
          <w:color w:val="0071BB"/>
        </w:rPr>
        <w:t xml:space="preserve">Trybunał uznał, że skarżący, będący osobą ubiegającą się o azyl, doświadczył warunków pozbawienia wolności, które stanowiły poniżające traktowanie </w:t>
      </w:r>
      <w:r>
        <w:rPr>
          <w:b/>
          <w:bCs/>
          <w:color w:val="0071BB"/>
        </w:rPr>
        <w:t xml:space="preserve">z naruszeniem art. 3 </w:t>
      </w:r>
      <w:r>
        <w:rPr>
          <w:color w:val="0071BB"/>
        </w:rPr>
        <w:t xml:space="preserve">Konwencji (zakaz nieludzkiego lub poniżającego traktowania). Spędził dwa miesiące w pomieszczeniu zbudowanym z prefabrykowanych elementów, bez możliwości wyjścia na zewnątrz i bez dostępu do telefonu, koców lub czystej pościeli bądź dostatecznych artykułów higienicznych. Następnie był przetrzymywany w </w:t>
      </w:r>
      <w:proofErr w:type="spellStart"/>
      <w:r>
        <w:rPr>
          <w:color w:val="0071BB"/>
        </w:rPr>
        <w:t>Patrou</w:t>
      </w:r>
      <w:proofErr w:type="spellEnd"/>
      <w:r>
        <w:rPr>
          <w:color w:val="0071BB"/>
        </w:rPr>
        <w:t xml:space="preserve"> </w:t>
      </w:r>
      <w:proofErr w:type="spellStart"/>
      <w:r>
        <w:rPr>
          <w:color w:val="0071BB"/>
        </w:rPr>
        <w:t>Rali</w:t>
      </w:r>
      <w:proofErr w:type="spellEnd"/>
      <w:r>
        <w:rPr>
          <w:color w:val="0071BB"/>
        </w:rPr>
        <w:t xml:space="preserve"> i umieszczony w celi przez </w:t>
      </w:r>
      <w:r w:rsidR="000A53E2">
        <w:rPr>
          <w:color w:val="0071BB"/>
        </w:rPr>
        <w:t>sześć</w:t>
      </w:r>
      <w:r>
        <w:rPr>
          <w:color w:val="0071BB"/>
        </w:rPr>
        <w:t xml:space="preserve"> dni</w:t>
      </w:r>
      <w:r w:rsidR="000A53E2">
        <w:rPr>
          <w:color w:val="0071BB"/>
        </w:rPr>
        <w:t>,</w:t>
      </w:r>
      <w:r>
        <w:rPr>
          <w:color w:val="0071BB"/>
        </w:rPr>
        <w:t xml:space="preserve"> w </w:t>
      </w:r>
      <w:r w:rsidR="000A53E2">
        <w:rPr>
          <w:color w:val="0071BB"/>
        </w:rPr>
        <w:t>nieakceptowalnych</w:t>
      </w:r>
      <w:r>
        <w:rPr>
          <w:color w:val="0071BB"/>
        </w:rPr>
        <w:t xml:space="preserve"> warunkach, opisanych przez </w:t>
      </w:r>
      <w:hyperlink r:id="rId36">
        <w:r>
          <w:rPr>
            <w:color w:val="0071BB"/>
            <w:u w:val="single" w:color="0071BB"/>
          </w:rPr>
          <w:t xml:space="preserve">Europejski Komitet do spraw </w:t>
        </w:r>
        <w:r w:rsidR="000A53E2">
          <w:rPr>
            <w:color w:val="0071BB"/>
            <w:u w:val="single" w:color="0071BB"/>
          </w:rPr>
          <w:t>z</w:t>
        </w:r>
        <w:r>
          <w:rPr>
            <w:color w:val="0071BB"/>
            <w:u w:val="single" w:color="0071BB"/>
          </w:rPr>
          <w:t xml:space="preserve">apobiegania </w:t>
        </w:r>
        <w:r w:rsidR="000A53E2">
          <w:rPr>
            <w:color w:val="0071BB"/>
            <w:u w:val="single" w:color="0071BB"/>
          </w:rPr>
          <w:t>t</w:t>
        </w:r>
        <w:r>
          <w:rPr>
            <w:color w:val="0071BB"/>
            <w:u w:val="single" w:color="0071BB"/>
          </w:rPr>
          <w:t xml:space="preserve">orturom oraz </w:t>
        </w:r>
        <w:r w:rsidR="000A53E2">
          <w:rPr>
            <w:color w:val="0071BB"/>
            <w:u w:val="single" w:color="0071BB"/>
          </w:rPr>
          <w:t>n</w:t>
        </w:r>
        <w:r>
          <w:rPr>
            <w:color w:val="0071BB"/>
            <w:u w:val="single" w:color="0071BB"/>
          </w:rPr>
          <w:t xml:space="preserve">ieludzkiemu lub </w:t>
        </w:r>
        <w:r w:rsidR="000A53E2">
          <w:rPr>
            <w:color w:val="0071BB"/>
            <w:u w:val="single" w:color="0071BB"/>
          </w:rPr>
          <w:t>p</w:t>
        </w:r>
        <w:r>
          <w:rPr>
            <w:color w:val="0071BB"/>
            <w:u w:val="single" w:color="0071BB"/>
          </w:rPr>
          <w:t xml:space="preserve">oniżającemu </w:t>
        </w:r>
        <w:r w:rsidR="000A53E2">
          <w:rPr>
            <w:color w:val="0071BB"/>
            <w:u w:val="single" w:color="0071BB"/>
          </w:rPr>
          <w:t>t</w:t>
        </w:r>
        <w:r>
          <w:rPr>
            <w:color w:val="0071BB"/>
            <w:u w:val="single" w:color="0071BB"/>
          </w:rPr>
          <w:t xml:space="preserve">raktowaniu albo </w:t>
        </w:r>
        <w:r w:rsidR="000A53E2">
          <w:rPr>
            <w:color w:val="0071BB"/>
            <w:u w:val="single" w:color="0071BB"/>
          </w:rPr>
          <w:t>k</w:t>
        </w:r>
        <w:r>
          <w:rPr>
            <w:color w:val="0071BB"/>
            <w:u w:val="single" w:color="0071BB"/>
          </w:rPr>
          <w:t>araniu (</w:t>
        </w:r>
      </w:hyperlink>
      <w:hyperlink r:id="rId37">
        <w:r>
          <w:rPr>
            <w:color w:val="0071BB"/>
          </w:rPr>
          <w:t>Komitet CPT)</w:t>
        </w:r>
      </w:hyperlink>
      <w:r>
        <w:rPr>
          <w:color w:val="0071BB"/>
        </w:rPr>
        <w:t xml:space="preserve"> w następstwie wizyty w lutym 2007 r.</w:t>
      </w:r>
    </w:p>
    <w:p w14:paraId="53BAAAC0" w14:textId="77777777" w:rsidR="00A64743" w:rsidRDefault="00711FD6">
      <w:pPr>
        <w:pStyle w:val="Nagwek2"/>
        <w:spacing w:before="120"/>
        <w:rPr>
          <w:u w:val="none"/>
        </w:rPr>
      </w:pPr>
      <w:hyperlink r:id="rId38">
        <w:r w:rsidR="001A3819">
          <w:rPr>
            <w:color w:val="0071BB"/>
            <w:u w:val="thick" w:color="0071BB"/>
          </w:rPr>
          <w:t>A.A. przeciwko Grecji (skarga nr 12186/08)</w:t>
        </w:r>
      </w:hyperlink>
    </w:p>
    <w:p w14:paraId="3B356FC0" w14:textId="77777777" w:rsidR="00A64743" w:rsidRDefault="001A3819">
      <w:pPr>
        <w:spacing w:before="60" w:line="218" w:lineRule="exact"/>
        <w:ind w:left="880"/>
        <w:jc w:val="both"/>
        <w:rPr>
          <w:sz w:val="18"/>
        </w:rPr>
      </w:pPr>
      <w:r>
        <w:rPr>
          <w:color w:val="808080"/>
          <w:sz w:val="18"/>
        </w:rPr>
        <w:t>22 lipca 2010 r.</w:t>
      </w:r>
    </w:p>
    <w:p w14:paraId="0C0CF717" w14:textId="7FA78241" w:rsidR="00A64743" w:rsidRDefault="001A3819">
      <w:pPr>
        <w:pStyle w:val="Tekstpodstawowy"/>
        <w:ind w:left="879" w:right="974"/>
      </w:pPr>
      <w:r>
        <w:t xml:space="preserve">Skarżący, będący obywatelem palestyńskim, został zatrzymany przez straż przybrzeżną na greckich wodach terytorialnych po ucieczce z obozu dla uchodźców, w którym mieszkał w Libanie. Policja w Samos umieściła go w areszcie i wydano decyzję nakazującą </w:t>
      </w:r>
      <w:r w:rsidR="009056DC">
        <w:t xml:space="preserve">wydalenie go </w:t>
      </w:r>
      <w:r>
        <w:t xml:space="preserve">do państwa pochodzenia. W skardze podnosił kwestię nędznych warunków, w jakich przebywał w areszcie </w:t>
      </w:r>
      <w:r w:rsidR="009056DC">
        <w:t>na</w:t>
      </w:r>
      <w:r>
        <w:t xml:space="preserve"> Samos: </w:t>
      </w:r>
      <w:r w:rsidR="009056DC">
        <w:t xml:space="preserve">pokrytej warstwą brudu </w:t>
      </w:r>
      <w:r>
        <w:t xml:space="preserve">podłogi, na której osadzeni spożywali posiłki i – w większości przypadków – spali; góry śmieci na korytarzach; niedostatecznej ilości jedzenia przyrządzanego w niehigienicznych warunkach; wszy i chorób skóry; okien zabitych drewnianymi deskami; </w:t>
      </w:r>
      <w:r w:rsidR="009056DC">
        <w:t xml:space="preserve">połączonej </w:t>
      </w:r>
      <w:r>
        <w:t>toalety z prysznicem bez ciepłej wody; dostępu do niewielkiego placu, jedynie wedle kaprysu strażników; braku możliwości skorzystania z telefonu i przeludnienia (</w:t>
      </w:r>
      <w:r w:rsidR="009056DC">
        <w:t xml:space="preserve">w </w:t>
      </w:r>
      <w:r w:rsidR="00917B04">
        <w:t>placówce przeznaczonej</w:t>
      </w:r>
      <w:r>
        <w:t xml:space="preserve"> dla 100 osób </w:t>
      </w:r>
      <w:r w:rsidR="00917B04">
        <w:t>przebywało</w:t>
      </w:r>
      <w:r>
        <w:t xml:space="preserve"> 140–190</w:t>
      </w:r>
      <w:r w:rsidR="009056DC">
        <w:t xml:space="preserve"> osób</w:t>
      </w:r>
      <w:r>
        <w:t>).</w:t>
      </w:r>
    </w:p>
    <w:p w14:paraId="686FD4C4" w14:textId="4143B28C" w:rsidR="00A64743" w:rsidRDefault="001A3819">
      <w:pPr>
        <w:pStyle w:val="Tekstpodstawowy"/>
        <w:ind w:left="879" w:right="973"/>
      </w:pPr>
      <w:r>
        <w:rPr>
          <w:color w:val="0071BB"/>
        </w:rPr>
        <w:t xml:space="preserve">Trybunał orzekł, że doszło do </w:t>
      </w:r>
      <w:r>
        <w:rPr>
          <w:b/>
          <w:bCs/>
          <w:color w:val="0071BB"/>
        </w:rPr>
        <w:t xml:space="preserve">naruszenia art. 3 </w:t>
      </w:r>
      <w:r>
        <w:rPr>
          <w:color w:val="0071BB"/>
        </w:rPr>
        <w:t>Konwencji (zakaz nieludzkiego lub poniżającego traktowania) ze względu na warunki życia w miejscu pozbawienia wolności, wiążące się z poniżającym traktowaniem skarżącego, jak również</w:t>
      </w:r>
      <w:r w:rsidR="00917B04">
        <w:rPr>
          <w:color w:val="0071BB"/>
        </w:rPr>
        <w:t xml:space="preserve"> ze względu na</w:t>
      </w:r>
      <w:r>
        <w:rPr>
          <w:color w:val="0071BB"/>
        </w:rPr>
        <w:t xml:space="preserve"> brak staranności po stronie władz w zapewnieniu mu odpowiedniej opieki medycznej. Zarzuty skarżącego </w:t>
      </w:r>
      <w:r w:rsidR="00917B04">
        <w:rPr>
          <w:color w:val="0071BB"/>
        </w:rPr>
        <w:t>co do</w:t>
      </w:r>
      <w:r>
        <w:rPr>
          <w:color w:val="0071BB"/>
        </w:rPr>
        <w:t xml:space="preserve"> stanu miejsca, w którym </w:t>
      </w:r>
      <w:r w:rsidR="00917B04">
        <w:rPr>
          <w:color w:val="0071BB"/>
        </w:rPr>
        <w:t xml:space="preserve">był przetrzymywany </w:t>
      </w:r>
      <w:r>
        <w:rPr>
          <w:color w:val="0071BB"/>
        </w:rPr>
        <w:t xml:space="preserve">przez ponad trzy miesiące, </w:t>
      </w:r>
      <w:r w:rsidR="00917B04">
        <w:rPr>
          <w:color w:val="0071BB"/>
        </w:rPr>
        <w:t>zostały potwierdzone</w:t>
      </w:r>
      <w:r>
        <w:rPr>
          <w:color w:val="0071BB"/>
        </w:rPr>
        <w:t xml:space="preserve"> w szeregu sprawozdań </w:t>
      </w:r>
      <w:r w:rsidR="00917B04">
        <w:rPr>
          <w:color w:val="0071BB"/>
        </w:rPr>
        <w:t>organizacji</w:t>
      </w:r>
      <w:r>
        <w:rPr>
          <w:color w:val="0071BB"/>
        </w:rPr>
        <w:t xml:space="preserve"> </w:t>
      </w:r>
      <w:r w:rsidR="00917B04">
        <w:rPr>
          <w:color w:val="0071BB"/>
        </w:rPr>
        <w:t xml:space="preserve">międzynarodowych </w:t>
      </w:r>
      <w:r>
        <w:rPr>
          <w:color w:val="0071BB"/>
        </w:rPr>
        <w:t>i grecki</w:t>
      </w:r>
      <w:r w:rsidR="00917B04">
        <w:rPr>
          <w:color w:val="0071BB"/>
        </w:rPr>
        <w:t>ch</w:t>
      </w:r>
      <w:r>
        <w:rPr>
          <w:color w:val="0071BB"/>
        </w:rPr>
        <w:t xml:space="preserve"> organizacj</w:t>
      </w:r>
      <w:r w:rsidR="00917B04">
        <w:rPr>
          <w:color w:val="0071BB"/>
        </w:rPr>
        <w:t>i</w:t>
      </w:r>
      <w:r>
        <w:rPr>
          <w:color w:val="0071BB"/>
        </w:rPr>
        <w:t xml:space="preserve"> pozarządow</w:t>
      </w:r>
      <w:r w:rsidR="00917B04">
        <w:rPr>
          <w:color w:val="0071BB"/>
        </w:rPr>
        <w:t>ych</w:t>
      </w:r>
      <w:r>
        <w:rPr>
          <w:color w:val="0071BB"/>
        </w:rPr>
        <w:t xml:space="preserve">. Zwracano w nich uwagę na następujące problemy: przeludnienie, </w:t>
      </w:r>
      <w:r w:rsidR="00917B04">
        <w:rPr>
          <w:color w:val="0071BB"/>
        </w:rPr>
        <w:t xml:space="preserve">wyjątkową </w:t>
      </w:r>
      <w:r>
        <w:rPr>
          <w:color w:val="0071BB"/>
        </w:rPr>
        <w:t xml:space="preserve">ciasnotę i brud, pomieszczenia sanitarne </w:t>
      </w:r>
      <w:r w:rsidR="00EB6E79">
        <w:rPr>
          <w:color w:val="0071BB"/>
        </w:rPr>
        <w:t xml:space="preserve">wspólne dla mężczyzn i kobiet i </w:t>
      </w:r>
      <w:r>
        <w:rPr>
          <w:color w:val="0071BB"/>
        </w:rPr>
        <w:t xml:space="preserve">w </w:t>
      </w:r>
      <w:r w:rsidR="00EB6E79">
        <w:rPr>
          <w:color w:val="0071BB"/>
        </w:rPr>
        <w:t>opłakanym</w:t>
      </w:r>
      <w:r>
        <w:rPr>
          <w:color w:val="0071BB"/>
        </w:rPr>
        <w:t xml:space="preserve"> stanie</w:t>
      </w:r>
      <w:r w:rsidR="00EB6E79">
        <w:rPr>
          <w:color w:val="0071BB"/>
        </w:rPr>
        <w:t>,</w:t>
      </w:r>
      <w:r>
        <w:rPr>
          <w:color w:val="0071BB"/>
        </w:rPr>
        <w:t xml:space="preserve"> łazienki pokryte warstwą wody o wysokości 1 cm, brak możliwości leczenia szpitalnego, wadliwy system kanalizacyjny, </w:t>
      </w:r>
      <w:r w:rsidR="00EB6E79">
        <w:rPr>
          <w:color w:val="0071BB"/>
        </w:rPr>
        <w:t>odrażający zapach</w:t>
      </w:r>
      <w:r>
        <w:rPr>
          <w:color w:val="0071BB"/>
        </w:rPr>
        <w:t>, zakaźne choroby skóry oraz przemoc podczas zatrzymań.</w:t>
      </w:r>
    </w:p>
    <w:p w14:paraId="254251E0" w14:textId="77777777" w:rsidR="00A64743" w:rsidRDefault="001A3819">
      <w:pPr>
        <w:pStyle w:val="Nagwek2"/>
        <w:spacing w:before="120"/>
        <w:ind w:left="879"/>
        <w:rPr>
          <w:u w:val="none"/>
        </w:rPr>
      </w:pPr>
      <w:proofErr w:type="spellStart"/>
      <w:r>
        <w:rPr>
          <w:color w:val="0071BB"/>
          <w:u w:val="thick" w:color="0071BB"/>
        </w:rPr>
        <w:t>Abdolkhani</w:t>
      </w:r>
      <w:proofErr w:type="spellEnd"/>
      <w:r>
        <w:rPr>
          <w:color w:val="0071BB"/>
          <w:u w:val="thick" w:color="0071BB"/>
        </w:rPr>
        <w:t xml:space="preserve"> i </w:t>
      </w:r>
      <w:proofErr w:type="spellStart"/>
      <w:r>
        <w:rPr>
          <w:color w:val="0071BB"/>
          <w:u w:val="thick" w:color="0071BB"/>
        </w:rPr>
        <w:t>Karimnia</w:t>
      </w:r>
      <w:proofErr w:type="spellEnd"/>
      <w:r>
        <w:rPr>
          <w:color w:val="0071BB"/>
          <w:u w:val="thick" w:color="0071BB"/>
        </w:rPr>
        <w:t xml:space="preserve"> przeciwko Turcji (skarga nr 2)</w:t>
      </w:r>
    </w:p>
    <w:p w14:paraId="7C4BBCB6" w14:textId="77777777" w:rsidR="00A64743" w:rsidRDefault="001A3819">
      <w:pPr>
        <w:spacing w:before="60"/>
        <w:ind w:left="880"/>
        <w:jc w:val="both"/>
        <w:rPr>
          <w:sz w:val="18"/>
        </w:rPr>
      </w:pPr>
      <w:r>
        <w:rPr>
          <w:color w:val="808080"/>
          <w:sz w:val="18"/>
        </w:rPr>
        <w:t>27 lipca 2010 r.</w:t>
      </w:r>
    </w:p>
    <w:p w14:paraId="0093971E" w14:textId="00107D83" w:rsidR="00A64743" w:rsidRDefault="001A3819">
      <w:pPr>
        <w:pStyle w:val="Tekstpodstawowy"/>
        <w:spacing w:before="1"/>
        <w:ind w:left="879" w:right="978"/>
      </w:pPr>
      <w:r>
        <w:t>Skarżący, będący obywatelami ira</w:t>
      </w:r>
      <w:r w:rsidR="00435385">
        <w:t>ńs</w:t>
      </w:r>
      <w:r>
        <w:t xml:space="preserve">kimi, przekroczyli granicę Turcji w czerwcu 2008 r. jako uchodźcy, korzystając z mandatu Wysokiego Komisarza Narodów Zjednoczonych ds. Uchodźców (UNHCR). Ponieważ stwierdzono, że ich paszporty są </w:t>
      </w:r>
      <w:r w:rsidR="00435385">
        <w:t>sfałszowane</w:t>
      </w:r>
      <w:r>
        <w:t xml:space="preserve">, zostali zatrzymani w punkcie kontroli granicznej i umieszczono ich w izbie zatrzymań na komendzie policji w </w:t>
      </w:r>
      <w:proofErr w:type="spellStart"/>
      <w:r>
        <w:t>Hasköy</w:t>
      </w:r>
      <w:proofErr w:type="spellEnd"/>
      <w:r>
        <w:t>.</w:t>
      </w:r>
    </w:p>
    <w:p w14:paraId="39191D42" w14:textId="13ABB839" w:rsidR="00A64743" w:rsidRDefault="001A3819">
      <w:pPr>
        <w:pStyle w:val="Tekstpodstawowy"/>
        <w:ind w:left="879" w:right="976"/>
      </w:pPr>
      <w:r>
        <w:rPr>
          <w:color w:val="0071BB"/>
        </w:rPr>
        <w:t xml:space="preserve">Chociaż Trybunał nie był w stanie zweryfikować prawdziwości wszystkich zarzutów podnoszonych przez skarżących wskutek nieprzedstawienia przez Rząd turecki dowodów w postaci dokumentów, okres pozbawienia wolności i przeludnienie wystarczyły, aby uznać, że warunki </w:t>
      </w:r>
      <w:r w:rsidR="00435385">
        <w:rPr>
          <w:color w:val="0071BB"/>
        </w:rPr>
        <w:t>osadzenia</w:t>
      </w:r>
      <w:r>
        <w:rPr>
          <w:color w:val="0071BB"/>
        </w:rPr>
        <w:t xml:space="preserve"> na komendzie policji w </w:t>
      </w:r>
      <w:proofErr w:type="spellStart"/>
      <w:r>
        <w:rPr>
          <w:color w:val="0071BB"/>
        </w:rPr>
        <w:t>Hasköy</w:t>
      </w:r>
      <w:proofErr w:type="spellEnd"/>
      <w:r>
        <w:rPr>
          <w:color w:val="0071BB"/>
        </w:rPr>
        <w:t xml:space="preserve"> stanowiły poniżające traktowanie </w:t>
      </w:r>
      <w:r>
        <w:rPr>
          <w:b/>
          <w:bCs/>
          <w:color w:val="0071BB"/>
        </w:rPr>
        <w:t xml:space="preserve">wbrew art. 3 </w:t>
      </w:r>
      <w:r>
        <w:rPr>
          <w:color w:val="0071BB"/>
        </w:rPr>
        <w:t>Konwencji (zakaz nieludzkiego lub poniżającego traktowania). Skarżący byli przetrzymywani w piwnicy komendy policji przez trzy miesiące. Nawet przy założeniu, że szacunkowa liczba osadzonych (42) podana przez Rząd turecki była prawidłowa, przetrzymywanie takiej liczby osób na powierzchni 70m² choćby przez jeden dzień stanowiło poważne przeludnienie.</w:t>
      </w:r>
    </w:p>
    <w:p w14:paraId="13845222" w14:textId="77777777" w:rsidR="00A64743" w:rsidRDefault="001A3819">
      <w:pPr>
        <w:pStyle w:val="Nagwek2"/>
        <w:rPr>
          <w:u w:val="none"/>
        </w:rPr>
      </w:pPr>
      <w:r>
        <w:rPr>
          <w:color w:val="0071BB"/>
          <w:u w:val="thick" w:color="0071BB"/>
        </w:rPr>
        <w:lastRenderedPageBreak/>
        <w:t>M.S.S. przeciwko Belgii i Grecji (skarga nr 30696/09)</w:t>
      </w:r>
    </w:p>
    <w:p w14:paraId="564FA988" w14:textId="77777777" w:rsidR="00A64743" w:rsidRDefault="001A3819">
      <w:pPr>
        <w:spacing w:before="60"/>
        <w:ind w:left="880"/>
        <w:jc w:val="both"/>
        <w:rPr>
          <w:sz w:val="18"/>
        </w:rPr>
      </w:pPr>
      <w:r>
        <w:rPr>
          <w:color w:val="808080"/>
          <w:sz w:val="18"/>
        </w:rPr>
        <w:t>21 stycznia 2011 r. (Wielka Izba)</w:t>
      </w:r>
    </w:p>
    <w:p w14:paraId="4927B5AD" w14:textId="5EC8D72E" w:rsidR="00A64743" w:rsidRDefault="001A3819" w:rsidP="001A3819">
      <w:pPr>
        <w:pStyle w:val="Tekstpodstawowy"/>
        <w:spacing w:before="1"/>
        <w:ind w:right="976"/>
      </w:pPr>
      <w:r>
        <w:t>Skarżący, będący obywatelem afgańskim, przekroczył granicę Unii Europejskiej w Grecji. Następnie dostał się do Belgii, gdzie złożył wniosek o azyl. Na podstawie rozporządzenia</w:t>
      </w:r>
      <w:r>
        <w:rPr>
          <w:sz w:val="14"/>
        </w:rPr>
        <w:t xml:space="preserve"> </w:t>
      </w:r>
      <w:r>
        <w:t>Dublin II</w:t>
      </w:r>
      <w:r w:rsidR="00725822">
        <w:rPr>
          <w:rStyle w:val="Odwoanieprzypisudolnego"/>
        </w:rPr>
        <w:footnoteReference w:id="1"/>
      </w:r>
      <w:hyperlink w:anchor="_bookmark0" w:history="1">
        <w:r>
          <w:rPr>
            <w:vertAlign w:val="superscript"/>
          </w:rPr>
          <w:t>1</w:t>
        </w:r>
      </w:hyperlink>
      <w:r>
        <w:t xml:space="preserve"> w czerwcu 2009 r. został </w:t>
      </w:r>
      <w:r w:rsidR="00600644">
        <w:t xml:space="preserve">przetransportowany </w:t>
      </w:r>
      <w:r>
        <w:t xml:space="preserve">z powrotem do Grecji. Po przybyciu </w:t>
      </w:r>
      <w:r w:rsidR="00600644">
        <w:t>na lotnisko</w:t>
      </w:r>
      <w:r>
        <w:t xml:space="preserve"> w Atenach został natychmiast pozbawiony wolności poprzez umieszczenie w przyległym budynku, gdzie według jego doniesień był przetrzymywany na niewielkiej przestrzeni z 20 innymi osobami, miał ograniczony dostęp do toalety, a osoby tam przebywające nie miały dostępu do świeżego powietrza, dostawały bardzo mało jedzenia i musiały spać na brudnych materacach lub gołej podłodze.</w:t>
      </w:r>
    </w:p>
    <w:p w14:paraId="13717D93" w14:textId="5012A3B6" w:rsidR="00A64743" w:rsidRDefault="001A3819">
      <w:pPr>
        <w:pStyle w:val="Tekstpodstawowy"/>
        <w:ind w:right="974" w:hanging="1"/>
      </w:pPr>
      <w:r>
        <w:rPr>
          <w:color w:val="0071BB"/>
        </w:rPr>
        <w:t xml:space="preserve">Trybunał orzekł, że doszło do </w:t>
      </w:r>
      <w:r>
        <w:rPr>
          <w:b/>
          <w:bCs/>
          <w:color w:val="0071BB"/>
        </w:rPr>
        <w:t xml:space="preserve">naruszenia art. 3 </w:t>
      </w:r>
      <w:r>
        <w:rPr>
          <w:color w:val="0071BB"/>
        </w:rPr>
        <w:t xml:space="preserve">Konwencji (zakaz nieludzkiego lub poniżającego traktowania) przez Grecję ze względu na warunki </w:t>
      </w:r>
      <w:r w:rsidR="0042491F">
        <w:rPr>
          <w:color w:val="0071BB"/>
        </w:rPr>
        <w:t>osadzenia</w:t>
      </w:r>
      <w:r>
        <w:rPr>
          <w:color w:val="0071BB"/>
        </w:rPr>
        <w:t xml:space="preserve"> skarżącego. Pomimo </w:t>
      </w:r>
      <w:r w:rsidR="00164EB7">
        <w:rPr>
          <w:color w:val="0071BB"/>
        </w:rPr>
        <w:t xml:space="preserve">faktu, że </w:t>
      </w:r>
      <w:r>
        <w:rPr>
          <w:color w:val="0071BB"/>
        </w:rPr>
        <w:t xml:space="preserve">był on pozbawiony wolności przez stosunkowo krótki czas, Trybunał uznał, że warunki pozbawienia wolności, których doświadczył w miejscu przetrzymywania, były </w:t>
      </w:r>
      <w:r w:rsidR="00164EB7">
        <w:rPr>
          <w:color w:val="0071BB"/>
        </w:rPr>
        <w:t>nieakceptowalne</w:t>
      </w:r>
      <w:r>
        <w:rPr>
          <w:color w:val="0071BB"/>
        </w:rPr>
        <w:t xml:space="preserve">. </w:t>
      </w:r>
      <w:r w:rsidR="00164EB7">
        <w:rPr>
          <w:color w:val="0071BB"/>
        </w:rPr>
        <w:t>Stwierdził</w:t>
      </w:r>
      <w:r>
        <w:rPr>
          <w:color w:val="0071BB"/>
        </w:rPr>
        <w:t xml:space="preserve">, że poczucie arbitralności decyzji, niższości i lęku, którego doznał skarżący, w połączeniu z głębokim </w:t>
      </w:r>
      <w:r w:rsidR="00257ECA">
        <w:rPr>
          <w:color w:val="0071BB"/>
        </w:rPr>
        <w:t>wpływem jaki warunki osadzenia niewątpliwie</w:t>
      </w:r>
      <w:r>
        <w:rPr>
          <w:color w:val="0071BB"/>
        </w:rPr>
        <w:t xml:space="preserve"> </w:t>
      </w:r>
      <w:r w:rsidR="00257ECA">
        <w:rPr>
          <w:color w:val="0071BB"/>
        </w:rPr>
        <w:t xml:space="preserve">miały dla </w:t>
      </w:r>
      <w:r>
        <w:rPr>
          <w:color w:val="0071BB"/>
        </w:rPr>
        <w:t xml:space="preserve">jego godności, stanowiły </w:t>
      </w:r>
      <w:r w:rsidR="00257ECA">
        <w:rPr>
          <w:color w:val="0071BB"/>
        </w:rPr>
        <w:t xml:space="preserve">poniżające </w:t>
      </w:r>
      <w:r>
        <w:rPr>
          <w:color w:val="0071BB"/>
        </w:rPr>
        <w:t xml:space="preserve">traktowanie. Co więcej, jako osoba ubiegająca się o azyl, skarżący należał do grupy szczególnie podatnej na zagrożenia ze względu na </w:t>
      </w:r>
      <w:r w:rsidR="00257ECA">
        <w:rPr>
          <w:color w:val="0071BB"/>
        </w:rPr>
        <w:t>migrację i traumatyczne doświadczenia</w:t>
      </w:r>
      <w:r>
        <w:rPr>
          <w:color w:val="0071BB"/>
        </w:rPr>
        <w:t xml:space="preserve">, </w:t>
      </w:r>
      <w:r w:rsidR="00257ECA">
        <w:rPr>
          <w:color w:val="0071BB"/>
        </w:rPr>
        <w:t xml:space="preserve">których </w:t>
      </w:r>
      <w:r>
        <w:rPr>
          <w:color w:val="0071BB"/>
        </w:rPr>
        <w:t xml:space="preserve">prawdopodobnie </w:t>
      </w:r>
      <w:r w:rsidR="00257ECA">
        <w:rPr>
          <w:color w:val="0071BB"/>
        </w:rPr>
        <w:t>doznał</w:t>
      </w:r>
      <w:r>
        <w:rPr>
          <w:color w:val="0071BB"/>
        </w:rPr>
        <w:t>.</w:t>
      </w:r>
    </w:p>
    <w:p w14:paraId="03EB2E13" w14:textId="7EEDFA32" w:rsidR="00A64743" w:rsidRDefault="001A3819">
      <w:pPr>
        <w:pStyle w:val="Tekstpodstawowy"/>
        <w:ind w:right="974"/>
      </w:pPr>
      <w:r>
        <w:rPr>
          <w:color w:val="0071BB"/>
        </w:rPr>
        <w:t xml:space="preserve">Również w tej sprawie Trybunał uznał, że doszło do </w:t>
      </w:r>
      <w:r>
        <w:rPr>
          <w:b/>
          <w:bCs/>
          <w:color w:val="0071BB"/>
        </w:rPr>
        <w:t xml:space="preserve">naruszenia art. 3 </w:t>
      </w:r>
      <w:r>
        <w:rPr>
          <w:color w:val="0071BB"/>
        </w:rPr>
        <w:t xml:space="preserve">Konwencji (zakaz nieludzkiego lub poniżającego traktowania) przez Grecję </w:t>
      </w:r>
      <w:r w:rsidR="005E1367">
        <w:rPr>
          <w:color w:val="0071BB"/>
        </w:rPr>
        <w:t>z uwagi</w:t>
      </w:r>
      <w:r>
        <w:rPr>
          <w:color w:val="0071BB"/>
        </w:rPr>
        <w:t xml:space="preserve"> na warunki życia skarżącego w Grecji; </w:t>
      </w:r>
      <w:r>
        <w:rPr>
          <w:b/>
          <w:bCs/>
          <w:color w:val="0071BB"/>
        </w:rPr>
        <w:t xml:space="preserve">do naruszenia art. 13 </w:t>
      </w:r>
      <w:r>
        <w:rPr>
          <w:color w:val="0071BB"/>
        </w:rPr>
        <w:t xml:space="preserve">Konwencji (prawo do skutecznego środka odwoławczego) </w:t>
      </w:r>
      <w:r>
        <w:rPr>
          <w:b/>
          <w:bCs/>
          <w:color w:val="0071BB"/>
        </w:rPr>
        <w:t xml:space="preserve">w związku z art. 3 </w:t>
      </w:r>
      <w:r>
        <w:rPr>
          <w:color w:val="0071BB"/>
        </w:rPr>
        <w:t xml:space="preserve">przez Grecję z powodu uchybień w procedurze azylowej </w:t>
      </w:r>
      <w:r w:rsidR="005E1367">
        <w:rPr>
          <w:color w:val="0071BB"/>
        </w:rPr>
        <w:t>w stosunku do</w:t>
      </w:r>
      <w:r>
        <w:rPr>
          <w:color w:val="0071BB"/>
        </w:rPr>
        <w:t xml:space="preserve"> skarżącego; </w:t>
      </w:r>
      <w:r w:rsidRPr="004B7905">
        <w:rPr>
          <w:color w:val="0071BB"/>
        </w:rPr>
        <w:t>do</w:t>
      </w:r>
      <w:r>
        <w:rPr>
          <w:b/>
          <w:bCs/>
          <w:color w:val="0071BB"/>
        </w:rPr>
        <w:t xml:space="preserve"> naruszenia art. 3 </w:t>
      </w:r>
      <w:r>
        <w:rPr>
          <w:color w:val="0071BB"/>
        </w:rPr>
        <w:t xml:space="preserve">Konwencji przez Belgię ze względu na narażenie skarżącego na ryzyko związane z </w:t>
      </w:r>
      <w:r w:rsidR="005E1367">
        <w:rPr>
          <w:color w:val="0071BB"/>
        </w:rPr>
        <w:t xml:space="preserve">mankamentami </w:t>
      </w:r>
      <w:r>
        <w:rPr>
          <w:color w:val="0071BB"/>
        </w:rPr>
        <w:t>procedury azylowej w Grecji oraz ze względu na narażen</w:t>
      </w:r>
      <w:r w:rsidR="00725822">
        <w:rPr>
          <w:color w:val="0071BB"/>
        </w:rPr>
        <w:t>ie go na pozbawienie wolności i </w:t>
      </w:r>
      <w:r>
        <w:rPr>
          <w:color w:val="0071BB"/>
        </w:rPr>
        <w:t xml:space="preserve">warunki życia w Grecji niezgodne z art. 3; jak również do </w:t>
      </w:r>
      <w:r>
        <w:rPr>
          <w:b/>
          <w:bCs/>
          <w:color w:val="0071BB"/>
        </w:rPr>
        <w:t>naruszenia art. 13</w:t>
      </w:r>
      <w:r>
        <w:rPr>
          <w:color w:val="0071BB"/>
        </w:rPr>
        <w:t xml:space="preserve"> Konwencji</w:t>
      </w:r>
      <w:r>
        <w:rPr>
          <w:b/>
          <w:bCs/>
          <w:color w:val="0071BB"/>
        </w:rPr>
        <w:t xml:space="preserve"> w związku z art. 3 </w:t>
      </w:r>
      <w:r>
        <w:rPr>
          <w:color w:val="0071BB"/>
        </w:rPr>
        <w:t>przez Belgię ze względu na brak skutecznego środka odwoławczego przeciwko decyzji o wydaleniu skarżącego.</w:t>
      </w:r>
    </w:p>
    <w:p w14:paraId="70532ED2" w14:textId="5E248707" w:rsidR="00A64743" w:rsidRDefault="001A3819" w:rsidP="001A3819">
      <w:pPr>
        <w:spacing w:before="121"/>
        <w:ind w:left="880" w:right="967"/>
        <w:jc w:val="both"/>
        <w:rPr>
          <w:sz w:val="16"/>
        </w:rPr>
      </w:pPr>
      <w:r>
        <w:rPr>
          <w:b/>
          <w:color w:val="0071BB"/>
          <w:sz w:val="20"/>
          <w:u w:val="thick" w:color="0071BB"/>
        </w:rPr>
        <w:t>R.U. przeciwko Grecji (skarga nr 2237/08)</w:t>
      </w:r>
      <w:r>
        <w:rPr>
          <w:b/>
          <w:color w:val="0071BB"/>
          <w:sz w:val="20"/>
        </w:rPr>
        <w:t xml:space="preserve"> </w:t>
      </w:r>
      <w:r>
        <w:rPr>
          <w:color w:val="808080"/>
          <w:sz w:val="16"/>
        </w:rPr>
        <w:t xml:space="preserve">(zobacz również poniżej „Kwestionowanie </w:t>
      </w:r>
      <w:r w:rsidR="005E1367">
        <w:rPr>
          <w:color w:val="808080"/>
          <w:sz w:val="16"/>
        </w:rPr>
        <w:t>legalności</w:t>
      </w:r>
      <w:r>
        <w:rPr>
          <w:color w:val="808080"/>
          <w:sz w:val="16"/>
        </w:rPr>
        <w:t xml:space="preserve"> pozbawienia wolności”)</w:t>
      </w:r>
    </w:p>
    <w:p w14:paraId="423816AA" w14:textId="77777777" w:rsidR="00A64743" w:rsidRDefault="001A3819">
      <w:pPr>
        <w:spacing w:before="59" w:line="218" w:lineRule="exact"/>
        <w:ind w:left="880"/>
        <w:jc w:val="both"/>
        <w:rPr>
          <w:sz w:val="18"/>
        </w:rPr>
      </w:pPr>
      <w:r>
        <w:rPr>
          <w:color w:val="808080"/>
          <w:sz w:val="18"/>
        </w:rPr>
        <w:t>7 czerwca 2011 r.</w:t>
      </w:r>
    </w:p>
    <w:p w14:paraId="7CCA52A4" w14:textId="6276932F" w:rsidR="00A64743" w:rsidRDefault="001A3819">
      <w:pPr>
        <w:pStyle w:val="Tekstpodstawowy"/>
        <w:ind w:right="980"/>
      </w:pPr>
      <w:r>
        <w:t xml:space="preserve">Sprawa dotyczyła </w:t>
      </w:r>
      <w:r w:rsidR="0068177B">
        <w:t xml:space="preserve">faktu </w:t>
      </w:r>
      <w:r>
        <w:t xml:space="preserve">i warunków </w:t>
      </w:r>
      <w:r w:rsidR="00035106">
        <w:t>przetrzymywania</w:t>
      </w:r>
      <w:r>
        <w:t xml:space="preserve"> na terytorium Grecji obywatela tureckiego pochodzenia kurdyjskiego ubiegającego się o azyl oraz </w:t>
      </w:r>
      <w:r w:rsidR="0068177B">
        <w:t xml:space="preserve">przebiegu </w:t>
      </w:r>
      <w:r>
        <w:t>procedury azylowej.</w:t>
      </w:r>
    </w:p>
    <w:p w14:paraId="78D16A71" w14:textId="747C35FD" w:rsidR="00A64743" w:rsidRDefault="001A3819">
      <w:pPr>
        <w:pStyle w:val="Tekstpodstawowy"/>
        <w:spacing w:before="1"/>
        <w:ind w:right="973"/>
      </w:pPr>
      <w:r>
        <w:rPr>
          <w:color w:val="0071BB"/>
        </w:rPr>
        <w:t xml:space="preserve">Skarżący </w:t>
      </w:r>
      <w:r w:rsidR="0068177B">
        <w:rPr>
          <w:color w:val="0071BB"/>
        </w:rPr>
        <w:t>podnosił kwestię warunków jego</w:t>
      </w:r>
      <w:r>
        <w:rPr>
          <w:color w:val="0071BB"/>
        </w:rPr>
        <w:t xml:space="preserve"> </w:t>
      </w:r>
      <w:r w:rsidR="0068177B">
        <w:rPr>
          <w:color w:val="0071BB"/>
        </w:rPr>
        <w:t>osadzenia, które były takie same</w:t>
      </w:r>
      <w:r>
        <w:rPr>
          <w:color w:val="0071BB"/>
        </w:rPr>
        <w:t xml:space="preserve"> i </w:t>
      </w:r>
      <w:r w:rsidR="0068177B">
        <w:rPr>
          <w:color w:val="0071BB"/>
        </w:rPr>
        <w:t xml:space="preserve">dotyczyły takiego </w:t>
      </w:r>
      <w:r>
        <w:rPr>
          <w:color w:val="0071BB"/>
        </w:rPr>
        <w:t>samego okresu, co badane przez Trybunał w sprawie</w:t>
      </w:r>
      <w:r>
        <w:rPr>
          <w:i/>
          <w:iCs/>
          <w:color w:val="0071BB"/>
        </w:rPr>
        <w:t xml:space="preserve"> S.D. przeciwko Grecji</w:t>
      </w:r>
      <w:r>
        <w:rPr>
          <w:color w:val="0071BB"/>
        </w:rPr>
        <w:t xml:space="preserve"> (zob. powyżej), w której to sprawie Trybunał </w:t>
      </w:r>
      <w:r w:rsidR="0068177B">
        <w:rPr>
          <w:color w:val="0071BB"/>
        </w:rPr>
        <w:t>stwierdził</w:t>
      </w:r>
      <w:r>
        <w:rPr>
          <w:color w:val="0071BB"/>
        </w:rPr>
        <w:t xml:space="preserve">, że doszło do naruszenia art. 3 Konwencji (zakaz nieludzkiego lub poniżającego traktowania) ze względu na ogólne warunki pozbawienia wolności w </w:t>
      </w:r>
      <w:r w:rsidR="00725822">
        <w:rPr>
          <w:color w:val="0071BB"/>
        </w:rPr>
        <w:t xml:space="preserve">ośrodkach detencyjnych </w:t>
      </w:r>
      <w:proofErr w:type="spellStart"/>
      <w:r w:rsidR="00725822">
        <w:rPr>
          <w:color w:val="0071BB"/>
        </w:rPr>
        <w:t>Soufli</w:t>
      </w:r>
      <w:proofErr w:type="spellEnd"/>
      <w:r w:rsidR="00725822">
        <w:rPr>
          <w:color w:val="0071BB"/>
        </w:rPr>
        <w:t xml:space="preserve"> i </w:t>
      </w:r>
      <w:proofErr w:type="spellStart"/>
      <w:r>
        <w:rPr>
          <w:color w:val="0071BB"/>
        </w:rPr>
        <w:t>Petrou</w:t>
      </w:r>
      <w:proofErr w:type="spellEnd"/>
      <w:r>
        <w:rPr>
          <w:color w:val="0071BB"/>
        </w:rPr>
        <w:t xml:space="preserve"> </w:t>
      </w:r>
      <w:proofErr w:type="spellStart"/>
      <w:r>
        <w:rPr>
          <w:color w:val="0071BB"/>
        </w:rPr>
        <w:t>Ralli</w:t>
      </w:r>
      <w:proofErr w:type="spellEnd"/>
      <w:r>
        <w:rPr>
          <w:color w:val="0071BB"/>
        </w:rPr>
        <w:t xml:space="preserve">. </w:t>
      </w:r>
      <w:r w:rsidR="009C2DC3">
        <w:rPr>
          <w:color w:val="0071BB"/>
        </w:rPr>
        <w:t>Do takiej samej konkluzji Trybunał doszedł</w:t>
      </w:r>
      <w:r>
        <w:rPr>
          <w:color w:val="0071BB"/>
        </w:rPr>
        <w:t xml:space="preserve"> w sprawie R.U.</w:t>
      </w:r>
      <w:r w:rsidR="009C2DC3">
        <w:rPr>
          <w:color w:val="0071BB"/>
        </w:rPr>
        <w:t xml:space="preserve">, w której </w:t>
      </w:r>
      <w:r>
        <w:rPr>
          <w:color w:val="0071BB"/>
        </w:rPr>
        <w:t xml:space="preserve">uznano, </w:t>
      </w:r>
      <w:r w:rsidR="009C2DC3" w:rsidRPr="00BF6697">
        <w:rPr>
          <w:color w:val="0071BB"/>
        </w:rPr>
        <w:t xml:space="preserve">że </w:t>
      </w:r>
      <w:r w:rsidRPr="004B7905">
        <w:rPr>
          <w:color w:val="0071BB"/>
        </w:rPr>
        <w:t>doszło do</w:t>
      </w:r>
      <w:r>
        <w:rPr>
          <w:b/>
          <w:bCs/>
          <w:color w:val="0071BB"/>
        </w:rPr>
        <w:t xml:space="preserve"> naruszenia art. 3 </w:t>
      </w:r>
      <w:r>
        <w:rPr>
          <w:color w:val="0071BB"/>
        </w:rPr>
        <w:t xml:space="preserve">Konwencji. Ponieważ w Grecji nie istniały środki odwoławcze umożliwiające skarżącemu wniesienie skargi na warunki pozbawienia wolności, Trybunał orzekł, że doszło do </w:t>
      </w:r>
      <w:r>
        <w:rPr>
          <w:b/>
          <w:bCs/>
          <w:color w:val="0071BB"/>
        </w:rPr>
        <w:t xml:space="preserve">naruszenia art. 13 </w:t>
      </w:r>
      <w:r>
        <w:rPr>
          <w:color w:val="0071BB"/>
        </w:rPr>
        <w:t>Konwencji (prawo do skutecznego środka odwoławczego).</w:t>
      </w:r>
    </w:p>
    <w:p w14:paraId="14ED5D7A" w14:textId="77777777" w:rsidR="00A64743" w:rsidRDefault="00711FD6">
      <w:pPr>
        <w:pStyle w:val="Nagwek2"/>
        <w:rPr>
          <w:u w:val="none"/>
        </w:rPr>
      </w:pPr>
      <w:hyperlink r:id="rId39">
        <w:r w:rsidR="001A3819">
          <w:rPr>
            <w:color w:val="0071BB"/>
            <w:u w:val="thick" w:color="0071BB"/>
          </w:rPr>
          <w:t>A.F. Przeciwko Grecji (skarga nr 53709/11)</w:t>
        </w:r>
      </w:hyperlink>
    </w:p>
    <w:p w14:paraId="7127BE80" w14:textId="77777777" w:rsidR="00A64743" w:rsidRDefault="001A3819">
      <w:pPr>
        <w:spacing w:before="62" w:line="218" w:lineRule="exact"/>
        <w:ind w:left="880"/>
        <w:jc w:val="both"/>
        <w:rPr>
          <w:sz w:val="18"/>
        </w:rPr>
      </w:pPr>
      <w:r>
        <w:rPr>
          <w:color w:val="808080"/>
          <w:sz w:val="18"/>
        </w:rPr>
        <w:t>13 czerwca 2013 r.</w:t>
      </w:r>
    </w:p>
    <w:p w14:paraId="1CC422A6" w14:textId="5C3016F5" w:rsidR="00A64743" w:rsidRDefault="001A3819">
      <w:pPr>
        <w:pStyle w:val="Tekstpodstawowy"/>
        <w:ind w:left="879" w:right="976"/>
      </w:pPr>
      <w:r>
        <w:t xml:space="preserve">Skarżący, będący obywatelem irańskim, przekroczył granicę Grecji i został zatrzymany przez policję na posterunku granicznym w </w:t>
      </w:r>
      <w:proofErr w:type="spellStart"/>
      <w:r>
        <w:t>Feres</w:t>
      </w:r>
      <w:proofErr w:type="spellEnd"/>
      <w:r>
        <w:t xml:space="preserve">. Organy miały odmówić zarejestrowania jego wniosku o azyl polityczny. Był przetrzymywany na terenie posterunku granicznego w </w:t>
      </w:r>
      <w:proofErr w:type="spellStart"/>
      <w:r>
        <w:t>Feres</w:t>
      </w:r>
      <w:proofErr w:type="spellEnd"/>
      <w:r>
        <w:t xml:space="preserve"> od października 2010 r. do stycznia 2011 r. Skarżący podniósł kwestię warunków, w których był przetrzymywany.</w:t>
      </w:r>
    </w:p>
    <w:p w14:paraId="2B71EE62" w14:textId="56ED6A66" w:rsidR="00A64743" w:rsidRDefault="001A3819" w:rsidP="00725822">
      <w:pPr>
        <w:pStyle w:val="Tekstpodstawowy"/>
        <w:ind w:left="879" w:right="975"/>
      </w:pPr>
      <w:r>
        <w:rPr>
          <w:color w:val="0071BB"/>
        </w:rPr>
        <w:lastRenderedPageBreak/>
        <w:t xml:space="preserve">Trybunał orzekł, że doszło do </w:t>
      </w:r>
      <w:r>
        <w:rPr>
          <w:b/>
          <w:bCs/>
          <w:color w:val="0071BB"/>
        </w:rPr>
        <w:t xml:space="preserve">naruszenia art. 3 </w:t>
      </w:r>
      <w:r>
        <w:rPr>
          <w:color w:val="0071BB"/>
        </w:rPr>
        <w:t xml:space="preserve">Konwencji (zakaz nieludzkiego lub poniżającego traktowania) ze względu na </w:t>
      </w:r>
      <w:r w:rsidR="009C2DC3">
        <w:rPr>
          <w:color w:val="0071BB"/>
        </w:rPr>
        <w:t>ciasnotę, w jakiej skarżący był trzymany</w:t>
      </w:r>
      <w:r>
        <w:rPr>
          <w:color w:val="0071BB"/>
        </w:rPr>
        <w:t xml:space="preserve">. Trybunał zwrócił uwagę na sprawozdania organizacji międzynarodowych dotyczące warunków pozbawienia wolności na posterunku granicznym w </w:t>
      </w:r>
      <w:proofErr w:type="spellStart"/>
      <w:r>
        <w:rPr>
          <w:color w:val="0071BB"/>
        </w:rPr>
        <w:t>Feres</w:t>
      </w:r>
      <w:proofErr w:type="spellEnd"/>
      <w:r>
        <w:rPr>
          <w:color w:val="0071BB"/>
        </w:rPr>
        <w:t>, w których podkreślano poważny brak przestrzeni. Zdaniem specjalnego sprawozdawcy ONZ ds. tortur i innego okrutnego, nieludzkiego lub poniżającego traktowania lub karania, w dniu jego wizyty w październiku 2010 r.</w:t>
      </w:r>
      <w:bookmarkStart w:id="0" w:name="_bookmark0"/>
      <w:bookmarkEnd w:id="0"/>
      <w:r w:rsidR="00725822">
        <w:t xml:space="preserve"> </w:t>
      </w:r>
      <w:r w:rsidR="00BF6697">
        <w:rPr>
          <w:color w:val="0071BB"/>
        </w:rPr>
        <w:t xml:space="preserve">w przestrzeni przeznaczonej dla 28 osób przebywały </w:t>
      </w:r>
      <w:r>
        <w:rPr>
          <w:color w:val="0071BB"/>
        </w:rPr>
        <w:t>123 osoby</w:t>
      </w:r>
      <w:r w:rsidR="00725822">
        <w:rPr>
          <w:color w:val="0071BB"/>
        </w:rPr>
        <w:t xml:space="preserve">, natomiast według </w:t>
      </w:r>
      <w:proofErr w:type="spellStart"/>
      <w:r w:rsidR="00725822">
        <w:rPr>
          <w:color w:val="0071BB"/>
        </w:rPr>
        <w:t>ProAsyl</w:t>
      </w:r>
      <w:proofErr w:type="spellEnd"/>
      <w:r w:rsidR="00725822">
        <w:rPr>
          <w:color w:val="0071BB"/>
        </w:rPr>
        <w:t xml:space="preserve"> w </w:t>
      </w:r>
      <w:r>
        <w:rPr>
          <w:color w:val="0071BB"/>
        </w:rPr>
        <w:t>grudniu 2010 r.</w:t>
      </w:r>
      <w:r w:rsidR="00725822">
        <w:rPr>
          <w:color w:val="0071BB"/>
        </w:rPr>
        <w:t xml:space="preserve"> </w:t>
      </w:r>
      <w:r>
        <w:rPr>
          <w:color w:val="0071BB"/>
        </w:rPr>
        <w:t>w jednym dormitorium przebywało 110 osób, zaś</w:t>
      </w:r>
      <w:r w:rsidR="00725822">
        <w:rPr>
          <w:color w:val="0071BB"/>
        </w:rPr>
        <w:t xml:space="preserve"> </w:t>
      </w:r>
      <w:hyperlink r:id="rId40">
        <w:r>
          <w:rPr>
            <w:color w:val="0071BB"/>
            <w:u w:val="single" w:color="0071BB"/>
          </w:rPr>
          <w:t>Europejski Komitet do spraw </w:t>
        </w:r>
        <w:r w:rsidR="00BF6697">
          <w:rPr>
            <w:color w:val="0071BB"/>
            <w:u w:val="single" w:color="0071BB"/>
          </w:rPr>
          <w:t>z</w:t>
        </w:r>
        <w:r>
          <w:rPr>
            <w:color w:val="0071BB"/>
            <w:u w:val="single" w:color="0071BB"/>
          </w:rPr>
          <w:t>apobiegania</w:t>
        </w:r>
      </w:hyperlink>
      <w:r w:rsidR="00F90F00">
        <w:rPr>
          <w:color w:val="0071BB"/>
          <w:u w:val="single" w:color="0071BB"/>
        </w:rPr>
        <w:t xml:space="preserve"> </w:t>
      </w:r>
      <w:hyperlink r:id="rId41">
        <w:r w:rsidR="00BF6697">
          <w:rPr>
            <w:color w:val="0071BB"/>
            <w:u w:val="single"/>
          </w:rPr>
          <w:t>t</w:t>
        </w:r>
        <w:r w:rsidRPr="00F90F00">
          <w:rPr>
            <w:color w:val="0071BB"/>
            <w:u w:val="single"/>
          </w:rPr>
          <w:t>o</w:t>
        </w:r>
        <w:r>
          <w:rPr>
            <w:color w:val="0071BB"/>
            <w:u w:val="single" w:color="0071BB"/>
          </w:rPr>
          <w:t xml:space="preserve">rturom oraz </w:t>
        </w:r>
        <w:r w:rsidR="00BF6697">
          <w:rPr>
            <w:color w:val="0071BB"/>
            <w:u w:val="single" w:color="0071BB"/>
          </w:rPr>
          <w:t>n</w:t>
        </w:r>
        <w:r>
          <w:rPr>
            <w:color w:val="0071BB"/>
            <w:u w:val="single" w:color="0071BB"/>
          </w:rPr>
          <w:t xml:space="preserve">ieludzkiemu lub </w:t>
        </w:r>
        <w:r w:rsidR="00BF6697">
          <w:rPr>
            <w:color w:val="0071BB"/>
            <w:u w:val="single" w:color="0071BB"/>
          </w:rPr>
          <w:t>p</w:t>
        </w:r>
        <w:r>
          <w:rPr>
            <w:color w:val="0071BB"/>
            <w:u w:val="single" w:color="0071BB"/>
          </w:rPr>
          <w:t xml:space="preserve">oniżającemu </w:t>
        </w:r>
        <w:r w:rsidR="00BF6697">
          <w:rPr>
            <w:color w:val="0071BB"/>
            <w:u w:val="single" w:color="0071BB"/>
          </w:rPr>
          <w:t>t</w:t>
        </w:r>
        <w:r>
          <w:rPr>
            <w:color w:val="0071BB"/>
            <w:u w:val="single" w:color="0071BB"/>
          </w:rPr>
          <w:t xml:space="preserve">raktowaniu lub </w:t>
        </w:r>
        <w:r w:rsidR="00BF6697">
          <w:rPr>
            <w:color w:val="0071BB"/>
            <w:u w:val="single" w:color="0071BB"/>
          </w:rPr>
          <w:t>k</w:t>
        </w:r>
        <w:r>
          <w:rPr>
            <w:color w:val="0071BB"/>
            <w:u w:val="single" w:color="0071BB"/>
          </w:rPr>
          <w:t>araniu (CPT</w:t>
        </w:r>
        <w:r>
          <w:rPr>
            <w:color w:val="0071BB"/>
          </w:rPr>
          <w:t>)</w:t>
        </w:r>
      </w:hyperlink>
      <w:r>
        <w:rPr>
          <w:color w:val="0071BB"/>
        </w:rPr>
        <w:t xml:space="preserve"> odnotował również, że w styczniu 2011 r. w niektórych dormitoriach każdy z pozbawionych wolności dysponował przestrzenią ok. 1 m² lub mniej.</w:t>
      </w:r>
    </w:p>
    <w:p w14:paraId="4CD2E24B" w14:textId="77777777" w:rsidR="00A64743" w:rsidRDefault="00711FD6">
      <w:pPr>
        <w:pStyle w:val="Nagwek2"/>
        <w:spacing w:before="120"/>
        <w:jc w:val="left"/>
        <w:rPr>
          <w:u w:val="none"/>
        </w:rPr>
      </w:pPr>
      <w:hyperlink r:id="rId42">
        <w:proofErr w:type="spellStart"/>
        <w:r w:rsidR="001A3819">
          <w:rPr>
            <w:color w:val="0071BB"/>
            <w:u w:val="thick" w:color="0071BB"/>
          </w:rPr>
          <w:t>Horshill</w:t>
        </w:r>
        <w:proofErr w:type="spellEnd"/>
        <w:r w:rsidR="001A3819">
          <w:rPr>
            <w:color w:val="0071BB"/>
            <w:u w:val="thick" w:color="0071BB"/>
          </w:rPr>
          <w:t xml:space="preserve"> przeciwko Grecji</w:t>
        </w:r>
      </w:hyperlink>
    </w:p>
    <w:p w14:paraId="51403608" w14:textId="77777777" w:rsidR="00A64743" w:rsidRDefault="001A3819">
      <w:pPr>
        <w:spacing w:before="60" w:line="218" w:lineRule="exact"/>
        <w:ind w:left="880"/>
        <w:rPr>
          <w:sz w:val="18"/>
        </w:rPr>
      </w:pPr>
      <w:r>
        <w:rPr>
          <w:color w:val="808080"/>
          <w:sz w:val="18"/>
        </w:rPr>
        <w:t>1 sierpnia 2013 r.</w:t>
      </w:r>
    </w:p>
    <w:p w14:paraId="2765A221" w14:textId="350C7844" w:rsidR="00A64743" w:rsidRDefault="001A3819" w:rsidP="00725822">
      <w:pPr>
        <w:pStyle w:val="Tekstpodstawowy"/>
        <w:spacing w:line="242" w:lineRule="exact"/>
        <w:ind w:right="967"/>
      </w:pPr>
      <w:r>
        <w:t>Skarżący, będący obcokrajowcem, który miał być deportowany, był przetrzymywany przez kolejne</w:t>
      </w:r>
      <w:r w:rsidR="00725822">
        <w:t xml:space="preserve"> </w:t>
      </w:r>
      <w:r>
        <w:t>15 dni po złożeniu wniosku o azyl n</w:t>
      </w:r>
      <w:r w:rsidR="00725822">
        <w:t>a dwóch posterunkach policji. W </w:t>
      </w:r>
      <w:r>
        <w:t xml:space="preserve">skardze podnosił w szczególności kwestię warunków pozbawienia wolności na terenie </w:t>
      </w:r>
      <w:r w:rsidR="00C17115">
        <w:t xml:space="preserve">tych </w:t>
      </w:r>
      <w:r>
        <w:t>dwóch posterunków policji.</w:t>
      </w:r>
    </w:p>
    <w:p w14:paraId="0109A1EF" w14:textId="66174903" w:rsidR="00A64743" w:rsidRDefault="001A3819">
      <w:pPr>
        <w:pStyle w:val="Tekstpodstawowy"/>
        <w:ind w:right="974"/>
      </w:pPr>
      <w:r>
        <w:rPr>
          <w:color w:val="0071BB"/>
        </w:rPr>
        <w:t xml:space="preserve">Trybunał orzekł, że skarżący był poddany poniżającemu traktowaniu, co oznaczało </w:t>
      </w:r>
      <w:r>
        <w:rPr>
          <w:b/>
          <w:color w:val="0071BB"/>
        </w:rPr>
        <w:t xml:space="preserve">naruszenie art. 3 </w:t>
      </w:r>
      <w:r>
        <w:rPr>
          <w:color w:val="0071BB"/>
        </w:rPr>
        <w:t>Konwencji (zakaz nieludzkiego lub poniżającego traktowania). Prze</w:t>
      </w:r>
      <w:r w:rsidR="009A39A6">
        <w:rPr>
          <w:color w:val="0071BB"/>
        </w:rPr>
        <w:t>z</w:t>
      </w:r>
      <w:r>
        <w:rPr>
          <w:color w:val="0071BB"/>
        </w:rPr>
        <w:t xml:space="preserve"> piętnaście dni był przetrzymywany na dwóch posterunkach policji. Przez cztery dni przebywał w warunkach przeludnienia. Cele w jednym z posterunków policji były usytuowane w piwnicy i pozbawione światła słonecznego. Na żadnym z obydwu posterunków policji w celach nie było prysznica, a osoby tam osadzone nie mogły wychodzić na zewnątrz ani </w:t>
      </w:r>
      <w:r w:rsidR="009A39A6">
        <w:rPr>
          <w:color w:val="0071BB"/>
        </w:rPr>
        <w:t>brać udziału w jakichkolwiek aktywnościach</w:t>
      </w:r>
      <w:r>
        <w:rPr>
          <w:color w:val="0071BB"/>
        </w:rPr>
        <w:t xml:space="preserve"> fizycznych. Trybunał </w:t>
      </w:r>
      <w:r w:rsidR="009A39A6">
        <w:rPr>
          <w:color w:val="0071BB"/>
        </w:rPr>
        <w:t>przypomniał</w:t>
      </w:r>
      <w:r>
        <w:rPr>
          <w:color w:val="0071BB"/>
        </w:rPr>
        <w:t>, że posterunki policji nie są odpowiednim miejscem do przetrzymywania osób pozbawionych wolności w oczekiwaniu na zastosowanie środka administracyjnego.</w:t>
      </w:r>
    </w:p>
    <w:p w14:paraId="69960E69" w14:textId="77777777" w:rsidR="00A64743" w:rsidRDefault="00711FD6">
      <w:pPr>
        <w:pStyle w:val="Nagwek2"/>
        <w:jc w:val="left"/>
        <w:rPr>
          <w:u w:val="none"/>
        </w:rPr>
      </w:pPr>
      <w:hyperlink r:id="rId43">
        <w:proofErr w:type="spellStart"/>
        <w:r w:rsidR="001A3819">
          <w:rPr>
            <w:color w:val="0071BB"/>
            <w:u w:val="thick" w:color="0071BB"/>
          </w:rPr>
          <w:t>Sakir</w:t>
        </w:r>
        <w:proofErr w:type="spellEnd"/>
        <w:r w:rsidR="001A3819">
          <w:rPr>
            <w:color w:val="0071BB"/>
            <w:u w:val="thick" w:color="0071BB"/>
          </w:rPr>
          <w:t xml:space="preserve"> przeciwko Grecji</w:t>
        </w:r>
      </w:hyperlink>
    </w:p>
    <w:p w14:paraId="3CB3C204" w14:textId="77777777" w:rsidR="00A64743" w:rsidRDefault="001A3819">
      <w:pPr>
        <w:spacing w:before="60" w:line="218" w:lineRule="exact"/>
        <w:ind w:left="880"/>
        <w:rPr>
          <w:sz w:val="18"/>
        </w:rPr>
      </w:pPr>
      <w:r>
        <w:rPr>
          <w:color w:val="808080"/>
          <w:sz w:val="18"/>
        </w:rPr>
        <w:t>24 marca 2016 r.</w:t>
      </w:r>
    </w:p>
    <w:p w14:paraId="5726D9A9" w14:textId="77777777" w:rsidR="00A64743" w:rsidRDefault="001A3819">
      <w:pPr>
        <w:pStyle w:val="Tekstpodstawowy"/>
        <w:ind w:left="879" w:right="975"/>
      </w:pPr>
      <w:r>
        <w:t>Sprawa dotyczyła napaści wobec skarżącego w 2009 r. w centrum Aten, która doprowadziła do jego hospitalizacji, jak również warunków przetrzymywania go na posterunku policji po wypuszczeniu ze szpitala.</w:t>
      </w:r>
    </w:p>
    <w:p w14:paraId="087909CE" w14:textId="79DEBA53" w:rsidR="00A64743" w:rsidRDefault="001A3819">
      <w:pPr>
        <w:pStyle w:val="Tekstpodstawowy"/>
        <w:ind w:left="879" w:right="974"/>
      </w:pPr>
      <w:r>
        <w:rPr>
          <w:color w:val="0071BB"/>
        </w:rPr>
        <w:t xml:space="preserve">Trybunał orzekł, że doszło do </w:t>
      </w:r>
      <w:r>
        <w:rPr>
          <w:b/>
          <w:bCs/>
          <w:color w:val="0071BB"/>
        </w:rPr>
        <w:t xml:space="preserve">naruszenia art. 3 </w:t>
      </w:r>
      <w:r>
        <w:rPr>
          <w:color w:val="0071BB"/>
        </w:rPr>
        <w:t xml:space="preserve">(zakaz nieludzkiego lub poniżającego traktowania) </w:t>
      </w:r>
      <w:r>
        <w:rPr>
          <w:b/>
          <w:bCs/>
          <w:color w:val="0071BB"/>
        </w:rPr>
        <w:t xml:space="preserve">oraz </w:t>
      </w:r>
      <w:r w:rsidR="009A39A6">
        <w:rPr>
          <w:b/>
          <w:bCs/>
          <w:color w:val="0071BB"/>
        </w:rPr>
        <w:t xml:space="preserve">naruszenia </w:t>
      </w:r>
      <w:r>
        <w:rPr>
          <w:b/>
          <w:bCs/>
          <w:color w:val="0071BB"/>
        </w:rPr>
        <w:t xml:space="preserve">art. 13 </w:t>
      </w:r>
      <w:r>
        <w:rPr>
          <w:color w:val="0071BB"/>
        </w:rPr>
        <w:t xml:space="preserve">Konwencji (prawo do skutecznego środka odwoławczego) ze względu na warunki, w jakich skarżący był przetrzymywany na posterunku policji </w:t>
      </w:r>
      <w:proofErr w:type="spellStart"/>
      <w:r>
        <w:rPr>
          <w:color w:val="0071BB"/>
        </w:rPr>
        <w:t>Aghios</w:t>
      </w:r>
      <w:proofErr w:type="spellEnd"/>
      <w:r>
        <w:rPr>
          <w:color w:val="0071BB"/>
        </w:rPr>
        <w:t xml:space="preserve"> </w:t>
      </w:r>
      <w:proofErr w:type="spellStart"/>
      <w:r>
        <w:rPr>
          <w:color w:val="0071BB"/>
        </w:rPr>
        <w:t>Panteleïmon</w:t>
      </w:r>
      <w:proofErr w:type="spellEnd"/>
      <w:r>
        <w:rPr>
          <w:color w:val="0071BB"/>
        </w:rPr>
        <w:t xml:space="preserve"> w Atenach. W szczególności Trybunał uznał, że policja nie </w:t>
      </w:r>
      <w:r w:rsidR="005A5F9B">
        <w:rPr>
          <w:color w:val="0071BB"/>
        </w:rPr>
        <w:t>starała się</w:t>
      </w:r>
      <w:r>
        <w:rPr>
          <w:color w:val="0071BB"/>
        </w:rPr>
        <w:t xml:space="preserve"> ustal</w:t>
      </w:r>
      <w:r w:rsidR="005A5F9B">
        <w:rPr>
          <w:color w:val="0071BB"/>
        </w:rPr>
        <w:t>ić w szpitalu</w:t>
      </w:r>
      <w:r>
        <w:rPr>
          <w:color w:val="0071BB"/>
        </w:rPr>
        <w:t xml:space="preserve">, czy stan </w:t>
      </w:r>
      <w:r w:rsidR="005A5F9B">
        <w:rPr>
          <w:color w:val="0071BB"/>
        </w:rPr>
        <w:t xml:space="preserve">zdrowia </w:t>
      </w:r>
      <w:r>
        <w:rPr>
          <w:color w:val="0071BB"/>
        </w:rPr>
        <w:t xml:space="preserve">skarżącego pozwala na pozbawienie go wolności. Zauważono, że pomimo </w:t>
      </w:r>
      <w:r w:rsidR="005A5F9B">
        <w:rPr>
          <w:color w:val="0071BB"/>
        </w:rPr>
        <w:t xml:space="preserve">szczegółowych </w:t>
      </w:r>
      <w:r>
        <w:rPr>
          <w:color w:val="0071BB"/>
        </w:rPr>
        <w:t>zaleceń lekarzy doszł</w:t>
      </w:r>
      <w:r w:rsidR="00725822">
        <w:rPr>
          <w:color w:val="0071BB"/>
        </w:rPr>
        <w:t xml:space="preserve">o do uchybień </w:t>
      </w:r>
      <w:r w:rsidR="005A5F9B">
        <w:rPr>
          <w:color w:val="0071BB"/>
        </w:rPr>
        <w:t>co do sposobu, w jaki wzięto pod uwagę</w:t>
      </w:r>
      <w:r>
        <w:rPr>
          <w:color w:val="0071BB"/>
        </w:rPr>
        <w:t xml:space="preserve"> jego stan zdrowia i trudne położeni</w:t>
      </w:r>
      <w:r w:rsidR="005A5F9B">
        <w:rPr>
          <w:color w:val="0071BB"/>
        </w:rPr>
        <w:t>e</w:t>
      </w:r>
      <w:r>
        <w:rPr>
          <w:color w:val="0071BB"/>
        </w:rPr>
        <w:t xml:space="preserve">. Co więcej, </w:t>
      </w:r>
      <w:r w:rsidR="002D4D2C">
        <w:rPr>
          <w:color w:val="0071BB"/>
        </w:rPr>
        <w:t>nie istniały</w:t>
      </w:r>
      <w:r>
        <w:rPr>
          <w:color w:val="0071BB"/>
        </w:rPr>
        <w:t xml:space="preserve"> </w:t>
      </w:r>
      <w:r w:rsidR="002D4D2C">
        <w:rPr>
          <w:color w:val="0071BB"/>
        </w:rPr>
        <w:t xml:space="preserve">żadne </w:t>
      </w:r>
      <w:r>
        <w:rPr>
          <w:color w:val="0071BB"/>
        </w:rPr>
        <w:t>dostępne skuteczne środki odwoławcze umożliwiające skarżącemu wniesienie skargi na warunki pozbawienia wolności. W tej sprawie Trybunał również</w:t>
      </w:r>
      <w:r w:rsidR="002D4D2C" w:rsidRPr="002D4D2C">
        <w:rPr>
          <w:color w:val="0071BB"/>
        </w:rPr>
        <w:t xml:space="preserve"> </w:t>
      </w:r>
      <w:r w:rsidR="002D4D2C">
        <w:rPr>
          <w:color w:val="0071BB"/>
        </w:rPr>
        <w:t>orzekł</w:t>
      </w:r>
      <w:r>
        <w:rPr>
          <w:color w:val="0071BB"/>
        </w:rPr>
        <w:t xml:space="preserve">, że doszło do naruszenia art. 3 Konwencji ze względu na sposób prowadzenia dochodzenia </w:t>
      </w:r>
      <w:r w:rsidR="002D4D2C">
        <w:rPr>
          <w:color w:val="0071BB"/>
        </w:rPr>
        <w:t xml:space="preserve">w sprawie </w:t>
      </w:r>
      <w:r>
        <w:rPr>
          <w:color w:val="0071BB"/>
        </w:rPr>
        <w:t>napaści.</w:t>
      </w:r>
    </w:p>
    <w:p w14:paraId="2679DC69" w14:textId="08B6E65E" w:rsidR="00A64743" w:rsidRDefault="00711FD6" w:rsidP="00725822">
      <w:pPr>
        <w:spacing w:before="120"/>
        <w:ind w:left="880" w:right="967"/>
        <w:jc w:val="both"/>
        <w:rPr>
          <w:sz w:val="16"/>
        </w:rPr>
      </w:pPr>
      <w:hyperlink r:id="rId44">
        <w:r w:rsidR="001A3819">
          <w:rPr>
            <w:b/>
            <w:color w:val="0071BB"/>
            <w:sz w:val="20"/>
            <w:u w:val="thick" w:color="0071BB"/>
          </w:rPr>
          <w:t>J.R. i Inni przeciwko Grecji (skarga nr 22696/16)</w:t>
        </w:r>
      </w:hyperlink>
      <w:r w:rsidR="001A3819">
        <w:rPr>
          <w:b/>
          <w:color w:val="0071BB"/>
          <w:sz w:val="20"/>
        </w:rPr>
        <w:t xml:space="preserve"> </w:t>
      </w:r>
      <w:r w:rsidR="001A3819">
        <w:rPr>
          <w:color w:val="808080"/>
          <w:sz w:val="16"/>
        </w:rPr>
        <w:t>(zobacz również powyżej „Pozbawienie wolności”)</w:t>
      </w:r>
    </w:p>
    <w:p w14:paraId="2C0960F1" w14:textId="77777777" w:rsidR="00A64743" w:rsidRDefault="001A3819">
      <w:pPr>
        <w:spacing w:before="62" w:line="218" w:lineRule="exact"/>
        <w:ind w:left="880"/>
        <w:rPr>
          <w:sz w:val="18"/>
        </w:rPr>
      </w:pPr>
      <w:r>
        <w:rPr>
          <w:color w:val="808080"/>
          <w:sz w:val="18"/>
        </w:rPr>
        <w:t>25 stycznia 2018 r.</w:t>
      </w:r>
    </w:p>
    <w:p w14:paraId="7ED8CB3F" w14:textId="77777777" w:rsidR="00725822" w:rsidRDefault="001A3819" w:rsidP="00725822">
      <w:pPr>
        <w:pStyle w:val="Tekstpodstawowy"/>
        <w:ind w:left="879" w:right="993"/>
      </w:pPr>
      <w:r>
        <w:t xml:space="preserve">Sprawa dotyczyła warunków przetrzymywania trzech obywateli afgańskich w ośrodku recepcyjnym w </w:t>
      </w:r>
      <w:proofErr w:type="spellStart"/>
      <w:r>
        <w:t>Vial</w:t>
      </w:r>
      <w:proofErr w:type="spellEnd"/>
      <w:r>
        <w:t xml:space="preserve"> na greckiej wyspie Chios oraz okoliczności </w:t>
      </w:r>
      <w:r w:rsidR="00725822">
        <w:t>pozbawienia wolności tych osób.</w:t>
      </w:r>
    </w:p>
    <w:p w14:paraId="5DFA3DF3" w14:textId="191EA9CF" w:rsidR="00A64743" w:rsidRDefault="001A3819" w:rsidP="008D1BD0">
      <w:pPr>
        <w:pStyle w:val="Tekstpodstawowy"/>
        <w:ind w:left="879" w:right="967"/>
      </w:pPr>
      <w:r>
        <w:rPr>
          <w:color w:val="0071BB"/>
        </w:rPr>
        <w:t xml:space="preserve">Trybunał orzekł, że </w:t>
      </w:r>
      <w:r>
        <w:rPr>
          <w:b/>
          <w:bCs/>
          <w:color w:val="0071BB"/>
        </w:rPr>
        <w:t xml:space="preserve">nie doszło do naruszenia art. 3 </w:t>
      </w:r>
      <w:r>
        <w:rPr>
          <w:color w:val="0071BB"/>
        </w:rPr>
        <w:t>Konwencji</w:t>
      </w:r>
      <w:r>
        <w:rPr>
          <w:b/>
          <w:bCs/>
          <w:color w:val="0071BB"/>
        </w:rPr>
        <w:t xml:space="preserve"> </w:t>
      </w:r>
      <w:r>
        <w:rPr>
          <w:color w:val="0071BB"/>
        </w:rPr>
        <w:t xml:space="preserve">(zakaz nieludzkiego lub poniżającego traktowania) uznając, że </w:t>
      </w:r>
      <w:r w:rsidR="002D4D2C">
        <w:rPr>
          <w:color w:val="0071BB"/>
        </w:rPr>
        <w:t xml:space="preserve">stopień </w:t>
      </w:r>
      <w:r>
        <w:rPr>
          <w:color w:val="0071BB"/>
        </w:rPr>
        <w:t xml:space="preserve">dotkliwości wymagany w odniesieniu do pozbawienia wolności </w:t>
      </w:r>
      <w:r w:rsidR="00656785">
        <w:rPr>
          <w:color w:val="0071BB"/>
        </w:rPr>
        <w:t>skarżących</w:t>
      </w:r>
      <w:r>
        <w:rPr>
          <w:color w:val="0071BB"/>
        </w:rPr>
        <w:t xml:space="preserve">, który pozwalałby na uznanie, że doszło do nieludzkiego lub poniżającego traktowania, nie został w tym przypadku </w:t>
      </w:r>
      <w:r w:rsidR="002D4D2C">
        <w:rPr>
          <w:color w:val="0071BB"/>
        </w:rPr>
        <w:t>osiągnięty</w:t>
      </w:r>
      <w:r>
        <w:rPr>
          <w:color w:val="0071BB"/>
        </w:rPr>
        <w:t xml:space="preserve">. Trybunał zauważył w szczególności, że przedmiotowe okoliczności miały miejsce w czasie wyjątkowego i gwałtownego wzrostu </w:t>
      </w:r>
      <w:r w:rsidR="00010F7A">
        <w:rPr>
          <w:color w:val="0071BB"/>
        </w:rPr>
        <w:t xml:space="preserve">ruchów </w:t>
      </w:r>
      <w:r>
        <w:rPr>
          <w:color w:val="0071BB"/>
        </w:rPr>
        <w:t xml:space="preserve">migracyjnych w Grecji, co spowodowało </w:t>
      </w:r>
      <w:r>
        <w:rPr>
          <w:color w:val="0071BB"/>
        </w:rPr>
        <w:lastRenderedPageBreak/>
        <w:t xml:space="preserve">trudności organizacyjne, logistyczne i strukturalne. </w:t>
      </w:r>
      <w:r w:rsidR="00010F7A">
        <w:rPr>
          <w:color w:val="0071BB"/>
        </w:rPr>
        <w:t>Trybunał p</w:t>
      </w:r>
      <w:r>
        <w:rPr>
          <w:color w:val="0071BB"/>
        </w:rPr>
        <w:t>owtórzył</w:t>
      </w:r>
      <w:r w:rsidR="00010F7A">
        <w:rPr>
          <w:color w:val="0071BB"/>
        </w:rPr>
        <w:t xml:space="preserve"> w tym względzie</w:t>
      </w:r>
      <w:r>
        <w:rPr>
          <w:color w:val="0071BB"/>
        </w:rPr>
        <w:t xml:space="preserve">, że </w:t>
      </w:r>
      <w:r w:rsidR="00010F7A">
        <w:rPr>
          <w:color w:val="0071BB"/>
        </w:rPr>
        <w:t>w świetle absolutnego</w:t>
      </w:r>
      <w:r>
        <w:rPr>
          <w:color w:val="0071BB"/>
        </w:rPr>
        <w:t xml:space="preserve"> charakter</w:t>
      </w:r>
      <w:r w:rsidR="00010F7A">
        <w:rPr>
          <w:color w:val="0071BB"/>
        </w:rPr>
        <w:t>u</w:t>
      </w:r>
      <w:r>
        <w:rPr>
          <w:color w:val="0071BB"/>
        </w:rPr>
        <w:t xml:space="preserve"> art. 3</w:t>
      </w:r>
      <w:r w:rsidR="00010F7A">
        <w:rPr>
          <w:color w:val="0071BB"/>
        </w:rPr>
        <w:t>,</w:t>
      </w:r>
      <w:r>
        <w:rPr>
          <w:color w:val="0071BB"/>
        </w:rPr>
        <w:t xml:space="preserve"> czynniki związane z narastającym napływem migrantów nie mogły </w:t>
      </w:r>
      <w:r w:rsidR="00010F7A">
        <w:rPr>
          <w:color w:val="0071BB"/>
        </w:rPr>
        <w:t>zwalniać Państw</w:t>
      </w:r>
      <w:r>
        <w:rPr>
          <w:color w:val="0071BB"/>
        </w:rPr>
        <w:t xml:space="preserve"> z obowiązku zapewnienia, aby wszystkie osoby pozbawione wolności były przetrzymywane w warunkach </w:t>
      </w:r>
      <w:r w:rsidR="00010F7A">
        <w:rPr>
          <w:color w:val="0071BB"/>
        </w:rPr>
        <w:t xml:space="preserve">zapewniających </w:t>
      </w:r>
      <w:r>
        <w:rPr>
          <w:color w:val="0071BB"/>
        </w:rPr>
        <w:t>poszanowani</w:t>
      </w:r>
      <w:r w:rsidR="00010F7A">
        <w:rPr>
          <w:color w:val="0071BB"/>
        </w:rPr>
        <w:t>e</w:t>
      </w:r>
      <w:r>
        <w:rPr>
          <w:color w:val="0071BB"/>
        </w:rPr>
        <w:t xml:space="preserve"> godności ludzkiej. W tej sprawie Trybunał zauważył, że kilka organizacji pozarządowych odwiedziło ośrodek i potwierdziło niektóre zarzuty skarżących</w:t>
      </w:r>
      <w:r w:rsidR="008D1BD0">
        <w:rPr>
          <w:color w:val="0071BB"/>
        </w:rPr>
        <w:t xml:space="preserve"> dotyczące ogólnych warunków. Z </w:t>
      </w:r>
      <w:r>
        <w:rPr>
          <w:color w:val="0071BB"/>
        </w:rPr>
        <w:t xml:space="preserve">drugiej strony Trybunał </w:t>
      </w:r>
      <w:r w:rsidR="00010F7A">
        <w:rPr>
          <w:color w:val="0071BB"/>
        </w:rPr>
        <w:t>ustalił</w:t>
      </w:r>
      <w:r>
        <w:rPr>
          <w:color w:val="0071BB"/>
        </w:rPr>
        <w:t xml:space="preserve">, że </w:t>
      </w:r>
      <w:hyperlink r:id="rId45">
        <w:r>
          <w:rPr>
            <w:color w:val="0071BB"/>
            <w:u w:val="single" w:color="0071BB"/>
          </w:rPr>
          <w:t>Europejski Komitet do spraw</w:t>
        </w:r>
      </w:hyperlink>
      <w:r>
        <w:rPr>
          <w:color w:val="0071BB"/>
        </w:rPr>
        <w:t xml:space="preserve"> </w:t>
      </w:r>
      <w:hyperlink r:id="rId46">
        <w:r w:rsidR="00656785">
          <w:rPr>
            <w:color w:val="0071BB"/>
            <w:u w:val="single" w:color="0071BB"/>
          </w:rPr>
          <w:t>z</w:t>
        </w:r>
        <w:r>
          <w:rPr>
            <w:color w:val="0071BB"/>
            <w:u w:val="single" w:color="0071BB"/>
          </w:rPr>
          <w:t xml:space="preserve">apobiegania </w:t>
        </w:r>
        <w:r w:rsidR="00656785">
          <w:rPr>
            <w:color w:val="0071BB"/>
            <w:u w:val="single" w:color="0071BB"/>
          </w:rPr>
          <w:t>t</w:t>
        </w:r>
        <w:r>
          <w:rPr>
            <w:color w:val="0071BB"/>
            <w:u w:val="single" w:color="0071BB"/>
          </w:rPr>
          <w:t xml:space="preserve">orturom i </w:t>
        </w:r>
        <w:r w:rsidR="00656785">
          <w:rPr>
            <w:color w:val="0071BB"/>
            <w:u w:val="single" w:color="0071BB"/>
          </w:rPr>
          <w:t>n</w:t>
        </w:r>
        <w:r>
          <w:rPr>
            <w:color w:val="0071BB"/>
            <w:u w:val="single" w:color="0071BB"/>
          </w:rPr>
          <w:t xml:space="preserve">ieludzkiemu lub </w:t>
        </w:r>
        <w:r w:rsidR="00656785">
          <w:rPr>
            <w:color w:val="0071BB"/>
            <w:u w:val="single" w:color="0071BB"/>
          </w:rPr>
          <w:t>p</w:t>
        </w:r>
        <w:r>
          <w:rPr>
            <w:color w:val="0071BB"/>
            <w:u w:val="single" w:color="0071BB"/>
          </w:rPr>
          <w:t xml:space="preserve">oniżającemu </w:t>
        </w:r>
        <w:r w:rsidR="00656785">
          <w:rPr>
            <w:color w:val="0071BB"/>
            <w:u w:val="single" w:color="0071BB"/>
          </w:rPr>
          <w:t>t</w:t>
        </w:r>
        <w:r>
          <w:rPr>
            <w:color w:val="0071BB"/>
            <w:u w:val="single" w:color="0071BB"/>
          </w:rPr>
          <w:t>raktowaniu</w:t>
        </w:r>
        <w:r>
          <w:rPr>
            <w:color w:val="0071BB"/>
          </w:rPr>
          <w:t xml:space="preserve"> (CPT)</w:t>
        </w:r>
      </w:hyperlink>
      <w:r>
        <w:t xml:space="preserve"> </w:t>
      </w:r>
      <w:r>
        <w:rPr>
          <w:color w:val="0071BB"/>
        </w:rPr>
        <w:t xml:space="preserve">nie był szczególnie krytyczny </w:t>
      </w:r>
      <w:r w:rsidR="00656785">
        <w:rPr>
          <w:color w:val="0071BB"/>
        </w:rPr>
        <w:t xml:space="preserve">co do </w:t>
      </w:r>
      <w:r>
        <w:rPr>
          <w:color w:val="0071BB"/>
        </w:rPr>
        <w:t>warunków w ośrodku, w szczególności jeżeli chodzi o aspekty</w:t>
      </w:r>
      <w:r w:rsidR="00656785">
        <w:rPr>
          <w:color w:val="0071BB"/>
        </w:rPr>
        <w:t xml:space="preserve">, które mogłyby dotyczyć </w:t>
      </w:r>
      <w:r>
        <w:rPr>
          <w:color w:val="0071BB"/>
        </w:rPr>
        <w:t xml:space="preserve">sytuacji </w:t>
      </w:r>
      <w:r w:rsidR="00656785">
        <w:rPr>
          <w:color w:val="0071BB"/>
        </w:rPr>
        <w:t>skarżąc</w:t>
      </w:r>
      <w:r w:rsidR="004E61F2">
        <w:rPr>
          <w:color w:val="0071BB"/>
        </w:rPr>
        <w:t>ych</w:t>
      </w:r>
      <w:r>
        <w:rPr>
          <w:color w:val="0071BB"/>
        </w:rPr>
        <w:t>. Krytyka</w:t>
      </w:r>
      <w:r w:rsidR="00F90F00">
        <w:rPr>
          <w:color w:val="0071BB"/>
        </w:rPr>
        <w:t xml:space="preserve"> </w:t>
      </w:r>
      <w:r>
        <w:rPr>
          <w:color w:val="0071BB"/>
        </w:rPr>
        <w:t>koncentrowała się głównie na opiece medycznej, braku odpowiedniej informacji i pomocy prawnej ora</w:t>
      </w:r>
      <w:r w:rsidR="008D1BD0">
        <w:rPr>
          <w:color w:val="0071BB"/>
        </w:rPr>
        <w:t>z niskiej jakości wody pitnej i </w:t>
      </w:r>
      <w:r>
        <w:rPr>
          <w:color w:val="0071BB"/>
        </w:rPr>
        <w:t xml:space="preserve">żywności. Z akt wynikało jasno, że problemy te nie wpływały nadmiernie na </w:t>
      </w:r>
      <w:r w:rsidR="00656785">
        <w:rPr>
          <w:color w:val="0071BB"/>
        </w:rPr>
        <w:t>skarżąc</w:t>
      </w:r>
      <w:r w:rsidR="004E61F2">
        <w:rPr>
          <w:color w:val="0071BB"/>
        </w:rPr>
        <w:t>ych</w:t>
      </w:r>
      <w:r w:rsidR="00656785">
        <w:rPr>
          <w:color w:val="0071BB"/>
        </w:rPr>
        <w:t xml:space="preserve"> </w:t>
      </w:r>
      <w:r>
        <w:rPr>
          <w:color w:val="0071BB"/>
        </w:rPr>
        <w:t>w kontekście art. 3 Konwencji. Trybunał zauważył również, że okres pozbawienia wolności skarżącego był krótki, bo wynosił trzydzieści dni.</w:t>
      </w:r>
    </w:p>
    <w:p w14:paraId="5F2141F6" w14:textId="77777777" w:rsidR="009D03B8" w:rsidRDefault="00906630" w:rsidP="009D03B8">
      <w:pPr>
        <w:spacing w:before="121"/>
        <w:ind w:left="880" w:right="967"/>
        <w:jc w:val="both"/>
        <w:rPr>
          <w:sz w:val="16"/>
        </w:rPr>
      </w:pPr>
      <w:proofErr w:type="spellStart"/>
      <w:r w:rsidRPr="004B7905">
        <w:rPr>
          <w:b/>
          <w:color w:val="0071BB"/>
          <w:sz w:val="20"/>
        </w:rPr>
        <w:t>Kaak</w:t>
      </w:r>
      <w:proofErr w:type="spellEnd"/>
      <w:r w:rsidRPr="004B7905">
        <w:rPr>
          <w:b/>
          <w:color w:val="0071BB"/>
          <w:sz w:val="20"/>
        </w:rPr>
        <w:t xml:space="preserve"> i Inni przeciwko Grecji </w:t>
      </w:r>
      <w:r w:rsidR="009D03B8">
        <w:rPr>
          <w:color w:val="808080"/>
          <w:sz w:val="16"/>
        </w:rPr>
        <w:t>(zobacz również poniżej „Kwestionowanie legalności pozbawienia wolności”)</w:t>
      </w:r>
    </w:p>
    <w:p w14:paraId="29C32289" w14:textId="46115E36" w:rsidR="00906630" w:rsidRPr="004B7905" w:rsidRDefault="005765A6" w:rsidP="004B7905">
      <w:pPr>
        <w:ind w:left="851" w:right="970"/>
        <w:rPr>
          <w:sz w:val="18"/>
        </w:rPr>
      </w:pPr>
      <w:r>
        <w:rPr>
          <w:color w:val="808080"/>
          <w:sz w:val="18"/>
        </w:rPr>
        <w:t>3 paźd</w:t>
      </w:r>
      <w:r w:rsidR="00320F95">
        <w:rPr>
          <w:color w:val="808080"/>
          <w:sz w:val="18"/>
        </w:rPr>
        <w:t>ziernika 2019</w:t>
      </w:r>
      <w:r w:rsidR="00906630" w:rsidRPr="004B7905">
        <w:rPr>
          <w:color w:val="808080"/>
          <w:sz w:val="18"/>
        </w:rPr>
        <w:t xml:space="preserve"> r</w:t>
      </w:r>
      <w:r w:rsidR="009D03B8">
        <w:rPr>
          <w:color w:val="808080"/>
          <w:sz w:val="18"/>
        </w:rPr>
        <w:t>.</w:t>
      </w:r>
      <w:r w:rsidR="009C1793">
        <w:rPr>
          <w:color w:val="808080"/>
          <w:sz w:val="18"/>
        </w:rPr>
        <w:t xml:space="preserve"> (wyrok stanie się ostateczny w okolicznościach </w:t>
      </w:r>
      <w:r w:rsidR="00022393">
        <w:rPr>
          <w:color w:val="808080"/>
          <w:sz w:val="18"/>
        </w:rPr>
        <w:t>określonych</w:t>
      </w:r>
      <w:r w:rsidR="009C1793">
        <w:rPr>
          <w:color w:val="808080"/>
          <w:sz w:val="18"/>
        </w:rPr>
        <w:t xml:space="preserve"> w art. 44 ust. 2 </w:t>
      </w:r>
      <w:r w:rsidR="00726091">
        <w:rPr>
          <w:color w:val="808080"/>
          <w:sz w:val="18"/>
        </w:rPr>
        <w:t>Konwencji (wyroki ostateczne).</w:t>
      </w:r>
      <w:r w:rsidR="009D03B8">
        <w:rPr>
          <w:color w:val="808080"/>
          <w:sz w:val="18"/>
        </w:rPr>
        <w:t xml:space="preserve"> </w:t>
      </w:r>
    </w:p>
    <w:p w14:paraId="3E10BC95" w14:textId="1072A6CC" w:rsidR="00906630" w:rsidRPr="004B7905" w:rsidRDefault="00906630" w:rsidP="004B7905">
      <w:pPr>
        <w:pStyle w:val="Tekstpodstawowy"/>
        <w:ind w:left="851" w:right="967"/>
      </w:pPr>
      <w:r w:rsidRPr="004B7905">
        <w:t>Sprawa dotyczy</w:t>
      </w:r>
      <w:r w:rsidR="009D03B8">
        <w:t>ła warunków pozbawienia wolności obywateli Syrii, Afganistanu i Palestyny</w:t>
      </w:r>
      <w:r w:rsidRPr="004B7905">
        <w:t xml:space="preserve"> w punkcie szybkiej rejestracji migrantów </w:t>
      </w:r>
      <w:proofErr w:type="spellStart"/>
      <w:r w:rsidRPr="004B7905">
        <w:t>V</w:t>
      </w:r>
      <w:r w:rsidR="009D03B8">
        <w:t>ial</w:t>
      </w:r>
      <w:proofErr w:type="spellEnd"/>
      <w:r w:rsidRPr="004B7905">
        <w:t xml:space="preserve"> i </w:t>
      </w:r>
      <w:proofErr w:type="spellStart"/>
      <w:r w:rsidRPr="004B7905">
        <w:t>S</w:t>
      </w:r>
      <w:r w:rsidR="009D03B8">
        <w:t>ouda</w:t>
      </w:r>
      <w:proofErr w:type="spellEnd"/>
      <w:r w:rsidRPr="004B7905">
        <w:t xml:space="preserve"> </w:t>
      </w:r>
      <w:r w:rsidR="009D03B8">
        <w:t xml:space="preserve">(Grecja) </w:t>
      </w:r>
      <w:r w:rsidR="005765A6">
        <w:t>oraz</w:t>
      </w:r>
      <w:r w:rsidR="009D03B8">
        <w:t xml:space="preserve"> legalności pozbawienia ich wolności w tych ośrodkach</w:t>
      </w:r>
      <w:r w:rsidRPr="004B7905">
        <w:t>.</w:t>
      </w:r>
      <w:r w:rsidR="00876E48">
        <w:t xml:space="preserve"> Skarżący zarzucali w szczególności, że warunki osadzenia w tych ośrodkach stanowią zagrożeni</w:t>
      </w:r>
      <w:r w:rsidR="007771EA">
        <w:t>e</w:t>
      </w:r>
      <w:r w:rsidR="00876E48">
        <w:t xml:space="preserve"> dla ich samopoczucia fizycznego i psychicznego. Skarżyli się zarówno na ilość, jak i jakość, w kontekście zdrowia, otrzymywanych posiłków</w:t>
      </w:r>
      <w:r w:rsidR="007771EA">
        <w:t xml:space="preserve"> oraz na nieodpowiednią opiekę medyczną. Zwrócili również uwagę na przeludnienie w ośrodkach, które czyniło niebezpiecznymi warunki zamieszkania.</w:t>
      </w:r>
      <w:r w:rsidR="00376C10">
        <w:t xml:space="preserve"> W końcu podkreślali brak dostępnych środków, gwarantujących bezpieczeństwo kobiet i dzieci, które  były osobami szczególnie narażonymi.</w:t>
      </w:r>
    </w:p>
    <w:p w14:paraId="231F7FAA" w14:textId="216F01F9" w:rsidR="00906630" w:rsidRPr="004B7905" w:rsidRDefault="00376C10" w:rsidP="004B7905">
      <w:pPr>
        <w:pStyle w:val="Tekstpodstawowy"/>
        <w:ind w:left="851" w:right="967"/>
      </w:pPr>
      <w:r>
        <w:rPr>
          <w:color w:val="0071BB"/>
        </w:rPr>
        <w:t xml:space="preserve">Trybunał stwierdził, że </w:t>
      </w:r>
      <w:r w:rsidRPr="004B7905">
        <w:rPr>
          <w:b/>
          <w:bCs/>
          <w:color w:val="0071BB"/>
        </w:rPr>
        <w:t>nie doszło</w:t>
      </w:r>
      <w:r>
        <w:rPr>
          <w:color w:val="0071BB"/>
        </w:rPr>
        <w:t xml:space="preserve"> </w:t>
      </w:r>
      <w:r w:rsidRPr="004B7905">
        <w:rPr>
          <w:b/>
          <w:bCs/>
          <w:color w:val="0071BB"/>
        </w:rPr>
        <w:t xml:space="preserve">do naruszenia </w:t>
      </w:r>
      <w:r w:rsidR="00906630" w:rsidRPr="004B7905">
        <w:rPr>
          <w:b/>
          <w:bCs/>
          <w:color w:val="0071BB"/>
        </w:rPr>
        <w:t>art. 3</w:t>
      </w:r>
      <w:r w:rsidR="00906630" w:rsidRPr="004B7905">
        <w:rPr>
          <w:color w:val="0071BB"/>
        </w:rPr>
        <w:t xml:space="preserve"> Konwencji (zakaz nieludzkiego lub poniżającego traktowania) </w:t>
      </w:r>
      <w:r>
        <w:rPr>
          <w:color w:val="0071BB"/>
        </w:rPr>
        <w:t xml:space="preserve">ze względu na warunki osadzenia skarżących. W szczególności stwierdził, że władze zrobiły wszystko, co rozsądnie mogło być </w:t>
      </w:r>
      <w:r w:rsidR="00AD344D">
        <w:rPr>
          <w:color w:val="0071BB"/>
        </w:rPr>
        <w:t xml:space="preserve">od nich </w:t>
      </w:r>
      <w:r>
        <w:rPr>
          <w:color w:val="0071BB"/>
        </w:rPr>
        <w:t>oczekiwane</w:t>
      </w:r>
      <w:r w:rsidR="00AD344D">
        <w:rPr>
          <w:color w:val="0071BB"/>
        </w:rPr>
        <w:t xml:space="preserve"> w ośrodku </w:t>
      </w:r>
      <w:proofErr w:type="spellStart"/>
      <w:r w:rsidR="00AD344D">
        <w:rPr>
          <w:color w:val="0071BB"/>
        </w:rPr>
        <w:t>Vial</w:t>
      </w:r>
      <w:proofErr w:type="spellEnd"/>
      <w:r w:rsidR="00AD344D">
        <w:rPr>
          <w:color w:val="0071BB"/>
        </w:rPr>
        <w:t>, w celu wypełnienia obowiązku zapewnienia opieki i ochrony małoletnim bez opieki</w:t>
      </w:r>
      <w:r w:rsidR="00906630" w:rsidRPr="004B7905">
        <w:rPr>
          <w:color w:val="0071BB"/>
        </w:rPr>
        <w:t>.</w:t>
      </w:r>
      <w:r w:rsidR="00AD344D">
        <w:rPr>
          <w:color w:val="0071BB"/>
        </w:rPr>
        <w:t xml:space="preserve"> Inni skarżący zostali przetransportowani bezzwłocznie – albo w terminie 10 dni – z ośrodka </w:t>
      </w:r>
      <w:proofErr w:type="spellStart"/>
      <w:r w:rsidR="00AD344D">
        <w:rPr>
          <w:color w:val="0071BB"/>
        </w:rPr>
        <w:t>Vial</w:t>
      </w:r>
      <w:proofErr w:type="spellEnd"/>
      <w:r w:rsidR="00AD344D">
        <w:rPr>
          <w:color w:val="0071BB"/>
        </w:rPr>
        <w:t xml:space="preserve"> do ośrodka </w:t>
      </w:r>
      <w:proofErr w:type="spellStart"/>
      <w:r w:rsidR="00AD344D">
        <w:rPr>
          <w:color w:val="0071BB"/>
        </w:rPr>
        <w:t>Souda</w:t>
      </w:r>
      <w:proofErr w:type="spellEnd"/>
      <w:r w:rsidR="00AD344D">
        <w:rPr>
          <w:color w:val="0071BB"/>
        </w:rPr>
        <w:t xml:space="preserve">. Trybunał stwierdził również, że warunki pozbawienia wolności w obozie </w:t>
      </w:r>
      <w:proofErr w:type="spellStart"/>
      <w:r w:rsidR="00AD344D">
        <w:rPr>
          <w:color w:val="0071BB"/>
        </w:rPr>
        <w:t>Souda</w:t>
      </w:r>
      <w:proofErr w:type="spellEnd"/>
      <w:r w:rsidR="00AD344D">
        <w:rPr>
          <w:color w:val="0071BB"/>
        </w:rPr>
        <w:t xml:space="preserve"> nie stanowiły </w:t>
      </w:r>
      <w:r w:rsidR="005765A6">
        <w:rPr>
          <w:color w:val="0071BB"/>
        </w:rPr>
        <w:t>nieludzkiego lub poniżającego traktowania.</w:t>
      </w:r>
    </w:p>
    <w:p w14:paraId="64277C1A" w14:textId="025981EF" w:rsidR="00A64743" w:rsidRDefault="001A3819" w:rsidP="00920251">
      <w:pPr>
        <w:shd w:val="pct5" w:color="auto" w:fill="auto"/>
        <w:spacing w:before="119"/>
        <w:ind w:left="880" w:right="967"/>
        <w:rPr>
          <w:b/>
          <w:sz w:val="20"/>
        </w:rPr>
      </w:pPr>
      <w:r>
        <w:rPr>
          <w:b/>
          <w:color w:val="5F5F5F"/>
          <w:sz w:val="20"/>
        </w:rPr>
        <w:t>Skargi oczekujące na rozpatrzenie</w:t>
      </w:r>
    </w:p>
    <w:p w14:paraId="59D0CFB4" w14:textId="3C6EE8B7" w:rsidR="00A64743" w:rsidRDefault="00711FD6" w:rsidP="00920251">
      <w:pPr>
        <w:shd w:val="pct5" w:color="auto" w:fill="auto"/>
        <w:spacing w:before="122"/>
        <w:ind w:left="880" w:right="967"/>
        <w:jc w:val="both"/>
        <w:rPr>
          <w:sz w:val="16"/>
        </w:rPr>
      </w:pPr>
      <w:hyperlink r:id="rId47">
        <w:proofErr w:type="spellStart"/>
        <w:r w:rsidR="001A3819">
          <w:rPr>
            <w:b/>
            <w:color w:val="0071BB"/>
            <w:sz w:val="20"/>
            <w:u w:val="thick" w:color="0071BB"/>
          </w:rPr>
          <w:t>Ilias</w:t>
        </w:r>
        <w:proofErr w:type="spellEnd"/>
        <w:r w:rsidR="001A3819">
          <w:rPr>
            <w:b/>
            <w:color w:val="0071BB"/>
            <w:sz w:val="20"/>
            <w:u w:val="thick" w:color="0071BB"/>
          </w:rPr>
          <w:t xml:space="preserve"> i Ahmed przeciwko </w:t>
        </w:r>
        <w:r w:rsidR="00F90F00">
          <w:rPr>
            <w:b/>
            <w:color w:val="0071BB"/>
            <w:sz w:val="20"/>
            <w:u w:val="thick" w:color="0071BB"/>
          </w:rPr>
          <w:t>Węgrom</w:t>
        </w:r>
        <w:r w:rsidR="001A3819">
          <w:rPr>
            <w:b/>
            <w:color w:val="0071BB"/>
            <w:sz w:val="20"/>
            <w:u w:val="thick" w:color="0071BB"/>
          </w:rPr>
          <w:t xml:space="preserve"> (skarga nr 47287/15)</w:t>
        </w:r>
      </w:hyperlink>
      <w:r w:rsidR="001A3819">
        <w:rPr>
          <w:b/>
          <w:color w:val="0071BB"/>
          <w:sz w:val="20"/>
        </w:rPr>
        <w:t xml:space="preserve"> </w:t>
      </w:r>
      <w:r w:rsidR="001A3819">
        <w:rPr>
          <w:color w:val="808080"/>
          <w:sz w:val="16"/>
        </w:rPr>
        <w:t xml:space="preserve">(zobacz również </w:t>
      </w:r>
      <w:r w:rsidR="0084042B">
        <w:rPr>
          <w:color w:val="808080"/>
          <w:sz w:val="16"/>
        </w:rPr>
        <w:t xml:space="preserve">powyżej </w:t>
      </w:r>
      <w:r w:rsidR="001A3819">
        <w:rPr>
          <w:color w:val="808080"/>
          <w:sz w:val="16"/>
        </w:rPr>
        <w:t>pod „Pozbawienie wolności”)</w:t>
      </w:r>
    </w:p>
    <w:p w14:paraId="3ABD1990" w14:textId="05E28209" w:rsidR="00A64743" w:rsidRDefault="001A3819" w:rsidP="00920251">
      <w:pPr>
        <w:shd w:val="pct5" w:color="auto" w:fill="auto"/>
        <w:spacing w:before="60" w:line="218" w:lineRule="exact"/>
        <w:ind w:left="880" w:right="967"/>
        <w:rPr>
          <w:sz w:val="18"/>
        </w:rPr>
      </w:pPr>
      <w:r>
        <w:rPr>
          <w:color w:val="808080"/>
          <w:sz w:val="18"/>
        </w:rPr>
        <w:t xml:space="preserve">14 marca 2017 r. – sprawa przekazana </w:t>
      </w:r>
      <w:r w:rsidR="0084042B">
        <w:rPr>
          <w:color w:val="808080"/>
          <w:sz w:val="18"/>
        </w:rPr>
        <w:t xml:space="preserve">do </w:t>
      </w:r>
      <w:r>
        <w:rPr>
          <w:color w:val="808080"/>
          <w:sz w:val="18"/>
        </w:rPr>
        <w:t>Wielkiej Izb</w:t>
      </w:r>
      <w:r w:rsidR="0084042B">
        <w:rPr>
          <w:color w:val="808080"/>
          <w:sz w:val="18"/>
        </w:rPr>
        <w:t>y</w:t>
      </w:r>
      <w:r>
        <w:rPr>
          <w:color w:val="808080"/>
          <w:sz w:val="18"/>
        </w:rPr>
        <w:t xml:space="preserve"> we wrześniu 2017 r.</w:t>
      </w:r>
    </w:p>
    <w:p w14:paraId="038A75BE" w14:textId="4062AC52" w:rsidR="00A64743" w:rsidRDefault="001A3819" w:rsidP="004923E3">
      <w:pPr>
        <w:pStyle w:val="Tekstpodstawowy"/>
        <w:shd w:val="pct5" w:color="auto" w:fill="auto"/>
        <w:ind w:right="976"/>
      </w:pPr>
      <w:r>
        <w:t xml:space="preserve">Sprawa dotyczy przetrzymywania przez 23 dni w strefie granicznej dwóch obywateli </w:t>
      </w:r>
      <w:r w:rsidR="0084042B">
        <w:t xml:space="preserve">Bangladeszu </w:t>
      </w:r>
      <w:r>
        <w:t xml:space="preserve">ubiegających się o azyl, jak również wydalenia ich z Węgier do </w:t>
      </w:r>
      <w:r w:rsidR="0081737A">
        <w:t>Serbii</w:t>
      </w:r>
      <w:r>
        <w:t xml:space="preserve">. Skarżący </w:t>
      </w:r>
      <w:r w:rsidR="0084042B">
        <w:t>zarzucali</w:t>
      </w:r>
      <w:r>
        <w:t xml:space="preserve"> w szczególności</w:t>
      </w:r>
      <w:r w:rsidR="0084042B">
        <w:t>, że ich przewlekłe</w:t>
      </w:r>
      <w:r>
        <w:t xml:space="preserve"> przetrzymywani</w:t>
      </w:r>
      <w:r w:rsidR="0084042B">
        <w:t>e</w:t>
      </w:r>
      <w:r>
        <w:t xml:space="preserve"> w strefie tranzytowej, w warunkach poniżej standardów, </w:t>
      </w:r>
      <w:r w:rsidR="0084042B">
        <w:t xml:space="preserve">szczególnie biorąc pod uwagę, że cierpieli z powodu </w:t>
      </w:r>
      <w:r>
        <w:t>zesp</w:t>
      </w:r>
      <w:r w:rsidR="0084042B">
        <w:t>o</w:t>
      </w:r>
      <w:r>
        <w:t>ł</w:t>
      </w:r>
      <w:r w:rsidR="0084042B">
        <w:t>u</w:t>
      </w:r>
      <w:r>
        <w:t xml:space="preserve"> stresu pourazowego</w:t>
      </w:r>
      <w:r w:rsidR="0084042B">
        <w:t xml:space="preserve">, </w:t>
      </w:r>
      <w:r w:rsidR="009A3947">
        <w:t>było nieludzkie</w:t>
      </w:r>
      <w:r>
        <w:t>.</w:t>
      </w:r>
    </w:p>
    <w:p w14:paraId="71D3B7FD" w14:textId="515B3A73" w:rsidR="00A64743" w:rsidRDefault="001A3819" w:rsidP="004923E3">
      <w:pPr>
        <w:pStyle w:val="Tekstpodstawowy"/>
        <w:shd w:val="pct5" w:color="auto" w:fill="auto"/>
        <w:ind w:right="974"/>
      </w:pPr>
      <w:r>
        <w:rPr>
          <w:color w:val="0071BB"/>
        </w:rPr>
        <w:t xml:space="preserve">Trybunał w </w:t>
      </w:r>
      <w:hyperlink r:id="rId48">
        <w:r>
          <w:rPr>
            <w:color w:val="0071BB"/>
            <w:u w:val="single" w:color="0071BB"/>
          </w:rPr>
          <w:t>wyroku</w:t>
        </w:r>
      </w:hyperlink>
      <w:r>
        <w:rPr>
          <w:color w:val="0071BB"/>
        </w:rPr>
        <w:t xml:space="preserve"> Izby zauważył w szczególności, że warunki pozbawienia wolności </w:t>
      </w:r>
      <w:r w:rsidR="009A3947">
        <w:rPr>
          <w:color w:val="0071BB"/>
        </w:rPr>
        <w:t xml:space="preserve">skarżących </w:t>
      </w:r>
      <w:r>
        <w:rPr>
          <w:color w:val="0071BB"/>
        </w:rPr>
        <w:t xml:space="preserve">były zadowalające. Co więcej, chociaż Izba wzięła pod uwagę opinię biegłych z zakresu psychiatrii, z </w:t>
      </w:r>
      <w:r w:rsidR="009A3947">
        <w:rPr>
          <w:color w:val="0071BB"/>
        </w:rPr>
        <w:t xml:space="preserve">której </w:t>
      </w:r>
      <w:r>
        <w:rPr>
          <w:color w:val="0071BB"/>
        </w:rPr>
        <w:t xml:space="preserve">wynikało, że skarżący </w:t>
      </w:r>
      <w:r w:rsidR="009A3947">
        <w:rPr>
          <w:color w:val="0071BB"/>
        </w:rPr>
        <w:t xml:space="preserve">cierpieli </w:t>
      </w:r>
      <w:r>
        <w:rPr>
          <w:color w:val="0071BB"/>
        </w:rPr>
        <w:t xml:space="preserve">na zespół stresu pourazowego, uznała, że nie czyniło to ze skarżących osób bardziej bezbronnych niż inni dorośli ubiegający się o azyl pozbawieni wolności w tym czasie. W związku z powyższym oraz ze względu na stosunkowo krótki okres pozbawienia wolności Izba uznała, że warunki pozbawienia skarżącego wolności nie przekroczyły </w:t>
      </w:r>
      <w:r w:rsidR="009A3947">
        <w:rPr>
          <w:color w:val="0071BB"/>
        </w:rPr>
        <w:t xml:space="preserve">stopnia </w:t>
      </w:r>
      <w:r>
        <w:rPr>
          <w:color w:val="0071BB"/>
        </w:rPr>
        <w:t xml:space="preserve">dotkliwości koniecznego do stwierdzenia, </w:t>
      </w:r>
      <w:r w:rsidR="009A3947">
        <w:rPr>
          <w:color w:val="0071BB"/>
        </w:rPr>
        <w:t xml:space="preserve">że </w:t>
      </w:r>
      <w:r>
        <w:rPr>
          <w:color w:val="0071BB"/>
        </w:rPr>
        <w:t xml:space="preserve">doszło do nieludzkiego traktowania w świetle </w:t>
      </w:r>
      <w:r>
        <w:rPr>
          <w:b/>
          <w:bCs/>
          <w:color w:val="0071BB"/>
        </w:rPr>
        <w:t>art. 3</w:t>
      </w:r>
      <w:r>
        <w:rPr>
          <w:color w:val="0071BB"/>
        </w:rPr>
        <w:t xml:space="preserve"> Konwencji (zakaz nieludzkiego lub poniżającego traktowania), jak również orzekła jednogłośnie, że w związku z tym </w:t>
      </w:r>
      <w:r>
        <w:rPr>
          <w:b/>
          <w:bCs/>
          <w:color w:val="0071BB"/>
        </w:rPr>
        <w:t>nie doszło do</w:t>
      </w:r>
      <w:r>
        <w:rPr>
          <w:color w:val="0071BB"/>
        </w:rPr>
        <w:t xml:space="preserve"> </w:t>
      </w:r>
      <w:r>
        <w:rPr>
          <w:b/>
          <w:bCs/>
          <w:color w:val="0071BB"/>
        </w:rPr>
        <w:t xml:space="preserve">naruszenia </w:t>
      </w:r>
      <w:r>
        <w:rPr>
          <w:color w:val="0071BB"/>
        </w:rPr>
        <w:t xml:space="preserve">tego </w:t>
      </w:r>
      <w:r w:rsidR="009A3947">
        <w:rPr>
          <w:color w:val="0071BB"/>
        </w:rPr>
        <w:t xml:space="preserve">artykułu </w:t>
      </w:r>
      <w:r>
        <w:rPr>
          <w:color w:val="0071BB"/>
        </w:rPr>
        <w:t xml:space="preserve">ze względu na warunki przetrzymywania skarżących w strefie tranzytowej. </w:t>
      </w:r>
      <w:r w:rsidR="009A3947">
        <w:rPr>
          <w:color w:val="0071BB"/>
        </w:rPr>
        <w:t xml:space="preserve">Niemniej jednak </w:t>
      </w:r>
      <w:r>
        <w:rPr>
          <w:color w:val="0071BB"/>
        </w:rPr>
        <w:t xml:space="preserve">Izba orzekła jednogłośnie, że doszło do </w:t>
      </w:r>
      <w:r>
        <w:rPr>
          <w:b/>
          <w:bCs/>
          <w:color w:val="0071BB"/>
        </w:rPr>
        <w:t>naruszenia art. 13</w:t>
      </w:r>
      <w:r>
        <w:rPr>
          <w:color w:val="0071BB"/>
        </w:rPr>
        <w:t xml:space="preserve"> Konwencji (prawo do </w:t>
      </w:r>
      <w:r>
        <w:rPr>
          <w:color w:val="0071BB"/>
        </w:rPr>
        <w:lastRenderedPageBreak/>
        <w:t>skutecznego środka odwoławczego) ze względu na brak skutecznego środka odwoławczego, z którego skarżący mogliby skorzystać w celu złożenia skargi na warunki pozbawienia wolności.</w:t>
      </w:r>
    </w:p>
    <w:p w14:paraId="62464711" w14:textId="6E9C934E" w:rsidR="00A64743" w:rsidRDefault="001A3819" w:rsidP="004923E3">
      <w:pPr>
        <w:pStyle w:val="Tekstpodstawowy"/>
        <w:shd w:val="pct5" w:color="auto" w:fill="auto"/>
        <w:ind w:right="965"/>
      </w:pPr>
      <w:r>
        <w:rPr>
          <w:color w:val="0071BB"/>
        </w:rPr>
        <w:t xml:space="preserve">W dniu 18 września 2017 r. </w:t>
      </w:r>
      <w:r w:rsidR="00906630">
        <w:rPr>
          <w:color w:val="0071BB"/>
        </w:rPr>
        <w:t>p</w:t>
      </w:r>
      <w:r>
        <w:rPr>
          <w:color w:val="0071BB"/>
        </w:rPr>
        <w:t xml:space="preserve">anel Wielkiej Izby </w:t>
      </w:r>
      <w:hyperlink r:id="rId49">
        <w:r>
          <w:rPr>
            <w:color w:val="0071BB"/>
            <w:u w:val="single" w:color="0071BB"/>
          </w:rPr>
          <w:t>uwzględnił</w:t>
        </w:r>
      </w:hyperlink>
      <w:r w:rsidR="008D1BD0">
        <w:rPr>
          <w:color w:val="0071BB"/>
        </w:rPr>
        <w:t xml:space="preserve"> wniosek Rządu węgierskiego o </w:t>
      </w:r>
      <w:r w:rsidR="00906630">
        <w:rPr>
          <w:color w:val="0071BB"/>
        </w:rPr>
        <w:t xml:space="preserve">przekazanie </w:t>
      </w:r>
      <w:r>
        <w:rPr>
          <w:color w:val="0071BB"/>
        </w:rPr>
        <w:t>sprawy do Wielkiej Izby.</w:t>
      </w:r>
    </w:p>
    <w:p w14:paraId="3D212F38" w14:textId="77777777" w:rsidR="00A64743" w:rsidRDefault="001A3819" w:rsidP="004923E3">
      <w:pPr>
        <w:pStyle w:val="Tekstpodstawowy"/>
        <w:shd w:val="pct5" w:color="auto" w:fill="auto"/>
        <w:ind w:right="967"/>
      </w:pPr>
      <w:r>
        <w:rPr>
          <w:color w:val="0071BB"/>
          <w:u w:val="single"/>
        </w:rPr>
        <w:t>Rozprawa</w:t>
      </w:r>
      <w:r>
        <w:rPr>
          <w:color w:val="0071BB"/>
        </w:rPr>
        <w:t xml:space="preserve"> przed Wielką Izbą w tej sprawie została zapla</w:t>
      </w:r>
      <w:r w:rsidR="008D1BD0">
        <w:rPr>
          <w:color w:val="0071BB"/>
        </w:rPr>
        <w:t>nowana na 18 kwietnia 2018 r. o </w:t>
      </w:r>
      <w:r>
        <w:rPr>
          <w:color w:val="0071BB"/>
        </w:rPr>
        <w:t>godz. 9.15.</w:t>
      </w:r>
    </w:p>
    <w:p w14:paraId="3D1D3B3B" w14:textId="77777777" w:rsidR="00A64743" w:rsidRDefault="00711FD6" w:rsidP="004923E3">
      <w:pPr>
        <w:pStyle w:val="Nagwek2"/>
        <w:shd w:val="pct5" w:color="auto" w:fill="auto"/>
        <w:ind w:right="967"/>
        <w:rPr>
          <w:u w:val="none"/>
        </w:rPr>
      </w:pPr>
      <w:hyperlink r:id="rId50">
        <w:r w:rsidR="001A3819">
          <w:rPr>
            <w:color w:val="0071BB"/>
            <w:u w:val="thick" w:color="0071BB"/>
          </w:rPr>
          <w:t>Z.A. i Inni przeciwko Rosji (skargi nr</w:t>
        </w:r>
      </w:hyperlink>
      <w:hyperlink r:id="rId51">
        <w:r w:rsidR="001A3819">
          <w:rPr>
            <w:color w:val="0071BB"/>
            <w:u w:val="thick" w:color="0071BB"/>
          </w:rPr>
          <w:t xml:space="preserve"> 61411/15, 61420/1</w:t>
        </w:r>
        <w:r w:rsidR="008D1BD0">
          <w:rPr>
            <w:color w:val="0071BB"/>
            <w:u w:val="thick" w:color="0071BB"/>
          </w:rPr>
          <w:t>5, 61427/15 i </w:t>
        </w:r>
        <w:r w:rsidR="001A3819">
          <w:rPr>
            <w:color w:val="0071BB"/>
            <w:u w:val="thick" w:color="0071BB"/>
          </w:rPr>
          <w:t>3028/16)</w:t>
        </w:r>
      </w:hyperlink>
    </w:p>
    <w:p w14:paraId="25760FA4" w14:textId="07CC1AB0" w:rsidR="00A64743" w:rsidRDefault="001A3819" w:rsidP="00920251">
      <w:pPr>
        <w:shd w:val="pct5" w:color="auto" w:fill="auto"/>
        <w:spacing w:before="60"/>
        <w:ind w:left="880" w:right="967"/>
        <w:jc w:val="both"/>
        <w:rPr>
          <w:sz w:val="18"/>
        </w:rPr>
      </w:pPr>
      <w:r>
        <w:rPr>
          <w:color w:val="808080"/>
          <w:sz w:val="18"/>
        </w:rPr>
        <w:t xml:space="preserve">28 marca 2017 r. – sprawa przekazana </w:t>
      </w:r>
      <w:r w:rsidR="00906630">
        <w:rPr>
          <w:color w:val="808080"/>
          <w:sz w:val="18"/>
        </w:rPr>
        <w:t xml:space="preserve">do </w:t>
      </w:r>
      <w:r>
        <w:rPr>
          <w:color w:val="808080"/>
          <w:sz w:val="18"/>
        </w:rPr>
        <w:t xml:space="preserve">Wielkiej </w:t>
      </w:r>
      <w:r w:rsidR="00906630">
        <w:rPr>
          <w:color w:val="808080"/>
          <w:sz w:val="18"/>
        </w:rPr>
        <w:t xml:space="preserve">Izby </w:t>
      </w:r>
      <w:r>
        <w:rPr>
          <w:color w:val="808080"/>
          <w:sz w:val="18"/>
        </w:rPr>
        <w:t>we wrześniu 2017 r.</w:t>
      </w:r>
    </w:p>
    <w:p w14:paraId="3D42CBD0" w14:textId="77777777" w:rsidR="00A64743" w:rsidRDefault="001A3819" w:rsidP="00920251">
      <w:pPr>
        <w:pStyle w:val="Tekstpodstawowy"/>
        <w:shd w:val="pct5" w:color="auto" w:fill="auto"/>
        <w:spacing w:before="1"/>
        <w:ind w:right="967"/>
      </w:pPr>
      <w:r>
        <w:t>Zobacz powyżej – „Pozbawienie wolności”</w:t>
      </w:r>
    </w:p>
    <w:p w14:paraId="4691BE1C" w14:textId="77777777" w:rsidR="00A64743" w:rsidRDefault="00711FD6" w:rsidP="00920251">
      <w:pPr>
        <w:pStyle w:val="Nagwek2"/>
        <w:shd w:val="pct5" w:color="auto" w:fill="auto"/>
        <w:spacing w:before="120"/>
        <w:ind w:right="967"/>
        <w:rPr>
          <w:u w:val="none"/>
        </w:rPr>
      </w:pPr>
      <w:hyperlink r:id="rId52">
        <w:proofErr w:type="spellStart"/>
        <w:r w:rsidR="001A3819">
          <w:rPr>
            <w:color w:val="0071BB"/>
            <w:u w:val="thick" w:color="0071BB"/>
          </w:rPr>
          <w:t>Bilalova</w:t>
        </w:r>
        <w:proofErr w:type="spellEnd"/>
        <w:r w:rsidR="001A3819">
          <w:rPr>
            <w:color w:val="0071BB"/>
            <w:u w:val="thick" w:color="0071BB"/>
          </w:rPr>
          <w:t xml:space="preserve"> przeciwko Polsce (skarga nr 23685/14)</w:t>
        </w:r>
      </w:hyperlink>
    </w:p>
    <w:p w14:paraId="6036FFF4" w14:textId="77777777" w:rsidR="00A64743" w:rsidRPr="004B7905" w:rsidRDefault="001A3819" w:rsidP="00920251">
      <w:pPr>
        <w:shd w:val="pct5" w:color="auto" w:fill="auto"/>
        <w:spacing w:before="59" w:line="243" w:lineRule="exact"/>
        <w:ind w:left="880" w:right="967"/>
        <w:jc w:val="both"/>
        <w:rPr>
          <w:sz w:val="20"/>
          <w:szCs w:val="20"/>
        </w:rPr>
      </w:pPr>
      <w:r w:rsidRPr="004B7905">
        <w:rPr>
          <w:color w:val="808080"/>
          <w:sz w:val="20"/>
          <w:szCs w:val="20"/>
        </w:rPr>
        <w:t>Skarga zakomunikowana Rządowi polskiemu w dniu 13 października 2014 r.</w:t>
      </w:r>
    </w:p>
    <w:p w14:paraId="39060DEE" w14:textId="77777777" w:rsidR="00A64743" w:rsidRDefault="001A3819" w:rsidP="00920251">
      <w:pPr>
        <w:pStyle w:val="Tekstpodstawowy"/>
        <w:shd w:val="pct5" w:color="auto" w:fill="auto"/>
        <w:ind w:right="967"/>
      </w:pPr>
      <w:r>
        <w:t>Sprawa dotyczy przetrzymywania skarżącej i jej pięciorga dzieci w wieku od czterech do dziesięciu lat przez okres trzech miesięcy w nadzorowanym ośrodku dla obcokrajowców w Polsce w oczekiwaniu na wydalenie do Rosji.</w:t>
      </w:r>
    </w:p>
    <w:p w14:paraId="38513895" w14:textId="3C289573" w:rsidR="00A64743" w:rsidRDefault="001A3819" w:rsidP="004923E3">
      <w:pPr>
        <w:pStyle w:val="Tekstpodstawowy"/>
        <w:shd w:val="pct5" w:color="auto" w:fill="auto"/>
        <w:ind w:right="974"/>
        <w:rPr>
          <w:color w:val="0071BB"/>
        </w:rPr>
      </w:pPr>
      <w:r>
        <w:rPr>
          <w:color w:val="0071BB"/>
        </w:rPr>
        <w:t xml:space="preserve">Trybunał zakomunikował skargę Rządowi polskiemu i wystosował pytania do stron </w:t>
      </w:r>
      <w:r w:rsidR="00726091">
        <w:rPr>
          <w:color w:val="0071BB"/>
        </w:rPr>
        <w:t>zgodnie z</w:t>
      </w:r>
      <w:r>
        <w:rPr>
          <w:color w:val="0071BB"/>
        </w:rPr>
        <w:t xml:space="preserve"> art. 3 Konwencji (zakaz nieludzkiego lub poniżającego traktowania), art. 5 Konwencji (prawo do wolności i bezpieczeństwa osobistego) i art. 8 Konwencji (prawo do poszanowania życia prywatnego i rodzinnego).</w:t>
      </w:r>
    </w:p>
    <w:p w14:paraId="2D0CD796" w14:textId="77777777" w:rsidR="00B25CB7" w:rsidRDefault="00B25CB7" w:rsidP="004923E3">
      <w:pPr>
        <w:pStyle w:val="Tekstpodstawowy"/>
        <w:shd w:val="pct5" w:color="auto" w:fill="auto"/>
        <w:ind w:right="974"/>
      </w:pPr>
    </w:p>
    <w:p w14:paraId="30DC5551" w14:textId="77777777" w:rsidR="00A64743" w:rsidRDefault="00711FD6" w:rsidP="00B25CB7">
      <w:pPr>
        <w:pStyle w:val="Nagwek2"/>
        <w:shd w:val="pct5" w:color="auto" w:fill="auto"/>
        <w:spacing w:before="0"/>
        <w:ind w:right="965"/>
        <w:rPr>
          <w:u w:val="none"/>
        </w:rPr>
      </w:pPr>
      <w:hyperlink r:id="rId53">
        <w:r w:rsidR="001A3819">
          <w:rPr>
            <w:color w:val="0071BB"/>
            <w:u w:val="thick" w:color="0071BB"/>
          </w:rPr>
          <w:t>A.E. i T.B. przeciwko Włochom i inne skargi (skargi nr</w:t>
        </w:r>
      </w:hyperlink>
      <w:hyperlink r:id="rId54">
        <w:r w:rsidR="001A3819">
          <w:rPr>
            <w:color w:val="0071BB"/>
            <w:u w:val="thick" w:color="0071BB"/>
          </w:rPr>
          <w:t xml:space="preserve"> 18911/17, 18941/17 i</w:t>
        </w:r>
      </w:hyperlink>
      <w:hyperlink r:id="rId55">
        <w:r w:rsidR="008D1BD0">
          <w:rPr>
            <w:color w:val="0071BB"/>
            <w:u w:val="thick" w:color="0071BB"/>
          </w:rPr>
          <w:t> </w:t>
        </w:r>
        <w:r w:rsidR="001A3819">
          <w:rPr>
            <w:color w:val="0071BB"/>
            <w:u w:val="thick" w:color="0071BB"/>
          </w:rPr>
          <w:t>18959/17)</w:t>
        </w:r>
      </w:hyperlink>
    </w:p>
    <w:p w14:paraId="0FC1CA30" w14:textId="77777777" w:rsidR="00A64743" w:rsidRDefault="001A3819" w:rsidP="00B25CB7">
      <w:pPr>
        <w:shd w:val="pct5" w:color="auto" w:fill="auto"/>
        <w:spacing w:line="218" w:lineRule="exact"/>
        <w:ind w:left="880" w:right="967"/>
        <w:jc w:val="both"/>
        <w:rPr>
          <w:sz w:val="18"/>
        </w:rPr>
      </w:pPr>
      <w:r>
        <w:rPr>
          <w:color w:val="808080"/>
          <w:sz w:val="18"/>
        </w:rPr>
        <w:t>Skargi zostały zakomunikowane Rządowi włoskiemu w dniu 24 listopada 2017 r.</w:t>
      </w:r>
    </w:p>
    <w:p w14:paraId="18764B09" w14:textId="533485F1" w:rsidR="00A64743" w:rsidRDefault="001A3819" w:rsidP="00920251">
      <w:pPr>
        <w:pStyle w:val="Tekstpodstawowy"/>
        <w:shd w:val="pct5" w:color="auto" w:fill="auto"/>
        <w:spacing w:line="242" w:lineRule="exact"/>
        <w:ind w:right="967"/>
        <w:rPr>
          <w:sz w:val="18"/>
        </w:rPr>
      </w:pPr>
      <w:r>
        <w:t>Zobacz powyżej – „Pozbawienie wolności”</w:t>
      </w:r>
      <w:r w:rsidR="00726091">
        <w:t>.</w:t>
      </w:r>
      <w:r w:rsidR="008D1BD0">
        <w:rPr>
          <w:sz w:val="18"/>
        </w:rPr>
        <w:t xml:space="preserve"> </w:t>
      </w:r>
    </w:p>
    <w:p w14:paraId="60B771A7" w14:textId="77777777" w:rsidR="00B25CB7" w:rsidRDefault="00B25CB7" w:rsidP="00B25CB7">
      <w:pPr>
        <w:pStyle w:val="Tekstpodstawowy"/>
        <w:spacing w:line="242" w:lineRule="exact"/>
        <w:ind w:right="967"/>
        <w:rPr>
          <w:sz w:val="18"/>
        </w:rPr>
      </w:pPr>
    </w:p>
    <w:p w14:paraId="08C3BC97" w14:textId="1902133C" w:rsidR="00506886" w:rsidRDefault="00506886" w:rsidP="00B25CB7">
      <w:pPr>
        <w:pStyle w:val="Nagwek2"/>
        <w:shd w:val="pct5" w:color="auto" w:fill="auto"/>
        <w:spacing w:before="0"/>
        <w:ind w:right="967"/>
        <w:rPr>
          <w:color w:val="0071BB"/>
          <w:u w:val="thick" w:color="0071BB"/>
        </w:rPr>
      </w:pPr>
      <w:r>
        <w:rPr>
          <w:color w:val="5F5F5F"/>
          <w:u w:val="none"/>
        </w:rPr>
        <w:t>Migranci ze szczególnymi potrzebami (dzieci, osoby z niepełnosprawnościami, kobiety itp.)</w:t>
      </w:r>
    </w:p>
    <w:p w14:paraId="5826A952" w14:textId="77777777" w:rsidR="00A64743" w:rsidRDefault="001A3819" w:rsidP="00920251">
      <w:pPr>
        <w:pStyle w:val="Nagwek2"/>
        <w:shd w:val="pct5" w:color="auto" w:fill="auto"/>
        <w:spacing w:before="9" w:line="364" w:lineRule="exact"/>
        <w:ind w:right="967"/>
        <w:rPr>
          <w:u w:val="none"/>
        </w:rPr>
      </w:pPr>
      <w:proofErr w:type="spellStart"/>
      <w:r>
        <w:rPr>
          <w:color w:val="0071BB"/>
          <w:u w:val="thick" w:color="0071BB"/>
        </w:rPr>
        <w:t>Mubilanzila</w:t>
      </w:r>
      <w:proofErr w:type="spellEnd"/>
      <w:r>
        <w:rPr>
          <w:color w:val="0071BB"/>
          <w:u w:val="thick" w:color="0071BB"/>
        </w:rPr>
        <w:t xml:space="preserve"> </w:t>
      </w:r>
      <w:proofErr w:type="spellStart"/>
      <w:r>
        <w:rPr>
          <w:color w:val="0071BB"/>
          <w:u w:val="thick" w:color="0071BB"/>
        </w:rPr>
        <w:t>Mayeka</w:t>
      </w:r>
      <w:proofErr w:type="spellEnd"/>
      <w:r>
        <w:rPr>
          <w:color w:val="0071BB"/>
          <w:u w:val="thick" w:color="0071BB"/>
        </w:rPr>
        <w:t xml:space="preserve"> i </w:t>
      </w:r>
      <w:proofErr w:type="spellStart"/>
      <w:r>
        <w:rPr>
          <w:color w:val="0071BB"/>
          <w:u w:val="thick" w:color="0071BB"/>
        </w:rPr>
        <w:t>Kaniki</w:t>
      </w:r>
      <w:proofErr w:type="spellEnd"/>
      <w:r>
        <w:rPr>
          <w:color w:val="0071BB"/>
          <w:u w:val="thick" w:color="0071BB"/>
        </w:rPr>
        <w:t xml:space="preserve"> </w:t>
      </w:r>
      <w:proofErr w:type="spellStart"/>
      <w:r>
        <w:rPr>
          <w:color w:val="0071BB"/>
          <w:u w:val="thick" w:color="0071BB"/>
        </w:rPr>
        <w:t>Mitunga</w:t>
      </w:r>
      <w:proofErr w:type="spellEnd"/>
      <w:r>
        <w:rPr>
          <w:color w:val="0071BB"/>
          <w:u w:val="thick" w:color="0071BB"/>
        </w:rPr>
        <w:t xml:space="preserve"> przeciwko Belgii</w:t>
      </w:r>
    </w:p>
    <w:p w14:paraId="5E3A9F08" w14:textId="77777777" w:rsidR="00A64743" w:rsidRDefault="001A3819" w:rsidP="00920251">
      <w:pPr>
        <w:shd w:val="pct5" w:color="auto" w:fill="auto"/>
        <w:spacing w:before="30" w:line="218" w:lineRule="exact"/>
        <w:ind w:left="880" w:right="967"/>
        <w:jc w:val="both"/>
        <w:rPr>
          <w:sz w:val="18"/>
        </w:rPr>
      </w:pPr>
      <w:r>
        <w:rPr>
          <w:color w:val="808080"/>
          <w:sz w:val="18"/>
        </w:rPr>
        <w:t>12 października 2006 r.</w:t>
      </w:r>
    </w:p>
    <w:p w14:paraId="09F3D37F" w14:textId="67CDC912" w:rsidR="00A64743" w:rsidRDefault="001A3819" w:rsidP="004923E3">
      <w:pPr>
        <w:pStyle w:val="Tekstpodstawowy"/>
        <w:shd w:val="pct5" w:color="auto" w:fill="auto"/>
        <w:ind w:right="976"/>
      </w:pPr>
      <w:r>
        <w:t xml:space="preserve">Sprawa dotyczyła trwającego nieomal dwa miesiące pobytu </w:t>
      </w:r>
      <w:r w:rsidR="00C060BD">
        <w:t xml:space="preserve">w ośrodku tranzytowym dla dorosłych prowadzonym przez urząd ds. cudzoziemców przy porcie lotniczym w Brukseli </w:t>
      </w:r>
      <w:r>
        <w:t>pięcioletniej obywatelki kongijskiej podróżującej bez opieki w celu dołączenia do matki, której przyznano status uchodźcy w Kanadzie, jak również wydalenia dziewczynki do kraju pochodzenia.</w:t>
      </w:r>
    </w:p>
    <w:p w14:paraId="6A055D97" w14:textId="1784F135" w:rsidR="00A64743" w:rsidRDefault="001A3819" w:rsidP="008D1215">
      <w:pPr>
        <w:pStyle w:val="Tekstpodstawowy"/>
        <w:shd w:val="pct5" w:color="auto" w:fill="auto"/>
        <w:ind w:right="974"/>
      </w:pPr>
      <w:r>
        <w:rPr>
          <w:color w:val="0071BB"/>
        </w:rPr>
        <w:t xml:space="preserve">Trybunał orzekł, iż doszło do </w:t>
      </w:r>
      <w:r>
        <w:rPr>
          <w:b/>
          <w:color w:val="0071BB"/>
        </w:rPr>
        <w:t>naruszenia art. 3</w:t>
      </w:r>
      <w:r>
        <w:rPr>
          <w:color w:val="0071BB"/>
        </w:rPr>
        <w:t xml:space="preserve"> Konwencji (zakaz nieludzkiego lub poniżającego traktowania) ze względu na warunki pozbawienia wolności dziecka. </w:t>
      </w:r>
      <w:r w:rsidR="00C060BD">
        <w:rPr>
          <w:color w:val="0071BB"/>
        </w:rPr>
        <w:t>Dziewczynka</w:t>
      </w:r>
      <w:r>
        <w:rPr>
          <w:color w:val="0071BB"/>
        </w:rPr>
        <w:t>, któr</w:t>
      </w:r>
      <w:r w:rsidR="00C060BD">
        <w:rPr>
          <w:color w:val="0071BB"/>
        </w:rPr>
        <w:t>a</w:t>
      </w:r>
      <w:r>
        <w:rPr>
          <w:color w:val="0071BB"/>
        </w:rPr>
        <w:t xml:space="preserve"> miał</w:t>
      </w:r>
      <w:r w:rsidR="00C060BD">
        <w:rPr>
          <w:color w:val="0071BB"/>
        </w:rPr>
        <w:t>a</w:t>
      </w:r>
      <w:r>
        <w:rPr>
          <w:color w:val="0071BB"/>
        </w:rPr>
        <w:t xml:space="preserve"> zaledwie pięć lat, był</w:t>
      </w:r>
      <w:r w:rsidR="00C060BD">
        <w:rPr>
          <w:color w:val="0071BB"/>
        </w:rPr>
        <w:t>a</w:t>
      </w:r>
      <w:r>
        <w:rPr>
          <w:color w:val="0071BB"/>
        </w:rPr>
        <w:t xml:space="preserve"> przetrzymywan</w:t>
      </w:r>
      <w:r w:rsidR="00C060BD">
        <w:rPr>
          <w:color w:val="0071BB"/>
        </w:rPr>
        <w:t>a</w:t>
      </w:r>
      <w:r>
        <w:rPr>
          <w:color w:val="0071BB"/>
        </w:rPr>
        <w:t xml:space="preserve"> przez prawie dwa miesiące w ośrodku początkowo przeznaczonym dla osób dorosłych, mimo że nie towarzyszyli jej rodzice</w:t>
      </w:r>
      <w:r w:rsidR="00C060BD">
        <w:rPr>
          <w:color w:val="0071BB"/>
        </w:rPr>
        <w:t xml:space="preserve"> i nikt nie został</w:t>
      </w:r>
      <w:r>
        <w:rPr>
          <w:color w:val="0071BB"/>
        </w:rPr>
        <w:t xml:space="preserve"> </w:t>
      </w:r>
      <w:r w:rsidR="00C060BD">
        <w:rPr>
          <w:color w:val="0071BB"/>
        </w:rPr>
        <w:t>przydzielony</w:t>
      </w:r>
      <w:r>
        <w:rPr>
          <w:color w:val="0071BB"/>
        </w:rPr>
        <w:t xml:space="preserve"> do opieki</w:t>
      </w:r>
      <w:r w:rsidR="00C060BD">
        <w:rPr>
          <w:color w:val="0071BB"/>
        </w:rPr>
        <w:t xml:space="preserve"> nad nią</w:t>
      </w:r>
      <w:r w:rsidR="00D6797B">
        <w:rPr>
          <w:color w:val="0071BB"/>
        </w:rPr>
        <w:t>. Nie podjęto żadnych środków w </w:t>
      </w:r>
      <w:r>
        <w:rPr>
          <w:color w:val="0071BB"/>
        </w:rPr>
        <w:t>celu zapewnienia</w:t>
      </w:r>
      <w:r w:rsidR="00C060BD">
        <w:rPr>
          <w:color w:val="0071BB"/>
        </w:rPr>
        <w:t>, że otrzyma właściwą pomoc</w:t>
      </w:r>
      <w:r>
        <w:rPr>
          <w:color w:val="0071BB"/>
        </w:rPr>
        <w:t xml:space="preserve"> </w:t>
      </w:r>
      <w:r w:rsidR="00C060BD">
        <w:rPr>
          <w:color w:val="0071BB"/>
        </w:rPr>
        <w:t xml:space="preserve">i </w:t>
      </w:r>
      <w:r>
        <w:rPr>
          <w:color w:val="0071BB"/>
        </w:rPr>
        <w:t>wsparci</w:t>
      </w:r>
      <w:r w:rsidR="00C060BD">
        <w:rPr>
          <w:color w:val="0071BB"/>
        </w:rPr>
        <w:t>e</w:t>
      </w:r>
      <w:r>
        <w:rPr>
          <w:color w:val="0071BB"/>
        </w:rPr>
        <w:t xml:space="preserve"> edukacyjne przez przydzieloną jej osobę o odpowiednich kwalifikacjach. Rząd belgijski </w:t>
      </w:r>
      <w:r w:rsidR="00127C4D">
        <w:rPr>
          <w:color w:val="0071BB"/>
        </w:rPr>
        <w:t>przyznał</w:t>
      </w:r>
      <w:r>
        <w:rPr>
          <w:color w:val="0071BB"/>
        </w:rPr>
        <w:t xml:space="preserve">, że miejsce pozbawienia wolności nie było dostosowane do jej potrzeb i w tamtym czasie nie istniały żadne odpowiednie struktury. </w:t>
      </w:r>
      <w:r w:rsidR="00127C4D">
        <w:rPr>
          <w:color w:val="0071BB"/>
        </w:rPr>
        <w:t xml:space="preserve">Ze względu na bardzo młody wiek, fakt, że była nielegalnym cudzoziemcem w obcym kraju, że nie była pod opieką swojej rodziny, od której została oddzielona i że została pozostawiona samej sobie </w:t>
      </w:r>
      <w:r>
        <w:rPr>
          <w:color w:val="0071BB"/>
        </w:rPr>
        <w:t>znalazł</w:t>
      </w:r>
      <w:r w:rsidR="00127C4D">
        <w:rPr>
          <w:color w:val="0071BB"/>
        </w:rPr>
        <w:t>a</w:t>
      </w:r>
      <w:r>
        <w:rPr>
          <w:color w:val="0071BB"/>
        </w:rPr>
        <w:t xml:space="preserve"> się w </w:t>
      </w:r>
      <w:r w:rsidR="00453E56">
        <w:rPr>
          <w:color w:val="0071BB"/>
        </w:rPr>
        <w:t xml:space="preserve">niezwykle </w:t>
      </w:r>
      <w:r>
        <w:rPr>
          <w:color w:val="0071BB"/>
        </w:rPr>
        <w:t>trudnym położeniu. Trybunał uznał, że środki podjęte przez władze belgijskie były dalekie od adekwatnych w świetle obowiązku otoczenia dziecka opieką oraz w świetle szeregu możliwości, jakimi dysponowały. Warunki poz</w:t>
      </w:r>
      <w:r w:rsidR="00D446FC">
        <w:rPr>
          <w:color w:val="0071BB"/>
        </w:rPr>
        <w:t>bawienia wolności spowodowały u </w:t>
      </w:r>
      <w:r>
        <w:rPr>
          <w:color w:val="0071BB"/>
        </w:rPr>
        <w:t xml:space="preserve">dziecka </w:t>
      </w:r>
      <w:r w:rsidR="00453E56">
        <w:rPr>
          <w:color w:val="0071BB"/>
        </w:rPr>
        <w:t>znaczące cierpienie</w:t>
      </w:r>
      <w:r>
        <w:rPr>
          <w:color w:val="0071BB"/>
        </w:rPr>
        <w:t xml:space="preserve">. Organy, które odpowiadały za pozbawienie jej wolności, nie mogły nie mieć świadomości </w:t>
      </w:r>
      <w:r w:rsidR="00453E56">
        <w:rPr>
          <w:color w:val="0071BB"/>
        </w:rPr>
        <w:t xml:space="preserve">poważnych </w:t>
      </w:r>
      <w:r>
        <w:rPr>
          <w:color w:val="0071BB"/>
        </w:rPr>
        <w:t>skutków</w:t>
      </w:r>
      <w:r w:rsidR="0053704F" w:rsidRPr="0053704F">
        <w:rPr>
          <w:color w:val="0071BB"/>
        </w:rPr>
        <w:t xml:space="preserve"> </w:t>
      </w:r>
      <w:r w:rsidR="0053704F">
        <w:rPr>
          <w:color w:val="0071BB"/>
        </w:rPr>
        <w:t>psychicznych</w:t>
      </w:r>
      <w:r>
        <w:rPr>
          <w:color w:val="0071BB"/>
        </w:rPr>
        <w:t xml:space="preserve">, jakie </w:t>
      </w:r>
      <w:r w:rsidR="00453E56">
        <w:rPr>
          <w:color w:val="0071BB"/>
        </w:rPr>
        <w:t xml:space="preserve">spowoduje u niej </w:t>
      </w:r>
      <w:r>
        <w:rPr>
          <w:color w:val="0071BB"/>
        </w:rPr>
        <w:t>pozbawienie wolności</w:t>
      </w:r>
      <w:r w:rsidR="00453E56">
        <w:rPr>
          <w:color w:val="0071BB"/>
        </w:rPr>
        <w:t xml:space="preserve"> w takich warunkach</w:t>
      </w:r>
      <w:r>
        <w:rPr>
          <w:color w:val="0071BB"/>
        </w:rPr>
        <w:t>.</w:t>
      </w:r>
    </w:p>
    <w:p w14:paraId="6AE45B5F" w14:textId="77777777" w:rsidR="00A64743" w:rsidRPr="008D1215" w:rsidRDefault="00711FD6" w:rsidP="008D1215">
      <w:pPr>
        <w:pStyle w:val="Nagwek2"/>
        <w:shd w:val="pct5" w:color="auto" w:fill="auto"/>
        <w:spacing w:before="9" w:line="364" w:lineRule="exact"/>
        <w:ind w:right="967"/>
        <w:rPr>
          <w:color w:val="0071BB"/>
          <w:u w:val="thick" w:color="0071BB"/>
        </w:rPr>
      </w:pPr>
      <w:hyperlink r:id="rId56">
        <w:proofErr w:type="spellStart"/>
        <w:r w:rsidR="001A3819">
          <w:rPr>
            <w:color w:val="0071BB"/>
            <w:u w:val="thick" w:color="0071BB"/>
          </w:rPr>
          <w:t>Palushi</w:t>
        </w:r>
        <w:proofErr w:type="spellEnd"/>
        <w:r w:rsidR="001A3819">
          <w:rPr>
            <w:color w:val="0071BB"/>
            <w:u w:val="thick" w:color="0071BB"/>
          </w:rPr>
          <w:t xml:space="preserve"> przeciwko Austrii</w:t>
        </w:r>
      </w:hyperlink>
    </w:p>
    <w:p w14:paraId="55922C78" w14:textId="77777777" w:rsidR="00A64743" w:rsidRDefault="001A3819" w:rsidP="00570B90">
      <w:pPr>
        <w:shd w:val="pct5" w:color="auto" w:fill="auto"/>
        <w:spacing w:line="218" w:lineRule="exact"/>
        <w:ind w:left="880" w:right="967"/>
        <w:jc w:val="both"/>
        <w:rPr>
          <w:sz w:val="18"/>
        </w:rPr>
      </w:pPr>
      <w:r>
        <w:rPr>
          <w:color w:val="808080"/>
          <w:sz w:val="18"/>
        </w:rPr>
        <w:t>22 grudnia 2009 r.</w:t>
      </w:r>
    </w:p>
    <w:p w14:paraId="63C0D33B" w14:textId="6AA54D14" w:rsidR="00A64743" w:rsidRDefault="001A3819" w:rsidP="004923E3">
      <w:pPr>
        <w:pStyle w:val="Tekstpodstawowy"/>
        <w:shd w:val="pct5" w:color="auto" w:fill="auto"/>
        <w:ind w:right="976"/>
      </w:pPr>
      <w:r>
        <w:t xml:space="preserve">Skarżący, będący w czasie przedmiotowych wydarzeń obywatelem byłej Socjalistycznej </w:t>
      </w:r>
      <w:r>
        <w:lastRenderedPageBreak/>
        <w:t xml:space="preserve">Federacyjnej Republiki Jugosławii, utrzymywał, że w trakcie </w:t>
      </w:r>
      <w:r w:rsidR="0053704F">
        <w:t xml:space="preserve">osadzenia </w:t>
      </w:r>
      <w:r>
        <w:t xml:space="preserve">w więzieniu policyjnym w Wiedniu, gdzie został umieszczony w celu wydalenia ze względu na nielegalny pobyt, był </w:t>
      </w:r>
      <w:r w:rsidR="0053704F">
        <w:t>źle traktowany</w:t>
      </w:r>
      <w:r>
        <w:t xml:space="preserve"> przez funkcjonariuszy więziennych. Podnosił również, że</w:t>
      </w:r>
      <w:r w:rsidR="0053704F">
        <w:t xml:space="preserve"> natychmiast po tym </w:t>
      </w:r>
      <w:r>
        <w:t>został umieszczony w izolatce i odmówiono mu dostępu do lekarza.</w:t>
      </w:r>
    </w:p>
    <w:p w14:paraId="77745DE4" w14:textId="0BD72055" w:rsidR="00A64743" w:rsidRDefault="001A3819" w:rsidP="008D1215">
      <w:pPr>
        <w:pStyle w:val="Tekstpodstawowy"/>
        <w:shd w:val="pct5" w:color="auto" w:fill="auto"/>
        <w:ind w:right="974"/>
        <w:rPr>
          <w:color w:val="0071BB"/>
        </w:rPr>
      </w:pPr>
      <w:r>
        <w:rPr>
          <w:color w:val="0071BB"/>
        </w:rPr>
        <w:t xml:space="preserve">Trybunał zauważył w szczególności, że skarżący, który </w:t>
      </w:r>
      <w:r w:rsidR="0053704F">
        <w:rPr>
          <w:color w:val="0071BB"/>
        </w:rPr>
        <w:t xml:space="preserve">właśnie </w:t>
      </w:r>
      <w:r>
        <w:rPr>
          <w:color w:val="0071BB"/>
        </w:rPr>
        <w:t>od trzech tygodni prowadził strajk głodowy (co wiązało się z ryzykiem utraty przytomności), został umieszczony w celi izolacyjnej na podstawie oceny ratownika</w:t>
      </w:r>
      <w:r w:rsidR="007428D8">
        <w:rPr>
          <w:color w:val="0071BB"/>
        </w:rPr>
        <w:t xml:space="preserve"> medycznego</w:t>
      </w:r>
      <w:r>
        <w:rPr>
          <w:color w:val="0071BB"/>
        </w:rPr>
        <w:t xml:space="preserve">, który przeszedł jedynie podstawowe szkolenie, jak również że skarżącemu </w:t>
      </w:r>
      <w:r w:rsidR="007428D8">
        <w:rPr>
          <w:color w:val="0071BB"/>
        </w:rPr>
        <w:t xml:space="preserve">odmówiono </w:t>
      </w:r>
      <w:r>
        <w:rPr>
          <w:color w:val="0071BB"/>
        </w:rPr>
        <w:t xml:space="preserve">dostępu do lekarza, umożliwiając taki dostęp dopiero trzeciego dnia pobytu w izolatce. Czynniki te, występujące w połączeniu, </w:t>
      </w:r>
      <w:r w:rsidR="007428D8">
        <w:rPr>
          <w:color w:val="0071BB"/>
        </w:rPr>
        <w:t xml:space="preserve">musiały spowodować </w:t>
      </w:r>
      <w:r>
        <w:rPr>
          <w:color w:val="0071BB"/>
        </w:rPr>
        <w:t xml:space="preserve">cierpienie i upokorzenie przekraczające poziom nieunikniony w sytuacji pozbawienia wolności. W ocenie Trybunału skarżący był zatem poddany poniżającemu traktowaniu ze względu na brak opieki medycznej w izolatce do czasu zezwolenia na wizytę lekarską, co stanowiło </w:t>
      </w:r>
      <w:r>
        <w:rPr>
          <w:b/>
          <w:bCs/>
          <w:color w:val="0071BB"/>
        </w:rPr>
        <w:t xml:space="preserve">naruszenie art. 3 </w:t>
      </w:r>
      <w:r>
        <w:rPr>
          <w:color w:val="0071BB"/>
        </w:rPr>
        <w:t>Konwencji (zakaz nieludzkiego lub poniżającego traktowania).</w:t>
      </w:r>
    </w:p>
    <w:p w14:paraId="0CDB1B5E" w14:textId="77777777" w:rsidR="008D1215" w:rsidRDefault="008D1215" w:rsidP="008D1215">
      <w:pPr>
        <w:pStyle w:val="Tekstpodstawowy"/>
        <w:shd w:val="pct5" w:color="auto" w:fill="auto"/>
        <w:ind w:right="974"/>
      </w:pPr>
    </w:p>
    <w:p w14:paraId="4642DD67" w14:textId="77777777" w:rsidR="00A64743" w:rsidRPr="008D1215" w:rsidRDefault="001A3819" w:rsidP="008D1215">
      <w:pPr>
        <w:pStyle w:val="Nagwek2"/>
        <w:shd w:val="pct5" w:color="auto" w:fill="auto"/>
        <w:spacing w:before="0" w:line="364" w:lineRule="exact"/>
        <w:ind w:right="967"/>
        <w:rPr>
          <w:color w:val="0071BB"/>
          <w:u w:val="thick" w:color="0071BB"/>
        </w:rPr>
      </w:pPr>
      <w:proofErr w:type="spellStart"/>
      <w:r>
        <w:rPr>
          <w:color w:val="0071BB"/>
          <w:u w:val="thick" w:color="0071BB"/>
        </w:rPr>
        <w:t>Muskhadzhiyeva</w:t>
      </w:r>
      <w:proofErr w:type="spellEnd"/>
      <w:r>
        <w:rPr>
          <w:color w:val="0071BB"/>
          <w:u w:val="thick" w:color="0071BB"/>
        </w:rPr>
        <w:t xml:space="preserve"> i Inni przeciwko Belgii</w:t>
      </w:r>
    </w:p>
    <w:p w14:paraId="0E348FB6" w14:textId="77777777" w:rsidR="00A64743" w:rsidRDefault="001A3819" w:rsidP="00F006C6">
      <w:pPr>
        <w:shd w:val="pct5" w:color="auto" w:fill="auto"/>
        <w:spacing w:before="60" w:line="218" w:lineRule="exact"/>
        <w:ind w:left="880" w:right="967"/>
        <w:jc w:val="both"/>
        <w:rPr>
          <w:sz w:val="18"/>
        </w:rPr>
      </w:pPr>
      <w:r>
        <w:rPr>
          <w:color w:val="808080"/>
          <w:sz w:val="18"/>
        </w:rPr>
        <w:t>19 stycznia 2010 r.</w:t>
      </w:r>
    </w:p>
    <w:p w14:paraId="117A040C" w14:textId="09AB7E9A" w:rsidR="00A64743" w:rsidRPr="008D1BD0" w:rsidRDefault="001A3819" w:rsidP="00F006C6">
      <w:pPr>
        <w:pStyle w:val="Tekstpodstawowy"/>
        <w:shd w:val="pct5" w:color="auto" w:fill="auto"/>
        <w:ind w:right="967"/>
      </w:pPr>
      <w:r>
        <w:t>Skarżący, matka i jej czworo dzieci (w przedmiotow</w:t>
      </w:r>
      <w:r w:rsidR="00E24CCB">
        <w:t xml:space="preserve">ym czasie </w:t>
      </w:r>
      <w:r>
        <w:t xml:space="preserve">w wieku, odpowiednio, </w:t>
      </w:r>
      <w:r w:rsidR="00E24CCB">
        <w:t xml:space="preserve">siedmiu </w:t>
      </w:r>
      <w:r>
        <w:t>miesięcy, trz</w:t>
      </w:r>
      <w:r w:rsidR="00E24CCB">
        <w:t>ech</w:t>
      </w:r>
      <w:r>
        <w:t xml:space="preserve"> i pół roku, pię</w:t>
      </w:r>
      <w:r w:rsidR="00E24CCB">
        <w:t>ciu</w:t>
      </w:r>
      <w:r>
        <w:t xml:space="preserve"> lat i siedm</w:t>
      </w:r>
      <w:r w:rsidR="00E24CCB">
        <w:t>iu</w:t>
      </w:r>
      <w:r>
        <w:t xml:space="preserve"> lat) są obywatelami rosyjskimi pochodzenia czeczeńskiego. Po ucieczce z Groznego w Czeczenii przybyli do Belgii, gdzie ubiegali się o azyl. Ponieważ wcześniej </w:t>
      </w:r>
      <w:r w:rsidR="00E24CCB">
        <w:t>przebywali przez pewien okres</w:t>
      </w:r>
      <w:r>
        <w:t xml:space="preserve"> w Polsce, polskie organy zobowiązały się do rozpatrzenia ich sprawy na mocy rozporządzenia „Dublin II”</w:t>
      </w:r>
      <w:r w:rsidR="008D1BD0">
        <w:rPr>
          <w:rStyle w:val="Odwoanieprzypisudolnego"/>
        </w:rPr>
        <w:footnoteReference w:id="2"/>
      </w:r>
      <w:r>
        <w:t xml:space="preserve">. Organy belgijskie </w:t>
      </w:r>
      <w:r w:rsidR="00602DAE">
        <w:t xml:space="preserve">wydały zatem, </w:t>
      </w:r>
      <w:r>
        <w:t>w dniu 21 grudnia 2006 r.</w:t>
      </w:r>
      <w:r w:rsidR="00602DAE">
        <w:t>,</w:t>
      </w:r>
      <w:r>
        <w:t xml:space="preserve"> decyzję o odmowie zezwolenia na pobyt w Belgii i nakazały im opuszczenie kraju.</w:t>
      </w:r>
      <w:r w:rsidR="006346C2">
        <w:t xml:space="preserve"> </w:t>
      </w:r>
      <w:r>
        <w:t>W dniu 22 grudnia 2006 r. zostali oni umieszczeni w zamkniętym ośrodku tranzytowym prowadzonym przez urząd ds. cudzoziemców obok portu lotniczego w Brukseli, gdzie przetrzymywano obcokrajowców (osoby dorosłe lub rodziny) oczekujących na</w:t>
      </w:r>
      <w:bookmarkStart w:id="1" w:name="_bookmark1"/>
      <w:bookmarkEnd w:id="1"/>
      <w:r w:rsidR="008D1BD0">
        <w:t xml:space="preserve"> </w:t>
      </w:r>
      <w:r>
        <w:t>wydalenie z kraju.</w:t>
      </w:r>
    </w:p>
    <w:p w14:paraId="10FA0C6A" w14:textId="77777777" w:rsidR="008D1BD0" w:rsidRDefault="008D1BD0" w:rsidP="004923E3">
      <w:pPr>
        <w:pStyle w:val="Tekstpodstawowy"/>
        <w:shd w:val="pct5" w:color="auto" w:fill="auto"/>
        <w:ind w:right="975"/>
        <w:rPr>
          <w:color w:val="0071BB"/>
        </w:rPr>
      </w:pPr>
    </w:p>
    <w:p w14:paraId="17FBAA0A" w14:textId="7CB2E899" w:rsidR="00A64743" w:rsidRDefault="001A3819" w:rsidP="00F006C6">
      <w:pPr>
        <w:pStyle w:val="Tekstpodstawowy"/>
        <w:shd w:val="pct5" w:color="auto" w:fill="auto"/>
        <w:ind w:right="975"/>
        <w:rPr>
          <w:color w:val="0071BB"/>
        </w:rPr>
      </w:pPr>
      <w:r>
        <w:rPr>
          <w:color w:val="0071BB"/>
        </w:rPr>
        <w:t xml:space="preserve">Trybunał orzekł, że doszło do </w:t>
      </w:r>
      <w:r>
        <w:rPr>
          <w:b/>
          <w:bCs/>
          <w:color w:val="0071BB"/>
        </w:rPr>
        <w:t xml:space="preserve">naruszenia art. 3 </w:t>
      </w:r>
      <w:r>
        <w:rPr>
          <w:color w:val="0071BB"/>
        </w:rPr>
        <w:t xml:space="preserve">Konwencji (zakaz nieludzkiego lub poniżającego traktowania) ze względu na pozbawienie wolności czworga dzieci, </w:t>
      </w:r>
      <w:r w:rsidR="00602DAE">
        <w:rPr>
          <w:color w:val="0071BB"/>
        </w:rPr>
        <w:t>przypominając, że</w:t>
      </w:r>
      <w:r>
        <w:rPr>
          <w:color w:val="0071BB"/>
        </w:rPr>
        <w:t xml:space="preserve"> wysoki stopień bezbronności dziecka </w:t>
      </w:r>
      <w:r w:rsidR="007C6054">
        <w:rPr>
          <w:color w:val="0071BB"/>
        </w:rPr>
        <w:t xml:space="preserve">był czynnikiem nadrzędnym </w:t>
      </w:r>
      <w:r>
        <w:rPr>
          <w:color w:val="0071BB"/>
        </w:rPr>
        <w:t xml:space="preserve">i </w:t>
      </w:r>
      <w:r w:rsidR="007C6054">
        <w:rPr>
          <w:color w:val="0071BB"/>
        </w:rPr>
        <w:t xml:space="preserve">miał </w:t>
      </w:r>
      <w:r>
        <w:rPr>
          <w:color w:val="0071BB"/>
        </w:rPr>
        <w:t xml:space="preserve">pierwszeństwo przed statusem nielegalnego obcokrajowca. Prawdą jest, że w tej sprawie </w:t>
      </w:r>
      <w:r w:rsidR="007C6054">
        <w:rPr>
          <w:color w:val="0071BB"/>
        </w:rPr>
        <w:t>czwórka dzieci nie była oddzielona</w:t>
      </w:r>
      <w:r>
        <w:rPr>
          <w:color w:val="0071BB"/>
        </w:rPr>
        <w:t xml:space="preserve"> od </w:t>
      </w:r>
      <w:r w:rsidR="007C6054">
        <w:rPr>
          <w:color w:val="0071BB"/>
        </w:rPr>
        <w:t>m</w:t>
      </w:r>
      <w:r>
        <w:rPr>
          <w:color w:val="0071BB"/>
        </w:rPr>
        <w:t>atki, ale nie wystarczy to, by zwolnić władze z obowiązku zapewnienia dzieciom ochrony. Były one przet</w:t>
      </w:r>
      <w:r w:rsidR="008D1BD0">
        <w:rPr>
          <w:color w:val="0071BB"/>
        </w:rPr>
        <w:t>rzymywane przez ponad miesiąc w </w:t>
      </w:r>
      <w:r>
        <w:rPr>
          <w:color w:val="0071BB"/>
        </w:rPr>
        <w:t xml:space="preserve">zamkniętym ośrodku, który nie był </w:t>
      </w:r>
      <w:r w:rsidR="007C6054">
        <w:rPr>
          <w:color w:val="0071BB"/>
        </w:rPr>
        <w:t xml:space="preserve">przeznaczony </w:t>
      </w:r>
      <w:r>
        <w:rPr>
          <w:color w:val="0071BB"/>
        </w:rPr>
        <w:t xml:space="preserve">do przyjmowania dzieci, co </w:t>
      </w:r>
      <w:r w:rsidR="007C6054">
        <w:rPr>
          <w:color w:val="0071BB"/>
        </w:rPr>
        <w:t xml:space="preserve">zostało potwierdzone </w:t>
      </w:r>
      <w:r>
        <w:rPr>
          <w:color w:val="0071BB"/>
        </w:rPr>
        <w:t>kilk</w:t>
      </w:r>
      <w:r w:rsidR="007C6054">
        <w:rPr>
          <w:color w:val="0071BB"/>
        </w:rPr>
        <w:t>oma</w:t>
      </w:r>
      <w:r>
        <w:rPr>
          <w:color w:val="0071BB"/>
        </w:rPr>
        <w:t xml:space="preserve"> sprawozda</w:t>
      </w:r>
      <w:r w:rsidR="007C6054">
        <w:rPr>
          <w:color w:val="0071BB"/>
        </w:rPr>
        <w:t>niami</w:t>
      </w:r>
      <w:r>
        <w:rPr>
          <w:color w:val="0071BB"/>
        </w:rPr>
        <w:t xml:space="preserve"> przytoczony</w:t>
      </w:r>
      <w:r w:rsidR="007C6054">
        <w:rPr>
          <w:color w:val="0071BB"/>
        </w:rPr>
        <w:t>mi</w:t>
      </w:r>
      <w:r>
        <w:rPr>
          <w:color w:val="0071BB"/>
        </w:rPr>
        <w:t xml:space="preserve"> przez Trybunał. Trybunał odnosił się również do obaw wyrażonych przez niezależnych lekarzy </w:t>
      </w:r>
      <w:r w:rsidR="002F208D">
        <w:rPr>
          <w:color w:val="0071BB"/>
        </w:rPr>
        <w:t>co do</w:t>
      </w:r>
      <w:r>
        <w:rPr>
          <w:color w:val="0071BB"/>
        </w:rPr>
        <w:t xml:space="preserve"> stanu zdrowia dzieci.</w:t>
      </w:r>
    </w:p>
    <w:p w14:paraId="579BBE29" w14:textId="77777777" w:rsidR="008D1215" w:rsidRDefault="008D1215" w:rsidP="00F006C6">
      <w:pPr>
        <w:pStyle w:val="Tekstpodstawowy"/>
        <w:shd w:val="pct5" w:color="auto" w:fill="auto"/>
        <w:ind w:right="975"/>
      </w:pPr>
    </w:p>
    <w:p w14:paraId="2CB6F14A" w14:textId="77777777" w:rsidR="00A64743" w:rsidRDefault="00711FD6" w:rsidP="008D1215">
      <w:pPr>
        <w:pStyle w:val="Nagwek2"/>
        <w:shd w:val="pct5" w:color="auto" w:fill="auto"/>
        <w:spacing w:before="0"/>
        <w:ind w:right="967"/>
        <w:rPr>
          <w:sz w:val="16"/>
        </w:rPr>
      </w:pPr>
      <w:hyperlink r:id="rId57">
        <w:proofErr w:type="spellStart"/>
        <w:r w:rsidR="001A3819">
          <w:rPr>
            <w:color w:val="0071BB"/>
            <w:u w:val="thick" w:color="0071BB"/>
          </w:rPr>
          <w:t>Rahimi</w:t>
        </w:r>
        <w:proofErr w:type="spellEnd"/>
        <w:r w:rsidR="001A3819">
          <w:rPr>
            <w:color w:val="0071BB"/>
            <w:u w:val="thick" w:color="0071BB"/>
          </w:rPr>
          <w:t xml:space="preserve"> przeciwko Grecji</w:t>
        </w:r>
      </w:hyperlink>
      <w:r w:rsidR="001A3819">
        <w:rPr>
          <w:color w:val="0071BB"/>
        </w:rPr>
        <w:t xml:space="preserve"> </w:t>
      </w:r>
      <w:r w:rsidR="001A3819">
        <w:rPr>
          <w:color w:val="808080"/>
          <w:sz w:val="16"/>
        </w:rPr>
        <w:t>(zobacz również poniżej „Kwestionowanie legalności pozbawienia wolności”)</w:t>
      </w:r>
    </w:p>
    <w:p w14:paraId="01536B72" w14:textId="77777777" w:rsidR="00A64743" w:rsidRDefault="001A3819" w:rsidP="00F006C6">
      <w:pPr>
        <w:shd w:val="pct5" w:color="auto" w:fill="auto"/>
        <w:spacing w:before="60" w:line="218" w:lineRule="exact"/>
        <w:ind w:left="880" w:right="967"/>
        <w:jc w:val="both"/>
        <w:rPr>
          <w:sz w:val="18"/>
        </w:rPr>
      </w:pPr>
      <w:r>
        <w:rPr>
          <w:color w:val="808080"/>
          <w:sz w:val="18"/>
        </w:rPr>
        <w:t>5 kwietnia 2011 r.</w:t>
      </w:r>
    </w:p>
    <w:p w14:paraId="784D936E" w14:textId="76923B07" w:rsidR="00A64743" w:rsidRDefault="001A3819" w:rsidP="00F006C6">
      <w:pPr>
        <w:pStyle w:val="Tekstpodstawowy"/>
        <w:shd w:val="pct5" w:color="auto" w:fill="auto"/>
        <w:ind w:right="967"/>
      </w:pPr>
      <w:r>
        <w:t xml:space="preserve">Sprawa dotyczyła w szczególności warunków, w których małoletni migrant z Afganistanu, który przekroczył nielegalnie granicę Grecji, był przetrzymywany w ośrodku detencyjnym w </w:t>
      </w:r>
      <w:proofErr w:type="spellStart"/>
      <w:r>
        <w:t>Pagani</w:t>
      </w:r>
      <w:proofErr w:type="spellEnd"/>
      <w:r>
        <w:t xml:space="preserve"> na wyspie Lesbos, a z którego został następnie </w:t>
      </w:r>
      <w:r w:rsidR="002F208D">
        <w:t xml:space="preserve">zwolniony </w:t>
      </w:r>
      <w:r>
        <w:t>w celu wydalenia z kraju.</w:t>
      </w:r>
    </w:p>
    <w:p w14:paraId="531DEACE" w14:textId="159100FC" w:rsidR="00A64743" w:rsidRDefault="001A3819" w:rsidP="00F006C6">
      <w:pPr>
        <w:pStyle w:val="Tekstpodstawowy"/>
        <w:shd w:val="pct5" w:color="auto" w:fill="auto"/>
        <w:ind w:right="976"/>
      </w:pPr>
      <w:r>
        <w:rPr>
          <w:color w:val="0071BB"/>
        </w:rPr>
        <w:t xml:space="preserve">Trybunał </w:t>
      </w:r>
      <w:r w:rsidR="002F208D">
        <w:rPr>
          <w:color w:val="0071BB"/>
        </w:rPr>
        <w:t>stwierdził, że</w:t>
      </w:r>
      <w:r>
        <w:rPr>
          <w:color w:val="0071BB"/>
        </w:rPr>
        <w:t xml:space="preserve"> doszło do </w:t>
      </w:r>
      <w:r>
        <w:rPr>
          <w:b/>
          <w:color w:val="0071BB"/>
        </w:rPr>
        <w:t>naruszenia art. 3</w:t>
      </w:r>
      <w:r>
        <w:rPr>
          <w:color w:val="0071BB"/>
        </w:rPr>
        <w:t xml:space="preserve"> Konwencji (zakaz nieludzkiego lub poniżającego traktowania) ze względu na warunki po</w:t>
      </w:r>
      <w:r w:rsidR="008D1BD0">
        <w:rPr>
          <w:color w:val="0071BB"/>
        </w:rPr>
        <w:t>zbawienia wolności skarżącego w </w:t>
      </w:r>
      <w:r>
        <w:rPr>
          <w:color w:val="0071BB"/>
        </w:rPr>
        <w:t xml:space="preserve">ośrodku detencyjnym </w:t>
      </w:r>
      <w:proofErr w:type="spellStart"/>
      <w:r>
        <w:rPr>
          <w:color w:val="0071BB"/>
        </w:rPr>
        <w:t>Pagani</w:t>
      </w:r>
      <w:proofErr w:type="spellEnd"/>
      <w:r>
        <w:rPr>
          <w:color w:val="0071BB"/>
        </w:rPr>
        <w:t xml:space="preserve">. Z uwagi na nieuwzględnienie indywidualnej sytuacji skarżącego </w:t>
      </w:r>
      <w:r w:rsidR="00FF112D">
        <w:rPr>
          <w:color w:val="0071BB"/>
        </w:rPr>
        <w:t xml:space="preserve">znajdującego się w szczególnie </w:t>
      </w:r>
      <w:r>
        <w:rPr>
          <w:color w:val="0071BB"/>
        </w:rPr>
        <w:t xml:space="preserve">trudnym położeniu, jak również uwłaczające godności ludzkiej warunki pozbawienia wolności w ośrodku </w:t>
      </w:r>
      <w:proofErr w:type="spellStart"/>
      <w:r>
        <w:rPr>
          <w:color w:val="0071BB"/>
        </w:rPr>
        <w:t>Pagani</w:t>
      </w:r>
      <w:proofErr w:type="spellEnd"/>
      <w:r>
        <w:rPr>
          <w:color w:val="0071BB"/>
        </w:rPr>
        <w:t>, Trybunał orzekł, że skarżący został poddany poniżającemu tratowaniu, pomimo iż pozbawienie wolności trwało jedynie dwa dni.</w:t>
      </w:r>
    </w:p>
    <w:p w14:paraId="3DC5D25A" w14:textId="77777777" w:rsidR="00A64743" w:rsidRDefault="001A3819" w:rsidP="00F006C6">
      <w:pPr>
        <w:pStyle w:val="Nagwek2"/>
        <w:shd w:val="pct5" w:color="auto" w:fill="auto"/>
        <w:spacing w:before="120"/>
        <w:ind w:right="967"/>
        <w:rPr>
          <w:u w:val="none"/>
        </w:rPr>
      </w:pPr>
      <w:proofErr w:type="spellStart"/>
      <w:r>
        <w:rPr>
          <w:color w:val="0071BB"/>
          <w:u w:val="thick" w:color="0071BB"/>
        </w:rPr>
        <w:lastRenderedPageBreak/>
        <w:t>Popov</w:t>
      </w:r>
      <w:proofErr w:type="spellEnd"/>
      <w:r>
        <w:rPr>
          <w:color w:val="0071BB"/>
          <w:u w:val="thick" w:color="0071BB"/>
        </w:rPr>
        <w:t xml:space="preserve"> przeciwko Francji</w:t>
      </w:r>
    </w:p>
    <w:p w14:paraId="6923A7A6" w14:textId="77777777" w:rsidR="00A64743" w:rsidRDefault="001A3819" w:rsidP="00F006C6">
      <w:pPr>
        <w:shd w:val="pct5" w:color="auto" w:fill="auto"/>
        <w:spacing w:before="60" w:line="218" w:lineRule="exact"/>
        <w:ind w:left="880" w:right="967"/>
        <w:jc w:val="both"/>
        <w:rPr>
          <w:sz w:val="18"/>
        </w:rPr>
      </w:pPr>
      <w:r>
        <w:rPr>
          <w:color w:val="808080"/>
          <w:sz w:val="18"/>
        </w:rPr>
        <w:t>19 stycznia 2012 r.</w:t>
      </w:r>
    </w:p>
    <w:p w14:paraId="17E38D28" w14:textId="2C97A619" w:rsidR="00A64743" w:rsidRDefault="001A3819" w:rsidP="00F006C6">
      <w:pPr>
        <w:pStyle w:val="Tekstpodstawowy"/>
        <w:shd w:val="pct5" w:color="auto" w:fill="auto"/>
        <w:ind w:right="974"/>
      </w:pPr>
      <w:r>
        <w:t>Skarżący, będący małżeństwem z Kazachstanu, któremu towarzyszyło dwoje dzieci, złożyli wniosek o azyl we Francji, ale ich wniosek od</w:t>
      </w:r>
      <w:r w:rsidR="008D1BD0">
        <w:t>rzucono, podobnie jak wnioski o </w:t>
      </w:r>
      <w:r>
        <w:t>zezwolenie na pobyt. W sierpniu 2007 r. skarżący i ich d</w:t>
      </w:r>
      <w:r w:rsidR="008D1BD0">
        <w:t>zieci, wówczas w wieku pięciu</w:t>
      </w:r>
      <w:r w:rsidR="0001177F">
        <w:t xml:space="preserve"> miesięcy</w:t>
      </w:r>
      <w:r w:rsidR="008D1BD0">
        <w:t xml:space="preserve"> i </w:t>
      </w:r>
      <w:r>
        <w:t>trzech lat, zostali zatrzymani w ich domu i zabrani</w:t>
      </w:r>
      <w:r w:rsidR="008D1BD0">
        <w:t xml:space="preserve"> </w:t>
      </w:r>
      <w:r w:rsidR="0001177F">
        <w:t>do policyjnej</w:t>
      </w:r>
      <w:r w:rsidR="008D1BD0">
        <w:t xml:space="preserve"> izb</w:t>
      </w:r>
      <w:r w:rsidR="0001177F">
        <w:t>y</w:t>
      </w:r>
      <w:r w:rsidR="008D1BD0">
        <w:t xml:space="preserve"> zatrzymań, a </w:t>
      </w:r>
      <w:r>
        <w:t xml:space="preserve">następnego dnia </w:t>
      </w:r>
      <w:r w:rsidR="0001177F">
        <w:t>przetransportowani na lotnisko</w:t>
      </w:r>
      <w:r>
        <w:t xml:space="preserve"> Charles-de-Gaulle w celu odesłania ich z powrotem do Kazachstanu. Lot </w:t>
      </w:r>
      <w:r w:rsidR="0001177F">
        <w:t>został odwołany</w:t>
      </w:r>
      <w:r>
        <w:t>, jednak skarżący i ich dzieci zostali zabrani do administracyjnego ośrodka detencyjnego Rouen-</w:t>
      </w:r>
      <w:proofErr w:type="spellStart"/>
      <w:r>
        <w:t>Oissel</w:t>
      </w:r>
      <w:proofErr w:type="spellEnd"/>
      <w:r>
        <w:t xml:space="preserve">, który </w:t>
      </w:r>
      <w:r w:rsidR="00972048">
        <w:t>był uprawniony do</w:t>
      </w:r>
      <w:r>
        <w:t xml:space="preserve"> przyjmowa</w:t>
      </w:r>
      <w:r w:rsidR="00972048">
        <w:t>nia</w:t>
      </w:r>
      <w:r>
        <w:t xml:space="preserve"> rodzin.</w:t>
      </w:r>
    </w:p>
    <w:p w14:paraId="0FAB090E" w14:textId="7FA89B44" w:rsidR="00A64743" w:rsidRDefault="001A3819" w:rsidP="004923E3">
      <w:pPr>
        <w:pStyle w:val="Tekstpodstawowy"/>
        <w:shd w:val="pct5" w:color="auto" w:fill="auto"/>
        <w:spacing w:before="1"/>
        <w:ind w:right="974"/>
        <w:rPr>
          <w:color w:val="0071BB"/>
        </w:rPr>
      </w:pPr>
      <w:r>
        <w:rPr>
          <w:color w:val="0071BB"/>
        </w:rPr>
        <w:t xml:space="preserve">Trybunał orzekł, że </w:t>
      </w:r>
      <w:r>
        <w:rPr>
          <w:b/>
          <w:bCs/>
          <w:color w:val="0071BB"/>
        </w:rPr>
        <w:t>doszło do</w:t>
      </w:r>
      <w:r>
        <w:rPr>
          <w:color w:val="0071BB"/>
        </w:rPr>
        <w:t xml:space="preserve"> </w:t>
      </w:r>
      <w:r>
        <w:rPr>
          <w:b/>
          <w:color w:val="0071BB"/>
        </w:rPr>
        <w:t xml:space="preserve">naruszenia art. 3 </w:t>
      </w:r>
      <w:r>
        <w:rPr>
          <w:color w:val="0071BB"/>
        </w:rPr>
        <w:t>Konwencji (zakaz nieludzkiego lub poniżającego traktowania) ze względu na warunki pozbawienia wolności dzieci. Chociaż rodziny były oddzielone od innych osób przebywających w ośrodku detencyjnym Rouen-</w:t>
      </w:r>
      <w:proofErr w:type="spellStart"/>
      <w:r>
        <w:rPr>
          <w:color w:val="0071BB"/>
        </w:rPr>
        <w:t>Oissel</w:t>
      </w:r>
      <w:proofErr w:type="spellEnd"/>
      <w:r>
        <w:rPr>
          <w:color w:val="0071BB"/>
        </w:rPr>
        <w:t xml:space="preserve">, jedynymi dostępnymi tam łóżkami były </w:t>
      </w:r>
      <w:r w:rsidR="00972048">
        <w:rPr>
          <w:color w:val="0071BB"/>
        </w:rPr>
        <w:t>łóżka z metalowymi stelażami</w:t>
      </w:r>
      <w:r>
        <w:rPr>
          <w:color w:val="0071BB"/>
        </w:rPr>
        <w:t xml:space="preserve"> dla dorosłych, które były niebezpieczne dla dzieci. Nie było tam również żadnych miejsc do zabawy ani zajęć dla dzieci, a automatyczne drzwi do pomieszczeń stanowiły dla nich zagrożenie. </w:t>
      </w:r>
      <w:hyperlink r:id="rId58">
        <w:r>
          <w:rPr>
            <w:color w:val="0071BB"/>
            <w:u w:val="single" w:color="0071BB"/>
          </w:rPr>
          <w:t>Komisarz Praw Człowieka</w:t>
        </w:r>
      </w:hyperlink>
      <w:r>
        <w:rPr>
          <w:color w:val="0071BB"/>
        </w:rPr>
        <w:t xml:space="preserve"> </w:t>
      </w:r>
      <w:hyperlink r:id="rId59">
        <w:r>
          <w:rPr>
            <w:color w:val="0071BB"/>
            <w:u w:val="single" w:color="0071BB"/>
          </w:rPr>
          <w:t>Rady Europy</w:t>
        </w:r>
      </w:hyperlink>
      <w:r>
        <w:rPr>
          <w:color w:val="0071BB"/>
        </w:rPr>
        <w:t xml:space="preserve"> oraz </w:t>
      </w:r>
      <w:hyperlink r:id="rId60">
        <w:r>
          <w:rPr>
            <w:color w:val="0071BB"/>
            <w:u w:val="single" w:color="0071BB"/>
          </w:rPr>
          <w:t>Europejski Komitet d</w:t>
        </w:r>
        <w:r w:rsidR="008D1BD0">
          <w:rPr>
            <w:color w:val="0071BB"/>
            <w:u w:val="single" w:color="0071BB"/>
          </w:rPr>
          <w:t>o spraw </w:t>
        </w:r>
        <w:r w:rsidR="00972048">
          <w:rPr>
            <w:color w:val="0071BB"/>
            <w:u w:val="single" w:color="0071BB"/>
          </w:rPr>
          <w:t>z</w:t>
        </w:r>
        <w:r w:rsidR="008D1BD0">
          <w:rPr>
            <w:color w:val="0071BB"/>
            <w:u w:val="single" w:color="0071BB"/>
          </w:rPr>
          <w:t xml:space="preserve">apobiegania </w:t>
        </w:r>
        <w:r w:rsidR="00972048">
          <w:rPr>
            <w:color w:val="0071BB"/>
            <w:u w:val="single" w:color="0071BB"/>
          </w:rPr>
          <w:t>t</w:t>
        </w:r>
        <w:r w:rsidR="008D1BD0">
          <w:rPr>
            <w:color w:val="0071BB"/>
            <w:u w:val="single" w:color="0071BB"/>
          </w:rPr>
          <w:t>orturom i </w:t>
        </w:r>
        <w:r w:rsidR="00972048">
          <w:rPr>
            <w:color w:val="0071BB"/>
            <w:u w:val="single" w:color="0071BB"/>
          </w:rPr>
          <w:t>n</w:t>
        </w:r>
        <w:r>
          <w:rPr>
            <w:color w:val="0071BB"/>
            <w:u w:val="single" w:color="0071BB"/>
          </w:rPr>
          <w:t>ieludzkiemu</w:t>
        </w:r>
      </w:hyperlink>
      <w:r>
        <w:rPr>
          <w:color w:val="0071BB"/>
        </w:rPr>
        <w:t xml:space="preserve"> </w:t>
      </w:r>
      <w:hyperlink r:id="rId61">
        <w:r>
          <w:rPr>
            <w:color w:val="0071BB"/>
            <w:u w:val="single" w:color="0071BB"/>
          </w:rPr>
          <w:t xml:space="preserve">lub </w:t>
        </w:r>
        <w:r w:rsidR="00972048">
          <w:rPr>
            <w:color w:val="0071BB"/>
            <w:u w:val="single" w:color="0071BB"/>
          </w:rPr>
          <w:t>p</w:t>
        </w:r>
        <w:r>
          <w:rPr>
            <w:color w:val="0071BB"/>
            <w:u w:val="single" w:color="0071BB"/>
          </w:rPr>
          <w:t xml:space="preserve">oniżającemu </w:t>
        </w:r>
        <w:r w:rsidR="00972048">
          <w:rPr>
            <w:color w:val="0071BB"/>
            <w:u w:val="single" w:color="0071BB"/>
          </w:rPr>
          <w:t>t</w:t>
        </w:r>
        <w:r>
          <w:rPr>
            <w:color w:val="0071BB"/>
            <w:u w:val="single" w:color="0071BB"/>
          </w:rPr>
          <w:t xml:space="preserve">raktowaniu lub </w:t>
        </w:r>
        <w:r w:rsidR="00972048">
          <w:rPr>
            <w:color w:val="0071BB"/>
            <w:u w:val="single" w:color="0071BB"/>
          </w:rPr>
          <w:t>k</w:t>
        </w:r>
        <w:r>
          <w:rPr>
            <w:color w:val="0071BB"/>
            <w:u w:val="single" w:color="0071BB"/>
          </w:rPr>
          <w:t>araniu</w:t>
        </w:r>
        <w:r>
          <w:rPr>
            <w:color w:val="0071BB"/>
          </w:rPr>
          <w:t xml:space="preserve"> (CPT)</w:t>
        </w:r>
      </w:hyperlink>
      <w:r>
        <w:rPr>
          <w:color w:val="0071BB"/>
        </w:rPr>
        <w:t xml:space="preserve"> zauważyli też, że stres, brak poczucia bezpieczeństwa i </w:t>
      </w:r>
      <w:r w:rsidR="00DF6D71">
        <w:rPr>
          <w:color w:val="0071BB"/>
        </w:rPr>
        <w:t xml:space="preserve">nieprzyjazna </w:t>
      </w:r>
      <w:r>
        <w:rPr>
          <w:color w:val="0071BB"/>
        </w:rPr>
        <w:t xml:space="preserve">atmosfera w tych ośrodkach była </w:t>
      </w:r>
      <w:r w:rsidR="00DF6D71">
        <w:rPr>
          <w:color w:val="0071BB"/>
        </w:rPr>
        <w:t xml:space="preserve">niedobra </w:t>
      </w:r>
      <w:r>
        <w:rPr>
          <w:color w:val="0071BB"/>
        </w:rPr>
        <w:t xml:space="preserve">dla małych dzieci, </w:t>
      </w:r>
      <w:r w:rsidR="00DF6D71">
        <w:rPr>
          <w:color w:val="0071BB"/>
        </w:rPr>
        <w:t>niezgodnie</w:t>
      </w:r>
      <w:r>
        <w:rPr>
          <w:color w:val="0071BB"/>
        </w:rPr>
        <w:t xml:space="preserve"> z międzynarodowymi zas</w:t>
      </w:r>
      <w:r w:rsidR="008D1BD0">
        <w:rPr>
          <w:color w:val="0071BB"/>
        </w:rPr>
        <w:t xml:space="preserve">adami ochrony dzieci, </w:t>
      </w:r>
      <w:r w:rsidR="00DF6D71">
        <w:rPr>
          <w:color w:val="0071BB"/>
        </w:rPr>
        <w:t>w myśl których</w:t>
      </w:r>
      <w:r>
        <w:rPr>
          <w:color w:val="0071BB"/>
        </w:rPr>
        <w:t xml:space="preserve"> władze muszą zrobić wszystko, co w ich mocy, aby uniknąć pozbawiania dzieci wolności na dłuższe okresy. Dwutygodniowy okres p</w:t>
      </w:r>
      <w:r w:rsidR="00D6797B">
        <w:rPr>
          <w:color w:val="0071BB"/>
        </w:rPr>
        <w:t>ozbawienia wolności, choć sam w </w:t>
      </w:r>
      <w:r>
        <w:rPr>
          <w:color w:val="0071BB"/>
        </w:rPr>
        <w:t xml:space="preserve">sobie nie jest nadmiernie długi, może wydawać się bardzo długim okresem dla dzieci przebywających w otoczeniu niedostosowanym do ich wieku. Warunki, w których dzieci skarżących zmuszone były przebywać wraz z rodzicami w </w:t>
      </w:r>
      <w:r w:rsidR="00DF6D71">
        <w:rPr>
          <w:color w:val="0071BB"/>
        </w:rPr>
        <w:t xml:space="preserve">sytuacji </w:t>
      </w:r>
      <w:r>
        <w:rPr>
          <w:color w:val="0071BB"/>
        </w:rPr>
        <w:t>szczególnie trudn</w:t>
      </w:r>
      <w:r w:rsidR="00DF6D71">
        <w:rPr>
          <w:color w:val="0071BB"/>
        </w:rPr>
        <w:t>ego</w:t>
      </w:r>
      <w:r>
        <w:rPr>
          <w:color w:val="0071BB"/>
        </w:rPr>
        <w:t xml:space="preserve"> położeni</w:t>
      </w:r>
      <w:r w:rsidR="00DF6D71">
        <w:rPr>
          <w:color w:val="0071BB"/>
        </w:rPr>
        <w:t>a</w:t>
      </w:r>
      <w:r>
        <w:rPr>
          <w:color w:val="0071BB"/>
        </w:rPr>
        <w:t xml:space="preserve">, który to stan </w:t>
      </w:r>
      <w:r w:rsidR="00DF6D71">
        <w:rPr>
          <w:color w:val="0071BB"/>
        </w:rPr>
        <w:t>pogłębiony został</w:t>
      </w:r>
      <w:r>
        <w:rPr>
          <w:color w:val="0071BB"/>
        </w:rPr>
        <w:t xml:space="preserve"> </w:t>
      </w:r>
      <w:r w:rsidR="00DF6D71">
        <w:rPr>
          <w:color w:val="0071BB"/>
        </w:rPr>
        <w:t>przez</w:t>
      </w:r>
      <w:r>
        <w:rPr>
          <w:color w:val="0071BB"/>
        </w:rPr>
        <w:t xml:space="preserve"> pozbawieni</w:t>
      </w:r>
      <w:r w:rsidR="00B7702A">
        <w:rPr>
          <w:color w:val="0071BB"/>
        </w:rPr>
        <w:t>e ich</w:t>
      </w:r>
      <w:r>
        <w:rPr>
          <w:color w:val="0071BB"/>
        </w:rPr>
        <w:t xml:space="preserve"> wol</w:t>
      </w:r>
      <w:r w:rsidR="000E6A68">
        <w:rPr>
          <w:color w:val="0071BB"/>
        </w:rPr>
        <w:t>ności, musiały powodować u </w:t>
      </w:r>
      <w:r>
        <w:rPr>
          <w:color w:val="0071BB"/>
        </w:rPr>
        <w:t xml:space="preserve">nich </w:t>
      </w:r>
      <w:r w:rsidR="00B7702A">
        <w:rPr>
          <w:color w:val="0071BB"/>
        </w:rPr>
        <w:t xml:space="preserve">cierpienie </w:t>
      </w:r>
      <w:r>
        <w:rPr>
          <w:color w:val="0071BB"/>
        </w:rPr>
        <w:t xml:space="preserve">i </w:t>
      </w:r>
      <w:r w:rsidR="00B7702A">
        <w:rPr>
          <w:color w:val="0071BB"/>
        </w:rPr>
        <w:t xml:space="preserve">poważne </w:t>
      </w:r>
      <w:r>
        <w:rPr>
          <w:color w:val="0071BB"/>
        </w:rPr>
        <w:t xml:space="preserve">konsekwencje </w:t>
      </w:r>
      <w:r w:rsidR="00B7702A">
        <w:rPr>
          <w:color w:val="0071BB"/>
        </w:rPr>
        <w:t>psychiczne</w:t>
      </w:r>
      <w:r>
        <w:rPr>
          <w:color w:val="0071BB"/>
        </w:rPr>
        <w:t xml:space="preserve">. </w:t>
      </w:r>
      <w:r w:rsidR="00B7702A">
        <w:rPr>
          <w:color w:val="0071BB"/>
        </w:rPr>
        <w:t>Nie miało natomiast miejsca</w:t>
      </w:r>
      <w:r>
        <w:rPr>
          <w:color w:val="0071BB"/>
        </w:rPr>
        <w:t xml:space="preserve"> </w:t>
      </w:r>
      <w:r>
        <w:rPr>
          <w:b/>
          <w:color w:val="0071BB"/>
        </w:rPr>
        <w:t>naruszeni</w:t>
      </w:r>
      <w:r w:rsidR="00B7702A">
        <w:rPr>
          <w:b/>
          <w:color w:val="0071BB"/>
        </w:rPr>
        <w:t>e</w:t>
      </w:r>
      <w:r>
        <w:rPr>
          <w:b/>
          <w:color w:val="0071BB"/>
        </w:rPr>
        <w:t xml:space="preserve"> art. 3 Konwencji</w:t>
      </w:r>
      <w:r w:rsidR="00906679">
        <w:rPr>
          <w:b/>
          <w:color w:val="0071BB"/>
        </w:rPr>
        <w:t xml:space="preserve"> </w:t>
      </w:r>
      <w:r w:rsidR="00906679" w:rsidRPr="004B7905">
        <w:rPr>
          <w:bCs/>
          <w:color w:val="0071BB"/>
        </w:rPr>
        <w:t>w zakresie dotyczącym rozważanych warunków pozbawienia wolności rodziców</w:t>
      </w:r>
      <w:r w:rsidRPr="0081737A">
        <w:rPr>
          <w:bCs/>
          <w:color w:val="0071BB"/>
        </w:rPr>
        <w:t>;</w:t>
      </w:r>
      <w:r>
        <w:rPr>
          <w:color w:val="0071BB"/>
        </w:rPr>
        <w:t xml:space="preserve"> fakt, </w:t>
      </w:r>
      <w:r w:rsidR="00184913">
        <w:rPr>
          <w:color w:val="0071BB"/>
        </w:rPr>
        <w:t xml:space="preserve">że </w:t>
      </w:r>
      <w:r>
        <w:rPr>
          <w:color w:val="0071BB"/>
        </w:rPr>
        <w:t xml:space="preserve">rodzice nie zostali oddzieleni od dzieci w trakcie pozbawienia wolności musiał łagodzić poczucie bezradności, </w:t>
      </w:r>
      <w:r w:rsidR="00184913">
        <w:rPr>
          <w:color w:val="0071BB"/>
        </w:rPr>
        <w:t xml:space="preserve">cierpienia </w:t>
      </w:r>
      <w:r>
        <w:rPr>
          <w:color w:val="0071BB"/>
        </w:rPr>
        <w:t>i frustracji</w:t>
      </w:r>
      <w:r w:rsidR="000E6A68">
        <w:rPr>
          <w:color w:val="0071BB"/>
        </w:rPr>
        <w:t xml:space="preserve">, jakie musiał </w:t>
      </w:r>
      <w:r w:rsidR="00184913">
        <w:rPr>
          <w:color w:val="0071BB"/>
        </w:rPr>
        <w:t xml:space="preserve">powodować </w:t>
      </w:r>
      <w:r w:rsidR="000E6A68">
        <w:rPr>
          <w:color w:val="0071BB"/>
        </w:rPr>
        <w:t>pobyt w </w:t>
      </w:r>
      <w:r>
        <w:rPr>
          <w:color w:val="0071BB"/>
        </w:rPr>
        <w:t>administracyjnym ośrodku detencyjnym.</w:t>
      </w:r>
    </w:p>
    <w:p w14:paraId="4CB58AE9" w14:textId="77777777" w:rsidR="008D1215" w:rsidRDefault="008D1215" w:rsidP="004923E3">
      <w:pPr>
        <w:pStyle w:val="Tekstpodstawowy"/>
        <w:shd w:val="pct5" w:color="auto" w:fill="auto"/>
        <w:spacing w:before="1"/>
        <w:ind w:right="974"/>
        <w:rPr>
          <w:color w:val="0071BB"/>
        </w:rPr>
      </w:pPr>
    </w:p>
    <w:p w14:paraId="229D5460" w14:textId="12986A8F" w:rsidR="00A64743" w:rsidRDefault="00711FD6" w:rsidP="008D1215">
      <w:pPr>
        <w:pStyle w:val="Nagwek2"/>
        <w:shd w:val="pct5" w:color="auto" w:fill="auto"/>
        <w:spacing w:before="0"/>
        <w:ind w:right="967"/>
        <w:rPr>
          <w:u w:val="none"/>
        </w:rPr>
      </w:pPr>
      <w:hyperlink r:id="rId62">
        <w:proofErr w:type="spellStart"/>
        <w:r w:rsidR="001A3819">
          <w:rPr>
            <w:color w:val="0071BB"/>
            <w:u w:val="thick" w:color="0071BB"/>
          </w:rPr>
          <w:t>Mahmundi</w:t>
        </w:r>
        <w:proofErr w:type="spellEnd"/>
        <w:r w:rsidR="001A3819">
          <w:rPr>
            <w:color w:val="0071BB"/>
            <w:u w:val="thick" w:color="0071BB"/>
          </w:rPr>
          <w:t xml:space="preserve"> i Inni przeciwko Grecji</w:t>
        </w:r>
      </w:hyperlink>
    </w:p>
    <w:p w14:paraId="08BAAB37" w14:textId="77777777" w:rsidR="00A64743" w:rsidRDefault="001A3819" w:rsidP="00F006C6">
      <w:pPr>
        <w:shd w:val="pct5" w:color="auto" w:fill="auto"/>
        <w:spacing w:before="63" w:line="218" w:lineRule="exact"/>
        <w:ind w:left="880" w:right="967"/>
        <w:jc w:val="both"/>
        <w:rPr>
          <w:sz w:val="18"/>
        </w:rPr>
      </w:pPr>
      <w:r>
        <w:rPr>
          <w:color w:val="808080"/>
          <w:sz w:val="18"/>
        </w:rPr>
        <w:t>31 lipca 2012 r.</w:t>
      </w:r>
    </w:p>
    <w:p w14:paraId="7C470344" w14:textId="77777777" w:rsidR="00A64743" w:rsidRDefault="001A3819" w:rsidP="00F006C6">
      <w:pPr>
        <w:pStyle w:val="Tekstpodstawowy"/>
        <w:shd w:val="pct5" w:color="auto" w:fill="auto"/>
        <w:ind w:right="967"/>
      </w:pPr>
      <w:r>
        <w:t xml:space="preserve">Sprawa dotyczyła pozbawienia wolności afgańskiej rodziny, w tym kobiety w ósmym miesiącu ciąży oraz czterech małoletnich, w ośrodku detencyjnym </w:t>
      </w:r>
      <w:proofErr w:type="spellStart"/>
      <w:r>
        <w:t>Pagani</w:t>
      </w:r>
      <w:proofErr w:type="spellEnd"/>
      <w:r>
        <w:t xml:space="preserve"> na wyspie Lesbos.</w:t>
      </w:r>
    </w:p>
    <w:p w14:paraId="4B5540F0" w14:textId="60FE6333" w:rsidR="00A64743" w:rsidRDefault="001A3819" w:rsidP="00F006C6">
      <w:pPr>
        <w:pStyle w:val="Tekstpodstawowy"/>
        <w:shd w:val="pct5" w:color="auto" w:fill="auto"/>
        <w:ind w:right="976"/>
        <w:rPr>
          <w:color w:val="0071BB"/>
        </w:rPr>
      </w:pPr>
      <w:r>
        <w:rPr>
          <w:color w:val="0071BB"/>
        </w:rPr>
        <w:t>Trybunał uznał, że warunki pozbawienia skarżących wolności stanow</w:t>
      </w:r>
      <w:r w:rsidR="00D446FC">
        <w:rPr>
          <w:color w:val="0071BB"/>
        </w:rPr>
        <w:t>iły nieludzkie i </w:t>
      </w:r>
      <w:r>
        <w:rPr>
          <w:color w:val="0071BB"/>
        </w:rPr>
        <w:t xml:space="preserve">poniżające traktowanie </w:t>
      </w:r>
      <w:r>
        <w:rPr>
          <w:b/>
          <w:color w:val="0071BB"/>
        </w:rPr>
        <w:t>stanowiące naruszenie art. 3</w:t>
      </w:r>
      <w:r>
        <w:rPr>
          <w:color w:val="0071BB"/>
        </w:rPr>
        <w:t xml:space="preserve"> Konwencji (zakaz nieludzkiego i poniżającego traktowania). Podkreślił w szczególności brak </w:t>
      </w:r>
      <w:r w:rsidR="00906679">
        <w:rPr>
          <w:color w:val="0071BB"/>
        </w:rPr>
        <w:t>szczególnej opieki</w:t>
      </w:r>
      <w:r>
        <w:rPr>
          <w:color w:val="0071BB"/>
        </w:rPr>
        <w:t xml:space="preserve"> nad skarżącymi pomimo ich szczególnego statusu jako małoletnich i kobiety w ciąży. Zauważył również, że organizacje pozarządowe odn</w:t>
      </w:r>
      <w:r w:rsidR="00D446FC">
        <w:rPr>
          <w:color w:val="0071BB"/>
        </w:rPr>
        <w:t>otowały brak poprawy sytuacji w </w:t>
      </w:r>
      <w:r>
        <w:rPr>
          <w:color w:val="0071BB"/>
        </w:rPr>
        <w:t xml:space="preserve">ośrodku </w:t>
      </w:r>
      <w:proofErr w:type="spellStart"/>
      <w:r>
        <w:rPr>
          <w:color w:val="0071BB"/>
        </w:rPr>
        <w:t>Pagani</w:t>
      </w:r>
      <w:proofErr w:type="spellEnd"/>
      <w:r>
        <w:rPr>
          <w:color w:val="0071BB"/>
        </w:rPr>
        <w:t xml:space="preserve"> pomimo</w:t>
      </w:r>
      <w:r w:rsidR="00906679">
        <w:rPr>
          <w:color w:val="0071BB"/>
        </w:rPr>
        <w:t xml:space="preserve"> ich</w:t>
      </w:r>
      <w:r>
        <w:rPr>
          <w:color w:val="0071BB"/>
        </w:rPr>
        <w:t xml:space="preserve"> alarmujących ustaleń dokonanych w przeszłości.</w:t>
      </w:r>
    </w:p>
    <w:p w14:paraId="6B9EFB76" w14:textId="77777777" w:rsidR="008D1215" w:rsidRDefault="008D1215" w:rsidP="00F006C6">
      <w:pPr>
        <w:pStyle w:val="Tekstpodstawowy"/>
        <w:shd w:val="pct5" w:color="auto" w:fill="auto"/>
        <w:ind w:right="976"/>
      </w:pPr>
    </w:p>
    <w:p w14:paraId="20A90D22" w14:textId="77777777" w:rsidR="00A64743" w:rsidRDefault="001A3819" w:rsidP="008D1215">
      <w:pPr>
        <w:pStyle w:val="Nagwek2"/>
        <w:shd w:val="pct5" w:color="auto" w:fill="auto"/>
        <w:spacing w:before="0"/>
        <w:ind w:right="967"/>
        <w:rPr>
          <w:u w:val="none"/>
        </w:rPr>
      </w:pPr>
      <w:r>
        <w:rPr>
          <w:color w:val="0071BB"/>
          <w:u w:val="thick" w:color="0071BB"/>
        </w:rPr>
        <w:t>Aden Ahmed przeciwko Malcie</w:t>
      </w:r>
    </w:p>
    <w:p w14:paraId="106991F1" w14:textId="77777777" w:rsidR="00A64743" w:rsidRDefault="001A3819" w:rsidP="00F006C6">
      <w:pPr>
        <w:shd w:val="pct5" w:color="auto" w:fill="auto"/>
        <w:spacing w:before="60" w:line="218" w:lineRule="exact"/>
        <w:ind w:left="880" w:right="967"/>
        <w:jc w:val="both"/>
        <w:rPr>
          <w:sz w:val="18"/>
        </w:rPr>
      </w:pPr>
      <w:r>
        <w:rPr>
          <w:color w:val="808080"/>
          <w:sz w:val="18"/>
        </w:rPr>
        <w:t>23 lipca 2013 r.</w:t>
      </w:r>
    </w:p>
    <w:p w14:paraId="3D10940E" w14:textId="51B715F0" w:rsidR="00A64743" w:rsidRDefault="001A3819" w:rsidP="00F006C6">
      <w:pPr>
        <w:pStyle w:val="Tekstpodstawowy"/>
        <w:shd w:val="pct5" w:color="auto" w:fill="auto"/>
        <w:ind w:right="967"/>
      </w:pPr>
      <w:r>
        <w:t xml:space="preserve">Sprawa dotyczyła obywatelki somalijskiej i pozbawienia jej wolności na Malcie po tym, jak w lutym 2009 r. przekroczyła łodzią granicę kraju, </w:t>
      </w:r>
      <w:r w:rsidR="009E4E18">
        <w:t>w celu ubiegania się o azyl</w:t>
      </w:r>
      <w:r>
        <w:t>.</w:t>
      </w:r>
    </w:p>
    <w:p w14:paraId="400CBE31" w14:textId="0A2348E9" w:rsidR="00A64743" w:rsidRDefault="001A3819" w:rsidP="00F006C6">
      <w:pPr>
        <w:pStyle w:val="Tekstpodstawowy"/>
        <w:shd w:val="pct5" w:color="auto" w:fill="auto"/>
        <w:ind w:right="974"/>
      </w:pPr>
      <w:r>
        <w:rPr>
          <w:color w:val="0071BB"/>
        </w:rPr>
        <w:t xml:space="preserve">Trybunał orzekł, że </w:t>
      </w:r>
      <w:r>
        <w:rPr>
          <w:b/>
          <w:color w:val="0071BB"/>
        </w:rPr>
        <w:t xml:space="preserve">doszło do naruszenia art. 3 </w:t>
      </w:r>
      <w:r>
        <w:rPr>
          <w:color w:val="0071BB"/>
        </w:rPr>
        <w:t>Konwencji (zakaz nieludzkiego lub poniżającego traktowania). Wyraził zaniepokojenie warunkami, w jakich skarżąca była przetrzymywana w ośrodku detencyjnym</w:t>
      </w:r>
      <w:r w:rsidR="009E4E18">
        <w:rPr>
          <w:color w:val="0071BB"/>
        </w:rPr>
        <w:t xml:space="preserve"> w</w:t>
      </w:r>
      <w:r>
        <w:rPr>
          <w:color w:val="0071BB"/>
        </w:rPr>
        <w:t xml:space="preserve"> </w:t>
      </w:r>
      <w:proofErr w:type="spellStart"/>
      <w:r>
        <w:rPr>
          <w:color w:val="0071BB"/>
        </w:rPr>
        <w:t>Lyster</w:t>
      </w:r>
      <w:proofErr w:type="spellEnd"/>
      <w:r>
        <w:rPr>
          <w:color w:val="0071BB"/>
        </w:rPr>
        <w:t xml:space="preserve"> </w:t>
      </w:r>
      <w:proofErr w:type="spellStart"/>
      <w:r>
        <w:rPr>
          <w:color w:val="0071BB"/>
        </w:rPr>
        <w:t>Barracks</w:t>
      </w:r>
      <w:proofErr w:type="spellEnd"/>
      <w:r>
        <w:rPr>
          <w:color w:val="0071BB"/>
        </w:rPr>
        <w:t xml:space="preserve">, szczególnie </w:t>
      </w:r>
      <w:r w:rsidR="009E4E18">
        <w:rPr>
          <w:color w:val="0071BB"/>
        </w:rPr>
        <w:t xml:space="preserve">możliwym </w:t>
      </w:r>
      <w:r>
        <w:rPr>
          <w:color w:val="0071BB"/>
        </w:rPr>
        <w:t xml:space="preserve">narażeniem </w:t>
      </w:r>
      <w:r w:rsidR="009E4E18">
        <w:rPr>
          <w:color w:val="0071BB"/>
        </w:rPr>
        <w:t xml:space="preserve">osadzonych </w:t>
      </w:r>
      <w:r>
        <w:rPr>
          <w:color w:val="0071BB"/>
        </w:rPr>
        <w:t xml:space="preserve">na zimno, brakiem żeńskiego personelu w ośrodku detencyjnym, całkowitym brakiem dostępu do świeżego powietrza i ćwiczeń przez okres do trzech miesięcy, nieodpowiednią dietą, jak również szczególnie trudnym położeniem skarżącej z uwagi na jej </w:t>
      </w:r>
      <w:r w:rsidR="00512E7A">
        <w:rPr>
          <w:color w:val="0071BB"/>
        </w:rPr>
        <w:t>słabe</w:t>
      </w:r>
      <w:r>
        <w:rPr>
          <w:color w:val="0071BB"/>
        </w:rPr>
        <w:t xml:space="preserve"> zdrowi</w:t>
      </w:r>
      <w:r w:rsidR="00512E7A">
        <w:rPr>
          <w:color w:val="0071BB"/>
        </w:rPr>
        <w:t>e</w:t>
      </w:r>
      <w:r>
        <w:rPr>
          <w:color w:val="0071BB"/>
        </w:rPr>
        <w:t xml:space="preserve"> i stan emocjonalny. W przeszłości poroniła ona w trakcie pozbawienia wolności, a ponadto została oddzielona od </w:t>
      </w:r>
      <w:r w:rsidR="00512E7A">
        <w:rPr>
          <w:color w:val="0071BB"/>
        </w:rPr>
        <w:t xml:space="preserve">jej </w:t>
      </w:r>
      <w:r>
        <w:rPr>
          <w:color w:val="0071BB"/>
        </w:rPr>
        <w:t xml:space="preserve">małego dziecka. </w:t>
      </w:r>
      <w:r w:rsidR="00512E7A">
        <w:rPr>
          <w:color w:val="0071BB"/>
        </w:rPr>
        <w:t>W</w:t>
      </w:r>
      <w:r>
        <w:rPr>
          <w:color w:val="0071BB"/>
        </w:rPr>
        <w:t>arunki te,</w:t>
      </w:r>
      <w:r w:rsidR="00512E7A">
        <w:rPr>
          <w:color w:val="0071BB"/>
        </w:rPr>
        <w:t xml:space="preserve"> </w:t>
      </w:r>
      <w:r w:rsidR="00512E7A">
        <w:rPr>
          <w:color w:val="0071BB"/>
        </w:rPr>
        <w:lastRenderedPageBreak/>
        <w:t>w których przebywała przez 14 i pół miesiąca jako pozbawiona wolności imigrantka, brane pod uwagę jako całość</w:t>
      </w:r>
      <w:r>
        <w:rPr>
          <w:color w:val="0071BB"/>
        </w:rPr>
        <w:t xml:space="preserve"> stanowiły poniżające traktowanie.</w:t>
      </w:r>
    </w:p>
    <w:p w14:paraId="43E9473A" w14:textId="77777777" w:rsidR="00A64743" w:rsidRDefault="001A3819" w:rsidP="00F006C6">
      <w:pPr>
        <w:shd w:val="pct5" w:color="auto" w:fill="auto"/>
        <w:spacing w:line="241" w:lineRule="exact"/>
        <w:ind w:left="880" w:right="967"/>
        <w:jc w:val="both"/>
        <w:rPr>
          <w:sz w:val="20"/>
        </w:rPr>
      </w:pPr>
      <w:r>
        <w:rPr>
          <w:i/>
          <w:iCs/>
          <w:color w:val="404040"/>
          <w:sz w:val="20"/>
        </w:rPr>
        <w:t>Zobacz również:</w:t>
      </w:r>
      <w:r>
        <w:rPr>
          <w:color w:val="404040"/>
          <w:sz w:val="20"/>
        </w:rPr>
        <w:t xml:space="preserve"> </w:t>
      </w:r>
      <w:hyperlink r:id="rId63">
        <w:proofErr w:type="spellStart"/>
        <w:r>
          <w:rPr>
            <w:b/>
            <w:i/>
            <w:color w:val="0071BB"/>
            <w:sz w:val="20"/>
            <w:u w:val="thick" w:color="0071BB"/>
          </w:rPr>
          <w:t>Abdi</w:t>
        </w:r>
        <w:proofErr w:type="spellEnd"/>
        <w:r>
          <w:rPr>
            <w:b/>
            <w:i/>
            <w:color w:val="0071BB"/>
            <w:sz w:val="20"/>
            <w:u w:val="thick" w:color="0071BB"/>
          </w:rPr>
          <w:t xml:space="preserve"> </w:t>
        </w:r>
        <w:proofErr w:type="spellStart"/>
        <w:r>
          <w:rPr>
            <w:b/>
            <w:i/>
            <w:color w:val="0071BB"/>
            <w:sz w:val="20"/>
            <w:u w:val="thick" w:color="0071BB"/>
          </w:rPr>
          <w:t>Mahamud</w:t>
        </w:r>
        <w:proofErr w:type="spellEnd"/>
        <w:r>
          <w:rPr>
            <w:b/>
            <w:i/>
            <w:color w:val="0071BB"/>
            <w:sz w:val="20"/>
            <w:u w:val="thick" w:color="0071BB"/>
          </w:rPr>
          <w:t xml:space="preserve"> przeciwko Malcie</w:t>
        </w:r>
      </w:hyperlink>
      <w:r>
        <w:rPr>
          <w:color w:val="404040"/>
          <w:sz w:val="20"/>
        </w:rPr>
        <w:t>, wyrok z dnia 3 maja 2016 r.</w:t>
      </w:r>
    </w:p>
    <w:p w14:paraId="675E4559" w14:textId="77777777" w:rsidR="00A64743" w:rsidRDefault="00711FD6" w:rsidP="00F006C6">
      <w:pPr>
        <w:pStyle w:val="Nagwek2"/>
        <w:shd w:val="pct5" w:color="auto" w:fill="auto"/>
        <w:spacing w:before="122"/>
        <w:ind w:right="967"/>
        <w:rPr>
          <w:u w:val="none"/>
        </w:rPr>
      </w:pPr>
      <w:hyperlink r:id="rId64">
        <w:proofErr w:type="spellStart"/>
        <w:r w:rsidR="001A3819">
          <w:rPr>
            <w:color w:val="0071BB"/>
            <w:u w:val="thick" w:color="0071BB"/>
          </w:rPr>
          <w:t>Asalya</w:t>
        </w:r>
        <w:proofErr w:type="spellEnd"/>
        <w:r w:rsidR="001A3819">
          <w:rPr>
            <w:color w:val="0071BB"/>
            <w:u w:val="thick" w:color="0071BB"/>
          </w:rPr>
          <w:t xml:space="preserve"> przeciwko Turcji</w:t>
        </w:r>
      </w:hyperlink>
    </w:p>
    <w:p w14:paraId="269759E6" w14:textId="77777777" w:rsidR="00A64743" w:rsidRDefault="001A3819" w:rsidP="00F006C6">
      <w:pPr>
        <w:shd w:val="pct5" w:color="auto" w:fill="auto"/>
        <w:spacing w:before="60" w:line="218" w:lineRule="exact"/>
        <w:ind w:left="880" w:right="967"/>
        <w:jc w:val="both"/>
        <w:rPr>
          <w:sz w:val="18"/>
        </w:rPr>
      </w:pPr>
      <w:r>
        <w:rPr>
          <w:color w:val="808080"/>
          <w:sz w:val="18"/>
        </w:rPr>
        <w:t>15 kwietnia 2014 r.</w:t>
      </w:r>
    </w:p>
    <w:p w14:paraId="17609BFB" w14:textId="5A6F9A55" w:rsidR="00A64743" w:rsidRDefault="001A3819" w:rsidP="00F006C6">
      <w:pPr>
        <w:pStyle w:val="Tekstpodstawowy"/>
        <w:shd w:val="pct5" w:color="auto" w:fill="auto"/>
        <w:ind w:right="967"/>
      </w:pPr>
      <w:r>
        <w:t xml:space="preserve">Skarżący, będący osobą sparaliżowaną i przykutą do </w:t>
      </w:r>
      <w:r w:rsidR="001257F8">
        <w:t>wózka inwalidzkiego</w:t>
      </w:r>
      <w:r>
        <w:t xml:space="preserve">, podnosił w swojej skardze </w:t>
      </w:r>
      <w:r w:rsidR="001257F8">
        <w:t>w szczególności</w:t>
      </w:r>
      <w:r>
        <w:t xml:space="preserve"> kwestię warunków pozbawienia </w:t>
      </w:r>
      <w:r w:rsidR="001257F8">
        <w:t xml:space="preserve">go </w:t>
      </w:r>
      <w:r>
        <w:t xml:space="preserve">wolności w Ośrodku dla Cudzoziemców </w:t>
      </w:r>
      <w:proofErr w:type="spellStart"/>
      <w:r>
        <w:t>Kumkapı</w:t>
      </w:r>
      <w:proofErr w:type="spellEnd"/>
      <w:r>
        <w:t xml:space="preserve"> (Turcja), gdzie przebywał w oczekiwaniu na deportację, przede wszystkim ze względu na nieodpowiednią infrastrukturę – brak wind i toalet przystosowanych do potrzeb osób</w:t>
      </w:r>
      <w:r w:rsidR="008B0A8F">
        <w:t xml:space="preserve"> takich</w:t>
      </w:r>
      <w:r>
        <w:t xml:space="preserve"> jak skarżący, poruszających się na wózku inwalidzkim.</w:t>
      </w:r>
    </w:p>
    <w:p w14:paraId="704CB456" w14:textId="14D28664" w:rsidR="00A64743" w:rsidRDefault="001A3819" w:rsidP="00F006C6">
      <w:pPr>
        <w:pStyle w:val="Tekstpodstawowy"/>
        <w:shd w:val="pct5" w:color="auto" w:fill="auto"/>
        <w:ind w:right="974"/>
        <w:rPr>
          <w:color w:val="0071BB"/>
        </w:rPr>
      </w:pPr>
      <w:r>
        <w:rPr>
          <w:color w:val="0071BB"/>
        </w:rPr>
        <w:t xml:space="preserve">Trybunał orzekł, iż doszło do </w:t>
      </w:r>
      <w:r>
        <w:rPr>
          <w:b/>
          <w:color w:val="0071BB"/>
        </w:rPr>
        <w:t>naruszenia art. 3</w:t>
      </w:r>
      <w:r>
        <w:rPr>
          <w:color w:val="0071BB"/>
        </w:rPr>
        <w:t xml:space="preserve"> Konwencji (zakaz nieludzkiego lub poniżającego traktowania) ze względu na warunki pozb</w:t>
      </w:r>
      <w:r w:rsidR="00660EBE">
        <w:rPr>
          <w:color w:val="0071BB"/>
        </w:rPr>
        <w:t>awienia skarżącego w wolności w </w:t>
      </w:r>
      <w:r>
        <w:rPr>
          <w:color w:val="0071BB"/>
        </w:rPr>
        <w:t xml:space="preserve">Ośrodku dla Cudzoziemców </w:t>
      </w:r>
      <w:proofErr w:type="spellStart"/>
      <w:r>
        <w:rPr>
          <w:color w:val="0071BB"/>
        </w:rPr>
        <w:t>Kumkapı</w:t>
      </w:r>
      <w:proofErr w:type="spellEnd"/>
      <w:r>
        <w:rPr>
          <w:color w:val="0071BB"/>
        </w:rPr>
        <w:t xml:space="preserve">. Zauważył w szczególności, że </w:t>
      </w:r>
      <w:r w:rsidR="008B0A8F">
        <w:rPr>
          <w:color w:val="0071BB"/>
        </w:rPr>
        <w:t xml:space="preserve">w sprawie </w:t>
      </w:r>
      <w:r>
        <w:rPr>
          <w:color w:val="0071BB"/>
        </w:rPr>
        <w:t xml:space="preserve">nie było dowodów </w:t>
      </w:r>
      <w:r w:rsidR="008B0A8F">
        <w:rPr>
          <w:color w:val="0071BB"/>
        </w:rPr>
        <w:t>faktycznego zamiaru</w:t>
      </w:r>
      <w:r>
        <w:rPr>
          <w:color w:val="0071BB"/>
        </w:rPr>
        <w:t xml:space="preserve"> upokorzenia lub poniżenia skarżącego. Tym niemniej uznał, że pozbawienie skarżącego wolności w warunkach, które nie zapewniały minimalnych standardów cywilizowanego życia, jak </w:t>
      </w:r>
      <w:r w:rsidR="004814A2">
        <w:rPr>
          <w:color w:val="0071BB"/>
        </w:rPr>
        <w:t xml:space="preserve">spanie </w:t>
      </w:r>
      <w:r>
        <w:rPr>
          <w:color w:val="0071BB"/>
        </w:rPr>
        <w:t>na ł</w:t>
      </w:r>
      <w:r w:rsidR="00660EBE">
        <w:rPr>
          <w:color w:val="0071BB"/>
        </w:rPr>
        <w:t>óżku i możliwość skorzystania z </w:t>
      </w:r>
      <w:r>
        <w:rPr>
          <w:color w:val="0071BB"/>
        </w:rPr>
        <w:t xml:space="preserve">toalety stosownie do potrzeb bez konieczności polegania na pomocy osób obcych, uwłaczało jego ludzkiej godności i </w:t>
      </w:r>
      <w:r w:rsidR="004814A2">
        <w:rPr>
          <w:color w:val="0071BB"/>
        </w:rPr>
        <w:t>nasilało cierpienie psychiczne</w:t>
      </w:r>
      <w:r>
        <w:rPr>
          <w:color w:val="0071BB"/>
        </w:rPr>
        <w:t xml:space="preserve"> </w:t>
      </w:r>
      <w:r w:rsidR="004814A2">
        <w:rPr>
          <w:color w:val="0071BB"/>
        </w:rPr>
        <w:t xml:space="preserve">spowodowane </w:t>
      </w:r>
      <w:r w:rsidR="00AB38B4">
        <w:rPr>
          <w:color w:val="0071BB"/>
        </w:rPr>
        <w:t xml:space="preserve">arbitralnym charakterem jego </w:t>
      </w:r>
      <w:r>
        <w:rPr>
          <w:color w:val="0071BB"/>
        </w:rPr>
        <w:t xml:space="preserve">pozbawienia wolności, nawet jeżeli trwało </w:t>
      </w:r>
      <w:r w:rsidR="00AB38B4">
        <w:rPr>
          <w:color w:val="0071BB"/>
        </w:rPr>
        <w:t xml:space="preserve">ono </w:t>
      </w:r>
      <w:r>
        <w:rPr>
          <w:color w:val="0071BB"/>
        </w:rPr>
        <w:t>stosunkowo krótko. W tych okolicznościach Trybunał orzekł, że skarżący został poddany poniżającemu traktowaniu.</w:t>
      </w:r>
    </w:p>
    <w:p w14:paraId="4D21D082" w14:textId="77777777" w:rsidR="008D1215" w:rsidRDefault="008D1215" w:rsidP="00F006C6">
      <w:pPr>
        <w:pStyle w:val="Tekstpodstawowy"/>
        <w:shd w:val="pct5" w:color="auto" w:fill="auto"/>
        <w:ind w:right="974"/>
      </w:pPr>
    </w:p>
    <w:p w14:paraId="49AF445F" w14:textId="77777777" w:rsidR="00A64743" w:rsidRDefault="00711FD6" w:rsidP="008D1215">
      <w:pPr>
        <w:pStyle w:val="Nagwek2"/>
        <w:shd w:val="pct5" w:color="auto" w:fill="auto"/>
        <w:spacing w:before="0"/>
        <w:ind w:right="967"/>
        <w:rPr>
          <w:u w:val="none"/>
        </w:rPr>
      </w:pPr>
      <w:hyperlink r:id="rId65">
        <w:proofErr w:type="spellStart"/>
        <w:r w:rsidR="001A3819">
          <w:rPr>
            <w:color w:val="0071BB"/>
            <w:u w:val="thick" w:color="0071BB"/>
          </w:rPr>
          <w:t>Mohamad</w:t>
        </w:r>
        <w:proofErr w:type="spellEnd"/>
        <w:r w:rsidR="001A3819">
          <w:rPr>
            <w:color w:val="0071BB"/>
            <w:u w:val="thick" w:color="0071BB"/>
          </w:rPr>
          <w:t xml:space="preserve"> przeciwko Grecji</w:t>
        </w:r>
      </w:hyperlink>
    </w:p>
    <w:p w14:paraId="63DED789" w14:textId="77777777" w:rsidR="00A64743" w:rsidRDefault="001A3819" w:rsidP="00F006C6">
      <w:pPr>
        <w:shd w:val="pct5" w:color="auto" w:fill="auto"/>
        <w:spacing w:before="62" w:line="218" w:lineRule="exact"/>
        <w:ind w:left="880" w:right="967"/>
        <w:jc w:val="both"/>
        <w:rPr>
          <w:sz w:val="18"/>
        </w:rPr>
      </w:pPr>
      <w:r>
        <w:rPr>
          <w:color w:val="808080"/>
          <w:sz w:val="18"/>
        </w:rPr>
        <w:t>11 grudnia 2014 r.</w:t>
      </w:r>
    </w:p>
    <w:p w14:paraId="76FF999A" w14:textId="68D52178" w:rsidR="00A64743" w:rsidRDefault="001A3819" w:rsidP="00F006C6">
      <w:pPr>
        <w:pStyle w:val="Tekstpodstawowy"/>
        <w:shd w:val="pct5" w:color="auto" w:fill="auto"/>
        <w:ind w:right="967"/>
      </w:pPr>
      <w:r>
        <w:t xml:space="preserve">Sprawa dotyczyła warunków i legalności przetrzymywania skarżącego, </w:t>
      </w:r>
      <w:r w:rsidR="00677EB2">
        <w:t xml:space="preserve">który w chwili zatrzymania na posterunku granicznym </w:t>
      </w:r>
      <w:proofErr w:type="spellStart"/>
      <w:r w:rsidR="00677EB2">
        <w:t>Soufli</w:t>
      </w:r>
      <w:proofErr w:type="spellEnd"/>
      <w:r w:rsidR="00677EB2">
        <w:t>, w toku procedury deportacji, był</w:t>
      </w:r>
      <w:r>
        <w:t xml:space="preserve"> małoletni</w:t>
      </w:r>
      <w:r w:rsidR="00677EB2">
        <w:t>m</w:t>
      </w:r>
      <w:r>
        <w:t xml:space="preserve"> bez opieki</w:t>
      </w:r>
      <w:r w:rsidR="00677EB2">
        <w:t>.</w:t>
      </w:r>
      <w:r>
        <w:t xml:space="preserve"> </w:t>
      </w:r>
    </w:p>
    <w:p w14:paraId="4378A8FD" w14:textId="58753838" w:rsidR="00A64743" w:rsidRDefault="001A3819" w:rsidP="00F006C6">
      <w:pPr>
        <w:shd w:val="pct5" w:color="auto" w:fill="auto"/>
        <w:ind w:left="880" w:right="976"/>
        <w:jc w:val="both"/>
        <w:rPr>
          <w:color w:val="0071BB"/>
          <w:sz w:val="20"/>
          <w:szCs w:val="20"/>
        </w:rPr>
      </w:pPr>
      <w:r w:rsidRPr="00F006C6">
        <w:rPr>
          <w:color w:val="0071BB"/>
          <w:sz w:val="20"/>
          <w:szCs w:val="20"/>
        </w:rPr>
        <w:t xml:space="preserve">Trybunał orzekł, że doszło do </w:t>
      </w:r>
      <w:r w:rsidRPr="00F006C6">
        <w:rPr>
          <w:b/>
          <w:bCs/>
          <w:color w:val="0071BB"/>
          <w:sz w:val="20"/>
          <w:szCs w:val="20"/>
        </w:rPr>
        <w:t xml:space="preserve">naruszenia art. 3 </w:t>
      </w:r>
      <w:r w:rsidRPr="00F006C6">
        <w:rPr>
          <w:color w:val="0071BB"/>
          <w:sz w:val="20"/>
          <w:szCs w:val="20"/>
        </w:rPr>
        <w:t xml:space="preserve">Konwencji (zakaz nieludzkiego lub poniżającego traktowania) ze względu na warunki pozbawienia skarżącego wolności na posterunku granicznym </w:t>
      </w:r>
      <w:proofErr w:type="spellStart"/>
      <w:r w:rsidRPr="00F006C6">
        <w:rPr>
          <w:color w:val="0071BB"/>
          <w:sz w:val="20"/>
          <w:szCs w:val="20"/>
        </w:rPr>
        <w:t>Soufli</w:t>
      </w:r>
      <w:proofErr w:type="spellEnd"/>
      <w:r w:rsidRPr="00F006C6">
        <w:rPr>
          <w:color w:val="0071BB"/>
          <w:sz w:val="20"/>
          <w:szCs w:val="20"/>
        </w:rPr>
        <w:t xml:space="preserve"> oraz do </w:t>
      </w:r>
      <w:r w:rsidRPr="00F006C6">
        <w:rPr>
          <w:b/>
          <w:bCs/>
          <w:color w:val="0071BB"/>
          <w:sz w:val="20"/>
          <w:szCs w:val="20"/>
        </w:rPr>
        <w:t xml:space="preserve">naruszenia art. 13 </w:t>
      </w:r>
      <w:r w:rsidRPr="00F006C6">
        <w:rPr>
          <w:color w:val="0071BB"/>
          <w:sz w:val="20"/>
          <w:szCs w:val="20"/>
        </w:rPr>
        <w:t>Konwencji (</w:t>
      </w:r>
      <w:r w:rsidR="00677EB2" w:rsidRPr="00F006C6">
        <w:rPr>
          <w:color w:val="0071BB"/>
          <w:sz w:val="20"/>
          <w:szCs w:val="20"/>
        </w:rPr>
        <w:t xml:space="preserve">prawo do </w:t>
      </w:r>
      <w:r w:rsidRPr="00F006C6">
        <w:rPr>
          <w:color w:val="0071BB"/>
          <w:sz w:val="20"/>
          <w:szCs w:val="20"/>
        </w:rPr>
        <w:t xml:space="preserve">skutecznego środka odwoławczego) </w:t>
      </w:r>
      <w:r w:rsidRPr="00F006C6">
        <w:rPr>
          <w:b/>
          <w:bCs/>
          <w:color w:val="0071BB"/>
          <w:sz w:val="20"/>
          <w:szCs w:val="20"/>
        </w:rPr>
        <w:t xml:space="preserve">w związku z art. 3 </w:t>
      </w:r>
      <w:r w:rsidRPr="00F006C6">
        <w:rPr>
          <w:color w:val="0071BB"/>
          <w:sz w:val="20"/>
          <w:szCs w:val="20"/>
        </w:rPr>
        <w:t>ze względu na brak</w:t>
      </w:r>
      <w:r w:rsidR="00D446FC" w:rsidRPr="00F006C6">
        <w:rPr>
          <w:color w:val="0071BB"/>
          <w:sz w:val="20"/>
          <w:szCs w:val="20"/>
        </w:rPr>
        <w:t xml:space="preserve"> środk</w:t>
      </w:r>
      <w:r w:rsidR="00F006C6" w:rsidRPr="00F006C6">
        <w:rPr>
          <w:color w:val="0071BB"/>
          <w:sz w:val="20"/>
          <w:szCs w:val="20"/>
        </w:rPr>
        <w:t xml:space="preserve">a </w:t>
      </w:r>
      <w:r w:rsidRPr="00F006C6">
        <w:rPr>
          <w:color w:val="0071BB"/>
          <w:sz w:val="20"/>
          <w:szCs w:val="20"/>
        </w:rPr>
        <w:t>odwoławczego, który umożliwiałby wniesienie skargi na warunki pozbawienia wolności. Trybunał orzekł</w:t>
      </w:r>
      <w:r w:rsidR="00677EB2" w:rsidRPr="00F006C6">
        <w:rPr>
          <w:color w:val="0071BB"/>
          <w:sz w:val="20"/>
          <w:szCs w:val="20"/>
        </w:rPr>
        <w:t xml:space="preserve"> także</w:t>
      </w:r>
      <w:r w:rsidRPr="00F006C6">
        <w:rPr>
          <w:color w:val="0071BB"/>
          <w:sz w:val="20"/>
          <w:szCs w:val="20"/>
        </w:rPr>
        <w:t xml:space="preserve">, że w przedmiotowej sprawie </w:t>
      </w:r>
      <w:r w:rsidRPr="00F006C6">
        <w:rPr>
          <w:b/>
          <w:bCs/>
          <w:color w:val="0071BB"/>
          <w:sz w:val="20"/>
          <w:szCs w:val="20"/>
        </w:rPr>
        <w:t>doszło do naruszenia art. 5 ust. 1</w:t>
      </w:r>
      <w:r w:rsidRPr="00F006C6">
        <w:rPr>
          <w:color w:val="0071BB"/>
          <w:sz w:val="20"/>
          <w:szCs w:val="20"/>
        </w:rPr>
        <w:t xml:space="preserve"> Konwencji (prawo do wolności i bezpieczeństwa osobistego) zauważając, że skarżący </w:t>
      </w:r>
      <w:r w:rsidR="00677EB2" w:rsidRPr="00F006C6">
        <w:rPr>
          <w:color w:val="0071BB"/>
          <w:sz w:val="20"/>
          <w:szCs w:val="20"/>
        </w:rPr>
        <w:t>z</w:t>
      </w:r>
      <w:r w:rsidRPr="00F006C6">
        <w:rPr>
          <w:color w:val="0071BB"/>
          <w:sz w:val="20"/>
          <w:szCs w:val="20"/>
        </w:rPr>
        <w:t xml:space="preserve">ostał zatrzymany i pozbawiony wolności </w:t>
      </w:r>
      <w:r w:rsidR="00A63805" w:rsidRPr="00F006C6">
        <w:rPr>
          <w:color w:val="0071BB"/>
          <w:sz w:val="20"/>
          <w:szCs w:val="20"/>
        </w:rPr>
        <w:t>bez uwzględnienia jego</w:t>
      </w:r>
      <w:r w:rsidRPr="00F006C6">
        <w:rPr>
          <w:color w:val="0071BB"/>
          <w:sz w:val="20"/>
          <w:szCs w:val="20"/>
        </w:rPr>
        <w:t xml:space="preserve"> statusu małoletniego bez opieki, jak również że z chwilą, gdy osiągnął pełnoletniość, organy wydłużyły czas pozbawienia wolności bez podejmowania</w:t>
      </w:r>
      <w:r w:rsidR="00A63805" w:rsidRPr="00F006C6">
        <w:rPr>
          <w:color w:val="0071BB"/>
          <w:sz w:val="20"/>
          <w:szCs w:val="20"/>
        </w:rPr>
        <w:t xml:space="preserve"> jakichkolwiek</w:t>
      </w:r>
      <w:r w:rsidRPr="00F006C6">
        <w:rPr>
          <w:color w:val="0071BB"/>
          <w:sz w:val="20"/>
          <w:szCs w:val="20"/>
        </w:rPr>
        <w:t xml:space="preserve"> kroków zmierzających do jego wydalenia.</w:t>
      </w:r>
    </w:p>
    <w:p w14:paraId="2548E1C5" w14:textId="77777777" w:rsidR="008D1215" w:rsidRPr="00F006C6" w:rsidRDefault="008D1215" w:rsidP="00F006C6">
      <w:pPr>
        <w:shd w:val="pct5" w:color="auto" w:fill="auto"/>
        <w:ind w:left="880" w:right="976"/>
        <w:jc w:val="both"/>
        <w:rPr>
          <w:sz w:val="20"/>
          <w:szCs w:val="20"/>
        </w:rPr>
      </w:pPr>
    </w:p>
    <w:p w14:paraId="06F7CBC1" w14:textId="77777777" w:rsidR="00A64743" w:rsidRDefault="00711FD6" w:rsidP="008D1215">
      <w:pPr>
        <w:pStyle w:val="Nagwek2"/>
        <w:shd w:val="pct5" w:color="auto" w:fill="auto"/>
        <w:spacing w:before="0"/>
        <w:ind w:right="967"/>
        <w:rPr>
          <w:u w:val="none"/>
        </w:rPr>
      </w:pPr>
      <w:hyperlink r:id="rId66">
        <w:r w:rsidR="001A3819">
          <w:rPr>
            <w:color w:val="0071BB"/>
            <w:u w:val="thick" w:color="0071BB"/>
          </w:rPr>
          <w:t>A.B. i Inni przeciwko Francji (skarga nr 11593/12)</w:t>
        </w:r>
      </w:hyperlink>
    </w:p>
    <w:p w14:paraId="6B50566B" w14:textId="77777777" w:rsidR="00A64743" w:rsidRDefault="001A3819" w:rsidP="00F006C6">
      <w:pPr>
        <w:shd w:val="pct5" w:color="auto" w:fill="auto"/>
        <w:spacing w:before="60" w:line="218" w:lineRule="exact"/>
        <w:ind w:left="880" w:right="967"/>
        <w:jc w:val="both"/>
        <w:rPr>
          <w:sz w:val="18"/>
        </w:rPr>
      </w:pPr>
      <w:r>
        <w:rPr>
          <w:color w:val="808080"/>
          <w:sz w:val="18"/>
        </w:rPr>
        <w:t>12 lipca 2016 r.</w:t>
      </w:r>
    </w:p>
    <w:p w14:paraId="041046A1" w14:textId="3E2128D4" w:rsidR="00A64743" w:rsidRDefault="001A3819" w:rsidP="00F006C6">
      <w:pPr>
        <w:pStyle w:val="Tekstpodstawowy"/>
        <w:shd w:val="pct5" w:color="auto" w:fill="auto"/>
        <w:ind w:right="967"/>
      </w:pPr>
      <w:r>
        <w:t xml:space="preserve">Sprawa dotyczyła przede wszystkim administracyjnego pozbawienia wolności </w:t>
      </w:r>
      <w:r w:rsidR="0086269B">
        <w:t xml:space="preserve">małoletniego </w:t>
      </w:r>
      <w:r>
        <w:t xml:space="preserve">przez okres osiemnastu dni w </w:t>
      </w:r>
      <w:r w:rsidR="0086269B">
        <w:t xml:space="preserve">związku z </w:t>
      </w:r>
      <w:r>
        <w:t>procedur</w:t>
      </w:r>
      <w:r w:rsidR="0086269B">
        <w:t>ą</w:t>
      </w:r>
      <w:r>
        <w:t xml:space="preserve"> deportacji </w:t>
      </w:r>
      <w:r w:rsidR="0086269B">
        <w:t xml:space="preserve">jego </w:t>
      </w:r>
      <w:r>
        <w:t>rodziców.</w:t>
      </w:r>
    </w:p>
    <w:p w14:paraId="7F72366C" w14:textId="3A89392D" w:rsidR="00A64743" w:rsidRDefault="001A3819" w:rsidP="008D1215">
      <w:pPr>
        <w:pStyle w:val="Tekstpodstawowy"/>
        <w:shd w:val="pct5" w:color="auto" w:fill="auto"/>
        <w:spacing w:before="120"/>
        <w:ind w:right="972"/>
      </w:pPr>
      <w:r>
        <w:rPr>
          <w:color w:val="0071BB"/>
        </w:rPr>
        <w:t xml:space="preserve">Trybunał orzekł, że doszło do </w:t>
      </w:r>
      <w:r>
        <w:rPr>
          <w:b/>
          <w:bCs/>
          <w:color w:val="0071BB"/>
        </w:rPr>
        <w:t>naruszenia art. 3 Konwencji</w:t>
      </w:r>
      <w:r>
        <w:rPr>
          <w:color w:val="0071BB"/>
        </w:rPr>
        <w:t xml:space="preserve"> (zakaz nieludzkiego lub poniżającego traktowania) wobec dziecka skarżąc</w:t>
      </w:r>
      <w:r w:rsidR="00B70487">
        <w:rPr>
          <w:color w:val="0071BB"/>
        </w:rPr>
        <w:t>ych</w:t>
      </w:r>
      <w:r>
        <w:rPr>
          <w:color w:val="0071BB"/>
        </w:rPr>
        <w:t xml:space="preserve"> uznając</w:t>
      </w:r>
      <w:r w:rsidR="00B70487">
        <w:rPr>
          <w:color w:val="0071BB"/>
        </w:rPr>
        <w:t>,</w:t>
      </w:r>
      <w:r>
        <w:rPr>
          <w:color w:val="0071BB"/>
        </w:rPr>
        <w:t xml:space="preserve"> że z uwagi na wiek dziecka oraz czas trwania i warunki pozbawienia wolności w administracyjnym ośrodku detencyjnym, władze naraziły dziecko na traktowanie</w:t>
      </w:r>
      <w:r w:rsidR="00B70487">
        <w:rPr>
          <w:color w:val="0071BB"/>
        </w:rPr>
        <w:t>, które przekroczyło stopień dolegliwości</w:t>
      </w:r>
      <w:r>
        <w:rPr>
          <w:color w:val="0071BB"/>
        </w:rPr>
        <w:t xml:space="preserve"> wymagan</w:t>
      </w:r>
      <w:r w:rsidR="00B70487">
        <w:rPr>
          <w:color w:val="0071BB"/>
        </w:rPr>
        <w:t>y</w:t>
      </w:r>
      <w:r>
        <w:rPr>
          <w:color w:val="0071BB"/>
        </w:rPr>
        <w:t xml:space="preserve"> art. 3. Trybunał zauważył w szczególności, że choć </w:t>
      </w:r>
      <w:r w:rsidR="00B70487">
        <w:rPr>
          <w:color w:val="0071BB"/>
        </w:rPr>
        <w:t xml:space="preserve">to </w:t>
      </w:r>
      <w:r>
        <w:rPr>
          <w:color w:val="0071BB"/>
        </w:rPr>
        <w:t xml:space="preserve">wobec rodziców zastosowano środek w postaci administracyjnego pozbawienia wolności, dzieci doznały faktycznego pozbawienia wolności. Uznał, że takie pozbawienie wolności, które wynikało z uprawnionej decyzji rodziców, by nie powierzać dzieci innej osobie, nie było – co do zasady – sprzeczne z przepisami krajowymi. Trybunał orzekł jednak, że obecność w administracyjnym ośrodku detencyjnym dziecka towarzyszącego rodzicom jest zgodna z Konwencją tylko wówczas, jeżeli krajowe władze ustaliły, że na taki ostateczny środek </w:t>
      </w:r>
      <w:r>
        <w:rPr>
          <w:color w:val="0071BB"/>
        </w:rPr>
        <w:lastRenderedPageBreak/>
        <w:t>zdecydowano się dopiero po zweryfikowaniu</w:t>
      </w:r>
      <w:r w:rsidR="006B0A95">
        <w:rPr>
          <w:color w:val="0071BB"/>
        </w:rPr>
        <w:t>,</w:t>
      </w:r>
      <w:r>
        <w:rPr>
          <w:color w:val="0071BB"/>
        </w:rPr>
        <w:t xml:space="preserve"> w konkretnych okolicznościach, że </w:t>
      </w:r>
      <w:r w:rsidR="006B0A95">
        <w:rPr>
          <w:color w:val="0071BB"/>
        </w:rPr>
        <w:t>żaden inny</w:t>
      </w:r>
      <w:r>
        <w:rPr>
          <w:color w:val="0071BB"/>
        </w:rPr>
        <w:t xml:space="preserve">, mniej </w:t>
      </w:r>
      <w:r w:rsidR="006B0A95">
        <w:rPr>
          <w:color w:val="0071BB"/>
        </w:rPr>
        <w:t>restrykcyjny środek, nie może zostać zastosowany</w:t>
      </w:r>
      <w:r>
        <w:rPr>
          <w:color w:val="0071BB"/>
        </w:rPr>
        <w:t xml:space="preserve">. Wreszcie Trybunał zauważył, że władze nie podjęły wszystkich </w:t>
      </w:r>
      <w:r w:rsidR="006B0A95">
        <w:rPr>
          <w:color w:val="0071BB"/>
        </w:rPr>
        <w:t xml:space="preserve">koniecznych </w:t>
      </w:r>
      <w:r>
        <w:rPr>
          <w:color w:val="0071BB"/>
        </w:rPr>
        <w:t>kroków</w:t>
      </w:r>
      <w:r w:rsidR="006B0A95">
        <w:rPr>
          <w:color w:val="0071BB"/>
        </w:rPr>
        <w:t>, by</w:t>
      </w:r>
      <w:r>
        <w:rPr>
          <w:color w:val="0071BB"/>
        </w:rPr>
        <w:t xml:space="preserve"> przeprowadz</w:t>
      </w:r>
      <w:r w:rsidR="006B0A95">
        <w:rPr>
          <w:color w:val="0071BB"/>
        </w:rPr>
        <w:t>ić</w:t>
      </w:r>
      <w:r>
        <w:rPr>
          <w:color w:val="0071BB"/>
        </w:rPr>
        <w:t xml:space="preserve"> </w:t>
      </w:r>
      <w:r w:rsidR="006B0A95">
        <w:rPr>
          <w:color w:val="0071BB"/>
        </w:rPr>
        <w:t xml:space="preserve">procedurę </w:t>
      </w:r>
      <w:r>
        <w:rPr>
          <w:color w:val="0071BB"/>
        </w:rPr>
        <w:t xml:space="preserve">wydalenia </w:t>
      </w:r>
      <w:r w:rsidR="006B0A95">
        <w:rPr>
          <w:color w:val="0071BB"/>
        </w:rPr>
        <w:t>tak szybko jak to możliwe</w:t>
      </w:r>
      <w:r>
        <w:rPr>
          <w:color w:val="0071BB"/>
        </w:rPr>
        <w:t>, co skróciłob</w:t>
      </w:r>
      <w:r w:rsidR="00D446FC">
        <w:rPr>
          <w:color w:val="0071BB"/>
        </w:rPr>
        <w:t xml:space="preserve">y okres pozbawienia wolności. </w:t>
      </w:r>
      <w:r w:rsidR="00D92935">
        <w:rPr>
          <w:color w:val="0071BB"/>
        </w:rPr>
        <w:t>Przy</w:t>
      </w:r>
      <w:r>
        <w:rPr>
          <w:color w:val="0071BB"/>
        </w:rPr>
        <w:t xml:space="preserve"> braku szczególnego ryzyka ucieczki administracyjne pozbawienie wolności przez okres osiemnastu dni wydaje się nieproporcjonalne </w:t>
      </w:r>
      <w:r w:rsidR="00D92935">
        <w:rPr>
          <w:color w:val="0071BB"/>
        </w:rPr>
        <w:t>do realizowanego celu</w:t>
      </w:r>
      <w:r>
        <w:rPr>
          <w:color w:val="0071BB"/>
        </w:rPr>
        <w:t>. W sprawie tej Trybunał orzekł również, że</w:t>
      </w:r>
      <w:r>
        <w:rPr>
          <w:b/>
          <w:bCs/>
          <w:color w:val="0071BB"/>
        </w:rPr>
        <w:t xml:space="preserve"> doszło do naruszenia art. 5 ust. 1</w:t>
      </w:r>
      <w:r>
        <w:rPr>
          <w:color w:val="0071BB"/>
        </w:rPr>
        <w:t xml:space="preserve"> Konwencji (prawo do wolności i bezpieczeństwa osobistego) oraz </w:t>
      </w:r>
      <w:r>
        <w:rPr>
          <w:b/>
          <w:bCs/>
          <w:color w:val="0071BB"/>
        </w:rPr>
        <w:t>naruszenia art. 5 ust. 4</w:t>
      </w:r>
      <w:r>
        <w:rPr>
          <w:color w:val="0071BB"/>
        </w:rPr>
        <w:t xml:space="preserve"> Konwencji (prawo do bezzwłocznego </w:t>
      </w:r>
      <w:r w:rsidR="00D92935">
        <w:rPr>
          <w:color w:val="0071BB"/>
        </w:rPr>
        <w:t xml:space="preserve">zbadania </w:t>
      </w:r>
      <w:r>
        <w:rPr>
          <w:color w:val="0071BB"/>
        </w:rPr>
        <w:t xml:space="preserve">przez sąd legalności pozbawienia wolności) wobec dziecka </w:t>
      </w:r>
      <w:r w:rsidR="00D92935">
        <w:rPr>
          <w:color w:val="0071BB"/>
        </w:rPr>
        <w:t>skarżących</w:t>
      </w:r>
      <w:r>
        <w:rPr>
          <w:color w:val="0071BB"/>
        </w:rPr>
        <w:t xml:space="preserve">, jak również do </w:t>
      </w:r>
      <w:r>
        <w:rPr>
          <w:b/>
          <w:bCs/>
          <w:color w:val="0071BB"/>
        </w:rPr>
        <w:t>naruszenia art. 8</w:t>
      </w:r>
      <w:r>
        <w:rPr>
          <w:color w:val="0071BB"/>
        </w:rPr>
        <w:t xml:space="preserve"> Konwencji (prawo do poszanowania życia prywatnego i rodzinnego) w stosunku do dziecka i jego rodziców.</w:t>
      </w:r>
    </w:p>
    <w:p w14:paraId="780A1489" w14:textId="77777777" w:rsidR="008D1215" w:rsidRDefault="008D1215" w:rsidP="008D1215">
      <w:pPr>
        <w:shd w:val="pct5" w:color="auto" w:fill="auto"/>
        <w:tabs>
          <w:tab w:val="left" w:pos="9923"/>
        </w:tabs>
        <w:ind w:left="880" w:right="980"/>
        <w:jc w:val="both"/>
        <w:rPr>
          <w:i/>
          <w:iCs/>
          <w:color w:val="404040"/>
          <w:sz w:val="20"/>
        </w:rPr>
      </w:pPr>
    </w:p>
    <w:p w14:paraId="5B9EC651" w14:textId="3D633835" w:rsidR="00A64743" w:rsidRDefault="001A3819" w:rsidP="008D1215">
      <w:pPr>
        <w:shd w:val="pct5" w:color="auto" w:fill="auto"/>
        <w:tabs>
          <w:tab w:val="left" w:pos="9923"/>
        </w:tabs>
        <w:ind w:left="880" w:right="980"/>
        <w:jc w:val="both"/>
        <w:rPr>
          <w:color w:val="404040"/>
          <w:sz w:val="20"/>
        </w:rPr>
      </w:pPr>
      <w:r>
        <w:rPr>
          <w:i/>
          <w:iCs/>
          <w:color w:val="404040"/>
          <w:sz w:val="20"/>
        </w:rPr>
        <w:t>Zobacz również:</w:t>
      </w:r>
      <w:r>
        <w:rPr>
          <w:color w:val="404040"/>
          <w:sz w:val="20"/>
        </w:rPr>
        <w:t xml:space="preserve"> </w:t>
      </w:r>
      <w:hyperlink r:id="rId67">
        <w:r>
          <w:rPr>
            <w:b/>
            <w:i/>
            <w:color w:val="0071BB"/>
            <w:sz w:val="20"/>
            <w:u w:val="thick" w:color="0071BB"/>
          </w:rPr>
          <w:t>A.M. i Inni przeciwko Francji (skarga nr 24587/12)</w:t>
        </w:r>
      </w:hyperlink>
      <w:r>
        <w:rPr>
          <w:color w:val="404040"/>
          <w:sz w:val="20"/>
        </w:rPr>
        <w:t xml:space="preserve">, </w:t>
      </w:r>
      <w:hyperlink r:id="rId68">
        <w:r>
          <w:rPr>
            <w:b/>
            <w:i/>
            <w:color w:val="0071BB"/>
            <w:sz w:val="20"/>
            <w:u w:val="thick" w:color="0071BB"/>
          </w:rPr>
          <w:t>R.C. i V.C. przeciwko Francji (skarga nr </w:t>
        </w:r>
      </w:hyperlink>
      <w:r>
        <w:rPr>
          <w:b/>
          <w:i/>
          <w:color w:val="0071BB"/>
          <w:sz w:val="20"/>
        </w:rPr>
        <w:t xml:space="preserve"> </w:t>
      </w:r>
      <w:hyperlink r:id="rId69">
        <w:r>
          <w:rPr>
            <w:b/>
            <w:i/>
            <w:color w:val="0071BB"/>
            <w:sz w:val="20"/>
            <w:u w:val="thick" w:color="0071BB"/>
          </w:rPr>
          <w:t>76491/14)</w:t>
        </w:r>
      </w:hyperlink>
      <w:r>
        <w:rPr>
          <w:color w:val="404040"/>
          <w:sz w:val="20"/>
        </w:rPr>
        <w:t xml:space="preserve">, </w:t>
      </w:r>
      <w:hyperlink r:id="rId70">
        <w:r>
          <w:rPr>
            <w:b/>
            <w:i/>
            <w:color w:val="0071BB"/>
            <w:sz w:val="20"/>
            <w:u w:val="thick" w:color="0071BB"/>
          </w:rPr>
          <w:t>R.K. i Inni przeciwko Francji (skarga nr 68264/14)</w:t>
        </w:r>
      </w:hyperlink>
      <w:r>
        <w:rPr>
          <w:b/>
          <w:i/>
          <w:color w:val="0071BB"/>
          <w:sz w:val="20"/>
        </w:rPr>
        <w:t xml:space="preserve"> </w:t>
      </w:r>
      <w:r>
        <w:rPr>
          <w:color w:val="404040"/>
          <w:sz w:val="20"/>
        </w:rPr>
        <w:t xml:space="preserve">oraz </w:t>
      </w:r>
      <w:hyperlink r:id="rId71">
        <w:r>
          <w:rPr>
            <w:b/>
            <w:i/>
            <w:color w:val="0071BB"/>
            <w:sz w:val="20"/>
            <w:u w:val="thick" w:color="0071BB"/>
          </w:rPr>
          <w:t>R.M. i Inni przeciwko</w:t>
        </w:r>
      </w:hyperlink>
      <w:r>
        <w:rPr>
          <w:b/>
          <w:i/>
          <w:color w:val="0071BB"/>
          <w:sz w:val="20"/>
        </w:rPr>
        <w:t xml:space="preserve"> </w:t>
      </w:r>
      <w:hyperlink r:id="rId72">
        <w:r>
          <w:rPr>
            <w:b/>
            <w:i/>
            <w:color w:val="0071BB"/>
            <w:sz w:val="20"/>
            <w:u w:val="thick" w:color="0071BB"/>
          </w:rPr>
          <w:t>Francji (skarga nr 33201/11)</w:t>
        </w:r>
      </w:hyperlink>
      <w:r>
        <w:rPr>
          <w:b/>
          <w:i/>
          <w:color w:val="0071BB"/>
          <w:sz w:val="20"/>
        </w:rPr>
        <w:t xml:space="preserve"> </w:t>
      </w:r>
      <w:r>
        <w:rPr>
          <w:color w:val="404040"/>
          <w:sz w:val="20"/>
        </w:rPr>
        <w:t>wyroki z dnia 12 lipca 2016 r.</w:t>
      </w:r>
    </w:p>
    <w:p w14:paraId="35C2C109" w14:textId="77777777" w:rsidR="008D1215" w:rsidRDefault="008D1215" w:rsidP="008D1215">
      <w:pPr>
        <w:shd w:val="pct5" w:color="auto" w:fill="auto"/>
        <w:tabs>
          <w:tab w:val="left" w:pos="9923"/>
        </w:tabs>
        <w:ind w:left="880" w:right="980"/>
        <w:jc w:val="both"/>
        <w:rPr>
          <w:sz w:val="20"/>
        </w:rPr>
      </w:pPr>
    </w:p>
    <w:p w14:paraId="752AFFA4" w14:textId="77777777" w:rsidR="00A64743" w:rsidRDefault="00711FD6" w:rsidP="008D1215">
      <w:pPr>
        <w:pStyle w:val="Nagwek2"/>
        <w:shd w:val="pct5" w:color="auto" w:fill="auto"/>
        <w:tabs>
          <w:tab w:val="left" w:pos="9923"/>
        </w:tabs>
        <w:spacing w:before="0"/>
        <w:ind w:right="967"/>
        <w:rPr>
          <w:u w:val="none"/>
        </w:rPr>
      </w:pPr>
      <w:hyperlink r:id="rId73">
        <w:proofErr w:type="spellStart"/>
        <w:r w:rsidR="001A3819">
          <w:rPr>
            <w:color w:val="0071BB"/>
            <w:u w:val="thick" w:color="0071BB"/>
          </w:rPr>
          <w:t>Mahamed</w:t>
        </w:r>
        <w:proofErr w:type="spellEnd"/>
        <w:r w:rsidR="001A3819">
          <w:rPr>
            <w:color w:val="0071BB"/>
            <w:u w:val="thick" w:color="0071BB"/>
          </w:rPr>
          <w:t xml:space="preserve"> Jama przeciwko Malcie</w:t>
        </w:r>
      </w:hyperlink>
    </w:p>
    <w:p w14:paraId="0D9E3E34" w14:textId="77777777" w:rsidR="00A64743" w:rsidRDefault="001A3819" w:rsidP="00F006C6">
      <w:pPr>
        <w:shd w:val="pct5" w:color="auto" w:fill="auto"/>
        <w:tabs>
          <w:tab w:val="left" w:pos="9923"/>
        </w:tabs>
        <w:spacing w:before="63" w:line="218" w:lineRule="exact"/>
        <w:ind w:left="880" w:right="967"/>
        <w:jc w:val="both"/>
        <w:rPr>
          <w:sz w:val="18"/>
        </w:rPr>
      </w:pPr>
      <w:r>
        <w:rPr>
          <w:color w:val="808080"/>
          <w:sz w:val="18"/>
        </w:rPr>
        <w:t>26 listopada 2015 r.</w:t>
      </w:r>
    </w:p>
    <w:p w14:paraId="0AC4FBAE" w14:textId="77777777" w:rsidR="00A64743" w:rsidRDefault="001A3819" w:rsidP="00F006C6">
      <w:pPr>
        <w:pStyle w:val="Tekstpodstawowy"/>
        <w:shd w:val="pct5" w:color="auto" w:fill="auto"/>
        <w:ind w:right="967"/>
      </w:pPr>
      <w:r>
        <w:t>Skarżąca, będąca obywatelką somalijską, została pozbawiona wolności w kontekście imigracyjnym w czasie składania wniosku. W skardze podnosiła w szczególności kwestię warunków pozbawienia wolności i utrzymywała, że pozbawienie jej wolności przez ponad osiem miesięcy było arbitralne i niezgodne z prawem.</w:t>
      </w:r>
    </w:p>
    <w:p w14:paraId="41F7EAD3" w14:textId="52B37838" w:rsidR="00A64743" w:rsidRDefault="001A3819" w:rsidP="00F006C6">
      <w:pPr>
        <w:pStyle w:val="Tekstpodstawowy"/>
        <w:shd w:val="pct5" w:color="auto" w:fill="auto"/>
        <w:ind w:right="976"/>
      </w:pPr>
      <w:r>
        <w:rPr>
          <w:color w:val="0071BB"/>
        </w:rPr>
        <w:t xml:space="preserve">Trybunał orzekł, iż </w:t>
      </w:r>
      <w:r>
        <w:rPr>
          <w:b/>
          <w:bCs/>
          <w:color w:val="0071BB"/>
        </w:rPr>
        <w:t>nie doszło do</w:t>
      </w:r>
      <w:r>
        <w:rPr>
          <w:color w:val="0071BB"/>
        </w:rPr>
        <w:t xml:space="preserve"> </w:t>
      </w:r>
      <w:r>
        <w:rPr>
          <w:b/>
          <w:color w:val="0071BB"/>
        </w:rPr>
        <w:t>naruszenia art. 3</w:t>
      </w:r>
      <w:r>
        <w:rPr>
          <w:color w:val="0071BB"/>
        </w:rPr>
        <w:t xml:space="preserve"> Konwencji (zakaz nieludzkiego lub poniżającego traktowania) ze względu na warunki pozbawienia wolności skarżącej. Ponadto orzekł, że </w:t>
      </w:r>
      <w:r>
        <w:rPr>
          <w:b/>
          <w:bCs/>
          <w:color w:val="0071BB"/>
        </w:rPr>
        <w:t>nie doszło do</w:t>
      </w:r>
      <w:r>
        <w:rPr>
          <w:color w:val="0071BB"/>
        </w:rPr>
        <w:t xml:space="preserve"> </w:t>
      </w:r>
      <w:r>
        <w:rPr>
          <w:b/>
          <w:bCs/>
          <w:color w:val="0071BB"/>
        </w:rPr>
        <w:t xml:space="preserve">naruszenia art. 5 ust. 1 </w:t>
      </w:r>
      <w:r>
        <w:rPr>
          <w:color w:val="0071BB"/>
        </w:rPr>
        <w:t>Konwencji (prawo do wolności i bezpieczeństwa osobistego)</w:t>
      </w:r>
      <w:r>
        <w:rPr>
          <w:b/>
          <w:bCs/>
          <w:color w:val="0071BB"/>
        </w:rPr>
        <w:t xml:space="preserve"> </w:t>
      </w:r>
      <w:r>
        <w:rPr>
          <w:color w:val="0071BB"/>
        </w:rPr>
        <w:t>w związku z po</w:t>
      </w:r>
      <w:r w:rsidR="000E6A68">
        <w:rPr>
          <w:color w:val="0071BB"/>
        </w:rPr>
        <w:t>zbawieniem skarżącej wolności w </w:t>
      </w:r>
      <w:r>
        <w:rPr>
          <w:color w:val="0071BB"/>
        </w:rPr>
        <w:t xml:space="preserve">oczekiwaniu na rozpatrzenie wniosku o azyl, natomiast </w:t>
      </w:r>
      <w:r>
        <w:rPr>
          <w:b/>
          <w:bCs/>
          <w:color w:val="0071BB"/>
        </w:rPr>
        <w:t xml:space="preserve">doszło do naruszenia art. 5 ust. 1 </w:t>
      </w:r>
      <w:r>
        <w:rPr>
          <w:color w:val="0071BB"/>
        </w:rPr>
        <w:t xml:space="preserve">Konwencji w związku z pozbawieniem wolności po wydaniu decyzji w sprawie wniosku o azyl. Trybunał orzekł wreszcie, że </w:t>
      </w:r>
      <w:r w:rsidR="006F13D5" w:rsidRPr="004B7905">
        <w:rPr>
          <w:b/>
          <w:bCs/>
          <w:color w:val="0071BB"/>
        </w:rPr>
        <w:t>doszło do naruszenia</w:t>
      </w:r>
      <w:r w:rsidR="006F13D5">
        <w:rPr>
          <w:color w:val="0071BB"/>
        </w:rPr>
        <w:t xml:space="preserve"> </w:t>
      </w:r>
      <w:r>
        <w:rPr>
          <w:b/>
          <w:bCs/>
          <w:color w:val="0071BB"/>
        </w:rPr>
        <w:t>art. 5 ust. 4</w:t>
      </w:r>
      <w:r>
        <w:rPr>
          <w:color w:val="0071BB"/>
        </w:rPr>
        <w:t xml:space="preserve"> Konwencji (prawo do bezzwłocznego </w:t>
      </w:r>
      <w:r w:rsidR="006F13D5">
        <w:rPr>
          <w:color w:val="0071BB"/>
        </w:rPr>
        <w:t xml:space="preserve">zbadania </w:t>
      </w:r>
      <w:r>
        <w:rPr>
          <w:color w:val="0071BB"/>
        </w:rPr>
        <w:t>przez sąd legalności pozbawienia wolności)</w:t>
      </w:r>
      <w:r w:rsidR="006F13D5">
        <w:rPr>
          <w:color w:val="0071BB"/>
        </w:rPr>
        <w:t xml:space="preserve"> stwierdzając</w:t>
      </w:r>
      <w:r>
        <w:rPr>
          <w:color w:val="0071BB"/>
        </w:rPr>
        <w:t xml:space="preserve">, że skarżąca nie </w:t>
      </w:r>
      <w:r w:rsidR="006F13D5">
        <w:rPr>
          <w:color w:val="0071BB"/>
        </w:rPr>
        <w:t>dysponowała</w:t>
      </w:r>
      <w:r>
        <w:rPr>
          <w:color w:val="0071BB"/>
        </w:rPr>
        <w:t xml:space="preserve"> </w:t>
      </w:r>
      <w:r w:rsidR="006F13D5">
        <w:rPr>
          <w:color w:val="0071BB"/>
        </w:rPr>
        <w:t>odpowiednim środkiem</w:t>
      </w:r>
      <w:r>
        <w:rPr>
          <w:color w:val="0071BB"/>
        </w:rPr>
        <w:t xml:space="preserve"> </w:t>
      </w:r>
      <w:r w:rsidR="006F13D5">
        <w:rPr>
          <w:color w:val="0071BB"/>
        </w:rPr>
        <w:t xml:space="preserve">umożliwiającym </w:t>
      </w:r>
      <w:r>
        <w:rPr>
          <w:color w:val="0071BB"/>
        </w:rPr>
        <w:t>zakwestionowanie legalności pozbawienia jej wolności.</w:t>
      </w:r>
    </w:p>
    <w:p w14:paraId="23FAAE89" w14:textId="0B743417" w:rsidR="00F006C6" w:rsidRDefault="001A3819" w:rsidP="008D1215">
      <w:pPr>
        <w:shd w:val="pct5" w:color="auto" w:fill="auto"/>
        <w:ind w:left="880" w:right="979"/>
        <w:jc w:val="both"/>
        <w:rPr>
          <w:color w:val="404040"/>
          <w:sz w:val="20"/>
        </w:rPr>
      </w:pPr>
      <w:r>
        <w:rPr>
          <w:i/>
          <w:iCs/>
          <w:color w:val="404040"/>
          <w:sz w:val="20"/>
        </w:rPr>
        <w:t>Zobacz również:</w:t>
      </w:r>
      <w:r>
        <w:rPr>
          <w:color w:val="404040"/>
          <w:sz w:val="20"/>
        </w:rPr>
        <w:t xml:space="preserve"> </w:t>
      </w:r>
      <w:hyperlink r:id="rId74">
        <w:proofErr w:type="spellStart"/>
        <w:r>
          <w:rPr>
            <w:b/>
            <w:i/>
            <w:color w:val="0071BB"/>
            <w:sz w:val="20"/>
            <w:u w:val="thick" w:color="0071BB"/>
          </w:rPr>
          <w:t>Moxamed</w:t>
        </w:r>
        <w:proofErr w:type="spellEnd"/>
        <w:r>
          <w:rPr>
            <w:b/>
            <w:i/>
            <w:color w:val="0071BB"/>
            <w:sz w:val="20"/>
            <w:u w:val="thick" w:color="0071BB"/>
          </w:rPr>
          <w:t xml:space="preserve"> </w:t>
        </w:r>
        <w:proofErr w:type="spellStart"/>
        <w:r>
          <w:rPr>
            <w:b/>
            <w:i/>
            <w:color w:val="0071BB"/>
            <w:sz w:val="20"/>
            <w:u w:val="thick" w:color="0071BB"/>
          </w:rPr>
          <w:t>Ismaaciil</w:t>
        </w:r>
        <w:proofErr w:type="spellEnd"/>
        <w:r>
          <w:rPr>
            <w:b/>
            <w:i/>
            <w:color w:val="0071BB"/>
            <w:sz w:val="20"/>
            <w:u w:val="thick" w:color="0071BB"/>
          </w:rPr>
          <w:t xml:space="preserve"> i </w:t>
        </w:r>
        <w:proofErr w:type="spellStart"/>
        <w:r>
          <w:rPr>
            <w:b/>
            <w:i/>
            <w:color w:val="0071BB"/>
            <w:sz w:val="20"/>
            <w:u w:val="thick" w:color="0071BB"/>
          </w:rPr>
          <w:t>Abdirahman</w:t>
        </w:r>
        <w:proofErr w:type="spellEnd"/>
        <w:r>
          <w:rPr>
            <w:b/>
            <w:i/>
            <w:color w:val="0071BB"/>
            <w:sz w:val="20"/>
            <w:u w:val="thick" w:color="0071BB"/>
          </w:rPr>
          <w:t xml:space="preserve"> </w:t>
        </w:r>
        <w:proofErr w:type="spellStart"/>
        <w:r>
          <w:rPr>
            <w:b/>
            <w:i/>
            <w:color w:val="0071BB"/>
            <w:sz w:val="20"/>
            <w:u w:val="thick" w:color="0071BB"/>
          </w:rPr>
          <w:t>Warsame</w:t>
        </w:r>
        <w:proofErr w:type="spellEnd"/>
        <w:r>
          <w:rPr>
            <w:b/>
            <w:i/>
            <w:color w:val="0071BB"/>
            <w:sz w:val="20"/>
            <w:u w:val="thick" w:color="0071BB"/>
          </w:rPr>
          <w:t xml:space="preserve"> przeciwko Malcie</w:t>
        </w:r>
      </w:hyperlink>
      <w:r>
        <w:rPr>
          <w:color w:val="404040"/>
          <w:sz w:val="20"/>
        </w:rPr>
        <w:t>, wyrok z dnia 12 stycznia 2016 r.</w:t>
      </w:r>
    </w:p>
    <w:p w14:paraId="03FF0437" w14:textId="77777777" w:rsidR="008D1215" w:rsidRDefault="008D1215" w:rsidP="008D1215">
      <w:pPr>
        <w:shd w:val="pct5" w:color="auto" w:fill="auto"/>
        <w:ind w:left="880" w:right="979"/>
        <w:jc w:val="both"/>
      </w:pPr>
    </w:p>
    <w:p w14:paraId="0C83B6F6" w14:textId="3D537E66" w:rsidR="00A64743" w:rsidRDefault="00711FD6" w:rsidP="008D1215">
      <w:pPr>
        <w:pStyle w:val="Nagwek2"/>
        <w:shd w:val="pct5" w:color="auto" w:fill="auto"/>
        <w:spacing w:before="0"/>
        <w:ind w:right="967"/>
        <w:rPr>
          <w:u w:val="none"/>
        </w:rPr>
      </w:pPr>
      <w:hyperlink r:id="rId75">
        <w:proofErr w:type="spellStart"/>
        <w:r w:rsidR="001A3819">
          <w:rPr>
            <w:color w:val="0071BB"/>
            <w:u w:val="thick" w:color="0071BB"/>
          </w:rPr>
          <w:t>Sh</w:t>
        </w:r>
        <w:proofErr w:type="spellEnd"/>
        <w:r w:rsidR="001A3819">
          <w:rPr>
            <w:color w:val="0071BB"/>
            <w:u w:val="thick" w:color="0071BB"/>
          </w:rPr>
          <w:t>.</w:t>
        </w:r>
        <w:r w:rsidR="000E4E73">
          <w:rPr>
            <w:color w:val="0071BB"/>
            <w:u w:val="thick" w:color="0071BB"/>
          </w:rPr>
          <w:t xml:space="preserve"> </w:t>
        </w:r>
        <w:r w:rsidR="001A3819">
          <w:rPr>
            <w:color w:val="0071BB"/>
            <w:u w:val="thick" w:color="0071BB"/>
          </w:rPr>
          <w:t>D. i Inni przeciwko Grecji, Austrii, Chorwacji, Węgrom, Macedonii Północnej, Serbii</w:t>
        </w:r>
      </w:hyperlink>
      <w:r w:rsidR="001A3819">
        <w:rPr>
          <w:color w:val="0071BB"/>
          <w:u w:val="none"/>
        </w:rPr>
        <w:t xml:space="preserve"> </w:t>
      </w:r>
      <w:hyperlink r:id="rId76">
        <w:r w:rsidR="001A3819">
          <w:rPr>
            <w:color w:val="0071BB"/>
            <w:u w:val="thick" w:color="0071BB"/>
          </w:rPr>
          <w:t>i Słowenii (skarga nr 14165/16)</w:t>
        </w:r>
      </w:hyperlink>
    </w:p>
    <w:p w14:paraId="340EA361" w14:textId="4A17E000" w:rsidR="00A64743" w:rsidRDefault="001A3819" w:rsidP="00F006C6">
      <w:pPr>
        <w:shd w:val="pct5" w:color="auto" w:fill="auto"/>
        <w:spacing w:before="81"/>
        <w:ind w:left="880" w:right="967"/>
        <w:jc w:val="both"/>
        <w:rPr>
          <w:sz w:val="18"/>
        </w:rPr>
      </w:pPr>
      <w:r>
        <w:rPr>
          <w:color w:val="808080"/>
          <w:sz w:val="18"/>
        </w:rPr>
        <w:t>13 czerwca 2019 r.</w:t>
      </w:r>
      <w:r w:rsidR="00D446FC">
        <w:rPr>
          <w:sz w:val="18"/>
        </w:rPr>
        <w:t xml:space="preserve"> </w:t>
      </w:r>
    </w:p>
    <w:p w14:paraId="309E99EE" w14:textId="54C32D14" w:rsidR="00A64743" w:rsidRDefault="001A3819" w:rsidP="00F006C6">
      <w:pPr>
        <w:pStyle w:val="Tekstpodstawowy"/>
        <w:shd w:val="pct5" w:color="auto" w:fill="auto"/>
        <w:spacing w:before="4"/>
        <w:ind w:right="967"/>
      </w:pPr>
      <w:r>
        <w:t>Sprawa dotyczyła warunków życia pięciu małoletnich migrantów bez opieki pochodzących z Afganistanu, którzy przekroczyli granicę Grecji jako małoletni</w:t>
      </w:r>
      <w:r w:rsidR="000E4E73">
        <w:t xml:space="preserve"> migranci</w:t>
      </w:r>
      <w:r>
        <w:t xml:space="preserve"> bez opieki w 2016 r., mając od 14 do 17 lat. W szczególności dwóch skarżących podnosiło w skardze kwestię warunków </w:t>
      </w:r>
      <w:r w:rsidR="000E4E73">
        <w:t xml:space="preserve">ich </w:t>
      </w:r>
      <w:r>
        <w:t xml:space="preserve">pobytu na posterunkach policji </w:t>
      </w:r>
      <w:proofErr w:type="spellStart"/>
      <w:r>
        <w:t>Polykastro</w:t>
      </w:r>
      <w:proofErr w:type="spellEnd"/>
      <w:r>
        <w:t xml:space="preserve"> i </w:t>
      </w:r>
      <w:proofErr w:type="spellStart"/>
      <w:r>
        <w:t>Filiata</w:t>
      </w:r>
      <w:proofErr w:type="spellEnd"/>
      <w:r>
        <w:t xml:space="preserve">, gdzie byli przetrzymywani w „areszcie </w:t>
      </w:r>
      <w:r w:rsidR="000E4E73">
        <w:t>prewencyjnym</w:t>
      </w:r>
      <w:r>
        <w:t xml:space="preserve">”, natomiast czterej skarżący podnosili kwestię warunków życia w obozie w </w:t>
      </w:r>
      <w:proofErr w:type="spellStart"/>
      <w:r>
        <w:t>Idomeni</w:t>
      </w:r>
      <w:proofErr w:type="spellEnd"/>
      <w:r>
        <w:t>. Trzech skarżących podnosiło</w:t>
      </w:r>
      <w:r w:rsidR="00D446FC">
        <w:t xml:space="preserve"> również, że umieszczenie ich w </w:t>
      </w:r>
      <w:r>
        <w:t xml:space="preserve">areszcie </w:t>
      </w:r>
      <w:r w:rsidR="000E4E73">
        <w:t xml:space="preserve">prewencyjnym </w:t>
      </w:r>
      <w:r>
        <w:t xml:space="preserve">na posterunkach policji w </w:t>
      </w:r>
      <w:proofErr w:type="spellStart"/>
      <w:r>
        <w:t>Polykastro</w:t>
      </w:r>
      <w:proofErr w:type="spellEnd"/>
      <w:r>
        <w:t xml:space="preserve">, </w:t>
      </w:r>
      <w:proofErr w:type="spellStart"/>
      <w:r>
        <w:t>Filiacie</w:t>
      </w:r>
      <w:proofErr w:type="spellEnd"/>
      <w:r>
        <w:t xml:space="preserve"> i </w:t>
      </w:r>
      <w:proofErr w:type="spellStart"/>
      <w:r>
        <w:t>Aghios</w:t>
      </w:r>
      <w:proofErr w:type="spellEnd"/>
      <w:r>
        <w:t xml:space="preserve"> </w:t>
      </w:r>
      <w:proofErr w:type="spellStart"/>
      <w:r>
        <w:t>Stefanos</w:t>
      </w:r>
      <w:proofErr w:type="spellEnd"/>
      <w:r>
        <w:t xml:space="preserve"> stanowiło pozbawienie wolności niezgodne z prawem.</w:t>
      </w:r>
    </w:p>
    <w:p w14:paraId="167B76CC" w14:textId="69516BBF" w:rsidR="00A64743" w:rsidRDefault="001A3819" w:rsidP="008D1215">
      <w:pPr>
        <w:pStyle w:val="Tekstpodstawowy"/>
        <w:shd w:val="pct5" w:color="auto" w:fill="auto"/>
        <w:ind w:right="974"/>
        <w:rPr>
          <w:sz w:val="22"/>
        </w:rPr>
      </w:pPr>
      <w:r>
        <w:rPr>
          <w:color w:val="0071BB"/>
        </w:rPr>
        <w:t xml:space="preserve">Trybunał uznał skargi przeciwko Austrii, Chorwacji, Węgrom, Macedonii Północnej, Serbii i Słowenii za </w:t>
      </w:r>
      <w:r>
        <w:rPr>
          <w:b/>
          <w:bCs/>
          <w:color w:val="0071BB"/>
        </w:rPr>
        <w:t>niedopuszczalne</w:t>
      </w:r>
      <w:r>
        <w:rPr>
          <w:color w:val="0071BB"/>
        </w:rPr>
        <w:t xml:space="preserve"> jako w sposób oczywisty bezzasadne. Orzekł ponadto, że </w:t>
      </w:r>
      <w:r>
        <w:rPr>
          <w:b/>
          <w:color w:val="0071BB"/>
        </w:rPr>
        <w:t xml:space="preserve">doszło do naruszenia </w:t>
      </w:r>
      <w:r>
        <w:rPr>
          <w:color w:val="0071BB"/>
        </w:rPr>
        <w:t xml:space="preserve">przez Grecję </w:t>
      </w:r>
      <w:r>
        <w:rPr>
          <w:b/>
          <w:color w:val="0071BB"/>
        </w:rPr>
        <w:t xml:space="preserve">art. 3 </w:t>
      </w:r>
      <w:r>
        <w:rPr>
          <w:color w:val="0071BB"/>
        </w:rPr>
        <w:t xml:space="preserve">Konwencji (zakaz nieludzkiego lub poniżającego traktowania). Po pierwsze, Trybunał uznał, że warunki przetrzymywania trzech </w:t>
      </w:r>
      <w:r w:rsidR="000E4E73">
        <w:rPr>
          <w:color w:val="0071BB"/>
        </w:rPr>
        <w:t xml:space="preserve">spośród </w:t>
      </w:r>
      <w:r>
        <w:rPr>
          <w:color w:val="0071BB"/>
        </w:rPr>
        <w:t xml:space="preserve">skarżących na różnych posterunkach policji stanowiły poniżające traktowanie, mając na uwadze, że osadzenie w tych miejscach mogło powodować u zainteresowanych poczucie izolacji od świata zewnętrznego, </w:t>
      </w:r>
      <w:r w:rsidR="00723A28">
        <w:rPr>
          <w:color w:val="0071BB"/>
        </w:rPr>
        <w:t xml:space="preserve">z potencjalnymi negatywnymi </w:t>
      </w:r>
      <w:r>
        <w:rPr>
          <w:color w:val="0071BB"/>
        </w:rPr>
        <w:t>skutk</w:t>
      </w:r>
      <w:r w:rsidR="00723A28">
        <w:rPr>
          <w:color w:val="0071BB"/>
        </w:rPr>
        <w:t>ami</w:t>
      </w:r>
      <w:r>
        <w:rPr>
          <w:color w:val="0071BB"/>
        </w:rPr>
        <w:t xml:space="preserve"> dla ich samopoczucia fizycznego i psychicznego. Po drugie, odnotował, że władze </w:t>
      </w:r>
      <w:r w:rsidR="00723A28">
        <w:rPr>
          <w:color w:val="0071BB"/>
        </w:rPr>
        <w:t>nie uczyniły</w:t>
      </w:r>
      <w:r>
        <w:rPr>
          <w:color w:val="0071BB"/>
        </w:rPr>
        <w:t xml:space="preserve"> wszystk</w:t>
      </w:r>
      <w:r w:rsidR="00723A28">
        <w:rPr>
          <w:color w:val="0071BB"/>
        </w:rPr>
        <w:t>iego</w:t>
      </w:r>
      <w:r>
        <w:rPr>
          <w:color w:val="0071BB"/>
        </w:rPr>
        <w:t xml:space="preserve">, czego można było od nich rozsądnie </w:t>
      </w:r>
      <w:r>
        <w:rPr>
          <w:color w:val="0071BB"/>
        </w:rPr>
        <w:lastRenderedPageBreak/>
        <w:t xml:space="preserve">oczekiwać, </w:t>
      </w:r>
      <w:r w:rsidR="00723A28">
        <w:rPr>
          <w:color w:val="0071BB"/>
        </w:rPr>
        <w:t>w celu wypełnienia</w:t>
      </w:r>
      <w:r>
        <w:rPr>
          <w:color w:val="0071BB"/>
        </w:rPr>
        <w:t xml:space="preserve"> obowiązk</w:t>
      </w:r>
      <w:r w:rsidR="00723A28">
        <w:rPr>
          <w:color w:val="0071BB"/>
        </w:rPr>
        <w:t>u</w:t>
      </w:r>
      <w:r>
        <w:rPr>
          <w:color w:val="0071BB"/>
        </w:rPr>
        <w:t xml:space="preserve"> zadbania o czterech skarżących i ochrony skarżących, którzy przez miesiąc przebywali w obozie </w:t>
      </w:r>
      <w:proofErr w:type="spellStart"/>
      <w:r>
        <w:rPr>
          <w:color w:val="0071BB"/>
        </w:rPr>
        <w:t>Idomeni</w:t>
      </w:r>
      <w:proofErr w:type="spellEnd"/>
      <w:r>
        <w:rPr>
          <w:color w:val="0071BB"/>
        </w:rPr>
        <w:t xml:space="preserve"> w środowisku niedostosowanym do osób nastoletnich. Obowiązek ten </w:t>
      </w:r>
      <w:r w:rsidR="00723A28">
        <w:rPr>
          <w:color w:val="0071BB"/>
        </w:rPr>
        <w:t xml:space="preserve">spoczywał </w:t>
      </w:r>
      <w:r>
        <w:rPr>
          <w:color w:val="0071BB"/>
        </w:rPr>
        <w:t xml:space="preserve">na państwie greckim </w:t>
      </w:r>
      <w:r w:rsidR="009F3A8B">
        <w:rPr>
          <w:color w:val="0071BB"/>
        </w:rPr>
        <w:t>wobec</w:t>
      </w:r>
      <w:r w:rsidR="00D446FC">
        <w:rPr>
          <w:color w:val="0071BB"/>
        </w:rPr>
        <w:t xml:space="preserve"> osób znajdujących się w </w:t>
      </w:r>
      <w:r>
        <w:rPr>
          <w:color w:val="0071BB"/>
        </w:rPr>
        <w:t>szczególnie trudnym położeniu ze względu na wiek. Trybunał orzekł</w:t>
      </w:r>
      <w:r w:rsidR="009F3A8B">
        <w:rPr>
          <w:color w:val="0071BB"/>
        </w:rPr>
        <w:t xml:space="preserve"> także</w:t>
      </w:r>
      <w:r>
        <w:rPr>
          <w:color w:val="0071BB"/>
        </w:rPr>
        <w:t xml:space="preserve">, że </w:t>
      </w:r>
      <w:r>
        <w:rPr>
          <w:b/>
          <w:bCs/>
          <w:color w:val="0071BB"/>
        </w:rPr>
        <w:t>doszło do naruszenia</w:t>
      </w:r>
      <w:r>
        <w:rPr>
          <w:color w:val="0071BB"/>
        </w:rPr>
        <w:t xml:space="preserve"> przez Grecję </w:t>
      </w:r>
      <w:r>
        <w:rPr>
          <w:b/>
          <w:bCs/>
          <w:color w:val="0071BB"/>
        </w:rPr>
        <w:t>art. 5 ust. 1</w:t>
      </w:r>
      <w:r>
        <w:rPr>
          <w:color w:val="0071BB"/>
        </w:rPr>
        <w:t xml:space="preserve"> Konwencji (prawo do wolności i bezpieczeństwa osobistego) w stosunku do trzech skarżących, </w:t>
      </w:r>
      <w:r w:rsidR="009F3A8B">
        <w:rPr>
          <w:color w:val="0071BB"/>
        </w:rPr>
        <w:t>stwierdzając</w:t>
      </w:r>
      <w:r>
        <w:rPr>
          <w:color w:val="0071BB"/>
        </w:rPr>
        <w:t xml:space="preserve">, że umieszczenie ich na posterunkach policji stanowiło pozbawienie wolności, ponieważ Rząd grecki nie wyjaśnił, dlaczego władze umieściły skarżących </w:t>
      </w:r>
      <w:r w:rsidR="009F3A8B">
        <w:rPr>
          <w:color w:val="0071BB"/>
        </w:rPr>
        <w:t xml:space="preserve">najpierw </w:t>
      </w:r>
      <w:r>
        <w:rPr>
          <w:color w:val="0071BB"/>
        </w:rPr>
        <w:t>na posterunkach policji – w warunkach stanowiących poniżające traktowanie – a nie zapewniły im miejsca w alternatywnych placówkach tymczasowego pobytu. Pozbawienie skarżących wolności było zatem niezgodne z prawem.</w:t>
      </w:r>
    </w:p>
    <w:p w14:paraId="19893D97" w14:textId="60CFC037" w:rsidR="00A64743" w:rsidRDefault="001A3819" w:rsidP="00B25CB7">
      <w:pPr>
        <w:pStyle w:val="Nagwek1"/>
        <w:spacing w:before="240" w:after="240"/>
        <w:rPr>
          <w:color w:val="0071BB"/>
        </w:rPr>
      </w:pPr>
      <w:r>
        <w:rPr>
          <w:color w:val="0071BB"/>
        </w:rPr>
        <w:t>Kwestionowanie legalności pozbawienia wolności</w:t>
      </w:r>
    </w:p>
    <w:p w14:paraId="410C764A" w14:textId="77777777" w:rsidR="00A64743" w:rsidRDefault="001A3819" w:rsidP="00B25CB7">
      <w:pPr>
        <w:pStyle w:val="Nagwek2"/>
        <w:spacing w:before="120"/>
        <w:rPr>
          <w:u w:val="none"/>
        </w:rPr>
      </w:pPr>
      <w:proofErr w:type="spellStart"/>
      <w:r>
        <w:rPr>
          <w:color w:val="0071BB"/>
          <w:u w:val="thick" w:color="0071BB"/>
        </w:rPr>
        <w:t>Abdolkhani</w:t>
      </w:r>
      <w:proofErr w:type="spellEnd"/>
      <w:r>
        <w:rPr>
          <w:color w:val="0071BB"/>
          <w:u w:val="thick" w:color="0071BB"/>
        </w:rPr>
        <w:t xml:space="preserve"> i </w:t>
      </w:r>
      <w:proofErr w:type="spellStart"/>
      <w:r>
        <w:rPr>
          <w:color w:val="0071BB"/>
          <w:u w:val="thick" w:color="0071BB"/>
        </w:rPr>
        <w:t>Karimnia</w:t>
      </w:r>
      <w:proofErr w:type="spellEnd"/>
      <w:r>
        <w:rPr>
          <w:color w:val="0071BB"/>
          <w:u w:val="thick" w:color="0071BB"/>
        </w:rPr>
        <w:t xml:space="preserve"> przeciwko Turcji</w:t>
      </w:r>
    </w:p>
    <w:p w14:paraId="1622C3B6" w14:textId="77777777" w:rsidR="00A64743" w:rsidRDefault="001A3819">
      <w:pPr>
        <w:spacing w:before="60" w:line="218" w:lineRule="exact"/>
        <w:ind w:left="880"/>
        <w:jc w:val="both"/>
        <w:rPr>
          <w:sz w:val="18"/>
        </w:rPr>
      </w:pPr>
      <w:r>
        <w:rPr>
          <w:color w:val="808080"/>
          <w:sz w:val="18"/>
        </w:rPr>
        <w:t>22 września 2009 r.</w:t>
      </w:r>
    </w:p>
    <w:p w14:paraId="4EBAD3E4" w14:textId="1C44B093" w:rsidR="00A64743" w:rsidRDefault="001A3819">
      <w:pPr>
        <w:pStyle w:val="Tekstpodstawowy"/>
        <w:ind w:right="978"/>
      </w:pPr>
      <w:r>
        <w:t xml:space="preserve">Skarżący, będący obywatelami irańskimi i byłymi członkami Organizacji Bojowników Ludowych Iranu w Iranie, byli w czasie [rozpatrywania] wniosku </w:t>
      </w:r>
      <w:r w:rsidR="00D446FC">
        <w:t>przetrzymywani w </w:t>
      </w:r>
      <w:r w:rsidR="00EC41AD">
        <w:t>o</w:t>
      </w:r>
      <w:r>
        <w:t xml:space="preserve">środku dla </w:t>
      </w:r>
      <w:r w:rsidR="00EC41AD">
        <w:t>c</w:t>
      </w:r>
      <w:r>
        <w:t xml:space="preserve">udzoziemców </w:t>
      </w:r>
      <w:proofErr w:type="spellStart"/>
      <w:r>
        <w:t>Gaziosmanpaşa</w:t>
      </w:r>
      <w:proofErr w:type="spellEnd"/>
      <w:r>
        <w:t xml:space="preserve"> w </w:t>
      </w:r>
      <w:proofErr w:type="spellStart"/>
      <w:r>
        <w:t>Kırklareli</w:t>
      </w:r>
      <w:proofErr w:type="spellEnd"/>
      <w:r>
        <w:t xml:space="preserve"> (Turcja).</w:t>
      </w:r>
    </w:p>
    <w:p w14:paraId="705FA333" w14:textId="590F2B56" w:rsidR="00A64743" w:rsidRDefault="001A3819">
      <w:pPr>
        <w:pStyle w:val="Tekstpodstawowy"/>
        <w:ind w:right="974"/>
      </w:pPr>
      <w:r>
        <w:rPr>
          <w:color w:val="0071BB"/>
        </w:rPr>
        <w:t xml:space="preserve">Trybunał orzekł, że ze względu na brak jasnych przepisów prawnych określających procedurę wydawania postanowień o pozbawieniu wolności i przedłużania okresu pozbawienia wolności w celu deportacji i </w:t>
      </w:r>
      <w:r w:rsidR="00EC41AD">
        <w:rPr>
          <w:color w:val="0071BB"/>
        </w:rPr>
        <w:t>ustanawiających limity czasowe</w:t>
      </w:r>
      <w:r>
        <w:rPr>
          <w:color w:val="0071BB"/>
        </w:rPr>
        <w:t xml:space="preserve"> pozbawienia wolności, krajowy system nie chronił skarżących przed arbitra</w:t>
      </w:r>
      <w:r w:rsidR="00D446FC">
        <w:rPr>
          <w:color w:val="0071BB"/>
        </w:rPr>
        <w:t>lnym pozbawieniem wolności, a w </w:t>
      </w:r>
      <w:r>
        <w:rPr>
          <w:color w:val="0071BB"/>
        </w:rPr>
        <w:t xml:space="preserve">rezultacie ich pozbawienie wolności nie może być uznane za „zgodne z prawem”, co powoduje </w:t>
      </w:r>
      <w:r>
        <w:rPr>
          <w:b/>
          <w:bCs/>
          <w:color w:val="0071BB"/>
        </w:rPr>
        <w:t>naruszenie art. 5 ust. 1</w:t>
      </w:r>
      <w:r>
        <w:rPr>
          <w:color w:val="0071BB"/>
        </w:rPr>
        <w:t xml:space="preserve"> Konwencji (prawo do wolności i bezpieczeństwa osobistego).</w:t>
      </w:r>
    </w:p>
    <w:p w14:paraId="2004BF69" w14:textId="4E26FAE6" w:rsidR="00A64743" w:rsidRDefault="001A3819">
      <w:pPr>
        <w:pStyle w:val="Tekstpodstawowy"/>
        <w:ind w:right="977" w:hanging="1"/>
      </w:pPr>
      <w:r>
        <w:rPr>
          <w:color w:val="0071BB"/>
        </w:rPr>
        <w:t xml:space="preserve">Trybunał </w:t>
      </w:r>
      <w:r w:rsidR="0019236B">
        <w:rPr>
          <w:color w:val="0071BB"/>
        </w:rPr>
        <w:t xml:space="preserve">stwierdził </w:t>
      </w:r>
      <w:r>
        <w:rPr>
          <w:color w:val="0071BB"/>
        </w:rPr>
        <w:t xml:space="preserve">również, że władze krajowe </w:t>
      </w:r>
      <w:r w:rsidR="0019236B">
        <w:rPr>
          <w:color w:val="0071BB"/>
        </w:rPr>
        <w:t xml:space="preserve">tak naprawdę </w:t>
      </w:r>
      <w:r>
        <w:rPr>
          <w:color w:val="0071BB"/>
        </w:rPr>
        <w:t xml:space="preserve">nigdy nie podały skarżącym przyczyn pozbawienia wolności, </w:t>
      </w:r>
      <w:r w:rsidR="0019236B">
        <w:rPr>
          <w:color w:val="0071BB"/>
        </w:rPr>
        <w:t>które nastąpiło</w:t>
      </w:r>
      <w:r>
        <w:rPr>
          <w:color w:val="0071BB"/>
        </w:rPr>
        <w:t xml:space="preserve"> nie w</w:t>
      </w:r>
      <w:r w:rsidR="00D446FC">
        <w:rPr>
          <w:color w:val="0071BB"/>
        </w:rPr>
        <w:t xml:space="preserve"> wyniku zarzutów karnych, ale w </w:t>
      </w:r>
      <w:r>
        <w:rPr>
          <w:color w:val="0071BB"/>
        </w:rPr>
        <w:t>kontekście kontroli imigracy</w:t>
      </w:r>
      <w:r w:rsidR="00D446FC">
        <w:rPr>
          <w:color w:val="0071BB"/>
        </w:rPr>
        <w:t>jnej.</w:t>
      </w:r>
      <w:r>
        <w:rPr>
          <w:color w:val="0071BB"/>
        </w:rPr>
        <w:t xml:space="preserve"> Stanowi</w:t>
      </w:r>
      <w:r w:rsidR="0019236B">
        <w:rPr>
          <w:color w:val="0071BB"/>
        </w:rPr>
        <w:t>ło</w:t>
      </w:r>
      <w:r>
        <w:rPr>
          <w:color w:val="0071BB"/>
        </w:rPr>
        <w:t xml:space="preserve"> to </w:t>
      </w:r>
      <w:r>
        <w:rPr>
          <w:b/>
          <w:bCs/>
          <w:color w:val="0071BB"/>
        </w:rPr>
        <w:t>naruszenie art. 5 ust. 2</w:t>
      </w:r>
      <w:r>
        <w:rPr>
          <w:color w:val="0071BB"/>
        </w:rPr>
        <w:t xml:space="preserve"> Konwencji.</w:t>
      </w:r>
    </w:p>
    <w:p w14:paraId="30A89B80" w14:textId="0B4626DD" w:rsidR="00A64743" w:rsidRDefault="001A3819">
      <w:pPr>
        <w:pStyle w:val="Tekstpodstawowy"/>
        <w:spacing w:before="100"/>
        <w:ind w:left="879" w:right="975"/>
      </w:pPr>
      <w:r>
        <w:rPr>
          <w:color w:val="0071BB"/>
        </w:rPr>
        <w:t>Z uwagi na to, że skarżącym odmówiono pomocy pr</w:t>
      </w:r>
      <w:r w:rsidR="00D446FC">
        <w:rPr>
          <w:color w:val="0071BB"/>
        </w:rPr>
        <w:t>awnej i nie poinformowano ich o </w:t>
      </w:r>
      <w:r>
        <w:rPr>
          <w:color w:val="0071BB"/>
        </w:rPr>
        <w:t xml:space="preserve">przyczynach pozbawienia wolności, </w:t>
      </w:r>
      <w:r w:rsidR="0019236B">
        <w:rPr>
          <w:color w:val="0071BB"/>
        </w:rPr>
        <w:t xml:space="preserve">ich </w:t>
      </w:r>
      <w:r>
        <w:rPr>
          <w:color w:val="0071BB"/>
        </w:rPr>
        <w:t xml:space="preserve">prawo do odwołania się w kwestii pozbawienia wolności było pozbawione skutecznej możliwości wykonania. Rząd turecki nie wspominał też, aby skarżący </w:t>
      </w:r>
      <w:r w:rsidR="00A75C95">
        <w:rPr>
          <w:color w:val="0071BB"/>
        </w:rPr>
        <w:t>dysponowali jakąkolwiek</w:t>
      </w:r>
      <w:r>
        <w:rPr>
          <w:color w:val="0071BB"/>
        </w:rPr>
        <w:t xml:space="preserve"> procedur</w:t>
      </w:r>
      <w:r w:rsidR="00A75C95">
        <w:rPr>
          <w:color w:val="0071BB"/>
        </w:rPr>
        <w:t>ą</w:t>
      </w:r>
      <w:r>
        <w:rPr>
          <w:color w:val="0071BB"/>
        </w:rPr>
        <w:t xml:space="preserve"> pozwalając</w:t>
      </w:r>
      <w:r w:rsidR="00A75C95">
        <w:rPr>
          <w:color w:val="0071BB"/>
        </w:rPr>
        <w:t>ą</w:t>
      </w:r>
      <w:r>
        <w:rPr>
          <w:color w:val="0071BB"/>
        </w:rPr>
        <w:t xml:space="preserve"> na </w:t>
      </w:r>
      <w:r w:rsidR="00A75C95">
        <w:rPr>
          <w:color w:val="0071BB"/>
        </w:rPr>
        <w:t xml:space="preserve">zbadanie </w:t>
      </w:r>
      <w:r>
        <w:rPr>
          <w:color w:val="0071BB"/>
        </w:rPr>
        <w:t>legalności pozbawienia</w:t>
      </w:r>
      <w:r w:rsidR="00A75C95">
        <w:rPr>
          <w:color w:val="0071BB"/>
        </w:rPr>
        <w:t xml:space="preserve"> </w:t>
      </w:r>
      <w:r>
        <w:rPr>
          <w:color w:val="0071BB"/>
        </w:rPr>
        <w:t>wolności</w:t>
      </w:r>
      <w:r w:rsidR="00A75C95">
        <w:rPr>
          <w:color w:val="0071BB"/>
        </w:rPr>
        <w:t xml:space="preserve"> </w:t>
      </w:r>
      <w:r>
        <w:rPr>
          <w:color w:val="0071BB"/>
        </w:rPr>
        <w:t>przez</w:t>
      </w:r>
      <w:r w:rsidR="00A75C95">
        <w:rPr>
          <w:color w:val="0071BB"/>
        </w:rPr>
        <w:t xml:space="preserve"> </w:t>
      </w:r>
      <w:r>
        <w:rPr>
          <w:color w:val="0071BB"/>
        </w:rPr>
        <w:t>sąd.</w:t>
      </w:r>
      <w:r w:rsidR="00A75C95">
        <w:rPr>
          <w:color w:val="0071BB"/>
        </w:rPr>
        <w:t xml:space="preserve"> </w:t>
      </w:r>
      <w:r>
        <w:rPr>
          <w:color w:val="0071BB"/>
        </w:rPr>
        <w:t>Z</w:t>
      </w:r>
      <w:r w:rsidR="00A75C95">
        <w:rPr>
          <w:color w:val="0071BB"/>
        </w:rPr>
        <w:t xml:space="preserve"> </w:t>
      </w:r>
      <w:r>
        <w:rPr>
          <w:color w:val="0071BB"/>
        </w:rPr>
        <w:t>tego</w:t>
      </w:r>
      <w:r w:rsidR="00A75C95">
        <w:rPr>
          <w:color w:val="0071BB"/>
        </w:rPr>
        <w:t xml:space="preserve"> </w:t>
      </w:r>
      <w:r>
        <w:rPr>
          <w:color w:val="0071BB"/>
        </w:rPr>
        <w:t>względu</w:t>
      </w:r>
      <w:r w:rsidR="00A75C95">
        <w:rPr>
          <w:color w:val="0071BB"/>
        </w:rPr>
        <w:t xml:space="preserve"> </w:t>
      </w:r>
      <w:r>
        <w:rPr>
          <w:color w:val="0071BB"/>
        </w:rPr>
        <w:t>Trybunał</w:t>
      </w:r>
      <w:bookmarkStart w:id="2" w:name="_bookmark2"/>
      <w:bookmarkEnd w:id="2"/>
      <w:r w:rsidR="00A75C95">
        <w:rPr>
          <w:color w:val="0071BB"/>
        </w:rPr>
        <w:t xml:space="preserve"> </w:t>
      </w:r>
      <w:r>
        <w:rPr>
          <w:color w:val="0071BB"/>
        </w:rPr>
        <w:t xml:space="preserve">uznał, że turecki system prawny nie </w:t>
      </w:r>
      <w:r w:rsidR="00A75C95">
        <w:rPr>
          <w:color w:val="0071BB"/>
        </w:rPr>
        <w:t>zapewnił</w:t>
      </w:r>
      <w:r>
        <w:rPr>
          <w:color w:val="0071BB"/>
        </w:rPr>
        <w:t xml:space="preserve"> skarżącym środka odwoławczego, </w:t>
      </w:r>
      <w:r w:rsidR="00A75C95">
        <w:rPr>
          <w:color w:val="0071BB"/>
        </w:rPr>
        <w:t xml:space="preserve">dzięki któremu mogliby uzyskać </w:t>
      </w:r>
      <w:r>
        <w:rPr>
          <w:color w:val="0071BB"/>
        </w:rPr>
        <w:t xml:space="preserve">sądową </w:t>
      </w:r>
      <w:r w:rsidR="00A75C95">
        <w:rPr>
          <w:color w:val="0071BB"/>
        </w:rPr>
        <w:t xml:space="preserve">kontrolę </w:t>
      </w:r>
      <w:r>
        <w:rPr>
          <w:color w:val="0071BB"/>
        </w:rPr>
        <w:t xml:space="preserve">pozbawienia </w:t>
      </w:r>
      <w:r w:rsidR="00A75C95">
        <w:rPr>
          <w:color w:val="0071BB"/>
        </w:rPr>
        <w:t xml:space="preserve">ich </w:t>
      </w:r>
      <w:r>
        <w:rPr>
          <w:color w:val="0071BB"/>
        </w:rPr>
        <w:t xml:space="preserve">wolności, a to stanowiło </w:t>
      </w:r>
      <w:r>
        <w:rPr>
          <w:b/>
          <w:bCs/>
          <w:color w:val="0071BB"/>
        </w:rPr>
        <w:t xml:space="preserve">naruszenie art. 5 ust. 4 </w:t>
      </w:r>
      <w:r>
        <w:rPr>
          <w:color w:val="0071BB"/>
        </w:rPr>
        <w:t xml:space="preserve">Konwencji (prawo do bezzwłocznego </w:t>
      </w:r>
      <w:r w:rsidR="00A75C95">
        <w:rPr>
          <w:color w:val="0071BB"/>
        </w:rPr>
        <w:t xml:space="preserve">zbadania </w:t>
      </w:r>
      <w:r>
        <w:rPr>
          <w:color w:val="0071BB"/>
        </w:rPr>
        <w:t>przez sąd legalności pozbawienia wolności).</w:t>
      </w:r>
    </w:p>
    <w:p w14:paraId="4F623E16" w14:textId="77777777" w:rsidR="00A64743" w:rsidRDefault="001A3819">
      <w:pPr>
        <w:spacing w:before="60"/>
        <w:ind w:left="879"/>
        <w:jc w:val="both"/>
        <w:rPr>
          <w:sz w:val="20"/>
        </w:rPr>
      </w:pPr>
      <w:r>
        <w:rPr>
          <w:i/>
          <w:iCs/>
          <w:color w:val="404040"/>
          <w:sz w:val="20"/>
        </w:rPr>
        <w:t>Zobacz również:</w:t>
      </w:r>
      <w:r>
        <w:rPr>
          <w:i/>
          <w:color w:val="404040"/>
          <w:sz w:val="20"/>
        </w:rPr>
        <w:t xml:space="preserve"> </w:t>
      </w:r>
      <w:hyperlink r:id="rId77">
        <w:proofErr w:type="spellStart"/>
        <w:r>
          <w:rPr>
            <w:b/>
            <w:i/>
            <w:color w:val="0071BB"/>
            <w:sz w:val="20"/>
            <w:u w:val="thick" w:color="0071BB"/>
          </w:rPr>
          <w:t>Ghorbanov</w:t>
        </w:r>
        <w:proofErr w:type="spellEnd"/>
        <w:r>
          <w:rPr>
            <w:b/>
            <w:i/>
            <w:color w:val="0071BB"/>
            <w:sz w:val="20"/>
            <w:u w:val="thick" w:color="0071BB"/>
          </w:rPr>
          <w:t xml:space="preserve"> i Inni przeciwko Turcji</w:t>
        </w:r>
      </w:hyperlink>
      <w:r>
        <w:rPr>
          <w:color w:val="404040"/>
          <w:sz w:val="20"/>
        </w:rPr>
        <w:t>, wyrok z dnia 3 grudnia 2013 r.</w:t>
      </w:r>
    </w:p>
    <w:p w14:paraId="06F4C1DD" w14:textId="77777777" w:rsidR="00A64743" w:rsidRDefault="00711FD6">
      <w:pPr>
        <w:pStyle w:val="Nagwek2"/>
        <w:rPr>
          <w:u w:val="none"/>
        </w:rPr>
      </w:pPr>
      <w:hyperlink r:id="rId78">
        <w:proofErr w:type="spellStart"/>
        <w:r w:rsidR="001A3819">
          <w:rPr>
            <w:color w:val="0071BB"/>
            <w:u w:val="thick" w:color="0071BB"/>
          </w:rPr>
          <w:t>Mikolenko</w:t>
        </w:r>
        <w:proofErr w:type="spellEnd"/>
        <w:r w:rsidR="001A3819">
          <w:rPr>
            <w:color w:val="0071BB"/>
            <w:u w:val="thick" w:color="0071BB"/>
          </w:rPr>
          <w:t xml:space="preserve"> przeciwko Estonii</w:t>
        </w:r>
      </w:hyperlink>
    </w:p>
    <w:p w14:paraId="76BDF607" w14:textId="77777777" w:rsidR="00A64743" w:rsidRDefault="001A3819">
      <w:pPr>
        <w:spacing w:before="62" w:line="218" w:lineRule="exact"/>
        <w:ind w:left="880"/>
        <w:jc w:val="both"/>
        <w:rPr>
          <w:sz w:val="18"/>
        </w:rPr>
      </w:pPr>
      <w:r>
        <w:rPr>
          <w:color w:val="808080"/>
          <w:sz w:val="18"/>
        </w:rPr>
        <w:t>8 października 2009 r.</w:t>
      </w:r>
    </w:p>
    <w:p w14:paraId="709453F7" w14:textId="471EE031" w:rsidR="00A64743" w:rsidRDefault="001A3819">
      <w:pPr>
        <w:pStyle w:val="Tekstpodstawowy"/>
        <w:ind w:left="879" w:right="976"/>
      </w:pPr>
      <w:r>
        <w:t xml:space="preserve">Skarżący, będący obywatelem rosyjskim, podnosił w skardze, że po tym, gdy </w:t>
      </w:r>
      <w:r w:rsidR="00011C0A">
        <w:t xml:space="preserve">władze </w:t>
      </w:r>
      <w:r>
        <w:t xml:space="preserve">estońskie odmówiły przedłużenia jego zezwolenia na pobyt, został w 2003 r. </w:t>
      </w:r>
      <w:r w:rsidR="00011C0A">
        <w:t xml:space="preserve">bezprawnie </w:t>
      </w:r>
      <w:r>
        <w:t xml:space="preserve">pozbawiony wolności w ośrodku deportacyjnym, a okres, który upłynął do czasu </w:t>
      </w:r>
      <w:r w:rsidR="008E03E1">
        <w:t xml:space="preserve">jego </w:t>
      </w:r>
      <w:r>
        <w:t>zwolnienia w 2007 r., był zbyt długi.</w:t>
      </w:r>
    </w:p>
    <w:p w14:paraId="05661A74" w14:textId="068B8EB9" w:rsidR="00A64743" w:rsidRDefault="001A3819">
      <w:pPr>
        <w:pStyle w:val="Tekstpodstawowy"/>
        <w:ind w:right="978"/>
      </w:pPr>
      <w:r>
        <w:rPr>
          <w:color w:val="0071BB"/>
        </w:rPr>
        <w:t xml:space="preserve">Trybunał orzekł, że </w:t>
      </w:r>
      <w:r>
        <w:rPr>
          <w:b/>
          <w:bCs/>
          <w:color w:val="0071BB"/>
        </w:rPr>
        <w:t>doszło do naruszenia art. 5 ust. 1</w:t>
      </w:r>
      <w:r w:rsidR="00D446FC">
        <w:rPr>
          <w:color w:val="0071BB"/>
        </w:rPr>
        <w:t xml:space="preserve"> Konwencji (prawo do wolności i </w:t>
      </w:r>
      <w:r>
        <w:rPr>
          <w:color w:val="0071BB"/>
        </w:rPr>
        <w:t xml:space="preserve">bezpieczeństwa osobistego) uznając, że podstawy pozbawienia </w:t>
      </w:r>
      <w:r w:rsidR="008E03E1">
        <w:rPr>
          <w:color w:val="0071BB"/>
        </w:rPr>
        <w:t xml:space="preserve">skarżącego </w:t>
      </w:r>
      <w:r>
        <w:rPr>
          <w:color w:val="0071BB"/>
        </w:rPr>
        <w:t xml:space="preserve">wolności – działania podejmowane z myślą o deportowaniu – nie były podstawami ważnymi przez cały okres </w:t>
      </w:r>
      <w:r w:rsidR="008E03E1">
        <w:rPr>
          <w:color w:val="0071BB"/>
        </w:rPr>
        <w:t xml:space="preserve">jego </w:t>
      </w:r>
      <w:r>
        <w:rPr>
          <w:color w:val="0071BB"/>
        </w:rPr>
        <w:t>pozbawienia wolności z uwagi na brak realnej perspektywy wydalenia oraz nieprzeprowadzenie postępowania przez władze krajowe z należytą starannością.</w:t>
      </w:r>
    </w:p>
    <w:p w14:paraId="39118106" w14:textId="77777777" w:rsidR="00A64743" w:rsidRDefault="001A3819">
      <w:pPr>
        <w:pStyle w:val="Nagwek2"/>
        <w:ind w:left="879"/>
        <w:rPr>
          <w:u w:val="none"/>
        </w:rPr>
      </w:pPr>
      <w:proofErr w:type="spellStart"/>
      <w:r>
        <w:rPr>
          <w:color w:val="0071BB"/>
          <w:u w:val="thick" w:color="0071BB"/>
        </w:rPr>
        <w:t>Louled</w:t>
      </w:r>
      <w:proofErr w:type="spellEnd"/>
      <w:r>
        <w:rPr>
          <w:color w:val="0071BB"/>
          <w:u w:val="thick" w:color="0071BB"/>
        </w:rPr>
        <w:t xml:space="preserve"> </w:t>
      </w:r>
      <w:proofErr w:type="spellStart"/>
      <w:r>
        <w:rPr>
          <w:color w:val="0071BB"/>
          <w:u w:val="thick" w:color="0071BB"/>
        </w:rPr>
        <w:t>Massoud</w:t>
      </w:r>
      <w:proofErr w:type="spellEnd"/>
      <w:r>
        <w:rPr>
          <w:color w:val="0071BB"/>
          <w:u w:val="thick" w:color="0071BB"/>
        </w:rPr>
        <w:t xml:space="preserve"> przeciwko Malcie</w:t>
      </w:r>
    </w:p>
    <w:p w14:paraId="6F8F9573" w14:textId="77777777" w:rsidR="00A64743" w:rsidRDefault="001A3819">
      <w:pPr>
        <w:spacing w:before="61" w:line="218" w:lineRule="exact"/>
        <w:ind w:left="880"/>
        <w:jc w:val="both"/>
        <w:rPr>
          <w:sz w:val="18"/>
        </w:rPr>
      </w:pPr>
      <w:r>
        <w:rPr>
          <w:color w:val="808080"/>
          <w:sz w:val="18"/>
        </w:rPr>
        <w:t>27 lipca 2010 r.</w:t>
      </w:r>
    </w:p>
    <w:p w14:paraId="7265478C" w14:textId="43AE23DD" w:rsidR="00A64743" w:rsidRDefault="001A3819">
      <w:pPr>
        <w:pStyle w:val="Tekstpodstawowy"/>
        <w:ind w:left="879" w:right="976"/>
      </w:pPr>
      <w:r>
        <w:t xml:space="preserve">Sprawa dotyczyła obywatela algierskiego, który urodził się w 1960 r., a w </w:t>
      </w:r>
      <w:r w:rsidR="00F21E2C">
        <w:t xml:space="preserve">momencie złożenia </w:t>
      </w:r>
      <w:r>
        <w:t xml:space="preserve">wniosku </w:t>
      </w:r>
      <w:r w:rsidR="00F21E2C">
        <w:t xml:space="preserve">był </w:t>
      </w:r>
      <w:r w:rsidR="00EB0F51">
        <w:t xml:space="preserve">osadzony </w:t>
      </w:r>
      <w:r>
        <w:t xml:space="preserve">w koszarach </w:t>
      </w:r>
      <w:r w:rsidR="00EB0F51">
        <w:t xml:space="preserve">wojskowych w </w:t>
      </w:r>
      <w:proofErr w:type="spellStart"/>
      <w:r>
        <w:t>S</w:t>
      </w:r>
      <w:r w:rsidR="00660EBE">
        <w:t>afi</w:t>
      </w:r>
      <w:proofErr w:type="spellEnd"/>
      <w:r w:rsidR="00660EBE">
        <w:t xml:space="preserve"> (Malta). Przybył na Maltę </w:t>
      </w:r>
      <w:r w:rsidR="00660EBE">
        <w:lastRenderedPageBreak/>
        <w:t>w </w:t>
      </w:r>
      <w:r>
        <w:t xml:space="preserve">czerwcu 2006 r. łodzią i został natychmiast pozbawiony wolności. Następnie postawiono mu zarzuty </w:t>
      </w:r>
      <w:r w:rsidR="00EB0F51">
        <w:t xml:space="preserve">i uznano go winnym pomagania innym </w:t>
      </w:r>
      <w:r>
        <w:t xml:space="preserve">w przekroczeniu </w:t>
      </w:r>
      <w:r w:rsidR="00660EBE">
        <w:t>granicy Malty</w:t>
      </w:r>
      <w:r>
        <w:t>. Po odbyciu kary pozbawienia wolności został zwolniony z zakładu karnego i natychmiast umieszczony w ośrodku detencyjnym na okres nieco przekraczający 18 miesięcy.</w:t>
      </w:r>
    </w:p>
    <w:p w14:paraId="3276BFEB" w14:textId="1D2DFB6C" w:rsidR="00A64743" w:rsidRDefault="001A3819">
      <w:pPr>
        <w:pStyle w:val="Tekstpodstawowy"/>
        <w:ind w:left="879" w:right="978"/>
      </w:pPr>
      <w:r>
        <w:rPr>
          <w:color w:val="0071BB"/>
        </w:rPr>
        <w:t xml:space="preserve">Trybunał orzekł, że doszło do </w:t>
      </w:r>
      <w:r>
        <w:rPr>
          <w:b/>
          <w:bCs/>
          <w:color w:val="0071BB"/>
        </w:rPr>
        <w:t xml:space="preserve">naruszenia art. 5 ust. 1 </w:t>
      </w:r>
      <w:r w:rsidR="00D446FC">
        <w:rPr>
          <w:color w:val="0071BB"/>
        </w:rPr>
        <w:t>(prawo do wolności i </w:t>
      </w:r>
      <w:r>
        <w:rPr>
          <w:color w:val="0071BB"/>
        </w:rPr>
        <w:t xml:space="preserve">bezpieczeństwa osobistego) oraz </w:t>
      </w:r>
      <w:r>
        <w:rPr>
          <w:b/>
          <w:bCs/>
          <w:color w:val="0071BB"/>
        </w:rPr>
        <w:t>do naruszenia art. 5 ust. 4</w:t>
      </w:r>
      <w:r>
        <w:rPr>
          <w:color w:val="0071BB"/>
        </w:rPr>
        <w:t xml:space="preserve"> Konwencji (prawo do bezzwłocznego </w:t>
      </w:r>
      <w:r w:rsidR="00EB0F51">
        <w:rPr>
          <w:color w:val="0071BB"/>
        </w:rPr>
        <w:t xml:space="preserve">zbadania </w:t>
      </w:r>
      <w:r>
        <w:rPr>
          <w:color w:val="0071BB"/>
        </w:rPr>
        <w:t xml:space="preserve">przez sąd legalności pozbawienia wolności) ze względu na pozbawienie skarżącego wolności przez okres przekraczający 18 miesięcy, które stanowią maksymalny okres dozwolony w świetle polityki </w:t>
      </w:r>
      <w:r w:rsidR="00EB0F51">
        <w:rPr>
          <w:color w:val="0071BB"/>
        </w:rPr>
        <w:t xml:space="preserve">wprowadzonej w 2005 r. na Malcie i </w:t>
      </w:r>
      <w:r>
        <w:rPr>
          <w:color w:val="0071BB"/>
        </w:rPr>
        <w:t>dotyczącej nielegalnych imigrantów, uchodźców i integracji</w:t>
      </w:r>
      <w:r w:rsidR="00EB0F51">
        <w:rPr>
          <w:color w:val="0071BB"/>
        </w:rPr>
        <w:t>.</w:t>
      </w:r>
    </w:p>
    <w:p w14:paraId="10AD702B" w14:textId="77777777" w:rsidR="00A64743" w:rsidRDefault="00711FD6">
      <w:pPr>
        <w:spacing w:before="119"/>
        <w:ind w:left="879"/>
        <w:jc w:val="both"/>
        <w:rPr>
          <w:sz w:val="16"/>
        </w:rPr>
      </w:pPr>
      <w:hyperlink r:id="rId79">
        <w:proofErr w:type="spellStart"/>
        <w:r w:rsidR="001A3819">
          <w:rPr>
            <w:b/>
            <w:color w:val="0071BB"/>
            <w:sz w:val="20"/>
            <w:u w:val="thick" w:color="0071BB"/>
          </w:rPr>
          <w:t>Rahimi</w:t>
        </w:r>
        <w:proofErr w:type="spellEnd"/>
        <w:r w:rsidR="001A3819">
          <w:rPr>
            <w:b/>
            <w:color w:val="0071BB"/>
            <w:sz w:val="20"/>
            <w:u w:val="thick" w:color="0071BB"/>
          </w:rPr>
          <w:t xml:space="preserve"> przeciwko Grecji</w:t>
        </w:r>
      </w:hyperlink>
      <w:r w:rsidR="001A3819">
        <w:rPr>
          <w:b/>
          <w:color w:val="0071BB"/>
          <w:sz w:val="20"/>
        </w:rPr>
        <w:t xml:space="preserve"> </w:t>
      </w:r>
      <w:r w:rsidR="001A3819">
        <w:rPr>
          <w:color w:val="808080"/>
          <w:sz w:val="16"/>
        </w:rPr>
        <w:t>(zobacz również powyżej „Warunki pozbawienia wolności”)</w:t>
      </w:r>
    </w:p>
    <w:p w14:paraId="68B4D445" w14:textId="77777777" w:rsidR="00A64743" w:rsidRDefault="001A3819">
      <w:pPr>
        <w:spacing w:before="62" w:line="218" w:lineRule="exact"/>
        <w:ind w:left="880"/>
        <w:jc w:val="both"/>
        <w:rPr>
          <w:sz w:val="18"/>
        </w:rPr>
      </w:pPr>
      <w:r>
        <w:rPr>
          <w:color w:val="808080"/>
          <w:sz w:val="18"/>
        </w:rPr>
        <w:t>5 kwietnia 2011 r.</w:t>
      </w:r>
    </w:p>
    <w:p w14:paraId="7C40532C" w14:textId="77777777" w:rsidR="00A64743" w:rsidRDefault="001A3819">
      <w:pPr>
        <w:pStyle w:val="Tekstpodstawowy"/>
        <w:ind w:left="879" w:right="977"/>
      </w:pPr>
      <w:r>
        <w:t>Sprawa dotyczyła umieszczenia małoletniego obcokrajowca bez opieki w ośrodku detencyjnym dla dorosłych. Skarżący zarzucał w szczególności, że nie poinformowano go o przyczynach zatrzymania ani o środkach odwoławczych, które mu w związku z tym przysługują.</w:t>
      </w:r>
    </w:p>
    <w:p w14:paraId="4AC3C5B5" w14:textId="1B0539BB" w:rsidR="00A64743" w:rsidRDefault="001A3819">
      <w:pPr>
        <w:pStyle w:val="Tekstpodstawowy"/>
        <w:ind w:left="879" w:right="972"/>
      </w:pP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 ust. 1</w:t>
      </w:r>
      <w:r w:rsidR="00D446FC">
        <w:rPr>
          <w:color w:val="0071BB"/>
        </w:rPr>
        <w:t xml:space="preserve"> Konwencji (prawo do wolności i </w:t>
      </w:r>
      <w:r>
        <w:rPr>
          <w:color w:val="0071BB"/>
        </w:rPr>
        <w:t xml:space="preserve">bezpieczeństwa osobistego). Zauważył, że pozbawienie wolności skarżącego </w:t>
      </w:r>
      <w:r w:rsidR="000B5170">
        <w:rPr>
          <w:color w:val="0071BB"/>
        </w:rPr>
        <w:t>zostało dokonane na podstawie</w:t>
      </w:r>
      <w:r>
        <w:rPr>
          <w:color w:val="0071BB"/>
        </w:rPr>
        <w:t xml:space="preserve"> </w:t>
      </w:r>
      <w:r w:rsidR="000B5170">
        <w:rPr>
          <w:color w:val="0071BB"/>
        </w:rPr>
        <w:t xml:space="preserve">przepisów </w:t>
      </w:r>
      <w:r>
        <w:rPr>
          <w:color w:val="0071BB"/>
        </w:rPr>
        <w:t>praw</w:t>
      </w:r>
      <w:r w:rsidR="000B5170">
        <w:rPr>
          <w:color w:val="0071BB"/>
        </w:rPr>
        <w:t>a</w:t>
      </w:r>
      <w:r>
        <w:rPr>
          <w:color w:val="0071BB"/>
        </w:rPr>
        <w:t xml:space="preserve"> i służyło zapewnieniu jego deportacji. Co do zasady, </w:t>
      </w:r>
      <w:r w:rsidR="000B5170">
        <w:rPr>
          <w:color w:val="0071BB"/>
        </w:rPr>
        <w:t xml:space="preserve">długość </w:t>
      </w:r>
      <w:r>
        <w:rPr>
          <w:color w:val="0071BB"/>
        </w:rPr>
        <w:t>okresu pozbawienia go wolności – dw</w:t>
      </w:r>
      <w:r w:rsidR="000B5170">
        <w:rPr>
          <w:color w:val="0071BB"/>
        </w:rPr>
        <w:t>a</w:t>
      </w:r>
      <w:r>
        <w:rPr>
          <w:color w:val="0071BB"/>
        </w:rPr>
        <w:t xml:space="preserve"> dni – nie </w:t>
      </w:r>
      <w:r w:rsidR="000B5170">
        <w:rPr>
          <w:color w:val="0071BB"/>
        </w:rPr>
        <w:t xml:space="preserve">może być </w:t>
      </w:r>
      <w:r>
        <w:rPr>
          <w:color w:val="0071BB"/>
        </w:rPr>
        <w:t>uzna</w:t>
      </w:r>
      <w:r w:rsidR="000B5170">
        <w:rPr>
          <w:color w:val="0071BB"/>
        </w:rPr>
        <w:t>na</w:t>
      </w:r>
      <w:r>
        <w:rPr>
          <w:color w:val="0071BB"/>
        </w:rPr>
        <w:t xml:space="preserve"> za </w:t>
      </w:r>
      <w:r w:rsidR="001B45AB">
        <w:rPr>
          <w:color w:val="0071BB"/>
        </w:rPr>
        <w:t xml:space="preserve">nadmierny </w:t>
      </w:r>
      <w:r>
        <w:rPr>
          <w:color w:val="0071BB"/>
        </w:rPr>
        <w:t xml:space="preserve">w kontekście celu, któremu miało służyć. Władze greckie </w:t>
      </w:r>
      <w:r w:rsidR="001B45AB">
        <w:rPr>
          <w:color w:val="0071BB"/>
        </w:rPr>
        <w:t xml:space="preserve">nie uwzględniły </w:t>
      </w:r>
      <w:r>
        <w:rPr>
          <w:color w:val="0071BB"/>
        </w:rPr>
        <w:t xml:space="preserve">jednak najlepiej pojmowanego interesu skarżącego </w:t>
      </w:r>
      <w:r w:rsidR="001B45AB">
        <w:rPr>
          <w:color w:val="0071BB"/>
        </w:rPr>
        <w:t>jako osoby małoletniej</w:t>
      </w:r>
      <w:r>
        <w:rPr>
          <w:color w:val="0071BB"/>
        </w:rPr>
        <w:t xml:space="preserve"> i nie przeanalizowały możliwości zastąpienia pozbawienia wolności mniej drastycznym środkiem. Czynniki te doprowadziły Trybunał do podania w wątpliwość dobrej wiary władz </w:t>
      </w:r>
      <w:r w:rsidR="001B45AB">
        <w:rPr>
          <w:color w:val="0071BB"/>
        </w:rPr>
        <w:t xml:space="preserve">przy </w:t>
      </w:r>
      <w:r>
        <w:rPr>
          <w:color w:val="0071BB"/>
        </w:rPr>
        <w:t>wykon</w:t>
      </w:r>
      <w:r w:rsidR="001B45AB">
        <w:rPr>
          <w:color w:val="0071BB"/>
        </w:rPr>
        <w:t>yw</w:t>
      </w:r>
      <w:r>
        <w:rPr>
          <w:color w:val="0071BB"/>
        </w:rPr>
        <w:t xml:space="preserve">aniu środka w postaci pozbawienia wolności. </w:t>
      </w:r>
      <w:r w:rsidR="001B45AB">
        <w:rPr>
          <w:color w:val="0071BB"/>
        </w:rPr>
        <w:t xml:space="preserve">Z tego powodu </w:t>
      </w:r>
      <w:r>
        <w:rPr>
          <w:color w:val="0071BB"/>
        </w:rPr>
        <w:t>Trybunał uznał, że pozbawienie wolności skarżącego nie było „zgodne z prawem” w rozumieniu art. 5 ust. 1 Konwencji.</w:t>
      </w:r>
    </w:p>
    <w:p w14:paraId="53847B02" w14:textId="215AF7FA" w:rsidR="00A64743" w:rsidRDefault="001A3819">
      <w:pPr>
        <w:pStyle w:val="Tekstpodstawowy"/>
        <w:ind w:left="879" w:right="973"/>
      </w:pPr>
      <w:r>
        <w:rPr>
          <w:color w:val="0071BB"/>
        </w:rPr>
        <w:t xml:space="preserve">Trybunał stwierdził również </w:t>
      </w:r>
      <w:r>
        <w:rPr>
          <w:b/>
          <w:bCs/>
          <w:color w:val="0071BB"/>
        </w:rPr>
        <w:t xml:space="preserve">naruszenie art. 5 ust. 4 </w:t>
      </w:r>
      <w:r>
        <w:rPr>
          <w:color w:val="0071BB"/>
        </w:rPr>
        <w:t xml:space="preserve">Konwencji (prawo do bezzwłocznego </w:t>
      </w:r>
      <w:r w:rsidR="001B45AB">
        <w:rPr>
          <w:color w:val="0071BB"/>
        </w:rPr>
        <w:t xml:space="preserve">zbadania </w:t>
      </w:r>
      <w:r>
        <w:rPr>
          <w:color w:val="0071BB"/>
        </w:rPr>
        <w:t>przez sąd legalności po</w:t>
      </w:r>
      <w:r w:rsidR="00D446FC">
        <w:rPr>
          <w:color w:val="0071BB"/>
        </w:rPr>
        <w:t>zbawienia wolności). Skarżący w </w:t>
      </w:r>
      <w:r>
        <w:rPr>
          <w:color w:val="0071BB"/>
        </w:rPr>
        <w:t xml:space="preserve">praktyce nie był w stanie skontaktować się z prawnikiem. Co więcej, broszura informacyjna przedstawiająca część dostępnych środków była napisana w języku, którego skarżący nie zrozumiałby, mimo że przesłuchanie prowadzono w jego ojczystym języku. Skarżący został też zarejestrowany jako małoletni podróżujący pod opieką osoby dorosłej, chociaż nie miał żadnego opiekuna, który mógłby wystąpić w charakterze przedstawiciela ustawowego. W związku z powyższym nawet jeżeli przyjąć, że środki odwoławcze były skuteczne, Trybunał nie </w:t>
      </w:r>
      <w:r w:rsidR="007351B5">
        <w:rPr>
          <w:color w:val="0071BB"/>
        </w:rPr>
        <w:t>widział</w:t>
      </w:r>
      <w:r>
        <w:rPr>
          <w:color w:val="0071BB"/>
        </w:rPr>
        <w:t>, w jaki sposób skarżący mógłby z</w:t>
      </w:r>
      <w:r w:rsidR="00D446FC">
        <w:rPr>
          <w:color w:val="0071BB"/>
        </w:rPr>
        <w:t> </w:t>
      </w:r>
      <w:r>
        <w:rPr>
          <w:color w:val="0071BB"/>
        </w:rPr>
        <w:t>nich skorzystać.</w:t>
      </w:r>
    </w:p>
    <w:p w14:paraId="09698CF7" w14:textId="77777777" w:rsidR="00A64743" w:rsidRDefault="001A3819" w:rsidP="008D1215">
      <w:pPr>
        <w:spacing w:before="120"/>
        <w:ind w:left="880" w:right="967"/>
        <w:jc w:val="both"/>
        <w:rPr>
          <w:sz w:val="16"/>
        </w:rPr>
      </w:pPr>
      <w:r>
        <w:rPr>
          <w:b/>
          <w:color w:val="0071BB"/>
          <w:sz w:val="20"/>
          <w:u w:val="thick" w:color="0071BB"/>
        </w:rPr>
        <w:t>R.U. przeciwko Grecji (skarga nr 2237/08)</w:t>
      </w:r>
      <w:r>
        <w:rPr>
          <w:b/>
          <w:color w:val="0071BB"/>
          <w:sz w:val="20"/>
        </w:rPr>
        <w:t xml:space="preserve"> </w:t>
      </w:r>
      <w:r>
        <w:rPr>
          <w:color w:val="808080"/>
          <w:sz w:val="16"/>
        </w:rPr>
        <w:t>(zobacz również powyżej „Warunki pozbawienia wolności”)</w:t>
      </w:r>
    </w:p>
    <w:p w14:paraId="31518665" w14:textId="77777777" w:rsidR="00A64743" w:rsidRDefault="001A3819">
      <w:pPr>
        <w:spacing w:before="60" w:line="218" w:lineRule="exact"/>
        <w:ind w:left="880"/>
        <w:rPr>
          <w:sz w:val="18"/>
        </w:rPr>
      </w:pPr>
      <w:r>
        <w:rPr>
          <w:color w:val="808080"/>
          <w:sz w:val="18"/>
        </w:rPr>
        <w:t>7 czerwca 2011 r.</w:t>
      </w:r>
    </w:p>
    <w:p w14:paraId="1F9DA00B" w14:textId="76D3E17E" w:rsidR="00A64743" w:rsidRDefault="001A3819">
      <w:pPr>
        <w:pStyle w:val="Tekstpodstawowy"/>
        <w:ind w:left="879" w:right="976"/>
      </w:pPr>
      <w:r>
        <w:t>Sprawa dotyczyła pozbawienia wolności na terytoriu</w:t>
      </w:r>
      <w:r w:rsidR="00D446FC">
        <w:t xml:space="preserve">m Grecji </w:t>
      </w:r>
      <w:r w:rsidR="007351B5">
        <w:t xml:space="preserve">ubiegającego się o azyl </w:t>
      </w:r>
      <w:r w:rsidR="00D446FC">
        <w:t xml:space="preserve">obywatela tureckiego </w:t>
      </w:r>
      <w:r>
        <w:t>pochodzeni</w:t>
      </w:r>
      <w:r w:rsidR="007351B5">
        <w:t>a</w:t>
      </w:r>
      <w:r>
        <w:t xml:space="preserve"> kurdyjski</w:t>
      </w:r>
      <w:r w:rsidR="007351B5">
        <w:t>ego</w:t>
      </w:r>
      <w:r>
        <w:t xml:space="preserve">, który miał być torturowany w Turcji, jak również </w:t>
      </w:r>
      <w:r w:rsidR="007351B5">
        <w:t xml:space="preserve">przebiegu </w:t>
      </w:r>
      <w:r>
        <w:t>postępowania azylowego.</w:t>
      </w:r>
    </w:p>
    <w:p w14:paraId="7D11872E" w14:textId="124C59D0" w:rsidR="00A64743" w:rsidRDefault="001A3819">
      <w:pPr>
        <w:pStyle w:val="Tekstpodstawowy"/>
        <w:ind w:left="879" w:right="975"/>
      </w:pP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 ust. 1</w:t>
      </w:r>
      <w:r w:rsidR="00D446FC">
        <w:rPr>
          <w:color w:val="0071BB"/>
        </w:rPr>
        <w:t xml:space="preserve"> Konwencji (prawo do wolności i </w:t>
      </w:r>
      <w:r>
        <w:rPr>
          <w:color w:val="0071BB"/>
        </w:rPr>
        <w:t>bezpieczeństwa osobistego). Pozbawienie skarżącego wolności miało służyć zagwarantowaniu możliwości deportowania go. Trybunał zauważył</w:t>
      </w:r>
      <w:r w:rsidR="007351B5">
        <w:rPr>
          <w:color w:val="0071BB"/>
        </w:rPr>
        <w:t xml:space="preserve"> w tym względzie</w:t>
      </w:r>
      <w:r>
        <w:rPr>
          <w:color w:val="0071BB"/>
        </w:rPr>
        <w:t xml:space="preserve">, że prawo greckie zezwalało na pozbawienie wolności w celu deportacji jedynie wówczas, gdy przeprowadzenie deportacji było </w:t>
      </w:r>
      <w:r w:rsidR="007351B5">
        <w:rPr>
          <w:color w:val="0071BB"/>
        </w:rPr>
        <w:t>wykonalne</w:t>
      </w:r>
      <w:r>
        <w:rPr>
          <w:color w:val="0071BB"/>
        </w:rPr>
        <w:t xml:space="preserve">. Zauważył również, że zarówno w </w:t>
      </w:r>
      <w:r w:rsidR="007351B5">
        <w:rPr>
          <w:color w:val="0071BB"/>
        </w:rPr>
        <w:t xml:space="preserve">myśl </w:t>
      </w:r>
      <w:r>
        <w:rPr>
          <w:color w:val="0071BB"/>
        </w:rPr>
        <w:t xml:space="preserve">prawa greckiego, jak i międzynarodowego, osoba ubiegająca się o azyl nie mogła być deportowana do </w:t>
      </w:r>
      <w:r w:rsidR="007351B5">
        <w:rPr>
          <w:color w:val="0071BB"/>
        </w:rPr>
        <w:t>momentu aż</w:t>
      </w:r>
      <w:r w:rsidR="008F5993">
        <w:rPr>
          <w:color w:val="0071BB"/>
        </w:rPr>
        <w:t xml:space="preserve"> jego wniosek nie został ostatecznie </w:t>
      </w:r>
      <w:r>
        <w:rPr>
          <w:color w:val="0071BB"/>
        </w:rPr>
        <w:t>rozpatrz</w:t>
      </w:r>
      <w:r w:rsidR="008F5993">
        <w:rPr>
          <w:color w:val="0071BB"/>
        </w:rPr>
        <w:t>ony</w:t>
      </w:r>
      <w:r>
        <w:rPr>
          <w:color w:val="0071BB"/>
        </w:rPr>
        <w:t>. Było tak w sytuacji skarżącego (oczekującego na rozpatrzenie wniosku o az</w:t>
      </w:r>
      <w:r w:rsidR="00D446FC">
        <w:rPr>
          <w:color w:val="0071BB"/>
        </w:rPr>
        <w:t>yl) – gdy sąd administracyjny w </w:t>
      </w:r>
      <w:r>
        <w:rPr>
          <w:color w:val="0071BB"/>
        </w:rPr>
        <w:t>dniu 15 maja 2007 r. wydawał postanowienie w przedmiocie dalszego pozbawienia wolności, miał świadomość sytuacji, ponieważ treść postanowienia bezpośrednio odnosiła się do wniosku o azyl.</w:t>
      </w:r>
    </w:p>
    <w:p w14:paraId="247BF0F7" w14:textId="1EC240B0" w:rsidR="00A64743" w:rsidRDefault="001A3819">
      <w:pPr>
        <w:pStyle w:val="Tekstpodstawowy"/>
        <w:spacing w:before="1"/>
        <w:ind w:left="878" w:right="978"/>
      </w:pPr>
      <w:r>
        <w:rPr>
          <w:color w:val="0071BB"/>
        </w:rPr>
        <w:t xml:space="preserve">Trybunał stwierdził również </w:t>
      </w:r>
      <w:r>
        <w:rPr>
          <w:b/>
          <w:bCs/>
          <w:color w:val="0071BB"/>
        </w:rPr>
        <w:t xml:space="preserve">naruszenie art. 5 ust. 4 </w:t>
      </w:r>
      <w:r>
        <w:rPr>
          <w:color w:val="0071BB"/>
        </w:rPr>
        <w:t xml:space="preserve">Konwencji (prawo do </w:t>
      </w:r>
      <w:r>
        <w:rPr>
          <w:color w:val="0071BB"/>
        </w:rPr>
        <w:lastRenderedPageBreak/>
        <w:t xml:space="preserve">bezzwłocznego </w:t>
      </w:r>
      <w:r w:rsidR="008F5993">
        <w:rPr>
          <w:color w:val="0071BB"/>
        </w:rPr>
        <w:t xml:space="preserve">zbadania </w:t>
      </w:r>
      <w:r>
        <w:rPr>
          <w:color w:val="0071BB"/>
        </w:rPr>
        <w:t xml:space="preserve">przez sąd legalności pozbawienia wolności). Żaden z przepisów prawa greckiego nie dawał sądowi uprawnienia do badania legalności i </w:t>
      </w:r>
      <w:r w:rsidR="005D05DC">
        <w:rPr>
          <w:color w:val="0071BB"/>
        </w:rPr>
        <w:t xml:space="preserve">zasadności </w:t>
      </w:r>
      <w:r>
        <w:rPr>
          <w:color w:val="0071BB"/>
        </w:rPr>
        <w:t xml:space="preserve">decyzji w przedmiocie dalszego pozbawienia wolności w celu wydalenia. W każdym razie sędziowie, którzy rozpoznawali sprawę skarżącego, nie </w:t>
      </w:r>
      <w:r w:rsidR="005D05DC">
        <w:rPr>
          <w:color w:val="0071BB"/>
        </w:rPr>
        <w:t>z</w:t>
      </w:r>
      <w:r>
        <w:rPr>
          <w:color w:val="0071BB"/>
        </w:rPr>
        <w:t>badali tego zagadnienia.</w:t>
      </w:r>
    </w:p>
    <w:p w14:paraId="41D7F3F2" w14:textId="77777777" w:rsidR="00A64743" w:rsidRDefault="001A3819">
      <w:pPr>
        <w:pStyle w:val="Nagwek2"/>
        <w:spacing w:before="120"/>
        <w:ind w:left="878"/>
        <w:jc w:val="left"/>
        <w:rPr>
          <w:u w:val="none"/>
        </w:rPr>
      </w:pPr>
      <w:r>
        <w:rPr>
          <w:color w:val="0071BB"/>
          <w:u w:val="thick" w:color="0071BB"/>
        </w:rPr>
        <w:t>M i Inni przeciwko Bułgarii (skarga nr 41416/08)</w:t>
      </w:r>
    </w:p>
    <w:p w14:paraId="14B657F1" w14:textId="77777777" w:rsidR="00A64743" w:rsidRDefault="001A3819">
      <w:pPr>
        <w:spacing w:before="60" w:line="218" w:lineRule="exact"/>
        <w:ind w:left="880"/>
        <w:rPr>
          <w:sz w:val="18"/>
        </w:rPr>
      </w:pPr>
      <w:r>
        <w:rPr>
          <w:color w:val="808080"/>
          <w:sz w:val="18"/>
        </w:rPr>
        <w:t>26 lipca 2011 r.</w:t>
      </w:r>
    </w:p>
    <w:p w14:paraId="325887E7" w14:textId="176E7DF4" w:rsidR="00A64743" w:rsidRDefault="001A3819" w:rsidP="00D446FC">
      <w:pPr>
        <w:pStyle w:val="Tekstpodstawowy"/>
        <w:ind w:left="879" w:right="974"/>
      </w:pPr>
      <w:r>
        <w:t xml:space="preserve">Sprawa dotyczyła pozbawienia wolności w oczekiwaniu na wydalenie z Bułgarii obywatela afgańskiego będącego ojcem dwójki dzieci i braku możliwości skutecznego </w:t>
      </w:r>
      <w:r w:rsidR="006E5AD9">
        <w:t xml:space="preserve">sprzeciwienia się </w:t>
      </w:r>
      <w:r>
        <w:t xml:space="preserve">przez niego zaistniałej sytuacji. </w:t>
      </w: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 ust. 1</w:t>
      </w:r>
      <w:r>
        <w:rPr>
          <w:color w:val="0071BB"/>
        </w:rPr>
        <w:t xml:space="preserve"> Konwencji (prawo do wolności i bezpieczeństwa osobistego). Skarżący był pozbawiony wolności przez okres dwóch lat i ośmiu i pół miesiąca. Chociaż decyzję o jego deportacji wydano w grudniu 2005 r., władze dopiero w lutym 2007 r. po raz pierwszy podjęły próbę zabezpieczenia </w:t>
      </w:r>
      <w:r w:rsidR="006E5AD9">
        <w:rPr>
          <w:color w:val="0071BB"/>
        </w:rPr>
        <w:t xml:space="preserve">jego </w:t>
      </w:r>
      <w:r>
        <w:rPr>
          <w:color w:val="0071BB"/>
        </w:rPr>
        <w:t>dokumentu tożsamości, aby umożliwić deportację. Co więcej, powtórzyły swój wniosek dopiero rok i siedem miesięcy później. Przez cały ten okres skarżący był pozbawiony wolności. Ponadto Rząd bułgarski wykazał, że próbował odesłać skarżącego do innego bezpiecznego państwa. W rezultacie pozbawienie skarżącego wolności nie było uzasadnione, jeżeli chodzi o czas</w:t>
      </w:r>
      <w:r w:rsidR="006E5AD9">
        <w:rPr>
          <w:color w:val="0071BB"/>
        </w:rPr>
        <w:t xml:space="preserve"> jego</w:t>
      </w:r>
      <w:r>
        <w:rPr>
          <w:color w:val="0071BB"/>
        </w:rPr>
        <w:t xml:space="preserve"> trwania, z uwagi na brak staranności po stronie władz bułgarskich.</w:t>
      </w:r>
    </w:p>
    <w:p w14:paraId="09626A1C" w14:textId="111E2FA2" w:rsidR="00A64743" w:rsidRDefault="001A3819">
      <w:pPr>
        <w:pStyle w:val="Tekstpodstawowy"/>
        <w:ind w:right="975"/>
      </w:pPr>
      <w:r>
        <w:rPr>
          <w:color w:val="0071BB"/>
        </w:rPr>
        <w:t xml:space="preserve">Trybunał stwierdził również </w:t>
      </w:r>
      <w:r>
        <w:rPr>
          <w:b/>
          <w:bCs/>
          <w:color w:val="0071BB"/>
        </w:rPr>
        <w:t xml:space="preserve">naruszenie art. 5 ust. 4 </w:t>
      </w:r>
      <w:r>
        <w:rPr>
          <w:color w:val="0071BB"/>
        </w:rPr>
        <w:t xml:space="preserve">Konwencji (prawo do bezzwłocznego </w:t>
      </w:r>
      <w:r w:rsidR="006E5AD9">
        <w:rPr>
          <w:color w:val="0071BB"/>
        </w:rPr>
        <w:t xml:space="preserve">zbadania </w:t>
      </w:r>
      <w:r>
        <w:rPr>
          <w:color w:val="0071BB"/>
        </w:rPr>
        <w:t>przez sąd legalności pozbawienia wolności). Skarżący podnosił w dwóch odrębnych postępowaniach sądowych</w:t>
      </w:r>
      <w:r w:rsidR="005E082F">
        <w:rPr>
          <w:color w:val="0071BB"/>
        </w:rPr>
        <w:t>,</w:t>
      </w:r>
      <w:r>
        <w:rPr>
          <w:color w:val="0071BB"/>
        </w:rPr>
        <w:t xml:space="preserve"> </w:t>
      </w:r>
      <w:r w:rsidR="005E082F">
        <w:rPr>
          <w:color w:val="0071BB"/>
        </w:rPr>
        <w:t xml:space="preserve">że pozbawienie go wolności, dokonane na mocy dwóch odrębnych orzeczeń, </w:t>
      </w:r>
      <w:r>
        <w:rPr>
          <w:color w:val="0071BB"/>
        </w:rPr>
        <w:t xml:space="preserve">w grudniu 2005 r. i październiku 2006 r., było niezgodne z prawem. W pierwszym postępowaniu sądy odmówiły rozpoznania jego </w:t>
      </w:r>
      <w:r w:rsidR="005E082F">
        <w:rPr>
          <w:color w:val="0071BB"/>
        </w:rPr>
        <w:t>odwołania</w:t>
      </w:r>
      <w:r>
        <w:rPr>
          <w:color w:val="0071BB"/>
        </w:rPr>
        <w:t>, a w drugim sądy ustaliły jedynie – nieomal dwa i pół roku później – że druga decyzja została podpisana przez urzędnika nieposiadającego uprawnień. Z tego względu władze nie zapewniły skarżącemu możliwości bezzwłocznego zbadania przez sąd legalności pozbawienia wolności w oczekiwaniu na wydalenie.</w:t>
      </w:r>
    </w:p>
    <w:p w14:paraId="1F8D68B3" w14:textId="77777777" w:rsidR="00A64743" w:rsidRDefault="001A3819">
      <w:pPr>
        <w:spacing w:before="61"/>
        <w:ind w:left="880"/>
        <w:rPr>
          <w:sz w:val="20"/>
        </w:rPr>
      </w:pPr>
      <w:r>
        <w:rPr>
          <w:i/>
          <w:iCs/>
          <w:color w:val="404040"/>
          <w:sz w:val="20"/>
        </w:rPr>
        <w:t>Zobacz również:</w:t>
      </w:r>
      <w:r>
        <w:rPr>
          <w:i/>
          <w:color w:val="404040"/>
          <w:sz w:val="20"/>
        </w:rPr>
        <w:t xml:space="preserve"> </w:t>
      </w:r>
      <w:hyperlink r:id="rId80">
        <w:r>
          <w:rPr>
            <w:b/>
            <w:i/>
            <w:color w:val="0071BB"/>
            <w:sz w:val="20"/>
            <w:u w:val="thick" w:color="0071BB"/>
          </w:rPr>
          <w:t>Amie i Inni przeciwko Bułgarii</w:t>
        </w:r>
      </w:hyperlink>
      <w:r>
        <w:rPr>
          <w:color w:val="404040"/>
          <w:sz w:val="20"/>
        </w:rPr>
        <w:t>, wyrok z dnia 12 lutego 2013 r.</w:t>
      </w:r>
    </w:p>
    <w:p w14:paraId="0EF65B2B" w14:textId="77777777" w:rsidR="00A64743" w:rsidRDefault="001A3819">
      <w:pPr>
        <w:pStyle w:val="Nagwek2"/>
        <w:spacing w:before="118"/>
        <w:jc w:val="left"/>
        <w:rPr>
          <w:u w:val="none"/>
        </w:rPr>
      </w:pPr>
      <w:proofErr w:type="spellStart"/>
      <w:r>
        <w:rPr>
          <w:color w:val="0071BB"/>
          <w:u w:val="thick" w:color="0071BB"/>
        </w:rPr>
        <w:t>Auad</w:t>
      </w:r>
      <w:proofErr w:type="spellEnd"/>
      <w:r>
        <w:rPr>
          <w:color w:val="0071BB"/>
          <w:u w:val="thick" w:color="0071BB"/>
        </w:rPr>
        <w:t xml:space="preserve"> przeciwko Bułgarii</w:t>
      </w:r>
    </w:p>
    <w:p w14:paraId="1C1446AE" w14:textId="77777777" w:rsidR="00A64743" w:rsidRDefault="001A3819">
      <w:pPr>
        <w:spacing w:before="61"/>
        <w:ind w:left="880"/>
        <w:rPr>
          <w:sz w:val="18"/>
        </w:rPr>
      </w:pPr>
      <w:r>
        <w:rPr>
          <w:color w:val="808080"/>
          <w:sz w:val="18"/>
        </w:rPr>
        <w:t>11 października 2011 r.</w:t>
      </w:r>
    </w:p>
    <w:p w14:paraId="50E854AE" w14:textId="3A2BD22C" w:rsidR="00A64743" w:rsidRDefault="001A3819">
      <w:pPr>
        <w:pStyle w:val="Tekstpodstawowy"/>
        <w:spacing w:before="1"/>
        <w:ind w:right="976"/>
      </w:pPr>
      <w:r>
        <w:t>Skarżący, będący bezpaństwowcem pochodzenia palest</w:t>
      </w:r>
      <w:r w:rsidR="00D446FC">
        <w:t>yńskiego, przybył do Bułgarii w </w:t>
      </w:r>
      <w:r>
        <w:t xml:space="preserve">maju 2009 r. i niedługo później złożył wniosek o azyl. </w:t>
      </w:r>
      <w:r w:rsidR="001E4DC1">
        <w:t>Został oskarżony o</w:t>
      </w:r>
      <w:r>
        <w:t xml:space="preserve"> terroryzm (w szczególności </w:t>
      </w:r>
      <w:r w:rsidR="001E4DC1">
        <w:t>branie udziału w</w:t>
      </w:r>
      <w:r w:rsidR="00D446FC">
        <w:t xml:space="preserve"> ponad dziesięciu </w:t>
      </w:r>
      <w:r w:rsidR="001E4DC1">
        <w:t>zabójstwach</w:t>
      </w:r>
      <w:r w:rsidR="00D446FC">
        <w:t>), a w </w:t>
      </w:r>
      <w:r>
        <w:t>listopadzie 2009 r. wydano decyzję o wydaleniu go do Libanu, powołując się na względy bezpieczeństwa narodowego. Pozostawał pozbawiony wolności do maja 2011 r., a więc przez maksymalny okres (18 miesięcy) dozwo</w:t>
      </w:r>
      <w:r w:rsidR="00D446FC">
        <w:t xml:space="preserve">lony bułgarskim </w:t>
      </w:r>
      <w:r w:rsidR="008D48AE">
        <w:t>prawem dotyczącym</w:t>
      </w:r>
      <w:r>
        <w:t xml:space="preserve"> pozbawienia wolności w oczekiwaniu na deportację. Po </w:t>
      </w:r>
      <w:r w:rsidR="008D48AE">
        <w:t>z</w:t>
      </w:r>
      <w:r>
        <w:t>wolnieniu przebywał w Sofii i miał obowiązek codziennego stawiennictwa na lokalnym posterunku policji.</w:t>
      </w:r>
    </w:p>
    <w:p w14:paraId="013989A0" w14:textId="3E2AC005" w:rsidR="00A64743" w:rsidRDefault="001A3819" w:rsidP="008D1215">
      <w:pPr>
        <w:pStyle w:val="Tekstpodstawowy"/>
        <w:ind w:right="976"/>
      </w:pPr>
      <w:r>
        <w:rPr>
          <w:color w:val="0071BB"/>
        </w:rPr>
        <w:t xml:space="preserve">Trybunał orzekł, że </w:t>
      </w:r>
      <w:r>
        <w:rPr>
          <w:b/>
          <w:bCs/>
          <w:color w:val="0071BB"/>
        </w:rPr>
        <w:t>doszło do naruszenia art. 5 ust. 1</w:t>
      </w:r>
      <w:r w:rsidR="00D446FC">
        <w:rPr>
          <w:color w:val="0071BB"/>
        </w:rPr>
        <w:t xml:space="preserve"> Konwencji (prawo do wolności i </w:t>
      </w:r>
      <w:r>
        <w:rPr>
          <w:color w:val="0071BB"/>
        </w:rPr>
        <w:t>bezpieczeństwa osobistego), ponieważ podstawy pozbawienia skarżącego wolności – mianowicie oczekiwani</w:t>
      </w:r>
      <w:r w:rsidR="00DC4A18">
        <w:rPr>
          <w:color w:val="0071BB"/>
        </w:rPr>
        <w:t>e</w:t>
      </w:r>
      <w:r>
        <w:rPr>
          <w:color w:val="0071BB"/>
        </w:rPr>
        <w:t xml:space="preserve"> na deportację – nie były podstawami ważnymi przez cały okres pozbawienia wolności z uwagi na nieprzeprowadzenie postępowania przez władze bułgarskie z należytą starannością.</w:t>
      </w:r>
    </w:p>
    <w:p w14:paraId="17615D06" w14:textId="77777777" w:rsidR="00A64743" w:rsidRDefault="001A3819">
      <w:pPr>
        <w:pStyle w:val="Nagwek2"/>
        <w:rPr>
          <w:u w:val="none"/>
        </w:rPr>
      </w:pPr>
      <w:proofErr w:type="spellStart"/>
      <w:r>
        <w:rPr>
          <w:color w:val="0071BB"/>
          <w:u w:val="thick" w:color="0071BB"/>
        </w:rPr>
        <w:t>Mathloom</w:t>
      </w:r>
      <w:proofErr w:type="spellEnd"/>
      <w:r>
        <w:rPr>
          <w:color w:val="0071BB"/>
          <w:u w:val="thick" w:color="0071BB"/>
        </w:rPr>
        <w:t xml:space="preserve"> przeciwko Grecji</w:t>
      </w:r>
    </w:p>
    <w:p w14:paraId="0D3A74DE" w14:textId="77777777" w:rsidR="00A64743" w:rsidRDefault="001A3819">
      <w:pPr>
        <w:spacing w:before="62" w:line="218" w:lineRule="exact"/>
        <w:ind w:left="880"/>
        <w:jc w:val="both"/>
        <w:rPr>
          <w:sz w:val="18"/>
        </w:rPr>
      </w:pPr>
      <w:r>
        <w:rPr>
          <w:color w:val="808080"/>
          <w:sz w:val="18"/>
        </w:rPr>
        <w:t>24 kwietnia 2012 r.</w:t>
      </w:r>
    </w:p>
    <w:p w14:paraId="16A224C8" w14:textId="0915638D" w:rsidR="00A64743" w:rsidRDefault="001A3819">
      <w:pPr>
        <w:pStyle w:val="Tekstpodstawowy"/>
        <w:ind w:right="976"/>
      </w:pPr>
      <w:r>
        <w:t xml:space="preserve">Sprawa dotyczyła obywatela </w:t>
      </w:r>
      <w:r w:rsidR="00DC4A18">
        <w:t>irackiego</w:t>
      </w:r>
      <w:r>
        <w:t>, który był pozbawiony wolności przez ponad dwa lata i trzy miesiące w celu wykonania deportacji,</w:t>
      </w:r>
      <w:r w:rsidR="00D446FC">
        <w:t xml:space="preserve"> chociaż wydano postanowienie o </w:t>
      </w:r>
      <w:r>
        <w:t>warunkowym zwolnieniu.</w:t>
      </w:r>
    </w:p>
    <w:p w14:paraId="6569CA5C" w14:textId="436F9359" w:rsidR="00A64743" w:rsidRDefault="001A3819">
      <w:pPr>
        <w:pStyle w:val="Tekstpodstawowy"/>
        <w:ind w:right="977"/>
      </w:pP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 ust. 1</w:t>
      </w:r>
      <w:r w:rsidR="00D446FC">
        <w:rPr>
          <w:color w:val="0071BB"/>
        </w:rPr>
        <w:t xml:space="preserve"> Konwencji (prawo do wolności i </w:t>
      </w:r>
      <w:r>
        <w:rPr>
          <w:color w:val="0071BB"/>
        </w:rPr>
        <w:t xml:space="preserve">bezpieczeństwa osobistego). Trybunał uznał w szczególności, że </w:t>
      </w:r>
      <w:r w:rsidR="00DC4A18">
        <w:rPr>
          <w:color w:val="0071BB"/>
        </w:rPr>
        <w:t xml:space="preserve">przepisy prawa </w:t>
      </w:r>
      <w:r>
        <w:rPr>
          <w:color w:val="0071BB"/>
        </w:rPr>
        <w:t>greckie</w:t>
      </w:r>
      <w:r w:rsidR="00DC4A18">
        <w:rPr>
          <w:color w:val="0071BB"/>
        </w:rPr>
        <w:t>go</w:t>
      </w:r>
      <w:r>
        <w:rPr>
          <w:color w:val="0071BB"/>
        </w:rPr>
        <w:t xml:space="preserve"> regulujące kwestię pozbawienia wolności osób, wobec których sądy wydały </w:t>
      </w:r>
      <w:r w:rsidR="00DC4A18">
        <w:rPr>
          <w:color w:val="0071BB"/>
        </w:rPr>
        <w:t xml:space="preserve">decyzje </w:t>
      </w:r>
      <w:r>
        <w:rPr>
          <w:color w:val="0071BB"/>
        </w:rPr>
        <w:t>o wydaleniu, nie określały maksymalnego okresu takiego pozbawienia wolności, przez co nie był spełniony warunek przewidywalności z art. 5 ust. 1 Konwencji.</w:t>
      </w:r>
    </w:p>
    <w:p w14:paraId="5F8BD404" w14:textId="77777777" w:rsidR="001D23DE" w:rsidRDefault="001D23DE">
      <w:pPr>
        <w:pStyle w:val="Nagwek2"/>
        <w:ind w:left="879"/>
        <w:rPr>
          <w:color w:val="0071BB"/>
          <w:u w:val="thick" w:color="0071BB"/>
        </w:rPr>
      </w:pPr>
    </w:p>
    <w:p w14:paraId="2685085F" w14:textId="77777777" w:rsidR="00A64743" w:rsidRDefault="001A3819">
      <w:pPr>
        <w:pStyle w:val="Nagwek2"/>
        <w:ind w:left="879"/>
        <w:rPr>
          <w:u w:val="none"/>
        </w:rPr>
      </w:pPr>
      <w:bookmarkStart w:id="3" w:name="_GoBack"/>
      <w:bookmarkEnd w:id="3"/>
      <w:r>
        <w:rPr>
          <w:color w:val="0071BB"/>
          <w:u w:val="thick" w:color="0071BB"/>
        </w:rPr>
        <w:lastRenderedPageBreak/>
        <w:t>M.A. przeciwko Cyprowi (skarga nr 41872/10)</w:t>
      </w:r>
    </w:p>
    <w:p w14:paraId="589EF7AE" w14:textId="77777777" w:rsidR="00A64743" w:rsidRDefault="001A3819">
      <w:pPr>
        <w:spacing w:before="61" w:line="218" w:lineRule="exact"/>
        <w:ind w:left="880"/>
        <w:jc w:val="both"/>
        <w:rPr>
          <w:sz w:val="18"/>
        </w:rPr>
      </w:pPr>
      <w:r>
        <w:rPr>
          <w:color w:val="808080"/>
          <w:sz w:val="18"/>
        </w:rPr>
        <w:t>23 lipca 2013 r.</w:t>
      </w:r>
    </w:p>
    <w:p w14:paraId="6590BFE0" w14:textId="60E1D52F" w:rsidR="00A64743" w:rsidRDefault="001A3819">
      <w:pPr>
        <w:pStyle w:val="Tekstpodstawowy"/>
        <w:ind w:right="975"/>
      </w:pPr>
      <w:r>
        <w:t>Sprawa dotyczyła pozbawienia wolności przez władze cypryjskie syryjskiego Kurda i jego planowanej deportacji do Syrii po przeprowadzonej wcze</w:t>
      </w:r>
      <w:r w:rsidR="00D446FC">
        <w:t xml:space="preserve">snym rankiem </w:t>
      </w:r>
      <w:r w:rsidR="0031056D">
        <w:t xml:space="preserve">11 czerwca 2010 r. </w:t>
      </w:r>
      <w:r w:rsidR="00D446FC">
        <w:t>operacji policji</w:t>
      </w:r>
      <w:r>
        <w:t>, podczas której skarżący i inni Kur</w:t>
      </w:r>
      <w:r w:rsidR="00D446FC">
        <w:t xml:space="preserve">dowie z Syrii zostali </w:t>
      </w:r>
      <w:r w:rsidR="0031056D">
        <w:t xml:space="preserve">usunięci </w:t>
      </w:r>
      <w:r w:rsidR="00D446FC">
        <w:t>z </w:t>
      </w:r>
      <w:r>
        <w:t>obozowiska ustawionego przez budynkami rządowymi w Nikozji, gdzie protestowali przeciwko polityce azylowej Rządu cypryjskiego.</w:t>
      </w:r>
    </w:p>
    <w:p w14:paraId="7D1DE344" w14:textId="3B6C6465" w:rsidR="00A64743" w:rsidRDefault="001A3819">
      <w:pPr>
        <w:pStyle w:val="Tekstpodstawowy"/>
        <w:ind w:right="973" w:hanging="1"/>
      </w:pPr>
      <w:r>
        <w:rPr>
          <w:color w:val="0071BB"/>
        </w:rPr>
        <w:t xml:space="preserve">Ogólnie rzecz biorąc Trybunał orzekł, że doszło do </w:t>
      </w:r>
      <w:r>
        <w:rPr>
          <w:b/>
          <w:bCs/>
          <w:color w:val="0071BB"/>
        </w:rPr>
        <w:t xml:space="preserve">naruszenia art. 5 ust. 1 </w:t>
      </w:r>
      <w:r>
        <w:rPr>
          <w:color w:val="0071BB"/>
        </w:rPr>
        <w:t>Konwencji (prawo do wolności i bezpieczeństwa osobistego)</w:t>
      </w:r>
      <w:r>
        <w:rPr>
          <w:b/>
          <w:bCs/>
          <w:color w:val="0071BB"/>
        </w:rPr>
        <w:t xml:space="preserve"> </w:t>
      </w:r>
      <w:r>
        <w:rPr>
          <w:color w:val="0071BB"/>
        </w:rPr>
        <w:t>w odniesieniu do całego okresu pozbawienia skarżącego wolności, ponieważ władze k</w:t>
      </w:r>
      <w:r w:rsidR="00D446FC">
        <w:rPr>
          <w:color w:val="0071BB"/>
        </w:rPr>
        <w:t xml:space="preserve">rajowe nie </w:t>
      </w:r>
      <w:r w:rsidR="00AB487F">
        <w:rPr>
          <w:color w:val="0071BB"/>
        </w:rPr>
        <w:t>dokonały</w:t>
      </w:r>
      <w:r>
        <w:rPr>
          <w:color w:val="0071BB"/>
        </w:rPr>
        <w:t xml:space="preserve"> pozbawienia </w:t>
      </w:r>
      <w:r w:rsidR="00AB487F">
        <w:rPr>
          <w:color w:val="0071BB"/>
        </w:rPr>
        <w:t xml:space="preserve">go </w:t>
      </w:r>
      <w:r>
        <w:rPr>
          <w:color w:val="0071BB"/>
        </w:rPr>
        <w:t>wolności zgodnie z procedurą przewidzianą przez prawo.</w:t>
      </w:r>
    </w:p>
    <w:p w14:paraId="7EA4A14F" w14:textId="53AFADD5" w:rsidR="00A64743" w:rsidRDefault="001A3819">
      <w:pPr>
        <w:pStyle w:val="Tekstpodstawowy"/>
        <w:spacing w:before="1"/>
        <w:ind w:right="974"/>
      </w:pPr>
      <w:r>
        <w:rPr>
          <w:color w:val="0071BB"/>
        </w:rPr>
        <w:t xml:space="preserve">Jedynym środkiem odwoławczym przewidzianym w prawie krajowym, który umożliwiałby skarżącemu zbadanie legalności pozbawienia wolności z prawem, byłby środek wniesiony na podstawie art. 146 Konstytucji. Trybunał orzekł, że średni okres trwania takiego postępowania, który w czasie istotnym dla sprawy wynosił osiem miesięcy, </w:t>
      </w:r>
      <w:r w:rsidR="00AB487F">
        <w:rPr>
          <w:color w:val="0071BB"/>
        </w:rPr>
        <w:t xml:space="preserve">był </w:t>
      </w:r>
      <w:r>
        <w:rPr>
          <w:color w:val="0071BB"/>
        </w:rPr>
        <w:t xml:space="preserve">bez wątpienia zbyt długi dla </w:t>
      </w:r>
      <w:r w:rsidR="00AB487F">
        <w:rPr>
          <w:color w:val="0071BB"/>
        </w:rPr>
        <w:t xml:space="preserve">celów </w:t>
      </w:r>
      <w:r>
        <w:rPr>
          <w:b/>
          <w:bCs/>
          <w:color w:val="0071BB"/>
        </w:rPr>
        <w:t>art. 5 ust. 4</w:t>
      </w:r>
      <w:r>
        <w:rPr>
          <w:color w:val="0071BB"/>
        </w:rPr>
        <w:t xml:space="preserve"> Konwencji (prawo do bezzwłocznego </w:t>
      </w:r>
      <w:r w:rsidR="00AB487F">
        <w:rPr>
          <w:color w:val="0071BB"/>
        </w:rPr>
        <w:t xml:space="preserve">zbadania </w:t>
      </w:r>
      <w:r>
        <w:rPr>
          <w:color w:val="0071BB"/>
        </w:rPr>
        <w:t xml:space="preserve">przez sąd legalności pozbawienia wolności). W związku z powyższym doszło do </w:t>
      </w:r>
      <w:r>
        <w:rPr>
          <w:b/>
          <w:bCs/>
          <w:color w:val="0071BB"/>
        </w:rPr>
        <w:t xml:space="preserve">naruszenia </w:t>
      </w:r>
      <w:r>
        <w:rPr>
          <w:color w:val="0071BB"/>
        </w:rPr>
        <w:t>tego postanowienia.</w:t>
      </w:r>
    </w:p>
    <w:p w14:paraId="0CCD4C6A" w14:textId="77777777" w:rsidR="00A64743" w:rsidRDefault="001A3819">
      <w:pPr>
        <w:pStyle w:val="Nagwek2"/>
        <w:spacing w:before="118"/>
        <w:rPr>
          <w:u w:val="none"/>
        </w:rPr>
      </w:pPr>
      <w:proofErr w:type="spellStart"/>
      <w:r>
        <w:rPr>
          <w:color w:val="0071BB"/>
          <w:u w:val="thick" w:color="0071BB"/>
        </w:rPr>
        <w:t>Suso</w:t>
      </w:r>
      <w:proofErr w:type="spellEnd"/>
      <w:r>
        <w:rPr>
          <w:color w:val="0071BB"/>
          <w:u w:val="thick" w:color="0071BB"/>
        </w:rPr>
        <w:t xml:space="preserve"> </w:t>
      </w:r>
      <w:proofErr w:type="spellStart"/>
      <w:r>
        <w:rPr>
          <w:color w:val="0071BB"/>
          <w:u w:val="thick" w:color="0071BB"/>
        </w:rPr>
        <w:t>Musa</w:t>
      </w:r>
      <w:proofErr w:type="spellEnd"/>
      <w:r>
        <w:rPr>
          <w:color w:val="0071BB"/>
          <w:u w:val="thick" w:color="0071BB"/>
        </w:rPr>
        <w:t xml:space="preserve"> przeciwko Malcie</w:t>
      </w:r>
    </w:p>
    <w:p w14:paraId="3AF92399" w14:textId="77777777" w:rsidR="00A64743" w:rsidRDefault="001A3819">
      <w:pPr>
        <w:spacing w:before="63" w:line="218" w:lineRule="exact"/>
        <w:ind w:left="880"/>
        <w:jc w:val="both"/>
        <w:rPr>
          <w:sz w:val="18"/>
        </w:rPr>
      </w:pPr>
      <w:r>
        <w:rPr>
          <w:color w:val="808080"/>
          <w:sz w:val="18"/>
        </w:rPr>
        <w:t>23 lipca 2013 r.</w:t>
      </w:r>
    </w:p>
    <w:p w14:paraId="02D77B0E" w14:textId="19BF09CB" w:rsidR="00A64743" w:rsidRDefault="001A3819">
      <w:pPr>
        <w:pStyle w:val="Tekstpodstawowy"/>
        <w:ind w:right="976" w:hanging="1"/>
      </w:pPr>
      <w:r>
        <w:t xml:space="preserve">Sprawa dotyczyła osoby ubiegającej się o azyl, </w:t>
      </w:r>
      <w:r w:rsidR="0024640B">
        <w:t>pochodzącej rzekomo</w:t>
      </w:r>
      <w:r>
        <w:t xml:space="preserve"> z Sierra Leone. Skarżący podnosił w skardze w szczególności, że pozbawienie go wolności było niezgodne z prawem i że nie </w:t>
      </w:r>
      <w:r w:rsidR="0024640B">
        <w:t xml:space="preserve">dysponował skutecznym środkiem </w:t>
      </w:r>
      <w:r w:rsidR="00D31660">
        <w:t>umożliwiającym</w:t>
      </w:r>
      <w:r>
        <w:t xml:space="preserve"> przeprowadzeni</w:t>
      </w:r>
      <w:r w:rsidR="00D31660">
        <w:t>e</w:t>
      </w:r>
      <w:r>
        <w:t xml:space="preserve"> sądowej kontroli legalności pozbawienia go wolności.</w:t>
      </w:r>
    </w:p>
    <w:p w14:paraId="1F986CBA" w14:textId="0A4656B7" w:rsidR="00A64743" w:rsidRDefault="001A3819">
      <w:pPr>
        <w:pStyle w:val="Tekstpodstawowy"/>
        <w:ind w:right="973" w:hanging="1"/>
      </w:pPr>
      <w:r>
        <w:rPr>
          <w:color w:val="0071BB"/>
        </w:rPr>
        <w:t>Trybunał orzekł, że</w:t>
      </w:r>
      <w:r>
        <w:rPr>
          <w:b/>
          <w:color w:val="0071BB"/>
        </w:rPr>
        <w:t xml:space="preserve"> </w:t>
      </w:r>
      <w:r>
        <w:rPr>
          <w:b/>
          <w:bCs/>
          <w:color w:val="0071BB"/>
        </w:rPr>
        <w:t>doszło do</w:t>
      </w:r>
      <w:r>
        <w:rPr>
          <w:color w:val="0071BB"/>
        </w:rPr>
        <w:t xml:space="preserve"> </w:t>
      </w:r>
      <w:r>
        <w:rPr>
          <w:b/>
          <w:color w:val="0071BB"/>
        </w:rPr>
        <w:t>naruszenia art. 5 ust. 1</w:t>
      </w:r>
      <w:r w:rsidR="00D446FC">
        <w:rPr>
          <w:color w:val="0071BB"/>
        </w:rPr>
        <w:t xml:space="preserve"> Konwencji (prawo do wolności i </w:t>
      </w:r>
      <w:r>
        <w:rPr>
          <w:color w:val="0071BB"/>
        </w:rPr>
        <w:t xml:space="preserve">bezpieczeństwa osobistego). Pozbawienie wolności skarżącego przed rozpatrzeniem jego wniosku o azyl było arbitralne. Warunki pozbawienia wolności były wysoce problematyczne z punktu widzenia art. 3 Konwencji (zakaz nieludzkiego i poniżającego traktowania). Ponadto </w:t>
      </w:r>
      <w:r w:rsidR="00B80A91">
        <w:rPr>
          <w:color w:val="0071BB"/>
        </w:rPr>
        <w:t>na podjęcie decyzji, czy skarżącemu należy zezwolić na pozostanie na terytorium Malty, władze potrzebowały nadmiernie długiego czasu</w:t>
      </w:r>
      <w:r>
        <w:rPr>
          <w:color w:val="0071BB"/>
        </w:rPr>
        <w:t xml:space="preserve">. </w:t>
      </w:r>
      <w:r w:rsidR="00D31660">
        <w:rPr>
          <w:color w:val="0071BB"/>
        </w:rPr>
        <w:t>Co do czasu</w:t>
      </w:r>
      <w:r>
        <w:rPr>
          <w:color w:val="0071BB"/>
        </w:rPr>
        <w:t xml:space="preserve"> pozbawienia wolności</w:t>
      </w:r>
      <w:r w:rsidR="00D31660">
        <w:rPr>
          <w:color w:val="0071BB"/>
        </w:rPr>
        <w:t>, mającego miejsce</w:t>
      </w:r>
      <w:r>
        <w:rPr>
          <w:color w:val="0071BB"/>
        </w:rPr>
        <w:t xml:space="preserve"> po rozpatrzeniu wniosku o azyl złożonego przez skarżącego</w:t>
      </w:r>
      <w:r w:rsidR="00D31660">
        <w:rPr>
          <w:color w:val="0071BB"/>
        </w:rPr>
        <w:t>,</w:t>
      </w:r>
      <w:r>
        <w:rPr>
          <w:color w:val="0071BB"/>
        </w:rPr>
        <w:t xml:space="preserve"> Trybunał stwierdził, że postępowani</w:t>
      </w:r>
      <w:r w:rsidR="00D31660">
        <w:rPr>
          <w:color w:val="0071BB"/>
        </w:rPr>
        <w:t>e</w:t>
      </w:r>
      <w:r>
        <w:rPr>
          <w:color w:val="0071BB"/>
        </w:rPr>
        <w:t xml:space="preserve"> deportacyjne nie </w:t>
      </w:r>
      <w:r w:rsidR="00D31660">
        <w:rPr>
          <w:color w:val="0071BB"/>
        </w:rPr>
        <w:t xml:space="preserve">zostało przeprowadzone </w:t>
      </w:r>
      <w:r>
        <w:rPr>
          <w:color w:val="0071BB"/>
        </w:rPr>
        <w:t xml:space="preserve">z należytą starannością. Trybunał orzekł również, że doszło do </w:t>
      </w:r>
      <w:r>
        <w:rPr>
          <w:b/>
          <w:bCs/>
          <w:color w:val="0071BB"/>
        </w:rPr>
        <w:t>naruszenia art. 5 ust. 4</w:t>
      </w:r>
      <w:r>
        <w:rPr>
          <w:color w:val="0071BB"/>
        </w:rPr>
        <w:t xml:space="preserve"> Konwencji (prawo do bezzwłocznego </w:t>
      </w:r>
      <w:r w:rsidR="00D31660">
        <w:rPr>
          <w:color w:val="0071BB"/>
        </w:rPr>
        <w:t xml:space="preserve">zbadania </w:t>
      </w:r>
      <w:r>
        <w:rPr>
          <w:color w:val="0071BB"/>
        </w:rPr>
        <w:t>przez sąd legalności pozbawienia wolności), ponieważ skarżący nie miał możliwości</w:t>
      </w:r>
      <w:r w:rsidR="00D31660">
        <w:rPr>
          <w:color w:val="0071BB"/>
        </w:rPr>
        <w:t xml:space="preserve"> uzyskania</w:t>
      </w:r>
      <w:r>
        <w:rPr>
          <w:color w:val="0071BB"/>
        </w:rPr>
        <w:t xml:space="preserve"> </w:t>
      </w:r>
      <w:r w:rsidR="00D31660">
        <w:rPr>
          <w:color w:val="0071BB"/>
        </w:rPr>
        <w:t>niezwłocznego zbadania</w:t>
      </w:r>
      <w:r>
        <w:rPr>
          <w:color w:val="0071BB"/>
        </w:rPr>
        <w:t xml:space="preserve"> przez sąd legalności pozbawienia wolności. Wreszcie w odniesieniu do </w:t>
      </w:r>
      <w:r>
        <w:rPr>
          <w:b/>
          <w:bCs/>
          <w:color w:val="0071BB"/>
        </w:rPr>
        <w:t xml:space="preserve">art. 46 </w:t>
      </w:r>
      <w:r>
        <w:rPr>
          <w:color w:val="0071BB"/>
        </w:rPr>
        <w:t xml:space="preserve">Konwencji (moc obowiązująca oraz wykonanie wyroków) Trybunał zauważył, że problemy stwierdzone w tej sprawie mogą skutkować kolejnymi podobnymi skargami. Z tego względu Trybunał zwrócił się do władz Malty o ustanowienie mechanizmu umożliwiającego </w:t>
      </w:r>
      <w:r w:rsidR="00595BED">
        <w:rPr>
          <w:color w:val="0071BB"/>
        </w:rPr>
        <w:t xml:space="preserve">poszczególnym osobom przeprowadzenie </w:t>
      </w:r>
      <w:r>
        <w:rPr>
          <w:color w:val="0071BB"/>
        </w:rPr>
        <w:t xml:space="preserve">kontroli sądowej legalności pozbawienia ich wolności ze względów imigracyjnych w celu uzyskania </w:t>
      </w:r>
      <w:r w:rsidR="00595BED">
        <w:rPr>
          <w:color w:val="0071BB"/>
        </w:rPr>
        <w:t xml:space="preserve">w rozsądnym terminie decyzji w przedmiocie </w:t>
      </w:r>
      <w:r>
        <w:rPr>
          <w:color w:val="0071BB"/>
        </w:rPr>
        <w:t>ich skarg</w:t>
      </w:r>
      <w:r w:rsidR="00595BED">
        <w:rPr>
          <w:color w:val="0071BB"/>
        </w:rPr>
        <w:t>i</w:t>
      </w:r>
      <w:r>
        <w:rPr>
          <w:color w:val="0071BB"/>
        </w:rPr>
        <w:t xml:space="preserve">. Trybunał zalecił również Malcie podjęcie </w:t>
      </w:r>
      <w:r w:rsidR="00891E38">
        <w:rPr>
          <w:color w:val="0071BB"/>
        </w:rPr>
        <w:t xml:space="preserve">niezbędnych </w:t>
      </w:r>
      <w:r>
        <w:rPr>
          <w:color w:val="0071BB"/>
        </w:rPr>
        <w:t xml:space="preserve">kroków </w:t>
      </w:r>
      <w:r w:rsidR="00891E38">
        <w:rPr>
          <w:color w:val="0071BB"/>
        </w:rPr>
        <w:t>w celu</w:t>
      </w:r>
      <w:r>
        <w:rPr>
          <w:color w:val="0071BB"/>
        </w:rPr>
        <w:t xml:space="preserve"> poprawy warunków i skrócenia </w:t>
      </w:r>
      <w:r w:rsidR="00891E38">
        <w:rPr>
          <w:color w:val="0071BB"/>
        </w:rPr>
        <w:t xml:space="preserve">długości okresów </w:t>
      </w:r>
      <w:r>
        <w:rPr>
          <w:color w:val="0071BB"/>
        </w:rPr>
        <w:t>pozbawienia wolności osób ubiegających się o azyl.</w:t>
      </w:r>
    </w:p>
    <w:p w14:paraId="6DC11196" w14:textId="77777777" w:rsidR="00A64743" w:rsidRDefault="00711FD6">
      <w:pPr>
        <w:pStyle w:val="Nagwek2"/>
        <w:spacing w:before="100"/>
        <w:jc w:val="left"/>
        <w:rPr>
          <w:u w:val="none"/>
        </w:rPr>
      </w:pPr>
      <w:hyperlink r:id="rId81">
        <w:r w:rsidR="001A3819">
          <w:rPr>
            <w:color w:val="0071BB"/>
            <w:u w:val="thick" w:color="0071BB"/>
          </w:rPr>
          <w:t>Kim przeciwko Rosji</w:t>
        </w:r>
      </w:hyperlink>
    </w:p>
    <w:p w14:paraId="22CC9590" w14:textId="77777777" w:rsidR="00A64743" w:rsidRDefault="001A3819">
      <w:pPr>
        <w:spacing w:before="60" w:line="218" w:lineRule="exact"/>
        <w:ind w:left="880"/>
        <w:rPr>
          <w:sz w:val="18"/>
        </w:rPr>
      </w:pPr>
      <w:r>
        <w:rPr>
          <w:color w:val="808080"/>
          <w:sz w:val="18"/>
        </w:rPr>
        <w:t>17 lipca 2014 r.</w:t>
      </w:r>
    </w:p>
    <w:p w14:paraId="1D9288B6" w14:textId="1716262B" w:rsidR="00A64743" w:rsidRDefault="001A3819">
      <w:pPr>
        <w:pStyle w:val="Tekstpodstawowy"/>
        <w:ind w:left="879" w:right="975"/>
      </w:pPr>
      <w:r>
        <w:t>Sprawa dotyczyła pozbawienia wolności w celu wydalenia bezpaństwowca, którego władze początkowo uznały za obywatela Uzbekistanu</w:t>
      </w:r>
      <w:r w:rsidR="00D446FC">
        <w:t>. Skarżący podnosił w skardze w </w:t>
      </w:r>
      <w:r>
        <w:t xml:space="preserve">szczególności kwestię warunków dwuletniego pozbawienia wolności w ośrodku detencyjnym dla cudzoziemców. </w:t>
      </w:r>
      <w:r w:rsidR="00423C13">
        <w:t xml:space="preserve">Zarzucał </w:t>
      </w:r>
      <w:r>
        <w:t xml:space="preserve">również, że pozbawienie go wolności było niezgodne z prawem zarówno ze względu na nadmierny czas trwania i brak możliwości wykonania </w:t>
      </w:r>
      <w:r w:rsidR="00423C13">
        <w:t>decyzji o wydaleniu</w:t>
      </w:r>
      <w:r>
        <w:t xml:space="preserve">, jak również ze względu na brak możliwości </w:t>
      </w:r>
      <w:r w:rsidR="000859C8">
        <w:t xml:space="preserve">uzyskania </w:t>
      </w:r>
      <w:r>
        <w:t>kontroli sądowej pozbawienia wolności.</w:t>
      </w:r>
    </w:p>
    <w:p w14:paraId="199367F7" w14:textId="29DBC39E" w:rsidR="00A64743" w:rsidRDefault="001A3819">
      <w:pPr>
        <w:pStyle w:val="Tekstpodstawowy"/>
        <w:ind w:right="976"/>
      </w:pPr>
      <w:r>
        <w:rPr>
          <w:color w:val="0071BB"/>
        </w:rPr>
        <w:t xml:space="preserve">Trybunał stwierdził również </w:t>
      </w:r>
      <w:r>
        <w:rPr>
          <w:b/>
          <w:bCs/>
          <w:color w:val="0071BB"/>
        </w:rPr>
        <w:t xml:space="preserve">naruszenie art. 5 ust. 1 </w:t>
      </w:r>
      <w:r>
        <w:rPr>
          <w:color w:val="0071BB"/>
        </w:rPr>
        <w:t xml:space="preserve">Konwencji </w:t>
      </w:r>
      <w:r w:rsidR="00D446FC">
        <w:rPr>
          <w:color w:val="0071BB"/>
        </w:rPr>
        <w:t>(prawo do wolności i </w:t>
      </w:r>
      <w:r>
        <w:rPr>
          <w:color w:val="0071BB"/>
        </w:rPr>
        <w:t xml:space="preserve">bezpieczeństwa osobistego) i </w:t>
      </w:r>
      <w:r>
        <w:rPr>
          <w:b/>
          <w:bCs/>
          <w:color w:val="0071BB"/>
        </w:rPr>
        <w:t xml:space="preserve">naruszenie art. 5 ust. 4 </w:t>
      </w:r>
      <w:r>
        <w:rPr>
          <w:color w:val="0071BB"/>
        </w:rPr>
        <w:t xml:space="preserve">Konwencji (prawo do bezzwłocznego </w:t>
      </w:r>
      <w:r w:rsidR="000859C8">
        <w:rPr>
          <w:color w:val="0071BB"/>
        </w:rPr>
        <w:t xml:space="preserve">zbadania </w:t>
      </w:r>
      <w:r>
        <w:rPr>
          <w:color w:val="0071BB"/>
        </w:rPr>
        <w:t>przez sąd legalności</w:t>
      </w:r>
      <w:r w:rsidR="00D446FC">
        <w:rPr>
          <w:color w:val="0071BB"/>
        </w:rPr>
        <w:t xml:space="preserve"> pozbawienia wolności). Uznał </w:t>
      </w:r>
      <w:r w:rsidR="00D446FC">
        <w:rPr>
          <w:color w:val="0071BB"/>
        </w:rPr>
        <w:lastRenderedPageBreak/>
        <w:t>w </w:t>
      </w:r>
      <w:r>
        <w:rPr>
          <w:color w:val="0071BB"/>
        </w:rPr>
        <w:t xml:space="preserve">szczególności, że skarżący nie miał możliwości skorzystania z procedury, która pozwalałaby mu na zaskarżenie pozbawienia wolności oraz </w:t>
      </w:r>
      <w:r w:rsidR="000859C8">
        <w:rPr>
          <w:color w:val="0071BB"/>
        </w:rPr>
        <w:t xml:space="preserve">że </w:t>
      </w:r>
      <w:r>
        <w:rPr>
          <w:color w:val="0071BB"/>
        </w:rPr>
        <w:t xml:space="preserve">pozostawał pozbawiony wolności pomimo braku </w:t>
      </w:r>
      <w:r w:rsidR="000859C8">
        <w:rPr>
          <w:color w:val="0071BB"/>
        </w:rPr>
        <w:t>realnej szansy</w:t>
      </w:r>
      <w:r>
        <w:rPr>
          <w:color w:val="0071BB"/>
        </w:rPr>
        <w:t xml:space="preserve"> </w:t>
      </w:r>
      <w:r w:rsidR="000859C8">
        <w:rPr>
          <w:color w:val="0071BB"/>
        </w:rPr>
        <w:t xml:space="preserve">wykonania decyzji o </w:t>
      </w:r>
      <w:r>
        <w:rPr>
          <w:color w:val="0071BB"/>
        </w:rPr>
        <w:t>wydaleni</w:t>
      </w:r>
      <w:r w:rsidR="000859C8">
        <w:rPr>
          <w:color w:val="0071BB"/>
        </w:rPr>
        <w:t>u</w:t>
      </w:r>
      <w:r>
        <w:rPr>
          <w:color w:val="0071BB"/>
        </w:rPr>
        <w:t xml:space="preserve">. Władze nie dochowały zatem wymaganej staranności </w:t>
      </w:r>
      <w:r w:rsidR="000859C8">
        <w:rPr>
          <w:color w:val="0071BB"/>
        </w:rPr>
        <w:t>biorąc pod uwagę</w:t>
      </w:r>
      <w:r>
        <w:rPr>
          <w:color w:val="0071BB"/>
        </w:rPr>
        <w:t xml:space="preserve"> </w:t>
      </w:r>
      <w:r w:rsidR="000859C8">
        <w:rPr>
          <w:color w:val="0071BB"/>
        </w:rPr>
        <w:t xml:space="preserve">tą </w:t>
      </w:r>
      <w:r>
        <w:rPr>
          <w:color w:val="0071BB"/>
        </w:rPr>
        <w:t>sytuacj</w:t>
      </w:r>
      <w:r w:rsidR="000859C8">
        <w:rPr>
          <w:color w:val="0071BB"/>
        </w:rPr>
        <w:t>ę</w:t>
      </w:r>
      <w:r>
        <w:rPr>
          <w:color w:val="0071BB"/>
        </w:rPr>
        <w:t xml:space="preserve">. W odniesieniu do </w:t>
      </w:r>
      <w:r>
        <w:rPr>
          <w:b/>
          <w:bCs/>
          <w:color w:val="0071BB"/>
        </w:rPr>
        <w:t xml:space="preserve">art. 46 </w:t>
      </w:r>
      <w:r>
        <w:rPr>
          <w:color w:val="0071BB"/>
        </w:rPr>
        <w:t xml:space="preserve">Konwencji (moc obowiązująca oraz wykonanie wyroków) Trybunał stwierdził ponadto w szczególności, że Rosja powinna była podjąć stosowne środki w celu ustanowienia procedur pozwalających na zapobieganie ponownemu zatrzymywaniu skarżącego i pozbawieniu wolności z uwagi na status bezpaństwowca. Trybunał stwierdził w tej sprawie również, że doszło do </w:t>
      </w:r>
      <w:r>
        <w:rPr>
          <w:b/>
          <w:bCs/>
          <w:color w:val="0071BB"/>
        </w:rPr>
        <w:t xml:space="preserve">naruszenia art. 3 </w:t>
      </w:r>
      <w:r>
        <w:rPr>
          <w:color w:val="0071BB"/>
        </w:rPr>
        <w:t>Konwencji (zakaz nieludzkiego lub poniżającego traktowania) ze względu na warunki pozbawienia wolności skarżącego.</w:t>
      </w:r>
    </w:p>
    <w:p w14:paraId="47082AE6" w14:textId="77777777" w:rsidR="00A64743" w:rsidRDefault="00711FD6">
      <w:pPr>
        <w:pStyle w:val="Nagwek2"/>
        <w:spacing w:before="120"/>
        <w:ind w:left="879"/>
        <w:jc w:val="left"/>
        <w:rPr>
          <w:u w:val="none"/>
        </w:rPr>
      </w:pPr>
      <w:hyperlink r:id="rId82">
        <w:proofErr w:type="spellStart"/>
        <w:r w:rsidR="001A3819">
          <w:rPr>
            <w:color w:val="0071BB"/>
            <w:u w:val="thick" w:color="0071BB"/>
          </w:rPr>
          <w:t>Mahammad</w:t>
        </w:r>
        <w:proofErr w:type="spellEnd"/>
        <w:r w:rsidR="001A3819">
          <w:rPr>
            <w:color w:val="0071BB"/>
            <w:u w:val="thick" w:color="0071BB"/>
          </w:rPr>
          <w:t xml:space="preserve"> i Inni przeciwko Grecji</w:t>
        </w:r>
      </w:hyperlink>
    </w:p>
    <w:p w14:paraId="1F628DED" w14:textId="77777777" w:rsidR="00A64743" w:rsidRDefault="001A3819">
      <w:pPr>
        <w:spacing w:before="62" w:line="218" w:lineRule="exact"/>
        <w:ind w:left="880"/>
        <w:rPr>
          <w:sz w:val="18"/>
        </w:rPr>
      </w:pPr>
      <w:r>
        <w:rPr>
          <w:color w:val="808080"/>
          <w:sz w:val="18"/>
        </w:rPr>
        <w:t>15 stycznia 2015 r.</w:t>
      </w:r>
    </w:p>
    <w:p w14:paraId="22EB84CE" w14:textId="77777777" w:rsidR="00A64743" w:rsidRDefault="001A3819" w:rsidP="00D446FC">
      <w:pPr>
        <w:pStyle w:val="Tekstpodstawowy"/>
        <w:ind w:right="967"/>
      </w:pPr>
      <w:r>
        <w:t xml:space="preserve">Sprawa dotyczyła warunków pozbawienia skarżącego wolności oraz legalności pozbawienia wolności w administracyjnym ośrodku detencyjnym </w:t>
      </w:r>
      <w:proofErr w:type="spellStart"/>
      <w:r>
        <w:t>Fylakio</w:t>
      </w:r>
      <w:proofErr w:type="spellEnd"/>
      <w:r>
        <w:t xml:space="preserve"> w Grecji.</w:t>
      </w:r>
    </w:p>
    <w:p w14:paraId="4052A628" w14:textId="16717165" w:rsidR="00A64743" w:rsidRDefault="001A3819">
      <w:pPr>
        <w:pStyle w:val="Tekstpodstawowy"/>
        <w:ind w:left="879" w:right="974"/>
      </w:pPr>
      <w:r>
        <w:rPr>
          <w:color w:val="0071BB"/>
        </w:rPr>
        <w:t xml:space="preserve">Trybunał orzekł, że </w:t>
      </w:r>
      <w:r w:rsidR="00EB06C0">
        <w:rPr>
          <w:color w:val="0071BB"/>
        </w:rPr>
        <w:t xml:space="preserve">doszło do </w:t>
      </w:r>
      <w:r w:rsidR="00EB06C0" w:rsidRPr="004B7905">
        <w:rPr>
          <w:b/>
          <w:bCs/>
          <w:color w:val="0071BB"/>
        </w:rPr>
        <w:t>naruszenia</w:t>
      </w:r>
      <w:r w:rsidR="00EB06C0">
        <w:rPr>
          <w:color w:val="0071BB"/>
        </w:rPr>
        <w:t xml:space="preserve"> </w:t>
      </w:r>
      <w:r>
        <w:rPr>
          <w:b/>
          <w:bCs/>
          <w:color w:val="0071BB"/>
        </w:rPr>
        <w:t>art. 5 ust. 4</w:t>
      </w:r>
      <w:r>
        <w:rPr>
          <w:color w:val="0071BB"/>
        </w:rPr>
        <w:t xml:space="preserve"> Konwencji (prawa do bezzwłocznego </w:t>
      </w:r>
      <w:r w:rsidR="00EB06C0">
        <w:rPr>
          <w:color w:val="0071BB"/>
        </w:rPr>
        <w:t xml:space="preserve">zbadania </w:t>
      </w:r>
      <w:r>
        <w:rPr>
          <w:color w:val="0071BB"/>
        </w:rPr>
        <w:t>przez sąd legalności pozbawienia wolności)</w:t>
      </w:r>
      <w:r>
        <w:rPr>
          <w:b/>
          <w:bCs/>
          <w:color w:val="0071BB"/>
        </w:rPr>
        <w:t xml:space="preserve"> </w:t>
      </w:r>
      <w:r w:rsidR="00D446FC">
        <w:rPr>
          <w:color w:val="0071BB"/>
        </w:rPr>
        <w:t>ze względu na uchybienia w </w:t>
      </w:r>
      <w:r>
        <w:rPr>
          <w:color w:val="0071BB"/>
        </w:rPr>
        <w:t xml:space="preserve">procedurze kontroli legalności administracyjnego pozbawienia </w:t>
      </w:r>
      <w:r w:rsidR="00EB06C0">
        <w:rPr>
          <w:color w:val="0071BB"/>
        </w:rPr>
        <w:t xml:space="preserve">wolności </w:t>
      </w:r>
      <w:r>
        <w:rPr>
          <w:color w:val="0071BB"/>
        </w:rPr>
        <w:t xml:space="preserve">skarżącego. Trybunał orzekł również w tej sprawie, że doszło do </w:t>
      </w:r>
      <w:r>
        <w:rPr>
          <w:b/>
          <w:bCs/>
          <w:color w:val="0071BB"/>
        </w:rPr>
        <w:t xml:space="preserve">naruszenia art. 3 </w:t>
      </w:r>
      <w:r>
        <w:rPr>
          <w:color w:val="0071BB"/>
        </w:rPr>
        <w:t>Konwencji (zakaz nieludzkiego lub poniżającego traktowania) ze względu na warunki pozbawienia wolności skarżącego.</w:t>
      </w:r>
    </w:p>
    <w:p w14:paraId="3DBD25C5" w14:textId="77777777" w:rsidR="00A64743" w:rsidRDefault="00711FD6">
      <w:pPr>
        <w:pStyle w:val="Nagwek2"/>
        <w:ind w:left="879"/>
        <w:jc w:val="left"/>
        <w:rPr>
          <w:u w:val="none"/>
        </w:rPr>
      </w:pPr>
      <w:hyperlink r:id="rId83">
        <w:r w:rsidR="001A3819">
          <w:rPr>
            <w:color w:val="0071BB"/>
            <w:u w:val="thick" w:color="0071BB"/>
          </w:rPr>
          <w:t>A.M. przeciwko Francji (skarga nr 56324/13)</w:t>
        </w:r>
      </w:hyperlink>
    </w:p>
    <w:p w14:paraId="1C5EDD38" w14:textId="77777777" w:rsidR="00A64743" w:rsidRDefault="001A3819">
      <w:pPr>
        <w:spacing w:before="60" w:line="218" w:lineRule="exact"/>
        <w:ind w:left="880"/>
        <w:rPr>
          <w:sz w:val="18"/>
        </w:rPr>
      </w:pPr>
      <w:r>
        <w:rPr>
          <w:color w:val="808080"/>
          <w:sz w:val="18"/>
        </w:rPr>
        <w:t>12 lipca 2016 r.</w:t>
      </w:r>
    </w:p>
    <w:p w14:paraId="7E598156" w14:textId="0531E6C9" w:rsidR="00A64743" w:rsidRDefault="001A3819">
      <w:pPr>
        <w:pStyle w:val="Tekstpodstawowy"/>
        <w:ind w:left="879" w:right="974"/>
      </w:pPr>
      <w:r>
        <w:t xml:space="preserve">Sprawa dotyczyła skargi w przedmiocie braku skutecznego środka odwoławczego służącego zakwestionowaniu </w:t>
      </w:r>
      <w:r w:rsidR="00EB06C0">
        <w:t xml:space="preserve">legalności </w:t>
      </w:r>
      <w:r>
        <w:t>decyzji o pozbawieniu wolności wobec obcokrajowca we Francji, które doprowadziło do jego deportacji z terytorium Francji. Skarżący</w:t>
      </w:r>
      <w:r w:rsidR="005A78DA">
        <w:t>,</w:t>
      </w:r>
      <w:r>
        <w:t xml:space="preserve"> będący obywatelem tunezyjskim</w:t>
      </w:r>
      <w:r w:rsidR="005A78DA">
        <w:t>,</w:t>
      </w:r>
      <w:r>
        <w:t xml:space="preserve"> </w:t>
      </w:r>
      <w:r w:rsidR="005A78DA">
        <w:t>zarzucał</w:t>
      </w:r>
      <w:r>
        <w:t xml:space="preserve"> zasadniczo kwestię braku zawieszającego charakteru jego </w:t>
      </w:r>
      <w:r w:rsidR="005A78DA">
        <w:t>odwołania od</w:t>
      </w:r>
      <w:r>
        <w:t xml:space="preserve"> decyzji o deportacji oraz nadmiernie </w:t>
      </w:r>
      <w:r w:rsidR="005A78DA">
        <w:t xml:space="preserve">restrykcyjny </w:t>
      </w:r>
      <w:r>
        <w:t xml:space="preserve">charakter </w:t>
      </w:r>
      <w:r w:rsidR="005A78DA">
        <w:t xml:space="preserve">przeprowadzonej przez francuski sąd administracyjny </w:t>
      </w:r>
      <w:r>
        <w:t xml:space="preserve">kontroli legalności </w:t>
      </w:r>
      <w:r w:rsidR="005A78DA">
        <w:t>decyzji.</w:t>
      </w:r>
    </w:p>
    <w:p w14:paraId="4AC3B1D5" w14:textId="226FC099" w:rsidR="00A64743" w:rsidRDefault="001A3819">
      <w:pPr>
        <w:pStyle w:val="Tekstpodstawowy"/>
        <w:ind w:left="879" w:right="976"/>
      </w:pPr>
      <w:r>
        <w:rPr>
          <w:color w:val="0071BB"/>
        </w:rPr>
        <w:t xml:space="preserve">Trybunał orzekł, że </w:t>
      </w:r>
      <w:r>
        <w:rPr>
          <w:b/>
          <w:bCs/>
          <w:color w:val="0071BB"/>
        </w:rPr>
        <w:t>doszło do naruszenia art. 5 ust. 4</w:t>
      </w:r>
      <w:r>
        <w:rPr>
          <w:color w:val="0071BB"/>
        </w:rPr>
        <w:t xml:space="preserve"> Konwencji (prawo do bezzwłocznego </w:t>
      </w:r>
      <w:r w:rsidR="005A78DA">
        <w:rPr>
          <w:color w:val="0071BB"/>
        </w:rPr>
        <w:t xml:space="preserve">zbadania </w:t>
      </w:r>
      <w:r>
        <w:rPr>
          <w:color w:val="0071BB"/>
        </w:rPr>
        <w:t xml:space="preserve">przez sąd legalności pozbawienia wolności), ponieważ skarżący nie miał możliwości skorzystania ze skutecznego środka odwoławczego </w:t>
      </w:r>
      <w:r w:rsidR="00860B0B">
        <w:rPr>
          <w:color w:val="0071BB"/>
        </w:rPr>
        <w:t>w rozumieniu</w:t>
      </w:r>
      <w:r>
        <w:rPr>
          <w:color w:val="0071BB"/>
        </w:rPr>
        <w:t xml:space="preserve"> tego postanowienia. Zauważył w szczególności, że celem art. 5 ust. 4 było zapewnienie ofiarom pozbawienia wolności w rozumieniu art. 5 ust. 1 Konwencji </w:t>
      </w:r>
      <w:r w:rsidR="00860B0B">
        <w:rPr>
          <w:color w:val="0071BB"/>
        </w:rPr>
        <w:t>odpowiedniej</w:t>
      </w:r>
      <w:r>
        <w:rPr>
          <w:color w:val="0071BB"/>
        </w:rPr>
        <w:t xml:space="preserve"> i </w:t>
      </w:r>
      <w:r w:rsidR="00860B0B">
        <w:rPr>
          <w:color w:val="0071BB"/>
        </w:rPr>
        <w:t>skutecznej ochrony</w:t>
      </w:r>
      <w:r>
        <w:rPr>
          <w:color w:val="0071BB"/>
        </w:rPr>
        <w:t xml:space="preserve"> przed arbitralnym traktowaniem.</w:t>
      </w:r>
      <w:r w:rsidR="006346C2">
        <w:rPr>
          <w:color w:val="0071BB"/>
        </w:rPr>
        <w:t xml:space="preserve"> </w:t>
      </w:r>
      <w:r w:rsidR="001F7066">
        <w:rPr>
          <w:color w:val="0071BB"/>
        </w:rPr>
        <w:t xml:space="preserve">O ile </w:t>
      </w:r>
      <w:r>
        <w:rPr>
          <w:color w:val="0071BB"/>
        </w:rPr>
        <w:t xml:space="preserve">francuski sąd administracyjny nie </w:t>
      </w:r>
      <w:r w:rsidR="00860B0B">
        <w:rPr>
          <w:color w:val="0071BB"/>
        </w:rPr>
        <w:t xml:space="preserve">był w stanie </w:t>
      </w:r>
      <w:r>
        <w:rPr>
          <w:color w:val="0071BB"/>
        </w:rPr>
        <w:t xml:space="preserve">ocenić pierwotnych czynów, w związku z którymi występowało ryzyko pozbawienia wolności, </w:t>
      </w:r>
      <w:r w:rsidR="001F7066">
        <w:rPr>
          <w:color w:val="0071BB"/>
        </w:rPr>
        <w:t>o tyle</w:t>
      </w:r>
      <w:r>
        <w:rPr>
          <w:color w:val="0071BB"/>
        </w:rPr>
        <w:t xml:space="preserve"> krajowy środek odwoławczy </w:t>
      </w:r>
      <w:r w:rsidR="00860B0B">
        <w:rPr>
          <w:color w:val="0071BB"/>
        </w:rPr>
        <w:t>umożliwiający</w:t>
      </w:r>
      <w:r>
        <w:rPr>
          <w:color w:val="0071BB"/>
        </w:rPr>
        <w:t xml:space="preserve"> ocenę </w:t>
      </w:r>
      <w:r w:rsidR="00860B0B">
        <w:rPr>
          <w:color w:val="0071BB"/>
        </w:rPr>
        <w:t xml:space="preserve">nie tylko </w:t>
      </w:r>
      <w:r>
        <w:rPr>
          <w:color w:val="0071BB"/>
        </w:rPr>
        <w:t xml:space="preserve">legalności pozbawienia wolności, </w:t>
      </w:r>
      <w:r w:rsidR="00860B0B">
        <w:rPr>
          <w:color w:val="0071BB"/>
        </w:rPr>
        <w:t>ale także</w:t>
      </w:r>
      <w:r w:rsidR="001F7066">
        <w:rPr>
          <w:color w:val="0071BB"/>
        </w:rPr>
        <w:t xml:space="preserve"> jego celowość,</w:t>
      </w:r>
      <w:r>
        <w:rPr>
          <w:color w:val="0071BB"/>
        </w:rPr>
        <w:t xml:space="preserve"> </w:t>
      </w:r>
      <w:r w:rsidR="001F7066">
        <w:rPr>
          <w:color w:val="0071BB"/>
        </w:rPr>
        <w:t xml:space="preserve">był </w:t>
      </w:r>
      <w:r w:rsidR="00B85600">
        <w:rPr>
          <w:color w:val="0071BB"/>
        </w:rPr>
        <w:t>niewystarczający</w:t>
      </w:r>
      <w:r>
        <w:rPr>
          <w:color w:val="0071BB"/>
        </w:rPr>
        <w:t>.</w:t>
      </w:r>
    </w:p>
    <w:p w14:paraId="508A204E" w14:textId="77777777" w:rsidR="00A64743" w:rsidRDefault="00711FD6">
      <w:pPr>
        <w:pStyle w:val="Nagwek2"/>
        <w:spacing w:before="122"/>
        <w:ind w:left="879"/>
        <w:rPr>
          <w:u w:val="none"/>
        </w:rPr>
      </w:pPr>
      <w:hyperlink r:id="rId84">
        <w:proofErr w:type="spellStart"/>
        <w:r w:rsidR="001A3819">
          <w:rPr>
            <w:color w:val="0071BB"/>
            <w:u w:val="thick" w:color="0071BB"/>
          </w:rPr>
          <w:t>Khlaifia</w:t>
        </w:r>
        <w:proofErr w:type="spellEnd"/>
        <w:r w:rsidR="001A3819">
          <w:rPr>
            <w:color w:val="0071BB"/>
            <w:u w:val="thick" w:color="0071BB"/>
          </w:rPr>
          <w:t xml:space="preserve"> i Inni przeciwko Włochom</w:t>
        </w:r>
      </w:hyperlink>
    </w:p>
    <w:p w14:paraId="5E0627B3" w14:textId="77777777" w:rsidR="00A64743" w:rsidRDefault="001A3819">
      <w:pPr>
        <w:spacing w:before="60" w:line="218" w:lineRule="exact"/>
        <w:ind w:left="880"/>
        <w:jc w:val="both"/>
        <w:rPr>
          <w:sz w:val="18"/>
        </w:rPr>
      </w:pPr>
      <w:r>
        <w:rPr>
          <w:color w:val="808080"/>
          <w:sz w:val="18"/>
        </w:rPr>
        <w:t>15 grudnia 2016 r. (Wielka Izba)</w:t>
      </w:r>
    </w:p>
    <w:p w14:paraId="2D2DF64A" w14:textId="77777777" w:rsidR="00A64743" w:rsidRDefault="001A3819">
      <w:pPr>
        <w:pStyle w:val="Tekstpodstawowy"/>
        <w:spacing w:line="242" w:lineRule="exact"/>
      </w:pPr>
      <w:r>
        <w:t>Zobacz powyżej – „Pozbawienie wolności”</w:t>
      </w:r>
    </w:p>
    <w:p w14:paraId="574E3CD0" w14:textId="77777777" w:rsidR="00A64743" w:rsidRDefault="00711FD6">
      <w:pPr>
        <w:pStyle w:val="Nagwek2"/>
        <w:ind w:left="879"/>
        <w:rPr>
          <w:u w:val="none"/>
        </w:rPr>
      </w:pPr>
      <w:hyperlink r:id="rId85">
        <w:r w:rsidR="001A3819">
          <w:rPr>
            <w:color w:val="0071BB"/>
            <w:u w:val="thick" w:color="0071BB"/>
          </w:rPr>
          <w:t>S.K. przeciwko Rosji (skarga nr 52722/15)</w:t>
        </w:r>
      </w:hyperlink>
    </w:p>
    <w:p w14:paraId="6F7FDFC9" w14:textId="77777777" w:rsidR="00A64743" w:rsidRDefault="001A3819">
      <w:pPr>
        <w:spacing w:before="63" w:line="218" w:lineRule="exact"/>
        <w:ind w:left="880"/>
        <w:jc w:val="both"/>
        <w:rPr>
          <w:sz w:val="18"/>
        </w:rPr>
      </w:pPr>
      <w:r>
        <w:rPr>
          <w:color w:val="808080"/>
          <w:sz w:val="18"/>
        </w:rPr>
        <w:t>14 lutego 2017 r.</w:t>
      </w:r>
    </w:p>
    <w:p w14:paraId="17B91543" w14:textId="77777777" w:rsidR="00A64743" w:rsidRDefault="001A3819">
      <w:pPr>
        <w:pStyle w:val="Tekstpodstawowy"/>
        <w:spacing w:line="242" w:lineRule="exact"/>
      </w:pPr>
      <w:r>
        <w:t>Zobacz powyżej – „Pozbawienie wolności”</w:t>
      </w:r>
    </w:p>
    <w:p w14:paraId="446BB149" w14:textId="77777777" w:rsidR="00A64743" w:rsidRDefault="00711FD6">
      <w:pPr>
        <w:pStyle w:val="Nagwek2"/>
        <w:spacing w:before="100"/>
        <w:jc w:val="left"/>
        <w:rPr>
          <w:u w:val="none"/>
        </w:rPr>
      </w:pPr>
      <w:hyperlink r:id="rId86">
        <w:r w:rsidR="001A3819">
          <w:rPr>
            <w:color w:val="0071BB"/>
            <w:u w:val="thick" w:color="0071BB"/>
          </w:rPr>
          <w:t>O.S.A. i Inni przeciwko Grecji (skarga nr 39065/16)</w:t>
        </w:r>
      </w:hyperlink>
    </w:p>
    <w:p w14:paraId="727D0F6A" w14:textId="1077523E" w:rsidR="00A64743" w:rsidRDefault="001A3819">
      <w:pPr>
        <w:spacing w:before="79"/>
        <w:ind w:left="880"/>
        <w:rPr>
          <w:sz w:val="18"/>
        </w:rPr>
      </w:pPr>
      <w:r>
        <w:rPr>
          <w:color w:val="808080"/>
          <w:sz w:val="18"/>
        </w:rPr>
        <w:t>21 marca 2019 r.</w:t>
      </w:r>
      <w:r w:rsidR="001F7066" w:rsidDel="001F7066">
        <w:t xml:space="preserve"> </w:t>
      </w:r>
    </w:p>
    <w:p w14:paraId="42C543CD" w14:textId="584F4465" w:rsidR="00A64743" w:rsidRDefault="001A3819">
      <w:pPr>
        <w:pStyle w:val="Tekstpodstawowy"/>
        <w:spacing w:before="4"/>
        <w:ind w:left="879" w:right="975"/>
      </w:pPr>
      <w:r>
        <w:t xml:space="preserve">Sprawa dotyczyła warunków pozbawienia wolności skarżących będących obywatelami afgańskimi w ośrodku </w:t>
      </w:r>
      <w:proofErr w:type="spellStart"/>
      <w:r>
        <w:t>Vial</w:t>
      </w:r>
      <w:proofErr w:type="spellEnd"/>
      <w:r>
        <w:t xml:space="preserve"> na wyspie Chios, a także kwestii legalności pozbawienia </w:t>
      </w:r>
      <w:r w:rsidR="001F7066">
        <w:t xml:space="preserve">ich </w:t>
      </w:r>
      <w:r>
        <w:t>wolności, kontroli sądowej ich sprawy oraz udzielonych im informacji.</w:t>
      </w:r>
    </w:p>
    <w:p w14:paraId="24C6F7B3" w14:textId="2F0139EA" w:rsidR="00A64743" w:rsidRDefault="001A3819" w:rsidP="004B7905">
      <w:pPr>
        <w:pStyle w:val="Tekstpodstawowy"/>
        <w:tabs>
          <w:tab w:val="left" w:pos="9915"/>
        </w:tabs>
        <w:ind w:left="879" w:right="975"/>
        <w:rPr>
          <w:color w:val="0071BB"/>
        </w:rPr>
      </w:pPr>
      <w:r>
        <w:rPr>
          <w:color w:val="0071BB"/>
        </w:rPr>
        <w:t xml:space="preserve">Trybunał uznał, że </w:t>
      </w:r>
      <w:r>
        <w:rPr>
          <w:b/>
          <w:color w:val="0071BB"/>
        </w:rPr>
        <w:t xml:space="preserve">doszło do naruszenia art. 5 ust. 4 Konwencji </w:t>
      </w:r>
      <w:r>
        <w:rPr>
          <w:color w:val="0071BB"/>
        </w:rPr>
        <w:t xml:space="preserve">(prawo do bezzwłocznego </w:t>
      </w:r>
      <w:r w:rsidR="001F7066">
        <w:rPr>
          <w:color w:val="0071BB"/>
        </w:rPr>
        <w:t xml:space="preserve">zbadania </w:t>
      </w:r>
      <w:r>
        <w:rPr>
          <w:color w:val="0071BB"/>
        </w:rPr>
        <w:t>przez sąd legalności pozbawienia wo</w:t>
      </w:r>
      <w:r w:rsidR="00D446FC">
        <w:rPr>
          <w:color w:val="0071BB"/>
        </w:rPr>
        <w:t>lności). Trybunał uznał w </w:t>
      </w:r>
      <w:r>
        <w:rPr>
          <w:color w:val="0071BB"/>
        </w:rPr>
        <w:t>szczególności, że z uwagi na okoliczności sprawy</w:t>
      </w:r>
      <w:r w:rsidR="001F7066">
        <w:rPr>
          <w:color w:val="0071BB"/>
        </w:rPr>
        <w:t>,</w:t>
      </w:r>
      <w:r>
        <w:rPr>
          <w:color w:val="0071BB"/>
        </w:rPr>
        <w:t xml:space="preserve"> skarżący nie mieli dostępu do środków odwoławczych umożliwiających im zaskarżenie decyzji o wydaleniu oraz przedłużeniu okresu pozbawienia wolności. Trybunał zauważył ponadto, że skarżący byli </w:t>
      </w:r>
      <w:r>
        <w:rPr>
          <w:color w:val="0071BB"/>
        </w:rPr>
        <w:lastRenderedPageBreak/>
        <w:t xml:space="preserve">obywatelami afgańskimi, którzy posługiwali się </w:t>
      </w:r>
      <w:r w:rsidR="00D7251C">
        <w:rPr>
          <w:color w:val="0071BB"/>
        </w:rPr>
        <w:t>wyłącznie językiem</w:t>
      </w:r>
      <w:r>
        <w:rPr>
          <w:color w:val="0071BB"/>
        </w:rPr>
        <w:t xml:space="preserve"> </w:t>
      </w:r>
      <w:proofErr w:type="spellStart"/>
      <w:r w:rsidR="00D7251C">
        <w:rPr>
          <w:color w:val="0071BB"/>
        </w:rPr>
        <w:t>f</w:t>
      </w:r>
      <w:r>
        <w:rPr>
          <w:color w:val="0071BB"/>
        </w:rPr>
        <w:t>arsi</w:t>
      </w:r>
      <w:proofErr w:type="spellEnd"/>
      <w:r>
        <w:rPr>
          <w:color w:val="0071BB"/>
        </w:rPr>
        <w:t>, jak również że nie przydzielono im pełnomocników.</w:t>
      </w:r>
      <w:r w:rsidR="006346C2">
        <w:rPr>
          <w:color w:val="0071BB"/>
        </w:rPr>
        <w:t xml:space="preserve"> </w:t>
      </w:r>
      <w:r>
        <w:rPr>
          <w:color w:val="0071BB"/>
        </w:rPr>
        <w:t xml:space="preserve">Dokumenty wydane </w:t>
      </w:r>
      <w:r w:rsidR="00D7251C">
        <w:rPr>
          <w:color w:val="0071BB"/>
        </w:rPr>
        <w:t>przez władze</w:t>
      </w:r>
      <w:r w:rsidR="00D7251C" w:rsidDel="00D7251C">
        <w:rPr>
          <w:color w:val="0071BB"/>
        </w:rPr>
        <w:t xml:space="preserve"> </w:t>
      </w:r>
      <w:r w:rsidR="00D7251C">
        <w:rPr>
          <w:color w:val="0071BB"/>
        </w:rPr>
        <w:t xml:space="preserve">w stosunku do nich były </w:t>
      </w:r>
      <w:r>
        <w:rPr>
          <w:color w:val="0071BB"/>
        </w:rPr>
        <w:t>sporządzon</w:t>
      </w:r>
      <w:r w:rsidR="00D7251C">
        <w:rPr>
          <w:color w:val="0071BB"/>
        </w:rPr>
        <w:t>e</w:t>
      </w:r>
      <w:r>
        <w:rPr>
          <w:color w:val="0071BB"/>
        </w:rPr>
        <w:t xml:space="preserve"> w języku greckim i nie </w:t>
      </w:r>
      <w:r w:rsidR="00D7251C">
        <w:rPr>
          <w:color w:val="0071BB"/>
        </w:rPr>
        <w:t>określały</w:t>
      </w:r>
      <w:r>
        <w:rPr>
          <w:color w:val="0071BB"/>
        </w:rPr>
        <w:t xml:space="preserve">, który sąd administracyjny był sądem właściwym. Wreszcie, podobnie jak w sprawie </w:t>
      </w:r>
      <w:r>
        <w:rPr>
          <w:i/>
          <w:iCs/>
          <w:color w:val="0071BB"/>
        </w:rPr>
        <w:t xml:space="preserve">J.R. </w:t>
      </w:r>
      <w:r w:rsidR="00D7251C">
        <w:rPr>
          <w:i/>
          <w:iCs/>
          <w:color w:val="0071BB"/>
        </w:rPr>
        <w:t>i</w:t>
      </w:r>
      <w:r>
        <w:rPr>
          <w:i/>
          <w:iCs/>
          <w:color w:val="0071BB"/>
        </w:rPr>
        <w:t xml:space="preserve"> Inni przeciwko Grecji</w:t>
      </w:r>
      <w:r>
        <w:rPr>
          <w:color w:val="0071BB"/>
        </w:rPr>
        <w:t xml:space="preserve"> (zob. powyżej w części „Pozbawienie wolności”), Trybunał uznał, że pozbawienie skarżących wolności było zgodne z prawem i nie osiągnięto </w:t>
      </w:r>
      <w:r w:rsidR="00D7251C">
        <w:rPr>
          <w:color w:val="0071BB"/>
        </w:rPr>
        <w:t xml:space="preserve">stopnia </w:t>
      </w:r>
      <w:r>
        <w:rPr>
          <w:color w:val="0071BB"/>
        </w:rPr>
        <w:t>dotkliwości, który pozwalałby uznać pozbawienie skarżących wolności za nieludzkie lub poniżające traktowanie.</w:t>
      </w:r>
    </w:p>
    <w:p w14:paraId="6212C5D4" w14:textId="77777777" w:rsidR="00CF20A5" w:rsidRDefault="00711FD6" w:rsidP="004B7905">
      <w:pPr>
        <w:spacing w:before="100"/>
        <w:ind w:left="880" w:right="1109"/>
        <w:jc w:val="both"/>
        <w:rPr>
          <w:sz w:val="16"/>
        </w:rPr>
      </w:pPr>
      <w:hyperlink r:id="rId87">
        <w:proofErr w:type="spellStart"/>
        <w:r w:rsidR="00CF20A5" w:rsidRPr="008D1215">
          <w:rPr>
            <w:b/>
            <w:color w:val="0071BB"/>
            <w:u w:val="thick" w:color="0071BB"/>
          </w:rPr>
          <w:t>Kaak</w:t>
        </w:r>
        <w:proofErr w:type="spellEnd"/>
        <w:r w:rsidR="00CF20A5" w:rsidRPr="008D1215">
          <w:rPr>
            <w:b/>
            <w:color w:val="0071BB"/>
            <w:u w:val="thick" w:color="0071BB"/>
          </w:rPr>
          <w:t xml:space="preserve"> i Inni przeciwko Grecji</w:t>
        </w:r>
        <w:r w:rsidR="00CF20A5" w:rsidRPr="008D1215">
          <w:rPr>
            <w:b/>
            <w:color w:val="0071BB"/>
            <w:u w:color="0071BB"/>
          </w:rPr>
          <w:t xml:space="preserve"> </w:t>
        </w:r>
      </w:hyperlink>
      <w:r w:rsidR="00CF20A5">
        <w:rPr>
          <w:color w:val="808080"/>
          <w:sz w:val="16"/>
        </w:rPr>
        <w:t>(zobacz również powyżej „Warunki pozbawienia wolności”)</w:t>
      </w:r>
    </w:p>
    <w:p w14:paraId="2A27A2FD" w14:textId="41D8BB5E" w:rsidR="008E3326" w:rsidRDefault="00CF20A5" w:rsidP="008E3326">
      <w:pPr>
        <w:spacing w:before="100"/>
        <w:ind w:left="880" w:right="967"/>
        <w:jc w:val="both"/>
        <w:rPr>
          <w:sz w:val="16"/>
        </w:rPr>
      </w:pPr>
      <w:r>
        <w:rPr>
          <w:color w:val="808080"/>
          <w:sz w:val="18"/>
        </w:rPr>
        <w:t>3 października 2019 r.</w:t>
      </w:r>
      <w:r w:rsidR="008E3326" w:rsidRPr="008E3326">
        <w:rPr>
          <w:color w:val="808080"/>
          <w:sz w:val="16"/>
        </w:rPr>
        <w:t xml:space="preserve"> </w:t>
      </w:r>
      <w:r w:rsidR="008E3326">
        <w:rPr>
          <w:color w:val="808080"/>
          <w:sz w:val="16"/>
        </w:rPr>
        <w:t>(wyrok stanie się ostateczny w okolicznościach wskazanych w art. 44 ust. 2 Konwencji)</w:t>
      </w:r>
    </w:p>
    <w:p w14:paraId="5D0C4AB5" w14:textId="187DE50A" w:rsidR="00CF20A5" w:rsidRPr="00B70B4D" w:rsidRDefault="008E3326" w:rsidP="004B7905">
      <w:pPr>
        <w:spacing w:before="79"/>
        <w:ind w:left="880" w:right="967"/>
        <w:jc w:val="both"/>
      </w:pPr>
      <w:r w:rsidRPr="00B70B4D">
        <w:rPr>
          <w:sz w:val="20"/>
          <w:szCs w:val="20"/>
        </w:rPr>
        <w:t xml:space="preserve">Sprawa dotyczyła warunków pozbawienia wolności obywateli Syrii, Afganistanu i Palestyny w punkcie szybkiej rejestracji migrantów </w:t>
      </w:r>
      <w:proofErr w:type="spellStart"/>
      <w:r w:rsidRPr="00B70B4D">
        <w:rPr>
          <w:sz w:val="20"/>
          <w:szCs w:val="20"/>
        </w:rPr>
        <w:t>Vial</w:t>
      </w:r>
      <w:proofErr w:type="spellEnd"/>
      <w:r w:rsidRPr="00B70B4D">
        <w:rPr>
          <w:sz w:val="20"/>
          <w:szCs w:val="20"/>
        </w:rPr>
        <w:t xml:space="preserve"> i </w:t>
      </w:r>
      <w:proofErr w:type="spellStart"/>
      <w:r w:rsidRPr="00B70B4D">
        <w:rPr>
          <w:sz w:val="20"/>
          <w:szCs w:val="20"/>
        </w:rPr>
        <w:t>Souda</w:t>
      </w:r>
      <w:proofErr w:type="spellEnd"/>
      <w:r w:rsidRPr="00B70B4D">
        <w:rPr>
          <w:sz w:val="20"/>
          <w:szCs w:val="20"/>
        </w:rPr>
        <w:t xml:space="preserve"> (Grecja) oraz legalności pozbawienia ich wolności w tych ośrodkach.</w:t>
      </w:r>
      <w:r w:rsidR="00D87747">
        <w:rPr>
          <w:sz w:val="20"/>
          <w:szCs w:val="20"/>
        </w:rPr>
        <w:t xml:space="preserve"> Skarżący podnosili w szczególności zarzut braku pomocy prawnej oraz to, że na Chios nie było sadu administracyjnego, co w ich opinii, sprawiało, że jakiekolwiek skargi dotyczące ich pozbawienia wolności w praktyce były niemożliwe i w konsekwencji było arbitralne.</w:t>
      </w:r>
    </w:p>
    <w:p w14:paraId="3B9AE629" w14:textId="4D7479CB" w:rsidR="00CF20A5" w:rsidRDefault="00CF20A5" w:rsidP="00CF20A5">
      <w:pPr>
        <w:pStyle w:val="Tekstpodstawowy"/>
        <w:ind w:left="879" w:right="975"/>
      </w:pPr>
      <w:r>
        <w:rPr>
          <w:color w:val="0071BB"/>
        </w:rPr>
        <w:t xml:space="preserve">Trybunał uznał, że </w:t>
      </w:r>
      <w:r>
        <w:rPr>
          <w:b/>
          <w:color w:val="0071BB"/>
        </w:rPr>
        <w:t xml:space="preserve">doszło do naruszenia art. 5 ust. 4 Konwencji </w:t>
      </w:r>
      <w:r>
        <w:rPr>
          <w:color w:val="0071BB"/>
        </w:rPr>
        <w:t>(prawo do bezzwłocznego zbadania przez sąd legalności pozbawienia wolności)</w:t>
      </w:r>
      <w:r w:rsidR="00D87747">
        <w:rPr>
          <w:color w:val="0071BB"/>
        </w:rPr>
        <w:t xml:space="preserve"> oraz że </w:t>
      </w:r>
      <w:r w:rsidR="00D87747" w:rsidRPr="004B7905">
        <w:rPr>
          <w:b/>
          <w:bCs/>
          <w:color w:val="0071BB"/>
        </w:rPr>
        <w:t>nie doszło do naruszenia art. 5 ust. 1 Konwencji</w:t>
      </w:r>
      <w:r>
        <w:rPr>
          <w:color w:val="0071BB"/>
        </w:rPr>
        <w:t xml:space="preserve"> </w:t>
      </w:r>
      <w:r w:rsidR="00DB2F50">
        <w:rPr>
          <w:color w:val="0071BB"/>
        </w:rPr>
        <w:t xml:space="preserve">(prawo do wolności i bezpieczeństwa osobistego). </w:t>
      </w:r>
      <w:r>
        <w:rPr>
          <w:color w:val="0071BB"/>
        </w:rPr>
        <w:t>Trybunał</w:t>
      </w:r>
      <w:r w:rsidR="00DB2F50">
        <w:rPr>
          <w:color w:val="0071BB"/>
        </w:rPr>
        <w:t xml:space="preserve"> przypomniał w szczególności swoje wcześniejsze twierdzenia, że okres jednego  miesiąca pozbawienia wolności w ośrodku </w:t>
      </w:r>
      <w:proofErr w:type="spellStart"/>
      <w:r w:rsidR="00DB2F50">
        <w:rPr>
          <w:color w:val="0071BB"/>
        </w:rPr>
        <w:t>Vial</w:t>
      </w:r>
      <w:proofErr w:type="spellEnd"/>
      <w:r w:rsidR="00DB2F50">
        <w:rPr>
          <w:color w:val="0071BB"/>
        </w:rPr>
        <w:t xml:space="preserve"> nie powinien być uznawany za nadmierny, biorąc pod uwagę czas niezbędny na dopełnienie wszelkich odpowiednich formalności administracyjnych. Dodatkowo okres pozbawienia skarżących wolności, od momentu, gdy wyrazili wolę ubiegania się o azyl, był stosunkowo krótki. </w:t>
      </w:r>
      <w:r w:rsidR="00C35490">
        <w:rPr>
          <w:color w:val="0071BB"/>
        </w:rPr>
        <w:t>W przeciwieństwie, skarżący, którzy pozbawieni byli pomocy prawnej, nie byli w stanie zrozumieć treści zawartych w broszurach informacyjnych; w szczególności nie byli w stanie zrozumieć treści odnoszącej się do różnych możliwości odwołania, dostępnych zgodnie z prawem krajowym.</w:t>
      </w:r>
    </w:p>
    <w:p w14:paraId="29130795" w14:textId="77777777" w:rsidR="00CF20A5" w:rsidRDefault="00CF20A5">
      <w:pPr>
        <w:pStyle w:val="Tekstpodstawowy"/>
        <w:ind w:left="879" w:right="975"/>
      </w:pPr>
    </w:p>
    <w:p w14:paraId="00195AE8" w14:textId="77777777" w:rsidR="00A64743" w:rsidRDefault="00A64743">
      <w:pPr>
        <w:pStyle w:val="Tekstpodstawowy"/>
        <w:spacing w:before="8"/>
        <w:ind w:left="0"/>
        <w:jc w:val="left"/>
        <w:rPr>
          <w:sz w:val="19"/>
        </w:rPr>
      </w:pPr>
    </w:p>
    <w:p w14:paraId="67C137B1" w14:textId="1D1E0CC0" w:rsidR="00A64743" w:rsidRDefault="004B7905">
      <w:pPr>
        <w:pStyle w:val="Nagwek1"/>
      </w:pPr>
      <w:r>
        <w:rPr>
          <w:noProof/>
          <w:lang w:eastAsia="pl-PL" w:bidi="ar-SA"/>
        </w:rPr>
        <mc:AlternateContent>
          <mc:Choice Requires="wps">
            <w:drawing>
              <wp:anchor distT="0" distB="0" distL="0" distR="0" simplePos="0" relativeHeight="251657728" behindDoc="1" locked="0" layoutInCell="1" allowOverlap="1" wp14:anchorId="2E849E54" wp14:editId="5F460AED">
                <wp:simplePos x="0" y="0"/>
                <wp:positionH relativeFrom="page">
                  <wp:posOffset>895985</wp:posOffset>
                </wp:positionH>
                <wp:positionV relativeFrom="paragraph">
                  <wp:posOffset>278130</wp:posOffset>
                </wp:positionV>
                <wp:extent cx="5768340" cy="0"/>
                <wp:effectExtent l="10160" t="17145" r="12700" b="1143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89F9F"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" strokecolor="#999" strokeweight="1.44pt">
                <w10:wrap type="topAndBottom" anchorx="page"/>
              </v:line>
            </w:pict>
          </mc:Fallback>
        </mc:AlternateContent>
      </w:r>
      <w:r w:rsidR="001A3819">
        <w:rPr>
          <w:color w:val="0071BB"/>
        </w:rPr>
        <w:t>Teksty i dokumenty</w:t>
      </w:r>
    </w:p>
    <w:p w14:paraId="7A827118" w14:textId="77777777" w:rsidR="00A64743" w:rsidRDefault="00A64743">
      <w:pPr>
        <w:pStyle w:val="Tekstpodstawowy"/>
        <w:spacing w:before="2"/>
        <w:ind w:left="0"/>
        <w:jc w:val="left"/>
        <w:rPr>
          <w:sz w:val="9"/>
        </w:rPr>
      </w:pPr>
    </w:p>
    <w:p w14:paraId="79398D7E" w14:textId="77777777" w:rsidR="00A64743" w:rsidRDefault="001A3819">
      <w:pPr>
        <w:pStyle w:val="Tekstpodstawowy"/>
        <w:spacing w:before="99"/>
        <w:jc w:val="left"/>
      </w:pPr>
      <w:r>
        <w:t>Zobacz w szczególności:</w:t>
      </w:r>
    </w:p>
    <w:p w14:paraId="2FF60AA5" w14:textId="77777777" w:rsidR="00A64743" w:rsidRDefault="00A64743">
      <w:pPr>
        <w:pStyle w:val="Tekstpodstawowy"/>
        <w:spacing w:before="6"/>
        <w:ind w:left="0"/>
        <w:jc w:val="left"/>
        <w:rPr>
          <w:sz w:val="18"/>
        </w:rPr>
      </w:pPr>
    </w:p>
    <w:p w14:paraId="0D0316C3" w14:textId="77777777" w:rsidR="00A64743" w:rsidRDefault="00711FD6">
      <w:pPr>
        <w:pStyle w:val="Akapitzlist"/>
        <w:numPr>
          <w:ilvl w:val="0"/>
          <w:numId w:val="1"/>
        </w:numPr>
        <w:tabs>
          <w:tab w:val="left" w:pos="1308"/>
        </w:tabs>
        <w:ind w:right="975"/>
        <w:rPr>
          <w:sz w:val="20"/>
        </w:rPr>
      </w:pPr>
      <w:hyperlink r:id="rId88">
        <w:r w:rsidR="001A3819">
          <w:rPr>
            <w:b/>
            <w:color w:val="0071BB"/>
            <w:sz w:val="20"/>
            <w:u w:val="thick" w:color="0071BB"/>
          </w:rPr>
          <w:t>Podręcznik europejskiego prawa dotyczącego azylu, granic i imigracji</w:t>
        </w:r>
      </w:hyperlink>
      <w:r w:rsidR="001A3819">
        <w:rPr>
          <w:sz w:val="20"/>
        </w:rPr>
        <w:t>, Agencja Praw Podstawowych Unii Europejskiej / Europejski Trybunał Praw Człowieka, 2013</w:t>
      </w:r>
    </w:p>
    <w:p w14:paraId="4A8D00DE" w14:textId="77777777" w:rsidR="00A64743" w:rsidRDefault="001A3819">
      <w:pPr>
        <w:pStyle w:val="Akapitzlist"/>
        <w:numPr>
          <w:ilvl w:val="0"/>
          <w:numId w:val="1"/>
        </w:numPr>
        <w:tabs>
          <w:tab w:val="left" w:pos="1308"/>
        </w:tabs>
        <w:spacing w:before="80"/>
        <w:rPr>
          <w:b/>
          <w:sz w:val="20"/>
        </w:rPr>
      </w:pPr>
      <w:r>
        <w:t>Specjalny przedstawiciel Sekretarza General</w:t>
      </w:r>
      <w:r w:rsidR="00D446FC">
        <w:t>nego Rady Europy ds. migracji i </w:t>
      </w:r>
      <w:r>
        <w:t>uchodźców</w:t>
      </w:r>
      <w:r>
        <w:rPr>
          <w:sz w:val="20"/>
        </w:rPr>
        <w:t>:</w:t>
      </w:r>
      <w:r>
        <w:rPr>
          <w:color w:val="0071BB"/>
          <w:sz w:val="20"/>
        </w:rPr>
        <w:t xml:space="preserve"> </w:t>
      </w:r>
      <w:hyperlink r:id="rId89">
        <w:r>
          <w:rPr>
            <w:b/>
            <w:color w:val="0071BB"/>
            <w:sz w:val="20"/>
            <w:u w:val="thick" w:color="0071BB"/>
          </w:rPr>
          <w:t>strona internetowa</w:t>
        </w:r>
      </w:hyperlink>
    </w:p>
    <w:p w14:paraId="1E67302C" w14:textId="5A35AF8E" w:rsidR="00A64743" w:rsidRDefault="004B7905">
      <w:pPr>
        <w:pStyle w:val="Tekstpodstawowy"/>
        <w:spacing w:before="6"/>
        <w:ind w:left="0"/>
        <w:jc w:val="left"/>
        <w:rPr>
          <w:b/>
          <w:sz w:val="18"/>
        </w:rPr>
      </w:pPr>
      <w:r>
        <w:rPr>
          <w:noProof/>
          <w:lang w:eastAsia="pl-PL" w:bidi="ar-SA"/>
        </w:rPr>
        <mc:AlternateContent>
          <mc:Choice Requires="wps">
            <w:drawing>
              <wp:anchor distT="0" distB="0" distL="0" distR="0" simplePos="0" relativeHeight="251658752" behindDoc="1" locked="0" layoutInCell="1" allowOverlap="1" wp14:anchorId="30BAC606" wp14:editId="4F5064BE">
                <wp:simplePos x="0" y="0"/>
                <wp:positionH relativeFrom="page">
                  <wp:posOffset>895985</wp:posOffset>
                </wp:positionH>
                <wp:positionV relativeFrom="paragraph">
                  <wp:posOffset>173990</wp:posOffset>
                </wp:positionV>
                <wp:extent cx="5768340" cy="0"/>
                <wp:effectExtent l="10160" t="6350" r="12700" b="1270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88625"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7pt" to="52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" strokecolor="#999" strokeweight=".96pt">
                <w10:wrap type="topAndBottom" anchorx="page"/>
              </v:line>
            </w:pict>
          </mc:Fallback>
        </mc:AlternateContent>
      </w:r>
    </w:p>
    <w:p w14:paraId="77AFD48F" w14:textId="77777777" w:rsidR="00A64743" w:rsidRDefault="00A64743">
      <w:pPr>
        <w:pStyle w:val="Tekstpodstawowy"/>
        <w:spacing w:before="1"/>
        <w:ind w:left="0"/>
        <w:jc w:val="left"/>
        <w:rPr>
          <w:b/>
          <w:sz w:val="19"/>
        </w:rPr>
      </w:pPr>
    </w:p>
    <w:p w14:paraId="2F7A6437" w14:textId="77777777" w:rsidR="00A64743" w:rsidRDefault="001A3819">
      <w:pPr>
        <w:spacing w:before="99" w:line="243" w:lineRule="exact"/>
        <w:ind w:left="3995" w:right="4096"/>
        <w:jc w:val="center"/>
        <w:rPr>
          <w:b/>
          <w:sz w:val="20"/>
        </w:rPr>
      </w:pPr>
      <w:r>
        <w:rPr>
          <w:b/>
          <w:color w:val="808080"/>
          <w:sz w:val="20"/>
        </w:rPr>
        <w:t>Kontakt z mediami:</w:t>
      </w:r>
    </w:p>
    <w:p w14:paraId="05636BF9" w14:textId="77777777" w:rsidR="00A64743" w:rsidRDefault="001A3819">
      <w:pPr>
        <w:pStyle w:val="Tekstpodstawowy"/>
        <w:spacing w:line="243" w:lineRule="exact"/>
        <w:ind w:left="3999" w:right="4096"/>
        <w:jc w:val="center"/>
      </w:pPr>
      <w:r>
        <w:rPr>
          <w:color w:val="808080"/>
        </w:rPr>
        <w:t>Tel.: +33 (0)3 90 21 42 08</w:t>
      </w:r>
    </w:p>
    <w:p w14:paraId="7C4224F6" w14:textId="1703CCF7" w:rsidR="00A64743" w:rsidRDefault="00A64743" w:rsidP="00D446FC">
      <w:pPr>
        <w:pStyle w:val="Tekstpodstawowy"/>
        <w:spacing w:before="4"/>
        <w:ind w:left="0"/>
        <w:jc w:val="left"/>
        <w:rPr>
          <w:sz w:val="16"/>
        </w:rPr>
      </w:pPr>
    </w:p>
    <w:sectPr w:rsidR="00A64743" w:rsidSect="008D1215">
      <w:headerReference w:type="default" r:id="rId90"/>
      <w:footerReference w:type="default" r:id="rId91"/>
      <w:pgSz w:w="11910" w:h="16840"/>
      <w:pgMar w:top="1378" w:right="459" w:bottom="1418" w:left="561" w:header="720" w:footer="49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F4AF9" w14:textId="77777777" w:rsidR="00711FD6" w:rsidRDefault="00711FD6">
      <w:r>
        <w:separator/>
      </w:r>
    </w:p>
  </w:endnote>
  <w:endnote w:type="continuationSeparator" w:id="0">
    <w:p w14:paraId="7851DAE8" w14:textId="77777777" w:rsidR="00711FD6" w:rsidRDefault="0071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740E" w14:textId="07365D13" w:rsidR="000859C8" w:rsidRDefault="004B7905">
    <w:pPr>
      <w:pStyle w:val="Tekstpodstawowy"/>
      <w:spacing w:line="14" w:lineRule="auto"/>
      <w:ind w:left="0"/>
      <w:jc w:val="left"/>
    </w:pPr>
    <w:r>
      <w:rPr>
        <w:noProof/>
        <w:lang w:eastAsia="pl-PL" w:bidi="ar-SA"/>
      </w:rPr>
      <mc:AlternateContent>
        <mc:Choice Requires="wps">
          <w:drawing>
            <wp:anchor distT="0" distB="0" distL="114300" distR="114300" simplePos="0" relativeHeight="251657728" behindDoc="1" locked="0" layoutInCell="1" allowOverlap="1" wp14:anchorId="5246D9DF" wp14:editId="77D6D1AA">
              <wp:simplePos x="0" y="0"/>
              <wp:positionH relativeFrom="page">
                <wp:posOffset>3673475</wp:posOffset>
              </wp:positionH>
              <wp:positionV relativeFrom="page">
                <wp:posOffset>10236835</wp:posOffset>
              </wp:positionV>
              <wp:extent cx="213360" cy="17970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A1E7" w14:textId="77777777" w:rsidR="000859C8" w:rsidRDefault="000859C8">
                          <w:pPr>
                            <w:pStyle w:val="Tekstpodstawowy"/>
                            <w:spacing w:before="19"/>
                            <w:ind w:left="40"/>
                            <w:jc w:val="left"/>
                          </w:pPr>
                          <w:r>
                            <w:fldChar w:fldCharType="begin"/>
                          </w:r>
                          <w:r>
                            <w:instrText xml:space="preserve"> PAGE </w:instrText>
                          </w:r>
                          <w:r>
                            <w:fldChar w:fldCharType="separate"/>
                          </w:r>
                          <w:r w:rsidR="001D23DE">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06.05pt;width:16.8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wX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" filled="f" stroked="f">
              <v:textbox inset="0,0,0,0">
                <w:txbxContent>
                  <w:p w14:paraId="5F61A1E7" w14:textId="77777777" w:rsidR="000859C8" w:rsidRDefault="000859C8">
                    <w:pPr>
                      <w:pStyle w:val="Tekstpodstawowy"/>
                      <w:spacing w:before="19"/>
                      <w:ind w:left="40"/>
                      <w:jc w:val="left"/>
                    </w:pPr>
                    <w:r>
                      <w:fldChar w:fldCharType="begin"/>
                    </w:r>
                    <w:r>
                      <w:instrText xml:space="preserve"> PAGE </w:instrText>
                    </w:r>
                    <w:r>
                      <w:fldChar w:fldCharType="separate"/>
                    </w:r>
                    <w:r w:rsidR="001D23DE">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C12C" w14:textId="77777777" w:rsidR="00711FD6" w:rsidRDefault="00711FD6">
      <w:r>
        <w:separator/>
      </w:r>
    </w:p>
  </w:footnote>
  <w:footnote w:type="continuationSeparator" w:id="0">
    <w:p w14:paraId="0F4A254F" w14:textId="77777777" w:rsidR="00711FD6" w:rsidRDefault="00711FD6">
      <w:r>
        <w:continuationSeparator/>
      </w:r>
    </w:p>
  </w:footnote>
  <w:footnote w:id="1">
    <w:p w14:paraId="0321271E" w14:textId="3DC5249A" w:rsidR="000859C8" w:rsidRPr="00F006C6" w:rsidRDefault="000859C8" w:rsidP="00725822">
      <w:pPr>
        <w:pStyle w:val="Tekstprzypisudolnego"/>
        <w:ind w:left="851" w:right="967"/>
        <w:jc w:val="both"/>
        <w:rPr>
          <w:sz w:val="16"/>
          <w:szCs w:val="16"/>
        </w:rPr>
      </w:pPr>
      <w:r w:rsidRPr="00F006C6">
        <w:rPr>
          <w:rStyle w:val="Odwoanieprzypisudolnego"/>
          <w:sz w:val="16"/>
          <w:szCs w:val="16"/>
        </w:rPr>
        <w:footnoteRef/>
      </w:r>
      <w:r w:rsidRPr="00F006C6">
        <w:rPr>
          <w:sz w:val="16"/>
          <w:szCs w:val="16"/>
        </w:rPr>
        <w:t xml:space="preserve"> „System dubliński” ma na celu określenie państwa członkowskiego UE odpowiedzialnego za rozpatrzenie wniosku o azyl złożonego w jednym z państw członkowskich przez obywatela państwa trzeciego. Zobacz równie zestawienie </w:t>
      </w:r>
      <w:hyperlink r:id="rId1">
        <w:r w:rsidRPr="00F006C6">
          <w:rPr>
            <w:color w:val="0071BB"/>
            <w:sz w:val="16"/>
            <w:szCs w:val="16"/>
            <w:u w:val="single" w:color="0071BB"/>
          </w:rPr>
          <w:t>„Sprawy dublińskie”</w:t>
        </w:r>
      </w:hyperlink>
      <w:r w:rsidRPr="00F006C6">
        <w:rPr>
          <w:color w:val="0071BB"/>
          <w:sz w:val="16"/>
          <w:szCs w:val="16"/>
          <w:u w:val="single" w:color="0071BB"/>
        </w:rPr>
        <w:t>.</w:t>
      </w:r>
    </w:p>
  </w:footnote>
  <w:footnote w:id="2">
    <w:p w14:paraId="29E65AFA" w14:textId="4F1A0B13" w:rsidR="000859C8" w:rsidRPr="00F006C6" w:rsidRDefault="000859C8" w:rsidP="004B7905">
      <w:pPr>
        <w:pStyle w:val="Tekstprzypisudolnego"/>
        <w:ind w:firstLine="851"/>
        <w:rPr>
          <w:sz w:val="16"/>
          <w:szCs w:val="16"/>
        </w:rPr>
      </w:pPr>
      <w:r w:rsidRPr="00F006C6">
        <w:rPr>
          <w:rStyle w:val="Odwoanieprzypisudolnego"/>
          <w:sz w:val="16"/>
          <w:szCs w:val="16"/>
        </w:rPr>
        <w:footnoteRef/>
      </w:r>
      <w:r w:rsidRPr="00F006C6">
        <w:rPr>
          <w:sz w:val="16"/>
          <w:szCs w:val="16"/>
        </w:rPr>
        <w:t xml:space="preserve"> Zobacz przypis 1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6613" w14:textId="64860887" w:rsidR="008D1215" w:rsidRPr="008D1215" w:rsidRDefault="008D1215" w:rsidP="008D1215">
    <w:pPr>
      <w:pStyle w:val="Nagwek"/>
      <w:ind w:left="851"/>
      <w:rPr>
        <w:sz w:val="20"/>
      </w:rPr>
    </w:pPr>
    <w:r w:rsidRPr="008D1215">
      <w:rPr>
        <w:sz w:val="20"/>
      </w:rPr>
      <w:t>Zestawienie – Pozbawienie wolności migrantów</w:t>
    </w:r>
    <w:r>
      <w:rPr>
        <w:sz w:val="20"/>
      </w:rPr>
      <w:t xml:space="preserve">                             </w:t>
    </w:r>
    <w:r>
      <w:rPr>
        <w:rFonts w:ascii="Times New Roman"/>
        <w:noProof/>
        <w:lang w:eastAsia="pl-PL" w:bidi="ar-SA"/>
      </w:rPr>
      <w:drawing>
        <wp:inline distT="0" distB="0" distL="0" distR="0" wp14:anchorId="59C471BF" wp14:editId="604C9E80">
          <wp:extent cx="1410777" cy="368807"/>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10777" cy="368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536DD"/>
    <w:multiLevelType w:val="hybridMultilevel"/>
    <w:tmpl w:val="17C4102A"/>
    <w:lvl w:ilvl="0" w:tplc="68EC89C6">
      <w:numFmt w:val="bullet"/>
      <w:lvlText w:val="-"/>
      <w:lvlJc w:val="left"/>
      <w:pPr>
        <w:ind w:left="1307" w:hanging="286"/>
      </w:pPr>
      <w:rPr>
        <w:rFonts w:ascii="Verdana" w:eastAsia="Verdana" w:hAnsi="Verdana" w:cs="Verdana" w:hint="default"/>
        <w:w w:val="99"/>
        <w:sz w:val="20"/>
        <w:szCs w:val="20"/>
        <w:lang w:val="en-US" w:eastAsia="en-US" w:bidi="en-US"/>
      </w:rPr>
    </w:lvl>
    <w:lvl w:ilvl="1" w:tplc="0534F9A4">
      <w:numFmt w:val="bullet"/>
      <w:lvlText w:val="•"/>
      <w:lvlJc w:val="left"/>
      <w:pPr>
        <w:ind w:left="2258" w:hanging="286"/>
      </w:pPr>
      <w:rPr>
        <w:rFonts w:hint="default"/>
        <w:lang w:val="en-US" w:eastAsia="en-US" w:bidi="en-US"/>
      </w:rPr>
    </w:lvl>
    <w:lvl w:ilvl="2" w:tplc="B7606818">
      <w:numFmt w:val="bullet"/>
      <w:lvlText w:val="•"/>
      <w:lvlJc w:val="left"/>
      <w:pPr>
        <w:ind w:left="3217" w:hanging="286"/>
      </w:pPr>
      <w:rPr>
        <w:rFonts w:hint="default"/>
        <w:lang w:val="en-US" w:eastAsia="en-US" w:bidi="en-US"/>
      </w:rPr>
    </w:lvl>
    <w:lvl w:ilvl="3" w:tplc="C95A3906">
      <w:numFmt w:val="bullet"/>
      <w:lvlText w:val="•"/>
      <w:lvlJc w:val="left"/>
      <w:pPr>
        <w:ind w:left="4175" w:hanging="286"/>
      </w:pPr>
      <w:rPr>
        <w:rFonts w:hint="default"/>
        <w:lang w:val="en-US" w:eastAsia="en-US" w:bidi="en-US"/>
      </w:rPr>
    </w:lvl>
    <w:lvl w:ilvl="4" w:tplc="FEC6A6AE">
      <w:numFmt w:val="bullet"/>
      <w:lvlText w:val="•"/>
      <w:lvlJc w:val="left"/>
      <w:pPr>
        <w:ind w:left="5134" w:hanging="286"/>
      </w:pPr>
      <w:rPr>
        <w:rFonts w:hint="default"/>
        <w:lang w:val="en-US" w:eastAsia="en-US" w:bidi="en-US"/>
      </w:rPr>
    </w:lvl>
    <w:lvl w:ilvl="5" w:tplc="CA906DA2">
      <w:numFmt w:val="bullet"/>
      <w:lvlText w:val="•"/>
      <w:lvlJc w:val="left"/>
      <w:pPr>
        <w:ind w:left="6093" w:hanging="286"/>
      </w:pPr>
      <w:rPr>
        <w:rFonts w:hint="default"/>
        <w:lang w:val="en-US" w:eastAsia="en-US" w:bidi="en-US"/>
      </w:rPr>
    </w:lvl>
    <w:lvl w:ilvl="6" w:tplc="453EBCFA">
      <w:numFmt w:val="bullet"/>
      <w:lvlText w:val="•"/>
      <w:lvlJc w:val="left"/>
      <w:pPr>
        <w:ind w:left="7051" w:hanging="286"/>
      </w:pPr>
      <w:rPr>
        <w:rFonts w:hint="default"/>
        <w:lang w:val="en-US" w:eastAsia="en-US" w:bidi="en-US"/>
      </w:rPr>
    </w:lvl>
    <w:lvl w:ilvl="7" w:tplc="40E0467A">
      <w:numFmt w:val="bullet"/>
      <w:lvlText w:val="•"/>
      <w:lvlJc w:val="left"/>
      <w:pPr>
        <w:ind w:left="8010" w:hanging="286"/>
      </w:pPr>
      <w:rPr>
        <w:rFonts w:hint="default"/>
        <w:lang w:val="en-US" w:eastAsia="en-US" w:bidi="en-US"/>
      </w:rPr>
    </w:lvl>
    <w:lvl w:ilvl="8" w:tplc="01CEB1A6">
      <w:numFmt w:val="bullet"/>
      <w:lvlText w:val="•"/>
      <w:lvlJc w:val="left"/>
      <w:pPr>
        <w:ind w:left="8969" w:hanging="28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43"/>
    <w:rsid w:val="00010F7A"/>
    <w:rsid w:val="0001177F"/>
    <w:rsid w:val="00011C0A"/>
    <w:rsid w:val="00022393"/>
    <w:rsid w:val="000263EC"/>
    <w:rsid w:val="00035106"/>
    <w:rsid w:val="000859C8"/>
    <w:rsid w:val="000A3C67"/>
    <w:rsid w:val="000A53E2"/>
    <w:rsid w:val="000B5170"/>
    <w:rsid w:val="000C1207"/>
    <w:rsid w:val="000C1CCA"/>
    <w:rsid w:val="000E257A"/>
    <w:rsid w:val="000E2AE9"/>
    <w:rsid w:val="000E4E73"/>
    <w:rsid w:val="000E6A68"/>
    <w:rsid w:val="0011785D"/>
    <w:rsid w:val="001257F8"/>
    <w:rsid w:val="00127C4D"/>
    <w:rsid w:val="00164EB7"/>
    <w:rsid w:val="00184913"/>
    <w:rsid w:val="00185879"/>
    <w:rsid w:val="0019236B"/>
    <w:rsid w:val="001A3819"/>
    <w:rsid w:val="001B45AB"/>
    <w:rsid w:val="001D23DE"/>
    <w:rsid w:val="001E4DC1"/>
    <w:rsid w:val="001F1DF6"/>
    <w:rsid w:val="001F7066"/>
    <w:rsid w:val="002001AF"/>
    <w:rsid w:val="0022081F"/>
    <w:rsid w:val="0024640B"/>
    <w:rsid w:val="00257ECA"/>
    <w:rsid w:val="00280A41"/>
    <w:rsid w:val="002D4D2C"/>
    <w:rsid w:val="002E159B"/>
    <w:rsid w:val="002F208D"/>
    <w:rsid w:val="00300269"/>
    <w:rsid w:val="0031056D"/>
    <w:rsid w:val="00320F95"/>
    <w:rsid w:val="00331C53"/>
    <w:rsid w:val="003475F3"/>
    <w:rsid w:val="00376C10"/>
    <w:rsid w:val="00423C13"/>
    <w:rsid w:val="0042491F"/>
    <w:rsid w:val="00430DAF"/>
    <w:rsid w:val="00435385"/>
    <w:rsid w:val="0044358D"/>
    <w:rsid w:val="00453E56"/>
    <w:rsid w:val="00472A36"/>
    <w:rsid w:val="004814A2"/>
    <w:rsid w:val="004923E3"/>
    <w:rsid w:val="004A5E01"/>
    <w:rsid w:val="004B7905"/>
    <w:rsid w:val="004E444F"/>
    <w:rsid w:val="004E61F2"/>
    <w:rsid w:val="00506886"/>
    <w:rsid w:val="00512E7A"/>
    <w:rsid w:val="00516F30"/>
    <w:rsid w:val="0053704F"/>
    <w:rsid w:val="00543E2F"/>
    <w:rsid w:val="00550CBE"/>
    <w:rsid w:val="00563FFB"/>
    <w:rsid w:val="00570B90"/>
    <w:rsid w:val="005765A6"/>
    <w:rsid w:val="00595BED"/>
    <w:rsid w:val="00596475"/>
    <w:rsid w:val="005A5F9B"/>
    <w:rsid w:val="005A78DA"/>
    <w:rsid w:val="005D05DC"/>
    <w:rsid w:val="005E082F"/>
    <w:rsid w:val="005E1367"/>
    <w:rsid w:val="00600644"/>
    <w:rsid w:val="00602DAE"/>
    <w:rsid w:val="00616DF9"/>
    <w:rsid w:val="00624055"/>
    <w:rsid w:val="006346C2"/>
    <w:rsid w:val="00644BA6"/>
    <w:rsid w:val="00655A39"/>
    <w:rsid w:val="00656785"/>
    <w:rsid w:val="00657A93"/>
    <w:rsid w:val="00660EBE"/>
    <w:rsid w:val="00664483"/>
    <w:rsid w:val="00677EB2"/>
    <w:rsid w:val="0068177B"/>
    <w:rsid w:val="00695EF3"/>
    <w:rsid w:val="006B0A95"/>
    <w:rsid w:val="006E5AD9"/>
    <w:rsid w:val="006F13D5"/>
    <w:rsid w:val="00711FD6"/>
    <w:rsid w:val="00723A28"/>
    <w:rsid w:val="00725822"/>
    <w:rsid w:val="00726091"/>
    <w:rsid w:val="007351B5"/>
    <w:rsid w:val="007428D8"/>
    <w:rsid w:val="00773C25"/>
    <w:rsid w:val="007771EA"/>
    <w:rsid w:val="00780C79"/>
    <w:rsid w:val="007A338E"/>
    <w:rsid w:val="007C6054"/>
    <w:rsid w:val="0081737A"/>
    <w:rsid w:val="0084042B"/>
    <w:rsid w:val="00844B1F"/>
    <w:rsid w:val="00860B0B"/>
    <w:rsid w:val="0086269B"/>
    <w:rsid w:val="00876E48"/>
    <w:rsid w:val="00891E38"/>
    <w:rsid w:val="00894FB6"/>
    <w:rsid w:val="008A6763"/>
    <w:rsid w:val="008B0A8F"/>
    <w:rsid w:val="008D1215"/>
    <w:rsid w:val="008D1BD0"/>
    <w:rsid w:val="008D48AE"/>
    <w:rsid w:val="008E03E1"/>
    <w:rsid w:val="008E2521"/>
    <w:rsid w:val="008E3326"/>
    <w:rsid w:val="008F5993"/>
    <w:rsid w:val="008F5A90"/>
    <w:rsid w:val="008F623A"/>
    <w:rsid w:val="009056DC"/>
    <w:rsid w:val="00906630"/>
    <w:rsid w:val="00906679"/>
    <w:rsid w:val="00917B04"/>
    <w:rsid w:val="00920251"/>
    <w:rsid w:val="00965BB9"/>
    <w:rsid w:val="00972048"/>
    <w:rsid w:val="009A3947"/>
    <w:rsid w:val="009A39A6"/>
    <w:rsid w:val="009C1793"/>
    <w:rsid w:val="009C2DC3"/>
    <w:rsid w:val="009D03B8"/>
    <w:rsid w:val="009E4E18"/>
    <w:rsid w:val="009F3A8B"/>
    <w:rsid w:val="00A24467"/>
    <w:rsid w:val="00A408B6"/>
    <w:rsid w:val="00A42801"/>
    <w:rsid w:val="00A63805"/>
    <w:rsid w:val="00A64743"/>
    <w:rsid w:val="00A75C95"/>
    <w:rsid w:val="00AB38B4"/>
    <w:rsid w:val="00AB487F"/>
    <w:rsid w:val="00AC38EE"/>
    <w:rsid w:val="00AD344D"/>
    <w:rsid w:val="00AE26BE"/>
    <w:rsid w:val="00AF5EDA"/>
    <w:rsid w:val="00B25CB7"/>
    <w:rsid w:val="00B66426"/>
    <w:rsid w:val="00B70487"/>
    <w:rsid w:val="00B70B4D"/>
    <w:rsid w:val="00B7702A"/>
    <w:rsid w:val="00B80A91"/>
    <w:rsid w:val="00B85600"/>
    <w:rsid w:val="00BD3FEA"/>
    <w:rsid w:val="00BE06FD"/>
    <w:rsid w:val="00BF6697"/>
    <w:rsid w:val="00C060BD"/>
    <w:rsid w:val="00C17115"/>
    <w:rsid w:val="00C35490"/>
    <w:rsid w:val="00C44DAD"/>
    <w:rsid w:val="00C67230"/>
    <w:rsid w:val="00C96396"/>
    <w:rsid w:val="00CF20A5"/>
    <w:rsid w:val="00CF4D43"/>
    <w:rsid w:val="00D14546"/>
    <w:rsid w:val="00D31660"/>
    <w:rsid w:val="00D446FC"/>
    <w:rsid w:val="00D45A3B"/>
    <w:rsid w:val="00D6797B"/>
    <w:rsid w:val="00D7251C"/>
    <w:rsid w:val="00D87747"/>
    <w:rsid w:val="00D92935"/>
    <w:rsid w:val="00DB2F50"/>
    <w:rsid w:val="00DC2C9D"/>
    <w:rsid w:val="00DC4A18"/>
    <w:rsid w:val="00DF6D71"/>
    <w:rsid w:val="00E17B2D"/>
    <w:rsid w:val="00E243A5"/>
    <w:rsid w:val="00E24CCB"/>
    <w:rsid w:val="00E3061A"/>
    <w:rsid w:val="00E71F48"/>
    <w:rsid w:val="00EB06C0"/>
    <w:rsid w:val="00EB0F51"/>
    <w:rsid w:val="00EB1EF0"/>
    <w:rsid w:val="00EB6E79"/>
    <w:rsid w:val="00EC41AD"/>
    <w:rsid w:val="00EC4BDC"/>
    <w:rsid w:val="00F006C6"/>
    <w:rsid w:val="00F03095"/>
    <w:rsid w:val="00F21E2C"/>
    <w:rsid w:val="00F54CAE"/>
    <w:rsid w:val="00F90F00"/>
    <w:rsid w:val="00FC2D9A"/>
    <w:rsid w:val="00FC4F12"/>
    <w:rsid w:val="00FE2516"/>
    <w:rsid w:val="00FF1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80"/>
      <w:jc w:val="both"/>
      <w:outlineLvl w:val="0"/>
    </w:pPr>
    <w:rPr>
      <w:sz w:val="28"/>
      <w:szCs w:val="28"/>
    </w:rPr>
  </w:style>
  <w:style w:type="paragraph" w:styleId="Nagwek2">
    <w:name w:val="heading 2"/>
    <w:basedOn w:val="Normalny"/>
    <w:uiPriority w:val="1"/>
    <w:qFormat/>
    <w:pPr>
      <w:spacing w:before="119"/>
      <w:ind w:left="88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80"/>
      <w:jc w:val="both"/>
    </w:pPr>
    <w:rPr>
      <w:sz w:val="20"/>
      <w:szCs w:val="20"/>
    </w:rPr>
  </w:style>
  <w:style w:type="paragraph" w:styleId="Akapitzlist">
    <w:name w:val="List Paragraph"/>
    <w:basedOn w:val="Normalny"/>
    <w:uiPriority w:val="1"/>
    <w:qFormat/>
    <w:pPr>
      <w:ind w:left="1307" w:right="974" w:hanging="286"/>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725822"/>
    <w:rPr>
      <w:sz w:val="20"/>
      <w:szCs w:val="20"/>
    </w:rPr>
  </w:style>
  <w:style w:type="character" w:customStyle="1" w:styleId="TekstprzypisudolnegoZnak">
    <w:name w:val="Tekst przypisu dolnego Znak"/>
    <w:basedOn w:val="Domylnaczcionkaakapitu"/>
    <w:link w:val="Tekstprzypisudolnego"/>
    <w:uiPriority w:val="99"/>
    <w:semiHidden/>
    <w:rsid w:val="00725822"/>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725822"/>
    <w:rPr>
      <w:vertAlign w:val="superscript"/>
    </w:rPr>
  </w:style>
  <w:style w:type="paragraph" w:styleId="Nagwek">
    <w:name w:val="header"/>
    <w:basedOn w:val="Normalny"/>
    <w:link w:val="NagwekZnak"/>
    <w:uiPriority w:val="99"/>
    <w:unhideWhenUsed/>
    <w:rsid w:val="00D6797B"/>
    <w:pPr>
      <w:tabs>
        <w:tab w:val="center" w:pos="4536"/>
        <w:tab w:val="right" w:pos="9072"/>
      </w:tabs>
    </w:pPr>
  </w:style>
  <w:style w:type="character" w:customStyle="1" w:styleId="NagwekZnak">
    <w:name w:val="Nagłówek Znak"/>
    <w:basedOn w:val="Domylnaczcionkaakapitu"/>
    <w:link w:val="Nagwek"/>
    <w:uiPriority w:val="99"/>
    <w:rsid w:val="00D6797B"/>
    <w:rPr>
      <w:rFonts w:ascii="Verdana" w:eastAsia="Verdana" w:hAnsi="Verdana" w:cs="Verdana"/>
      <w:lang w:bidi="en-US"/>
    </w:rPr>
  </w:style>
  <w:style w:type="paragraph" w:styleId="Stopka">
    <w:name w:val="footer"/>
    <w:basedOn w:val="Normalny"/>
    <w:link w:val="StopkaZnak"/>
    <w:uiPriority w:val="99"/>
    <w:unhideWhenUsed/>
    <w:rsid w:val="00D6797B"/>
    <w:pPr>
      <w:tabs>
        <w:tab w:val="center" w:pos="4536"/>
        <w:tab w:val="right" w:pos="9072"/>
      </w:tabs>
    </w:pPr>
  </w:style>
  <w:style w:type="character" w:customStyle="1" w:styleId="StopkaZnak">
    <w:name w:val="Stopka Znak"/>
    <w:basedOn w:val="Domylnaczcionkaakapitu"/>
    <w:link w:val="Stopka"/>
    <w:uiPriority w:val="99"/>
    <w:rsid w:val="00D6797B"/>
    <w:rPr>
      <w:rFonts w:ascii="Verdana" w:eastAsia="Verdana" w:hAnsi="Verdana" w:cs="Verdana"/>
      <w:lang w:bidi="en-US"/>
    </w:rPr>
  </w:style>
  <w:style w:type="character" w:styleId="Odwoaniedokomentarza">
    <w:name w:val="annotation reference"/>
    <w:basedOn w:val="Domylnaczcionkaakapitu"/>
    <w:uiPriority w:val="99"/>
    <w:semiHidden/>
    <w:unhideWhenUsed/>
    <w:rsid w:val="00660EBE"/>
    <w:rPr>
      <w:sz w:val="16"/>
      <w:szCs w:val="16"/>
    </w:rPr>
  </w:style>
  <w:style w:type="paragraph" w:styleId="Tekstkomentarza">
    <w:name w:val="annotation text"/>
    <w:basedOn w:val="Normalny"/>
    <w:link w:val="TekstkomentarzaZnak"/>
    <w:uiPriority w:val="99"/>
    <w:semiHidden/>
    <w:unhideWhenUsed/>
    <w:rsid w:val="00660EBE"/>
    <w:rPr>
      <w:sz w:val="20"/>
      <w:szCs w:val="20"/>
    </w:rPr>
  </w:style>
  <w:style w:type="character" w:customStyle="1" w:styleId="TekstkomentarzaZnak">
    <w:name w:val="Tekst komentarza Znak"/>
    <w:basedOn w:val="Domylnaczcionkaakapitu"/>
    <w:link w:val="Tekstkomentarza"/>
    <w:uiPriority w:val="99"/>
    <w:semiHidden/>
    <w:rsid w:val="00660EBE"/>
    <w:rPr>
      <w:rFonts w:ascii="Verdana" w:eastAsia="Verdana" w:hAnsi="Verdana" w:cs="Verdana"/>
      <w:sz w:val="20"/>
      <w:szCs w:val="20"/>
      <w:lang w:bidi="en-US"/>
    </w:rPr>
  </w:style>
  <w:style w:type="paragraph" w:styleId="Tematkomentarza">
    <w:name w:val="annotation subject"/>
    <w:basedOn w:val="Tekstkomentarza"/>
    <w:next w:val="Tekstkomentarza"/>
    <w:link w:val="TematkomentarzaZnak"/>
    <w:uiPriority w:val="99"/>
    <w:semiHidden/>
    <w:unhideWhenUsed/>
    <w:rsid w:val="00660EBE"/>
    <w:rPr>
      <w:b/>
      <w:bCs/>
    </w:rPr>
  </w:style>
  <w:style w:type="character" w:customStyle="1" w:styleId="TematkomentarzaZnak">
    <w:name w:val="Temat komentarza Znak"/>
    <w:basedOn w:val="TekstkomentarzaZnak"/>
    <w:link w:val="Tematkomentarza"/>
    <w:uiPriority w:val="99"/>
    <w:semiHidden/>
    <w:rsid w:val="00660EBE"/>
    <w:rPr>
      <w:rFonts w:ascii="Verdana" w:eastAsia="Verdana" w:hAnsi="Verdana" w:cs="Verdana"/>
      <w:b/>
      <w:bCs/>
      <w:sz w:val="20"/>
      <w:szCs w:val="20"/>
      <w:lang w:bidi="en-US"/>
    </w:rPr>
  </w:style>
  <w:style w:type="paragraph" w:styleId="Tekstdymka">
    <w:name w:val="Balloon Text"/>
    <w:basedOn w:val="Normalny"/>
    <w:link w:val="TekstdymkaZnak"/>
    <w:uiPriority w:val="99"/>
    <w:semiHidden/>
    <w:unhideWhenUsed/>
    <w:rsid w:val="00660E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BE"/>
    <w:rPr>
      <w:rFonts w:ascii="Segoe UI" w:eastAsia="Verdana" w:hAnsi="Segoe UI" w:cs="Segoe UI"/>
      <w:sz w:val="18"/>
      <w:szCs w:val="18"/>
      <w:lang w:bidi="en-US"/>
    </w:rPr>
  </w:style>
  <w:style w:type="paragraph" w:styleId="Tekstprzypisukocowego">
    <w:name w:val="endnote text"/>
    <w:basedOn w:val="Normalny"/>
    <w:link w:val="TekstprzypisukocowegoZnak"/>
    <w:uiPriority w:val="99"/>
    <w:semiHidden/>
    <w:unhideWhenUsed/>
    <w:rsid w:val="00917B04"/>
    <w:rPr>
      <w:sz w:val="20"/>
      <w:szCs w:val="20"/>
    </w:rPr>
  </w:style>
  <w:style w:type="character" w:customStyle="1" w:styleId="TekstprzypisukocowegoZnak">
    <w:name w:val="Tekst przypisu końcowego Znak"/>
    <w:basedOn w:val="Domylnaczcionkaakapitu"/>
    <w:link w:val="Tekstprzypisukocowego"/>
    <w:uiPriority w:val="99"/>
    <w:semiHidden/>
    <w:rsid w:val="00917B04"/>
    <w:rPr>
      <w:rFonts w:ascii="Verdana" w:eastAsia="Verdana" w:hAnsi="Verdana" w:cs="Verdana"/>
      <w:sz w:val="20"/>
      <w:szCs w:val="20"/>
      <w:lang w:bidi="en-US"/>
    </w:rPr>
  </w:style>
  <w:style w:type="character" w:styleId="Odwoanieprzypisukocowego">
    <w:name w:val="endnote reference"/>
    <w:basedOn w:val="Domylnaczcionkaakapitu"/>
    <w:uiPriority w:val="99"/>
    <w:semiHidden/>
    <w:unhideWhenUsed/>
    <w:rsid w:val="00917B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80"/>
      <w:jc w:val="both"/>
      <w:outlineLvl w:val="0"/>
    </w:pPr>
    <w:rPr>
      <w:sz w:val="28"/>
      <w:szCs w:val="28"/>
    </w:rPr>
  </w:style>
  <w:style w:type="paragraph" w:styleId="Nagwek2">
    <w:name w:val="heading 2"/>
    <w:basedOn w:val="Normalny"/>
    <w:uiPriority w:val="1"/>
    <w:qFormat/>
    <w:pPr>
      <w:spacing w:before="119"/>
      <w:ind w:left="88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80"/>
      <w:jc w:val="both"/>
    </w:pPr>
    <w:rPr>
      <w:sz w:val="20"/>
      <w:szCs w:val="20"/>
    </w:rPr>
  </w:style>
  <w:style w:type="paragraph" w:styleId="Akapitzlist">
    <w:name w:val="List Paragraph"/>
    <w:basedOn w:val="Normalny"/>
    <w:uiPriority w:val="1"/>
    <w:qFormat/>
    <w:pPr>
      <w:ind w:left="1307" w:right="974" w:hanging="286"/>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725822"/>
    <w:rPr>
      <w:sz w:val="20"/>
      <w:szCs w:val="20"/>
    </w:rPr>
  </w:style>
  <w:style w:type="character" w:customStyle="1" w:styleId="TekstprzypisudolnegoZnak">
    <w:name w:val="Tekst przypisu dolnego Znak"/>
    <w:basedOn w:val="Domylnaczcionkaakapitu"/>
    <w:link w:val="Tekstprzypisudolnego"/>
    <w:uiPriority w:val="99"/>
    <w:semiHidden/>
    <w:rsid w:val="00725822"/>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725822"/>
    <w:rPr>
      <w:vertAlign w:val="superscript"/>
    </w:rPr>
  </w:style>
  <w:style w:type="paragraph" w:styleId="Nagwek">
    <w:name w:val="header"/>
    <w:basedOn w:val="Normalny"/>
    <w:link w:val="NagwekZnak"/>
    <w:uiPriority w:val="99"/>
    <w:unhideWhenUsed/>
    <w:rsid w:val="00D6797B"/>
    <w:pPr>
      <w:tabs>
        <w:tab w:val="center" w:pos="4536"/>
        <w:tab w:val="right" w:pos="9072"/>
      </w:tabs>
    </w:pPr>
  </w:style>
  <w:style w:type="character" w:customStyle="1" w:styleId="NagwekZnak">
    <w:name w:val="Nagłówek Znak"/>
    <w:basedOn w:val="Domylnaczcionkaakapitu"/>
    <w:link w:val="Nagwek"/>
    <w:uiPriority w:val="99"/>
    <w:rsid w:val="00D6797B"/>
    <w:rPr>
      <w:rFonts w:ascii="Verdana" w:eastAsia="Verdana" w:hAnsi="Verdana" w:cs="Verdana"/>
      <w:lang w:bidi="en-US"/>
    </w:rPr>
  </w:style>
  <w:style w:type="paragraph" w:styleId="Stopka">
    <w:name w:val="footer"/>
    <w:basedOn w:val="Normalny"/>
    <w:link w:val="StopkaZnak"/>
    <w:uiPriority w:val="99"/>
    <w:unhideWhenUsed/>
    <w:rsid w:val="00D6797B"/>
    <w:pPr>
      <w:tabs>
        <w:tab w:val="center" w:pos="4536"/>
        <w:tab w:val="right" w:pos="9072"/>
      </w:tabs>
    </w:pPr>
  </w:style>
  <w:style w:type="character" w:customStyle="1" w:styleId="StopkaZnak">
    <w:name w:val="Stopka Znak"/>
    <w:basedOn w:val="Domylnaczcionkaakapitu"/>
    <w:link w:val="Stopka"/>
    <w:uiPriority w:val="99"/>
    <w:rsid w:val="00D6797B"/>
    <w:rPr>
      <w:rFonts w:ascii="Verdana" w:eastAsia="Verdana" w:hAnsi="Verdana" w:cs="Verdana"/>
      <w:lang w:bidi="en-US"/>
    </w:rPr>
  </w:style>
  <w:style w:type="character" w:styleId="Odwoaniedokomentarza">
    <w:name w:val="annotation reference"/>
    <w:basedOn w:val="Domylnaczcionkaakapitu"/>
    <w:uiPriority w:val="99"/>
    <w:semiHidden/>
    <w:unhideWhenUsed/>
    <w:rsid w:val="00660EBE"/>
    <w:rPr>
      <w:sz w:val="16"/>
      <w:szCs w:val="16"/>
    </w:rPr>
  </w:style>
  <w:style w:type="paragraph" w:styleId="Tekstkomentarza">
    <w:name w:val="annotation text"/>
    <w:basedOn w:val="Normalny"/>
    <w:link w:val="TekstkomentarzaZnak"/>
    <w:uiPriority w:val="99"/>
    <w:semiHidden/>
    <w:unhideWhenUsed/>
    <w:rsid w:val="00660EBE"/>
    <w:rPr>
      <w:sz w:val="20"/>
      <w:szCs w:val="20"/>
    </w:rPr>
  </w:style>
  <w:style w:type="character" w:customStyle="1" w:styleId="TekstkomentarzaZnak">
    <w:name w:val="Tekst komentarza Znak"/>
    <w:basedOn w:val="Domylnaczcionkaakapitu"/>
    <w:link w:val="Tekstkomentarza"/>
    <w:uiPriority w:val="99"/>
    <w:semiHidden/>
    <w:rsid w:val="00660EBE"/>
    <w:rPr>
      <w:rFonts w:ascii="Verdana" w:eastAsia="Verdana" w:hAnsi="Verdana" w:cs="Verdana"/>
      <w:sz w:val="20"/>
      <w:szCs w:val="20"/>
      <w:lang w:bidi="en-US"/>
    </w:rPr>
  </w:style>
  <w:style w:type="paragraph" w:styleId="Tematkomentarza">
    <w:name w:val="annotation subject"/>
    <w:basedOn w:val="Tekstkomentarza"/>
    <w:next w:val="Tekstkomentarza"/>
    <w:link w:val="TematkomentarzaZnak"/>
    <w:uiPriority w:val="99"/>
    <w:semiHidden/>
    <w:unhideWhenUsed/>
    <w:rsid w:val="00660EBE"/>
    <w:rPr>
      <w:b/>
      <w:bCs/>
    </w:rPr>
  </w:style>
  <w:style w:type="character" w:customStyle="1" w:styleId="TematkomentarzaZnak">
    <w:name w:val="Temat komentarza Znak"/>
    <w:basedOn w:val="TekstkomentarzaZnak"/>
    <w:link w:val="Tematkomentarza"/>
    <w:uiPriority w:val="99"/>
    <w:semiHidden/>
    <w:rsid w:val="00660EBE"/>
    <w:rPr>
      <w:rFonts w:ascii="Verdana" w:eastAsia="Verdana" w:hAnsi="Verdana" w:cs="Verdana"/>
      <w:b/>
      <w:bCs/>
      <w:sz w:val="20"/>
      <w:szCs w:val="20"/>
      <w:lang w:bidi="en-US"/>
    </w:rPr>
  </w:style>
  <w:style w:type="paragraph" w:styleId="Tekstdymka">
    <w:name w:val="Balloon Text"/>
    <w:basedOn w:val="Normalny"/>
    <w:link w:val="TekstdymkaZnak"/>
    <w:uiPriority w:val="99"/>
    <w:semiHidden/>
    <w:unhideWhenUsed/>
    <w:rsid w:val="00660E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EBE"/>
    <w:rPr>
      <w:rFonts w:ascii="Segoe UI" w:eastAsia="Verdana" w:hAnsi="Segoe UI" w:cs="Segoe UI"/>
      <w:sz w:val="18"/>
      <w:szCs w:val="18"/>
      <w:lang w:bidi="en-US"/>
    </w:rPr>
  </w:style>
  <w:style w:type="paragraph" w:styleId="Tekstprzypisukocowego">
    <w:name w:val="endnote text"/>
    <w:basedOn w:val="Normalny"/>
    <w:link w:val="TekstprzypisukocowegoZnak"/>
    <w:uiPriority w:val="99"/>
    <w:semiHidden/>
    <w:unhideWhenUsed/>
    <w:rsid w:val="00917B04"/>
    <w:rPr>
      <w:sz w:val="20"/>
      <w:szCs w:val="20"/>
    </w:rPr>
  </w:style>
  <w:style w:type="character" w:customStyle="1" w:styleId="TekstprzypisukocowegoZnak">
    <w:name w:val="Tekst przypisu końcowego Znak"/>
    <w:basedOn w:val="Domylnaczcionkaakapitu"/>
    <w:link w:val="Tekstprzypisukocowego"/>
    <w:uiPriority w:val="99"/>
    <w:semiHidden/>
    <w:rsid w:val="00917B04"/>
    <w:rPr>
      <w:rFonts w:ascii="Verdana" w:eastAsia="Verdana" w:hAnsi="Verdana" w:cs="Verdana"/>
      <w:sz w:val="20"/>
      <w:szCs w:val="20"/>
      <w:lang w:bidi="en-US"/>
    </w:rPr>
  </w:style>
  <w:style w:type="character" w:styleId="Odwoanieprzypisukocowego">
    <w:name w:val="endnote reference"/>
    <w:basedOn w:val="Domylnaczcionkaakapitu"/>
    <w:uiPriority w:val="99"/>
    <w:semiHidden/>
    <w:unhideWhenUsed/>
    <w:rsid w:val="00917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wo.sejm.gov.pl/isap.nsf/download.xsp/WDU19911190515/O/D19910515.pdf" TargetMode="External"/><Relationship Id="rId18" Type="http://schemas.openxmlformats.org/officeDocument/2006/relationships/hyperlink" Target="http://hudoc.echr.coe.int/sites/eng/pages/search.aspx?i=002-9140" TargetMode="External"/><Relationship Id="rId26" Type="http://schemas.openxmlformats.org/officeDocument/2006/relationships/hyperlink" Target="http://hudoc.echr.coe.int/eng-press?i=003-5655572-7163977" TargetMode="External"/><Relationship Id="rId39" Type="http://schemas.openxmlformats.org/officeDocument/2006/relationships/hyperlink" Target="http://hudoc.echr.coe.int/sites/eng/pages/search.aspx?i=001-121722" TargetMode="External"/><Relationship Id="rId21" Type="http://schemas.openxmlformats.org/officeDocument/2006/relationships/hyperlink" Target="http://hudoc.echr.coe.int/eng-press?i=003-5579738-7042078" TargetMode="External"/><Relationship Id="rId34" Type="http://schemas.openxmlformats.org/officeDocument/2006/relationships/hyperlink" Target="http://hudoc.echr.coe.int/sites/eng-press/pages/search.aspx?i=003-68351-68819" TargetMode="External"/><Relationship Id="rId42" Type="http://schemas.openxmlformats.org/officeDocument/2006/relationships/hyperlink" Target="http://hudoc.echr.coe.int/sites/eng-press/pages/search.aspx?i=003-4451234-5357663%23%7b%22itemid%22:%5b%22003-4451234-5357663%22%5d%7d" TargetMode="External"/><Relationship Id="rId47" Type="http://schemas.openxmlformats.org/officeDocument/2006/relationships/hyperlink" Target="http://hudoc.echr.coe.int/eng-press?i=003-6062857-7802253" TargetMode="External"/><Relationship Id="rId50" Type="http://schemas.openxmlformats.org/officeDocument/2006/relationships/hyperlink" Target="http://hudoc.echr.coe.int/eng-press?i=003-6063568-7803651" TargetMode="External"/><Relationship Id="rId55" Type="http://schemas.openxmlformats.org/officeDocument/2006/relationships/hyperlink" Target="http://hudoc.echr.coe.int/eng?i=001-179589" TargetMode="External"/><Relationship Id="rId63" Type="http://schemas.openxmlformats.org/officeDocument/2006/relationships/hyperlink" Target="http://hudoc.echr.coe.int/eng?i=001-162424" TargetMode="External"/><Relationship Id="rId68" Type="http://schemas.openxmlformats.org/officeDocument/2006/relationships/hyperlink" Target="http://hudoc.echr.coe.int/eng?i=001-165078" TargetMode="External"/><Relationship Id="rId76" Type="http://schemas.openxmlformats.org/officeDocument/2006/relationships/hyperlink" Target="http://hudoc.echr.coe.int/eng-press?i=003-6430186-8455364" TargetMode="External"/><Relationship Id="rId84" Type="http://schemas.openxmlformats.org/officeDocument/2006/relationships/hyperlink" Target="http://hudoc.echr.coe.int/eng-press?i=003-5579738-7042078" TargetMode="External"/><Relationship Id="rId89" Type="http://schemas.openxmlformats.org/officeDocument/2006/relationships/hyperlink" Target="https://www.coe.int/en/web/special-representative-secretary-general-migration-refugees/home" TargetMode="External"/><Relationship Id="rId7" Type="http://schemas.openxmlformats.org/officeDocument/2006/relationships/footnotes" Target="footnotes.xml"/><Relationship Id="rId71" Type="http://schemas.openxmlformats.org/officeDocument/2006/relationships/hyperlink" Target="http://hudoc.echr.coe.int/eng?i=001-16526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hr.coe.int/Documents/Convention_POL.pdf" TargetMode="External"/><Relationship Id="rId29" Type="http://schemas.openxmlformats.org/officeDocument/2006/relationships/hyperlink" Target="http://hudoc.echr.coe.int/eng-press?i=003-6063568-7803651" TargetMode="External"/><Relationship Id="rId11" Type="http://schemas.openxmlformats.org/officeDocument/2006/relationships/hyperlink" Target="http://www.echr.coe.int/Documents/FS_Accompanied_migrant_minors_detention_ENG.pdf" TargetMode="External"/><Relationship Id="rId24" Type="http://schemas.openxmlformats.org/officeDocument/2006/relationships/hyperlink" Target="http://hudoc.echr.coe.int/eng-press?i=003-6241993-8118133" TargetMode="External"/><Relationship Id="rId32" Type="http://schemas.openxmlformats.org/officeDocument/2006/relationships/hyperlink" Target="http://hudoc.echr.coe.int/eng?i=001-179589" TargetMode="External"/><Relationship Id="rId37" Type="http://schemas.openxmlformats.org/officeDocument/2006/relationships/hyperlink" Target="http://www.cpt.coe.int/en/" TargetMode="External"/><Relationship Id="rId40" Type="http://schemas.openxmlformats.org/officeDocument/2006/relationships/hyperlink" Target="http://www.cpt.coe.int/en/" TargetMode="External"/><Relationship Id="rId45" Type="http://schemas.openxmlformats.org/officeDocument/2006/relationships/hyperlink" Target="http://www.cpt.coe.int/en/" TargetMode="External"/><Relationship Id="rId53" Type="http://schemas.openxmlformats.org/officeDocument/2006/relationships/hyperlink" Target="http://hudoc.echr.coe.int/eng?i=001-179589" TargetMode="External"/><Relationship Id="rId58" Type="http://schemas.openxmlformats.org/officeDocument/2006/relationships/hyperlink" Target="http://www.coe.int/en/web/commissioner/home" TargetMode="External"/><Relationship Id="rId66" Type="http://schemas.openxmlformats.org/officeDocument/2006/relationships/hyperlink" Target="http://hudoc.echr.coe.int/eng?i=001-165262" TargetMode="External"/><Relationship Id="rId74" Type="http://schemas.openxmlformats.org/officeDocument/2006/relationships/hyperlink" Target="http://hudoc.echr.coe.int/eng?i=001-159925" TargetMode="External"/><Relationship Id="rId79" Type="http://schemas.openxmlformats.org/officeDocument/2006/relationships/hyperlink" Target="http://hudoc.echr.coe.int/sites/eng-press/pages/search.aspx?i=003-3496412-3940753" TargetMode="External"/><Relationship Id="rId87" Type="http://schemas.openxmlformats.org/officeDocument/2006/relationships/hyperlink" Target="http://hudoc.echr.coe.int/fre-press?i=003-6363768-8333591" TargetMode="External"/><Relationship Id="rId5" Type="http://schemas.openxmlformats.org/officeDocument/2006/relationships/settings" Target="settings.xml"/><Relationship Id="rId61" Type="http://schemas.openxmlformats.org/officeDocument/2006/relationships/hyperlink" Target="http://www.cpt.coe.int/en/" TargetMode="External"/><Relationship Id="rId82" Type="http://schemas.openxmlformats.org/officeDocument/2006/relationships/hyperlink" Target="http://hudoc.echr.coe.int/sites/eng/pages/search.aspx?i=001-150712" TargetMode="External"/><Relationship Id="rId90" Type="http://schemas.openxmlformats.org/officeDocument/2006/relationships/header" Target="header1.xml"/><Relationship Id="rId19" Type="http://schemas.openxmlformats.org/officeDocument/2006/relationships/hyperlink" Target="https://www.echr.coe.int/Documents/Convention_POL.pdf" TargetMode="External"/><Relationship Id="rId14" Type="http://schemas.openxmlformats.org/officeDocument/2006/relationships/hyperlink" Target="http://prawo.sejm.gov.pl/isap.nsf/download.xsp/WDU19911190515/O/D19910515.pdf" TargetMode="External"/><Relationship Id="rId22" Type="http://schemas.openxmlformats.org/officeDocument/2006/relationships/hyperlink" Target="http://hudoc.echr.coe.int/eng-press?i=003-5629079-7122817" TargetMode="External"/><Relationship Id="rId27" Type="http://schemas.openxmlformats.org/officeDocument/2006/relationships/hyperlink" Target="http://hudoc.echr.coe.int/eng-press?i=003-5836633-7435196" TargetMode="External"/><Relationship Id="rId30" Type="http://schemas.openxmlformats.org/officeDocument/2006/relationships/hyperlink" Target="http://hudoc.echr.coe.int/eng-press?i=003-5836633-7435196" TargetMode="External"/><Relationship Id="rId35" Type="http://schemas.openxmlformats.org/officeDocument/2006/relationships/hyperlink" Target="http://hudoc.echr.coe.int/sites/eng-press/pages/search.aspx?i=003-2765162-3025664" TargetMode="External"/><Relationship Id="rId43" Type="http://schemas.openxmlformats.org/officeDocument/2006/relationships/hyperlink" Target="http://hudoc.echr.coe.int/eng-press?i=003-5334980-6651263" TargetMode="External"/><Relationship Id="rId48" Type="http://schemas.openxmlformats.org/officeDocument/2006/relationships/hyperlink" Target="http://hudoc.echr.coe.int/eng-press?i=003-5655572-7163977" TargetMode="External"/><Relationship Id="rId56" Type="http://schemas.openxmlformats.org/officeDocument/2006/relationships/hyperlink" Target="http://hudoc.echr.coe.int/eng?i=003-2972927-3274231" TargetMode="External"/><Relationship Id="rId64" Type="http://schemas.openxmlformats.org/officeDocument/2006/relationships/hyperlink" Target="http://hudoc.echr.coe.int/sites/eng/pages/search.aspx?i=001-142399" TargetMode="External"/><Relationship Id="rId69" Type="http://schemas.openxmlformats.org/officeDocument/2006/relationships/hyperlink" Target="http://hudoc.echr.coe.int/eng?i=001-165078" TargetMode="External"/><Relationship Id="rId77" Type="http://schemas.openxmlformats.org/officeDocument/2006/relationships/hyperlink" Target="http://hudoc.echr.coe.int/sites/eng/pages/search.aspx?i=001-138584" TargetMode="External"/><Relationship Id="rId8" Type="http://schemas.openxmlformats.org/officeDocument/2006/relationships/endnotes" Target="endnotes.xml"/><Relationship Id="rId51" Type="http://schemas.openxmlformats.org/officeDocument/2006/relationships/hyperlink" Target="http://hudoc.echr.coe.int/eng-press?i=003-6063568-7803651" TargetMode="External"/><Relationship Id="rId72" Type="http://schemas.openxmlformats.org/officeDocument/2006/relationships/hyperlink" Target="http://hudoc.echr.coe.int/eng?i=001-165261" TargetMode="External"/><Relationship Id="rId80" Type="http://schemas.openxmlformats.org/officeDocument/2006/relationships/hyperlink" Target="http://hudoc.echr.coe.int/sites/eng/pages/search.aspx?i=001-116413" TargetMode="External"/><Relationship Id="rId85" Type="http://schemas.openxmlformats.org/officeDocument/2006/relationships/hyperlink" Target="http://hudoc.echr.coe.int/eng-press?i=003-5629079-7122817"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chr.coe.int/Documents/FS_Unaccompanied_migrant_minors_detention_ENG.pdf" TargetMode="External"/><Relationship Id="rId17" Type="http://schemas.openxmlformats.org/officeDocument/2006/relationships/hyperlink" Target="http://hudoc.echr.coe.int/sites/eng/pages/search.aspx?i=001-103050" TargetMode="External"/><Relationship Id="rId25" Type="http://schemas.openxmlformats.org/officeDocument/2006/relationships/hyperlink" Target="http://hudoc.echr.coe.int/eng-press?i=003-6062857-7802253" TargetMode="External"/><Relationship Id="rId33" Type="http://schemas.openxmlformats.org/officeDocument/2006/relationships/hyperlink" Target="http://hudoc.echr.coe.int/eng?i=001-179589" TargetMode="External"/><Relationship Id="rId38" Type="http://schemas.openxmlformats.org/officeDocument/2006/relationships/hyperlink" Target="http://hudoc.echr.coe.int/sites/eng/pages/search.aspx?i=003-3207194-3576530" TargetMode="External"/><Relationship Id="rId46" Type="http://schemas.openxmlformats.org/officeDocument/2006/relationships/hyperlink" Target="http://www.cpt.coe.int/en/" TargetMode="External"/><Relationship Id="rId59" Type="http://schemas.openxmlformats.org/officeDocument/2006/relationships/hyperlink" Target="http://www.coe.int/en/web/commissioner/home" TargetMode="External"/><Relationship Id="rId67" Type="http://schemas.openxmlformats.org/officeDocument/2006/relationships/hyperlink" Target="http://hudoc.echr.coe.int/eng?i=001-165265" TargetMode="External"/><Relationship Id="rId20" Type="http://schemas.openxmlformats.org/officeDocument/2006/relationships/hyperlink" Target="http://hudoc.echr.coe.int/sites/eng/pages/search.aspx?i=001-66036" TargetMode="External"/><Relationship Id="rId41" Type="http://schemas.openxmlformats.org/officeDocument/2006/relationships/hyperlink" Target="http://www.cpt.coe.int/en/" TargetMode="External"/><Relationship Id="rId54" Type="http://schemas.openxmlformats.org/officeDocument/2006/relationships/hyperlink" Target="http://hudoc.echr.coe.int/eng?i=001-179589" TargetMode="External"/><Relationship Id="rId62" Type="http://schemas.openxmlformats.org/officeDocument/2006/relationships/hyperlink" Target="http://hudoc.echr.coe.int/sites/eng-press/pages/search.aspx?i=003-4034797-4709780" TargetMode="External"/><Relationship Id="rId70" Type="http://schemas.openxmlformats.org/officeDocument/2006/relationships/hyperlink" Target="http://hudoc.echr.coe.int/eng?i=001-165079" TargetMode="External"/><Relationship Id="rId75" Type="http://schemas.openxmlformats.org/officeDocument/2006/relationships/hyperlink" Target="http://hudoc.echr.coe.int/eng-press?i=003-6430186-8455364" TargetMode="External"/><Relationship Id="rId83" Type="http://schemas.openxmlformats.org/officeDocument/2006/relationships/hyperlink" Target="http://hudoc.echr.coe.int/eng-press?i=003-5435595-6810316" TargetMode="External"/><Relationship Id="rId88" Type="http://schemas.openxmlformats.org/officeDocument/2006/relationships/hyperlink" Target="https://fra.europa.eu/sites/default/files/handbook-law-asylum-migration-borders-2nded_pl.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hr.coe.int/Documents/Convention_POL.pdf" TargetMode="External"/><Relationship Id="rId23" Type="http://schemas.openxmlformats.org/officeDocument/2006/relationships/hyperlink" Target="http://hudoc.echr.coe.int/eng-press?i=003-5982679-7655011" TargetMode="External"/><Relationship Id="rId28" Type="http://schemas.openxmlformats.org/officeDocument/2006/relationships/hyperlink" Target="http://hudoc.echr.coe.int/eng-press?i=003-6063568-7803651" TargetMode="External"/><Relationship Id="rId36" Type="http://schemas.openxmlformats.org/officeDocument/2006/relationships/hyperlink" Target="http://www.cpt.coe.int/en/" TargetMode="External"/><Relationship Id="rId49" Type="http://schemas.openxmlformats.org/officeDocument/2006/relationships/hyperlink" Target="http://hudoc.echr.coe.int/eng-press?i=003-5836633-7435196" TargetMode="External"/><Relationship Id="rId57" Type="http://schemas.openxmlformats.org/officeDocument/2006/relationships/hyperlink" Target="http://hudoc.echr.coe.int/sites/eng-press/pages/search.aspx?i=003-3496412-3940753" TargetMode="External"/><Relationship Id="rId10" Type="http://schemas.openxmlformats.org/officeDocument/2006/relationships/image" Target="media/image2.png"/><Relationship Id="rId31" Type="http://schemas.openxmlformats.org/officeDocument/2006/relationships/hyperlink" Target="http://hudoc.echr.coe.int/eng?i=001-179589" TargetMode="External"/><Relationship Id="rId44" Type="http://schemas.openxmlformats.org/officeDocument/2006/relationships/hyperlink" Target="http://hudoc.echr.coe.int/eng-press?i=003-5982679-7655011" TargetMode="External"/><Relationship Id="rId52" Type="http://schemas.openxmlformats.org/officeDocument/2006/relationships/hyperlink" Target="http://hudoc.echr.coe.int/eng?i=001-147898" TargetMode="External"/><Relationship Id="rId60" Type="http://schemas.openxmlformats.org/officeDocument/2006/relationships/hyperlink" Target="http://www.cpt.coe.int/en/" TargetMode="External"/><Relationship Id="rId65" Type="http://schemas.openxmlformats.org/officeDocument/2006/relationships/hyperlink" Target="http://hudoc.echr.coe.int/sites/eng/pages/search.aspx?i=001-148927" TargetMode="External"/><Relationship Id="rId73" Type="http://schemas.openxmlformats.org/officeDocument/2006/relationships/hyperlink" Target="http://hudoc.echr.coe.int/eng?i=001-158877" TargetMode="External"/><Relationship Id="rId78" Type="http://schemas.openxmlformats.org/officeDocument/2006/relationships/hyperlink" Target="http://hudoc.echr.coe.int/sites/eng/pages/search.aspx?i=002-1268" TargetMode="External"/><Relationship Id="rId81" Type="http://schemas.openxmlformats.org/officeDocument/2006/relationships/hyperlink" Target="http://hudoc.echr.coe.int/sites/eng-press/pages/search.aspx?i=003-4822370-5881710" TargetMode="External"/><Relationship Id="rId86" Type="http://schemas.openxmlformats.org/officeDocument/2006/relationships/hyperlink" Target="http://hudoc.echr.coe.int/fre-press?i=003-6363768-8333591"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FS_Dublin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B1C5-77B5-4F0B-9958-57BCA966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11617</Words>
  <Characters>69705</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2020-07-17T15:55:00Z</dcterms:created>
  <dcterms:modified xsi:type="dcterms:W3CDTF">2020-07-23T13:45:00Z</dcterms:modified>
</cp:coreProperties>
</file>