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388" w:type="dxa"/>
        <w:tblInd w:w="-71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87"/>
        <w:gridCol w:w="1127"/>
        <w:gridCol w:w="1763"/>
        <w:gridCol w:w="5688"/>
        <w:gridCol w:w="21"/>
        <w:gridCol w:w="3253"/>
        <w:gridCol w:w="2928"/>
        <w:gridCol w:w="21"/>
      </w:tblGrid>
      <w:tr w:rsidR="00084C4B" w:rsidRPr="00084C4B" w14:paraId="7CC77D4A" w14:textId="77777777">
        <w:trPr>
          <w:trHeight w:val="836"/>
        </w:trPr>
        <w:tc>
          <w:tcPr>
            <w:tcW w:w="15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92EE" w14:textId="77777777" w:rsidR="009614CE" w:rsidRPr="00084C4B" w:rsidRDefault="003F37D3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Nazwa dokumentu: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84C4B">
              <w:rPr>
                <w:rFonts w:ascii="Times New Roman" w:hAnsi="Times New Roman" w:cs="Times New Roman"/>
                <w:i/>
                <w:color w:val="auto"/>
              </w:rPr>
              <w:t>projekt uchwały Rady Ministrów w sprawie ustanowienia programu rządowego pod nazwą "Program Rozwoju Kompetencji Cyfrowych”.</w:t>
            </w:r>
          </w:p>
        </w:tc>
      </w:tr>
      <w:tr w:rsidR="00084C4B" w:rsidRPr="00084C4B" w14:paraId="04029008" w14:textId="77777777" w:rsidTr="008D01F0">
        <w:trPr>
          <w:trHeight w:val="108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8602" w14:textId="77777777" w:rsidR="009614CE" w:rsidRPr="00084C4B" w:rsidRDefault="003F37D3">
            <w:pPr>
              <w:ind w:left="38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Lp.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B39A" w14:textId="77777777" w:rsidR="009614CE" w:rsidRPr="00084C4B" w:rsidRDefault="003F37D3" w:rsidP="00CF0298">
            <w:pPr>
              <w:spacing w:after="32" w:line="248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 xml:space="preserve">Organ wnoszący </w:t>
            </w:r>
          </w:p>
          <w:p w14:paraId="6481C940" w14:textId="77777777" w:rsidR="009614CE" w:rsidRPr="00084C4B" w:rsidRDefault="003F37D3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uwagi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7FD4" w14:textId="77777777" w:rsidR="009614CE" w:rsidRPr="00084C4B" w:rsidRDefault="003F37D3" w:rsidP="00CF0298">
            <w:pPr>
              <w:spacing w:after="32" w:line="248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 xml:space="preserve">Jednostka redakcyjna, do </w:t>
            </w:r>
          </w:p>
          <w:p w14:paraId="7ABED136" w14:textId="77777777" w:rsidR="009614CE" w:rsidRPr="00084C4B" w:rsidRDefault="003F37D3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której wnoszone są uwagi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05B9" w14:textId="77777777" w:rsidR="009614CE" w:rsidRPr="00084C4B" w:rsidRDefault="003F37D3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Treść uwagi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3C7C" w14:textId="77777777" w:rsidR="009614CE" w:rsidRPr="00084C4B" w:rsidRDefault="003F37D3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 xml:space="preserve">Propozycja zmian 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3650" w14:textId="77777777" w:rsidR="009614CE" w:rsidRPr="00084C4B" w:rsidRDefault="003F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Odniesienie do uwagi</w:t>
            </w:r>
          </w:p>
        </w:tc>
      </w:tr>
      <w:tr w:rsidR="00084C4B" w:rsidRPr="00084C4B" w14:paraId="0548639F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24D9" w14:textId="77777777" w:rsidR="009614CE" w:rsidRPr="00084C4B" w:rsidRDefault="003F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7D88" w14:textId="77777777" w:rsidR="009614CE" w:rsidRPr="00B80837" w:rsidRDefault="003F37D3" w:rsidP="00CF0298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80837">
              <w:rPr>
                <w:rFonts w:ascii="Times New Roman" w:hAnsi="Times New Roman" w:cs="Times New Roman"/>
                <w:b/>
                <w:color w:val="auto"/>
              </w:rPr>
              <w:t>MF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CF68" w14:textId="77777777" w:rsidR="009614CE" w:rsidRPr="00084C4B" w:rsidRDefault="003F37D3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Uwaga ogólna.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8C23" w14:textId="77777777" w:rsidR="009614CE" w:rsidRPr="00084C4B" w:rsidRDefault="003F37D3" w:rsidP="00B80837">
            <w:pPr>
              <w:spacing w:after="32" w:line="248" w:lineRule="auto"/>
              <w:ind w:left="58" w:right="51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Źródła finansowania określone w projekcie Programu wymagają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uspójnienia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>. W projekcie oprócz wskazania na pochodzenie finansowania  z konkretnych programów operacyjnych, czy programów z nowej perspektywy odrębnie wskazano na Budżet Unii Europejskiej 2021-2027 i środki Unii Europejskiej – należy zatem wskazać konkretny program.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263B" w14:textId="77777777" w:rsidR="009614CE" w:rsidRPr="00084C4B" w:rsidRDefault="003F37D3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Korekta projektowanego dokumentu we wskazanym zakresie.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2B7B" w14:textId="77777777" w:rsidR="008D01F0" w:rsidRPr="008D01F0" w:rsidRDefault="00A944A5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01F0">
              <w:rPr>
                <w:rFonts w:ascii="Times New Roman" w:hAnsi="Times New Roman" w:cs="Times New Roman"/>
                <w:b/>
                <w:bCs/>
                <w:color w:val="auto"/>
              </w:rPr>
              <w:t xml:space="preserve">Uwzględniono. </w:t>
            </w:r>
          </w:p>
          <w:p w14:paraId="211387AB" w14:textId="7A0CE1B7" w:rsidR="009614CE" w:rsidRPr="00084C4B" w:rsidRDefault="00A944A5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W źródłach finansowania działań wskazano konkretny program operacyjny z jakiego działanie ma być finansowane. Jedynie w przypadku działania „IV.1.2.Kształcenie wysokiej klasy specjalistów ICT w modelu opracowanym w projekcie AI Tech” pozostawiono informację </w:t>
            </w:r>
            <w:r w:rsidR="00984FF2" w:rsidRPr="00084C4B">
              <w:rPr>
                <w:rFonts w:ascii="Times New Roman" w:hAnsi="Times New Roman" w:cs="Times New Roman"/>
                <w:color w:val="auto"/>
              </w:rPr>
              <w:t xml:space="preserve"> finansowaniu:  POPC, </w:t>
            </w:r>
            <w:r w:rsidR="00284FDA" w:rsidRPr="00084C4B">
              <w:rPr>
                <w:rFonts w:ascii="Times New Roman" w:hAnsi="Times New Roman" w:cs="Times New Roman"/>
                <w:color w:val="auto"/>
              </w:rPr>
              <w:t xml:space="preserve">środki </w:t>
            </w:r>
            <w:r w:rsidR="00984FF2" w:rsidRPr="00084C4B">
              <w:rPr>
                <w:rFonts w:ascii="Times New Roman" w:hAnsi="Times New Roman" w:cs="Times New Roman"/>
                <w:color w:val="auto"/>
              </w:rPr>
              <w:t xml:space="preserve">UE 2021-2027. Wynika to z faktu, że w 2023 roku kończy się realizacja projektu ze środków POPC. Planowana jest kontynuacja projektu w ramach perspektywy finansowej 2021-2027, ale nie zapadły jeszcze decyzje co do finansowania z konkretnego programu operacyjnego. </w:t>
            </w:r>
          </w:p>
        </w:tc>
      </w:tr>
      <w:tr w:rsidR="00084C4B" w:rsidRPr="00084C4B" w14:paraId="1B4763E8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7C97" w14:textId="77777777" w:rsidR="00344A80" w:rsidRPr="00084C4B" w:rsidRDefault="00CF0298" w:rsidP="00344A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7EAD" w14:textId="77777777" w:rsidR="00344A80" w:rsidRPr="00084C4B" w:rsidRDefault="00344A80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 xml:space="preserve">RCL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9A2C" w14:textId="77777777" w:rsidR="00344A80" w:rsidRPr="00084C4B" w:rsidRDefault="00344A80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Całość projektu uchwały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7655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 dołączonego do projektu uchwały protokołu rozbieżności wynika, że nie doszło do uzgodnienia </w:t>
            </w:r>
            <w:r w:rsidR="00B80837">
              <w:rPr>
                <w:rFonts w:ascii="Times New Roman" w:hAnsi="Times New Roman" w:cs="Times New Roman"/>
                <w:color w:val="auto"/>
              </w:rPr>
              <w:t xml:space="preserve">stanowisk w znacznych obszarach </w:t>
            </w:r>
            <w:r w:rsidRPr="00084C4B">
              <w:rPr>
                <w:rFonts w:ascii="Times New Roman" w:hAnsi="Times New Roman" w:cs="Times New Roman"/>
                <w:color w:val="auto"/>
              </w:rPr>
              <w:t>projektowanej regulacji, w zakresie objętym właściwością Komitetu. W takiej sytuacji Przewodniczący Komitetu może zwrócić projekt dokumentu rządowego organowi wnioskującemu, zobowiązując go do zorganizowania konferencji uzgodnieniowej.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6787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Zastosowanie § 10 ust. 1 zarządzenia nr 48 Prezesa Rady Ministrów z dnia 12 kwietnia 2016 r. w sprawie Komitetu Rady Ministrów do spraw Cyfryzacji i rozważenie zalecenia przeprowadzenia konferencji uzgodnieniowej.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4786" w14:textId="77777777" w:rsidR="008D01F0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8D01F0">
              <w:rPr>
                <w:rFonts w:ascii="Times New Roman" w:hAnsi="Times New Roman" w:cs="Times New Roman"/>
                <w:b/>
                <w:bCs/>
                <w:color w:val="auto"/>
              </w:rPr>
              <w:t>Nie uwzględniono.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44B19F47" w14:textId="54E92588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Podczas   opiniowania w</w:t>
            </w:r>
            <w:r w:rsidR="008D01F0">
              <w:rPr>
                <w:rFonts w:ascii="Times New Roman" w:hAnsi="Times New Roman" w:cs="Times New Roman"/>
                <w:color w:val="auto"/>
              </w:rPr>
              <w:t> 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trybie korespondencyjnego uzgodnienia stanowisk w</w:t>
            </w:r>
            <w:r w:rsidR="008D01F0">
              <w:rPr>
                <w:rFonts w:ascii="Times New Roman" w:hAnsi="Times New Roman" w:cs="Times New Roman"/>
                <w:color w:val="auto"/>
              </w:rPr>
              <w:t> </w:t>
            </w:r>
            <w:r w:rsidRPr="00084C4B">
              <w:rPr>
                <w:rFonts w:ascii="Times New Roman" w:hAnsi="Times New Roman" w:cs="Times New Roman"/>
                <w:color w:val="auto"/>
              </w:rPr>
              <w:t>ramach KRMC nie zostały zgłoszone  ponownie uwag</w:t>
            </w:r>
            <w:r w:rsidR="008D01F0">
              <w:rPr>
                <w:rFonts w:ascii="Times New Roman" w:hAnsi="Times New Roman" w:cs="Times New Roman"/>
                <w:color w:val="auto"/>
              </w:rPr>
              <w:t>i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ujęt</w:t>
            </w:r>
            <w:r w:rsidR="008D01F0">
              <w:rPr>
                <w:rFonts w:ascii="Times New Roman" w:hAnsi="Times New Roman" w:cs="Times New Roman"/>
                <w:color w:val="auto"/>
              </w:rPr>
              <w:t>e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w tabeli rozbieżności. Zdaniem KPRM nie jest </w:t>
            </w:r>
            <w:r w:rsidR="008D01F0">
              <w:rPr>
                <w:rFonts w:ascii="Times New Roman" w:hAnsi="Times New Roman" w:cs="Times New Roman"/>
                <w:color w:val="auto"/>
              </w:rPr>
              <w:t xml:space="preserve">zatem 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zasadne organizowanie konferencji uzgodnieniowej. </w:t>
            </w:r>
          </w:p>
          <w:p w14:paraId="6D383CBC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</w:p>
          <w:p w14:paraId="217EDF40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4C4B" w:rsidRPr="00084C4B" w14:paraId="4E3C02E3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83F7" w14:textId="77777777" w:rsidR="00344A80" w:rsidRPr="00084C4B" w:rsidRDefault="00CF0298" w:rsidP="00344A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558E" w14:textId="77777777" w:rsidR="00344A80" w:rsidRPr="00084C4B" w:rsidRDefault="00344A80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RCL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CC41" w14:textId="77777777" w:rsidR="00344A80" w:rsidRPr="00084C4B" w:rsidRDefault="00344A80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Projekt uchwały - dodanie w § 3 ust. 2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9EC6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Cs/>
                <w:color w:val="auto"/>
                <w:lang w:eastAsia="en-US"/>
              </w:rPr>
              <w:t xml:space="preserve">Część normatywną projektu uchwały należy uzupełnić o wskazanie </w:t>
            </w:r>
            <w:r w:rsidRPr="00084C4B">
              <w:rPr>
                <w:rFonts w:ascii="Times New Roman" w:hAnsi="Times New Roman" w:cs="Times New Roman"/>
                <w:bCs/>
                <w:color w:val="auto"/>
                <w:u w:val="single"/>
                <w:lang w:eastAsia="en-US"/>
              </w:rPr>
              <w:t xml:space="preserve">wysokości wydatków </w:t>
            </w:r>
            <w:r w:rsidRPr="00084C4B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w danym roku budżetowym oraz</w:t>
            </w:r>
            <w:r w:rsidRPr="00084C4B">
              <w:rPr>
                <w:rFonts w:ascii="Times New Roman" w:hAnsi="Times New Roman" w:cs="Times New Roman"/>
                <w:bCs/>
                <w:color w:val="auto"/>
                <w:u w:val="single"/>
                <w:lang w:eastAsia="en-US"/>
              </w:rPr>
              <w:t xml:space="preserve"> w kolejnych latach na realizację Programu</w:t>
            </w:r>
            <w:r w:rsidRPr="00084C4B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. Uwaga RCL nawiązuje do uwagi Ministerstwa Finansów (uwaga nr 11), które również zwraca się o uzupełnienie projektu uchwały o limity wydatków w ramach Programu w poszczególnych latach jego realizacji, a także podział wysokości środków ze względu na źródła finansowania.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DE82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bCs/>
                <w:color w:val="auto"/>
              </w:rPr>
              <w:t xml:space="preserve">Przykład prawidłowego określenia w uchwale elementów dotyczących finansowania programu jest zawarty, w szczególności w § 2 uchwały nr 173 Rady Ministrów z dnia 16 sierpnia 2022 r. </w:t>
            </w:r>
            <w:r w:rsidRPr="00084C4B">
              <w:rPr>
                <w:rFonts w:ascii="Times New Roman" w:hAnsi="Times New Roman" w:cs="Times New Roman"/>
                <w:bCs/>
                <w:i/>
                <w:color w:val="auto"/>
              </w:rPr>
              <w:t>w sprawie ustanowienia programu inwestycyjnego pod nazwą „Program inwestycyjny modernizacji podmiotów leczniczych”</w:t>
            </w:r>
            <w:r w:rsidRPr="00084C4B">
              <w:rPr>
                <w:rFonts w:ascii="Times New Roman" w:hAnsi="Times New Roman" w:cs="Times New Roman"/>
                <w:bCs/>
                <w:color w:val="auto"/>
              </w:rPr>
              <w:t xml:space="preserve"> (M.P. poz. 908).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ED21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8D01F0">
              <w:rPr>
                <w:rFonts w:ascii="Times New Roman" w:hAnsi="Times New Roman" w:cs="Times New Roman"/>
                <w:b/>
                <w:bCs/>
                <w:color w:val="auto"/>
              </w:rPr>
              <w:t>Uwzględniono częściowo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. </w:t>
            </w:r>
          </w:p>
          <w:p w14:paraId="08E5E4E8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Część normatywną projektu uchwały uzupełniono o wskazanie wysokości wydatków budżetu państwa w danym roku budżetowym oraz w kolejnych latach  realizacji Programu.</w:t>
            </w:r>
          </w:p>
          <w:p w14:paraId="768B4A8E" w14:textId="0F51C5F3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Nie jest możliwe wskazanie jednego funduszu odpowiedzialnego za finansowanie PRKC. PRKC jest programem finansowanym z wielu źródeł (budżet państwa, budżet UE, KPO) i przez wiele różnych podmiotów. Wydatki nie są planowane </w:t>
            </w:r>
            <w:r w:rsidR="008D01F0">
              <w:rPr>
                <w:rFonts w:ascii="Times New Roman" w:hAnsi="Times New Roman" w:cs="Times New Roman"/>
                <w:color w:val="auto"/>
              </w:rPr>
              <w:t>p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rzez KPRM na </w:t>
            </w: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 xml:space="preserve">całościową realizację PRKC, lecz na poszczególne działania w ramach budżetów podmiotów odpowiedzialnych za ich realizację. </w:t>
            </w:r>
          </w:p>
          <w:p w14:paraId="58B82537" w14:textId="27782DD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Podział wysokości środków ze względu na źródła finansowania jest przedstawiony w punkcie 6 OSR. Przywoływana przez  RCL uwaga MF nie została podtrzymana przez MF podczas opiniowania w  trybie korespondencyjnego uzgodnienia stanowisk w</w:t>
            </w:r>
            <w:r w:rsidR="008D01F0">
              <w:rPr>
                <w:rFonts w:ascii="Times New Roman" w:hAnsi="Times New Roman" w:cs="Times New Roman"/>
                <w:color w:val="auto"/>
              </w:rPr>
              <w:t> </w:t>
            </w:r>
            <w:r w:rsidRPr="00084C4B">
              <w:rPr>
                <w:rFonts w:ascii="Times New Roman" w:hAnsi="Times New Roman" w:cs="Times New Roman"/>
                <w:color w:val="auto"/>
              </w:rPr>
              <w:t>ramach KRMC.</w:t>
            </w:r>
          </w:p>
          <w:p w14:paraId="2B78A418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4C4B" w:rsidRPr="00084C4B" w14:paraId="32A54D35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93F5" w14:textId="77777777" w:rsidR="00344A80" w:rsidRPr="00084C4B" w:rsidRDefault="00CF0298" w:rsidP="00344A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4.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0183" w14:textId="77777777" w:rsidR="00344A80" w:rsidRPr="00084C4B" w:rsidRDefault="00344A80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 xml:space="preserve">RCL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BA75" w14:textId="77777777" w:rsidR="00344A80" w:rsidRPr="00084C4B" w:rsidRDefault="00344A80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Dodanie dodatkowego elementu do załącznika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F95D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Projekt załącznika należy uzupełnić o mierniki, określające stopień realizacji celu. Wymóg określenia mierników stopnia realizacji celu Programu wynika z treści art. 122 ust. 2 pkt 8 ustawy z dnia 27 sierpnia 2009 r. o finansach publicznych.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3CFA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Przeniesienie mierników wskazanych w pkt 12 oceny skutków regulacji projektu do treści załącznika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D6B2" w14:textId="77777777" w:rsidR="008D01F0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8D01F0">
              <w:rPr>
                <w:rFonts w:ascii="Times New Roman" w:hAnsi="Times New Roman" w:cs="Times New Roman"/>
                <w:b/>
                <w:bCs/>
                <w:color w:val="auto"/>
              </w:rPr>
              <w:t>Nie uwzględniono</w:t>
            </w:r>
            <w:r w:rsidRPr="00084C4B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625614A4" w14:textId="0F628E98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Mierniki wskazane w pkt 12 OSR znajdują się już w</w:t>
            </w:r>
            <w:r w:rsidR="008D01F0">
              <w:rPr>
                <w:rFonts w:ascii="Times New Roman" w:hAnsi="Times New Roman" w:cs="Times New Roman"/>
                <w:color w:val="auto"/>
              </w:rPr>
              <w:t> </w:t>
            </w:r>
            <w:r w:rsidRPr="00084C4B">
              <w:rPr>
                <w:rFonts w:ascii="Times New Roman" w:hAnsi="Times New Roman" w:cs="Times New Roman"/>
                <w:color w:val="auto"/>
              </w:rPr>
              <w:t>obecnej wersji załącznika do uchwały (Tabela 8. Główne wskaźniki PRKC, Tabela 9. Wskaźniki realizacji działań PRKC).</w:t>
            </w:r>
          </w:p>
          <w:p w14:paraId="1B62BEE8" w14:textId="77777777" w:rsidR="00E9364B" w:rsidRPr="00084C4B" w:rsidRDefault="00E9364B" w:rsidP="009326B7">
            <w:pPr>
              <w:rPr>
                <w:rFonts w:ascii="Times New Roman" w:hAnsi="Times New Roman" w:cs="Times New Roman"/>
                <w:color w:val="auto"/>
              </w:rPr>
            </w:pPr>
          </w:p>
          <w:p w14:paraId="36429044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084C4B" w:rsidRPr="00084C4B" w14:paraId="600B437F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AF31" w14:textId="77777777" w:rsidR="00E9364B" w:rsidRPr="00084C4B" w:rsidRDefault="00CF0298" w:rsidP="00E936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bookmarkStart w:id="0" w:name="_Hlk120782563"/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5.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A279" w14:textId="77777777" w:rsidR="00E9364B" w:rsidRPr="00084C4B" w:rsidRDefault="00E9364B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GUS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D439" w14:textId="77777777" w:rsidR="00E9364B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Załącznik do projektu uchwały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6780" w14:textId="77777777" w:rsidR="00E9364B" w:rsidRPr="00084C4B" w:rsidRDefault="00E9364B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Błędne dane na wykresie 3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5658" w14:textId="77777777" w:rsidR="00E9364B" w:rsidRPr="00084C4B" w:rsidRDefault="00E9364B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Dane przedstawione na wykresie nie są poprawne np. co najmniej podstawowe umiejętności cyfrowe posiada 69% osób w wieku 16-24 czyli odsetek osób ich nieposiadający to 31%, a nie 32% jak przedstawiono na wykresie. W przypadku średniej UE27 powinno to być 29% zamiast 28%. W grupie wiekowej 25-34 UE 27 powinno wynosić 31% zamiast 32%, a wartość dla Polski 37% zamiast 38%.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3454" w14:textId="77777777" w:rsidR="00E9364B" w:rsidRPr="008D01F0" w:rsidRDefault="00E9364B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01F0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bookmarkEnd w:id="0"/>
      <w:tr w:rsidR="00084C4B" w:rsidRPr="00084C4B" w14:paraId="471A2DB4" w14:textId="77777777" w:rsidTr="008D01F0">
        <w:trPr>
          <w:trHeight w:val="68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35D5" w14:textId="77777777" w:rsidR="00E9364B" w:rsidRPr="00084C4B" w:rsidRDefault="00CF0298" w:rsidP="00E936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E5EC" w14:textId="77777777" w:rsidR="00E9364B" w:rsidRPr="00084C4B" w:rsidRDefault="00E9364B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GUS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7BC1" w14:textId="77777777" w:rsidR="00E9364B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77FF8" w14:textId="77777777" w:rsidR="00E9364B" w:rsidRPr="00084C4B" w:rsidRDefault="00E9364B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Nieprawidłowa wartość wskaźnika na wykresie 17.  i roku za który dane zostały zebrane. Problemy zaistniałe przy rekrutacji specjalistów ICT dotyczą roku 2019.</w:t>
            </w:r>
          </w:p>
          <w:p w14:paraId="68C51373" w14:textId="77777777" w:rsidR="00E9364B" w:rsidRPr="00084C4B" w:rsidRDefault="00E9364B" w:rsidP="00CF02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121E" w14:textId="77777777" w:rsidR="00E9364B" w:rsidRPr="00084C4B" w:rsidRDefault="00E9364B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str. 42 wykres 17. dot. nazwa wskaźnika na wykresie:</w:t>
            </w:r>
          </w:p>
          <w:p w14:paraId="5E2C05F4" w14:textId="77777777" w:rsidR="00E9364B" w:rsidRPr="00084C4B" w:rsidRDefault="00E9364B" w:rsidP="0093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Przedsiębiorstwa mające trudne do obsadzenia stanowiska dla specjalistów ICT z powodu braku u kandydatów formalnego wykształcenia lub certyfikatów z obszaru ICT/IT, </w:t>
            </w:r>
            <w:r w:rsidRPr="00084C4B">
              <w:rPr>
                <w:rFonts w:ascii="Times New Roman" w:hAnsi="Times New Roman" w:cs="Times New Roman"/>
                <w:b/>
                <w:color w:val="auto"/>
              </w:rPr>
              <w:t>jest: 7,5% powinno być 7,6%</w:t>
            </w:r>
          </w:p>
          <w:p w14:paraId="59ED419F" w14:textId="77777777" w:rsidR="00E9364B" w:rsidRPr="00084C4B" w:rsidRDefault="00E9364B" w:rsidP="0093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</w:p>
          <w:p w14:paraId="7DFB64BF" w14:textId="77777777" w:rsidR="00E9364B" w:rsidRPr="00084C4B" w:rsidRDefault="00E9364B" w:rsidP="009326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 xml:space="preserve">Poprawić nazwę wykresu na: </w:t>
            </w:r>
            <w:r w:rsidRPr="00084C4B">
              <w:rPr>
                <w:rFonts w:ascii="Times New Roman" w:hAnsi="Times New Roman" w:cs="Times New Roman"/>
                <w:b/>
                <w:bCs/>
                <w:color w:val="auto"/>
              </w:rPr>
              <w:t>Przedsiębiorstwa zatrudniające specjalistów ICT w 2020 r., rekrutujące specjalistów ICT i mające z tym problemy w 2019 r. według klas wielkości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FA7C" w14:textId="77777777" w:rsidR="00E9364B" w:rsidRPr="00935F36" w:rsidRDefault="00E9364B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05F66075" w14:textId="77777777" w:rsidTr="008D01F0">
        <w:trPr>
          <w:trHeight w:val="68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373E" w14:textId="77777777" w:rsidR="00E9364B" w:rsidRPr="00084C4B" w:rsidRDefault="00CF0298" w:rsidP="00E936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7.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3219" w14:textId="77777777" w:rsidR="00E9364B" w:rsidRPr="00084C4B" w:rsidRDefault="00E9364B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GUS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A421" w14:textId="77777777" w:rsidR="00E9364B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3E8E" w14:textId="77777777" w:rsidR="00E9364B" w:rsidRPr="00084C4B" w:rsidRDefault="00E9364B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Niewłaściwy rok dla danych w akapicie pod wykresem 17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D31C" w14:textId="77777777" w:rsidR="00E9364B" w:rsidRPr="00084C4B" w:rsidRDefault="00E9364B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Str. 42 akapit pod wykresem 17. Poprawić rok, </w:t>
            </w:r>
            <w:r w:rsidRPr="00084C4B">
              <w:rPr>
                <w:rFonts w:ascii="Times New Roman" w:hAnsi="Times New Roman" w:cs="Times New Roman"/>
                <w:b/>
                <w:color w:val="auto"/>
              </w:rPr>
              <w:t>jest: W 2020 r. rekrutację na stanowiska specjalistów ICT prowadziło…powinno być: w 2019 r.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A705" w14:textId="77777777" w:rsidR="00E9364B" w:rsidRPr="00935F36" w:rsidRDefault="00E9364B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519CBAAE" w14:textId="77777777" w:rsidTr="008D01F0">
        <w:trPr>
          <w:trHeight w:val="68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22DF" w14:textId="77777777" w:rsidR="00CF0298" w:rsidRPr="00084C4B" w:rsidRDefault="00CF0298" w:rsidP="00CF02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8.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B1F6" w14:textId="77777777" w:rsidR="00CF0298" w:rsidRPr="00084C4B" w:rsidRDefault="00CF0298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UKE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E1E3" w14:textId="77777777" w:rsidR="00CF0298" w:rsidRPr="00084C4B" w:rsidRDefault="00B80837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CF0298" w:rsidRPr="00084C4B">
              <w:rPr>
                <w:rFonts w:ascii="Times New Roman" w:hAnsi="Times New Roman" w:cs="Times New Roman"/>
                <w:color w:val="auto"/>
              </w:rPr>
              <w:t>Działanie I.1.1. Podmioty współpracujące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B228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Proponuję uwzględnić Urząd Komunikacji Elektronicznej jako podmiot współpracujący. W dokumencie wielokrotnie jest powołanie na Badania Dzieci i Młodzieży. </w:t>
            </w:r>
          </w:p>
          <w:p w14:paraId="08698991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</w:p>
          <w:p w14:paraId="53CF3BC4" w14:textId="77777777" w:rsidR="00CF0298" w:rsidRPr="00084C4B" w:rsidRDefault="00CF0298" w:rsidP="00CF0298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Urząd obsługujący ministra właściwego do spraw oświaty i wychowania, CPPC, NASK, ORE, NGO, JST, urząd obsługujący ministra właściwego ds. rozwoju regionalnego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C1F7" w14:textId="77777777" w:rsidR="00CF0298" w:rsidRPr="00084C4B" w:rsidRDefault="00CF0298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Urząd obsługujący ministra właściwego do spraw oświaty i wychowania, CPPC, NASK, ORE, NGO, JST, urząd obsługujący ministra właściwego ds. rozwoju regionalnego, Urząd Komunikacji Elektronicznej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12ED" w14:textId="77777777" w:rsidR="00CF0298" w:rsidRPr="00935F36" w:rsidRDefault="00CF0298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6BFD4D7B" w14:textId="77777777" w:rsidTr="008D01F0">
        <w:trPr>
          <w:trHeight w:val="68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81FA" w14:textId="77777777" w:rsidR="00CF0298" w:rsidRPr="00084C4B" w:rsidRDefault="00CF0298" w:rsidP="00CF02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9.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025A" w14:textId="77777777" w:rsidR="00CF0298" w:rsidRPr="00084C4B" w:rsidRDefault="00CF0298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UKE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08D2" w14:textId="77777777" w:rsidR="00CF0298" w:rsidRPr="00084C4B" w:rsidRDefault="00B80837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CF0298" w:rsidRPr="00084C4B">
              <w:rPr>
                <w:rFonts w:ascii="Times New Roman" w:hAnsi="Times New Roman" w:cs="Times New Roman"/>
                <w:color w:val="auto"/>
              </w:rPr>
              <w:t>Działanie II.1.2. Podmioty współpracujące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16C3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Proponuję uwzględnić Urząd Komunikacji Elektronicznej jako podmiot współpracujący. W dokumencie wielokrotnie jest powołanie na Badania Dzieci i Młodzieży.  UKE od lat realizuje kampanie edukacyjne podnoszące kompetencje cyfrowe. Przeszkolono od 2017 ponad 180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tys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 xml:space="preserve"> osób w różnym wieku. </w:t>
            </w:r>
          </w:p>
          <w:p w14:paraId="69CD12B3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</w:p>
          <w:p w14:paraId="7B535163" w14:textId="5BFF49F6" w:rsidR="00CF0298" w:rsidRPr="00084C4B" w:rsidRDefault="00CF0298" w:rsidP="00CF0298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 xml:space="preserve">NASK, Centrum Nauki Kopernik oraz inne podmioty określone na kolejnych etapach realizacji działania, urząd obsługujący ministra właściwego ds. rozwoju regionalnego, KRRiT </w:t>
            </w:r>
          </w:p>
          <w:p w14:paraId="4666468A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F479" w14:textId="77777777" w:rsidR="00CF0298" w:rsidRPr="00084C4B" w:rsidRDefault="00CF0298" w:rsidP="009326B7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 xml:space="preserve">NASK, Centrum Nauki Kopernik oraz inne podmioty określone na kolejnych etapach realizacji działania, urząd obsługujący ministra właściwego ds. rozwoju regionalnego, KRRiT, Urząd Komunikacji Elektronicznej </w:t>
            </w:r>
          </w:p>
          <w:p w14:paraId="722BA5B6" w14:textId="77777777" w:rsidR="00CF0298" w:rsidRPr="00084C4B" w:rsidRDefault="00CF0298" w:rsidP="009326B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3C91" w14:textId="77777777" w:rsidR="00CF0298" w:rsidRPr="00935F36" w:rsidRDefault="00CF0298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2DD0B488" w14:textId="77777777" w:rsidTr="008D01F0">
        <w:trPr>
          <w:trHeight w:val="68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5A79" w14:textId="77777777" w:rsidR="00CF0298" w:rsidRPr="00084C4B" w:rsidRDefault="00CF0298" w:rsidP="00CF02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10.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B849" w14:textId="77777777" w:rsidR="00CF0298" w:rsidRPr="00084C4B" w:rsidRDefault="00CF0298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UKE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AAC0" w14:textId="77777777" w:rsidR="00CF0298" w:rsidRPr="00084C4B" w:rsidRDefault="00B80837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CF0298" w:rsidRPr="00084C4B">
              <w:rPr>
                <w:rFonts w:ascii="Times New Roman" w:hAnsi="Times New Roman" w:cs="Times New Roman"/>
                <w:color w:val="auto"/>
              </w:rPr>
              <w:t>Działanie II.1.5. Podmioty współpracujące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669C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Proponuję uwzględnić Urząd Komunikacji Elektronicznej jako podmiot współpracujący. W dokumencie wielokrotnie jest powołanie na Badania Dzieci i Młodzieży.  UKE od lat realizuje kampanie edukacyjne podnoszące kompetencje </w:t>
            </w: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 xml:space="preserve">cyfrowe. Przeszkolono od 2017 ponad 180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tys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 xml:space="preserve"> osób w różnym wieku. </w:t>
            </w:r>
          </w:p>
          <w:p w14:paraId="205746DD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</w:p>
          <w:p w14:paraId="4F465E1B" w14:textId="77777777" w:rsidR="00CF0298" w:rsidRPr="00084C4B" w:rsidRDefault="00CF0298" w:rsidP="00CF0298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CPPC, NGO/NGO w partnerstwie z gminami, JST, urząd obsługujący ministra właściwego ds. rozwoju regionalnego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1922" w14:textId="77777777" w:rsidR="00CF0298" w:rsidRPr="00084C4B" w:rsidRDefault="00CF0298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lastRenderedPageBreak/>
              <w:t xml:space="preserve">CPPC, NGO/NGO w partnerstwie z gminami, JST, urząd obsługujący ministra właściwego ds. rozwoju </w:t>
            </w:r>
            <w:r w:rsidRPr="00084C4B">
              <w:rPr>
                <w:rFonts w:ascii="Times New Roman" w:hAnsi="Times New Roman" w:cs="Times New Roman"/>
                <w:i/>
                <w:color w:val="auto"/>
              </w:rPr>
              <w:lastRenderedPageBreak/>
              <w:t>regionalnego, Urząd Komunikacji Elektronicznej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19B3" w14:textId="77777777" w:rsidR="00CF0298" w:rsidRPr="00935F36" w:rsidRDefault="00CF0298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Uwzględniono</w:t>
            </w:r>
          </w:p>
        </w:tc>
      </w:tr>
      <w:tr w:rsidR="00084C4B" w:rsidRPr="00084C4B" w14:paraId="3A5EA174" w14:textId="77777777" w:rsidTr="008D01F0">
        <w:trPr>
          <w:trHeight w:val="68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8A57" w14:textId="77777777" w:rsidR="00CF0298" w:rsidRPr="00084C4B" w:rsidRDefault="00CF0298" w:rsidP="00CF02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11.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09A4" w14:textId="77777777" w:rsidR="00CF0298" w:rsidRPr="00084C4B" w:rsidRDefault="00CF0298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UKE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B0D8" w14:textId="77777777" w:rsidR="00CF0298" w:rsidRPr="00084C4B" w:rsidRDefault="00B80837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CF0298" w:rsidRPr="00084C4B">
              <w:rPr>
                <w:rFonts w:ascii="Times New Roman" w:hAnsi="Times New Roman" w:cs="Times New Roman"/>
                <w:color w:val="auto"/>
              </w:rPr>
              <w:t>Działanie II.2.1 Podmioty współpracujące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2742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Proponuję uwzględnić Urząd Komunikacji Elektronicznej jako podmiot współpracujący.</w:t>
            </w:r>
          </w:p>
          <w:p w14:paraId="61C7F22E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</w:p>
          <w:p w14:paraId="4EA2BB6E" w14:textId="77777777" w:rsidR="00CF0298" w:rsidRPr="00084C4B" w:rsidRDefault="00CF0298" w:rsidP="00CF0298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Urząd obsługujący ministra właściwego do spraw informatyzacji, Fundacja Rozwoju Systemu Edukacji, IBE, NGO, JST i partnerstwa pomiędzy NGO i JST, przedsiębiorstwa, w tym dostawcy usług internetowych, urząd obsługujący ministra właściwego ds. rozwoju regionalnego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5A4E" w14:textId="77777777" w:rsidR="00CF0298" w:rsidRPr="00084C4B" w:rsidRDefault="00CF0298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Urząd obsługujący ministra właściwego do spraw informatyzacji, Fundacja Rozwoju Systemu Edukacji, IBE, NGO, JST i partnerstwa pomiędzy NGO i JST, przedsiębiorstwa, w tym dostawcy usług internetowych, urząd obsługujący ministra właściwego ds. rozwoju regionalnego, Urząd Komunikacji Elektronicznej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3907" w14:textId="77777777" w:rsidR="00CF0298" w:rsidRPr="00935F36" w:rsidRDefault="00CF0298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5418E19D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A5CC" w14:textId="77777777" w:rsidR="00344A80" w:rsidRPr="00084C4B" w:rsidRDefault="00CF0298" w:rsidP="00344A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12.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67F7" w14:textId="77777777" w:rsidR="00344A80" w:rsidRPr="00084C4B" w:rsidRDefault="00344A80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MZ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34F1" w14:textId="77777777" w:rsidR="00344A80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344A80" w:rsidRPr="00084C4B">
              <w:rPr>
                <w:rFonts w:ascii="Times New Roman" w:hAnsi="Times New Roman" w:cs="Times New Roman"/>
                <w:color w:val="auto"/>
              </w:rPr>
              <w:t>Działanie III.3.10</w:t>
            </w:r>
          </w:p>
          <w:p w14:paraId="3E39BC98" w14:textId="77777777" w:rsidR="00344A80" w:rsidRPr="00084C4B" w:rsidRDefault="00344A80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Cel działania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F227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Proponujemy rozszerzenie grupy docelowej wskazanej w celu działania o studentów ostatnich lat kierunków medycznych. Uzasadnione wydaje się kształcenie studentów ostatnich lat kierunków medycznych z udostępnionych i wdrożonych centralnie rozwiązań IT w tym e-usług. </w:t>
            </w:r>
          </w:p>
          <w:p w14:paraId="00CAA155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Objęcie zakresem działania studentów ostatnich lat kierunków medycznych pozwoli na przygotowanie i realizację działań edukacyjnych podnoszących ich kompetencje i kwalifikacje w zakresie wiedzy i umiejętności optymalnego wykorzystywania udostępnionych rozwiązań w momencie ich wejścia na rynek pracy. Zdobycie przez studentów wiedzy i kompetencji dot. korzystania z wdrożonych rozwiązań IT już na etapie kształcenia pozwoli na ich wykorzystywanie od razu z chwilą rozpoczęcia ścieżki </w:t>
            </w: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zawodowej, co będzie miało bezpośredni wpływ na poprawę jakości świadczeń udzielanych przez podmiotu w którym zostaną zatrudnieni.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E137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Rozwój kompetencji cyfrowych studentów ostatnich lat kierunków medycznych oraz pracowników ochrony zdrowia w zawodach</w:t>
            </w:r>
          </w:p>
          <w:p w14:paraId="0F1BE2B0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medycznych i niemedycznych.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2193" w14:textId="77777777" w:rsidR="00344A80" w:rsidRPr="00935F36" w:rsidRDefault="00344A80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6FA60F9C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1C60" w14:textId="77777777" w:rsidR="00344A80" w:rsidRPr="00084C4B" w:rsidRDefault="00CF0298" w:rsidP="00344A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13.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6EA3" w14:textId="77777777" w:rsidR="00344A80" w:rsidRPr="00084C4B" w:rsidRDefault="00344A80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MZ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1BF0" w14:textId="77777777" w:rsidR="00344A80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344A80" w:rsidRPr="00084C4B">
              <w:rPr>
                <w:rFonts w:ascii="Times New Roman" w:hAnsi="Times New Roman" w:cs="Times New Roman"/>
                <w:color w:val="auto"/>
              </w:rPr>
              <w:t>Działanie III.3.10</w:t>
            </w:r>
          </w:p>
          <w:p w14:paraId="2B128CEC" w14:textId="77777777" w:rsidR="00344A80" w:rsidRPr="00084C4B" w:rsidRDefault="00344A80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Opis działania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FF32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Proponujemy rozszerzenie zakresu zaplanowanych działań o szkolenia skierowane do studentów ostatnich lat kierunków medycznych. Uzasadnione jak wyżej. </w:t>
            </w:r>
          </w:p>
          <w:p w14:paraId="17AEE341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F009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Inicjatywa przewiduje realizację działań systemowych dążących do poprawy dojrzałości</w:t>
            </w:r>
          </w:p>
          <w:p w14:paraId="5B155552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placówek leczniczych, z naciskiem na rozwój niezbędnych kompetencji cyfrowych studentów ostatnich lat kierunków medycznych, kadr</w:t>
            </w:r>
          </w:p>
          <w:p w14:paraId="5C7712A3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medycznych i niemedycznych w związku z wprowadzeniem, rozwojem, konfiguracją</w:t>
            </w:r>
          </w:p>
          <w:p w14:paraId="5F12EDFA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nowych usług cyfrowych/infrastruktury IT w ochronie zdrowia.</w:t>
            </w:r>
          </w:p>
          <w:p w14:paraId="744065D6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Obszar ten obejmuje również aspekty związane z kształceniem studentów i kadry poprzez:</w:t>
            </w:r>
          </w:p>
          <w:p w14:paraId="658FB0A9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• działania zwiększające kompetencje pracowników organizacyjnych/</w:t>
            </w:r>
          </w:p>
          <w:p w14:paraId="54792F37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administracyjnych/zarządzających pracujących w sektorze ochrony zdrowia i</w:t>
            </w:r>
          </w:p>
          <w:p w14:paraId="4815396E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 xml:space="preserve">systemu zdrowia publicznego (w tym w zakresie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telemedycyny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 xml:space="preserve"> i e-zdrowia);</w:t>
            </w:r>
          </w:p>
          <w:p w14:paraId="714912BD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• personalizowane szkolenia dla pracowników podmiotów leczniczych w zakresie</w:t>
            </w:r>
          </w:p>
          <w:p w14:paraId="1B60DE70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poprawy kompetencji cyfrowych z uwzględnieniem nowoczesnych technologii</w:t>
            </w:r>
          </w:p>
          <w:p w14:paraId="6E42393D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medycznych, wykorzystania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telemedycyny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 xml:space="preserve"> oraz usług e-zdrowia w codziennej pracy,</w:t>
            </w:r>
          </w:p>
          <w:p w14:paraId="7D9ACF18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cyberbezpieczeństwa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>;</w:t>
            </w:r>
          </w:p>
          <w:p w14:paraId="3707C853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• personalizowane szkolenia dla studentów ostatnich lat kierunków medycznych w zakresie</w:t>
            </w:r>
          </w:p>
          <w:p w14:paraId="409CF4B0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poprawy kompetencji cyfrowych z uwzględnieniem nowoczesnych technologii</w:t>
            </w:r>
          </w:p>
          <w:p w14:paraId="6063EA4A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medycznych, wykorzystania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telemedycyny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 xml:space="preserve"> oraz usług e-zdrowia w codziennej pracy,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cyberbezpieczeństwa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>;</w:t>
            </w:r>
          </w:p>
          <w:p w14:paraId="741FF75D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• udział w spotkaniach, warsztatach i konferencjach kadry zarządzającej placówkami</w:t>
            </w:r>
          </w:p>
          <w:p w14:paraId="0961ACDD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leczniczymi z zakresu wykorzystania nowoczesnych technologii w medycynie oraz</w:t>
            </w:r>
          </w:p>
          <w:p w14:paraId="03315A5A" w14:textId="77777777" w:rsidR="00344A80" w:rsidRPr="00084C4B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cyberbezpieczeństwa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EDCA" w14:textId="77777777" w:rsidR="00344A80" w:rsidRPr="00935F36" w:rsidRDefault="00344A80" w:rsidP="009326B7">
            <w:pPr>
              <w:tabs>
                <w:tab w:val="left" w:pos="1090"/>
              </w:tabs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Uwzględniono</w:t>
            </w:r>
          </w:p>
        </w:tc>
      </w:tr>
      <w:tr w:rsidR="00084C4B" w:rsidRPr="00084C4B" w14:paraId="40F8F7B2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D17A" w14:textId="77777777" w:rsidR="00344A80" w:rsidRPr="00084C4B" w:rsidRDefault="00CF0298" w:rsidP="00344A8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14.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0E42" w14:textId="77777777" w:rsidR="00344A80" w:rsidRPr="00084C4B" w:rsidRDefault="00344A80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084C4B">
              <w:rPr>
                <w:rFonts w:ascii="Times New Roman" w:hAnsi="Times New Roman" w:cs="Times New Roman"/>
                <w:b/>
                <w:color w:val="auto"/>
              </w:rPr>
              <w:t>MEiN</w:t>
            </w:r>
            <w:proofErr w:type="spellEnd"/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EB1F" w14:textId="77777777" w:rsidR="00344A80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344A80" w:rsidRPr="00084C4B">
              <w:rPr>
                <w:rFonts w:ascii="Times New Roman" w:hAnsi="Times New Roman" w:cs="Times New Roman"/>
                <w:color w:val="auto"/>
              </w:rPr>
              <w:t>PRIORYTET IV: Rozwój zaawansowanych kompetencji cyfrowych</w:t>
            </w:r>
          </w:p>
          <w:p w14:paraId="7D89C260" w14:textId="77777777" w:rsidR="00344A80" w:rsidRPr="00084C4B" w:rsidRDefault="00344A80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IV.1. Specjaliści ICT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CCF8" w14:textId="77777777" w:rsidR="00344A80" w:rsidRPr="00084C4B" w:rsidRDefault="00344A80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Ze względu na zbliżone cele działania proponujemy połączenie fiszek nr IV.1.1 i IV.1.6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15BF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Pozostawienie fiszki do działania nr IV.1.1 z opisem uwzględniającym działanie IV.1.6. Podmiot wiodący w IV.1.1 pozostaje bez zmian, dodanie w podmiotach współpracujących uczelni, </w:t>
            </w:r>
            <w:proofErr w:type="spellStart"/>
            <w:r w:rsidRPr="00084C4B">
              <w:rPr>
                <w:rFonts w:ascii="Times New Roman" w:hAnsi="Times New Roman" w:cs="Times New Roman"/>
                <w:color w:val="auto"/>
              </w:rPr>
              <w:t>jst</w:t>
            </w:r>
            <w:proofErr w:type="spellEnd"/>
            <w:r w:rsidRPr="00084C4B">
              <w:rPr>
                <w:rFonts w:ascii="Times New Roman" w:hAnsi="Times New Roman" w:cs="Times New Roman"/>
                <w:color w:val="auto"/>
              </w:rPr>
              <w:t xml:space="preserve"> oraz organizacji pozarządowych. Finansowanie i stan realizacji jak w IV.1.1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F717" w14:textId="77777777" w:rsidR="00344A80" w:rsidRPr="00935F36" w:rsidRDefault="00344A80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Nie uwzględniono.</w:t>
            </w:r>
          </w:p>
          <w:p w14:paraId="4207D165" w14:textId="77777777" w:rsidR="00344A80" w:rsidRPr="00084C4B" w:rsidRDefault="00344A80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Połączenie działania IV.1.1. i IV.1.6. nie jest zasadne, z uwagi na różne podmioty wiodące i różne źródła finansowania, co doprowadzi do trudności w sprawozdawczości projektu oraz monitorowaniu wskaźników realizacji projektów. </w:t>
            </w:r>
          </w:p>
        </w:tc>
      </w:tr>
      <w:tr w:rsidR="00084C4B" w:rsidRPr="00084C4B" w14:paraId="0EE16786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36A4" w14:textId="77777777" w:rsidR="00CF0298" w:rsidRPr="00084C4B" w:rsidRDefault="00CF0298" w:rsidP="00CF029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15.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F649" w14:textId="77777777" w:rsidR="00CF0298" w:rsidRPr="00084C4B" w:rsidRDefault="00CF0298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UKE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3E04" w14:textId="77777777" w:rsidR="00CF0298" w:rsidRPr="00084C4B" w:rsidRDefault="00B80837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Załącznik do projektu uchwały </w:t>
            </w:r>
            <w:r w:rsidR="00CF0298" w:rsidRPr="00084C4B">
              <w:rPr>
                <w:rFonts w:ascii="Times New Roman" w:hAnsi="Times New Roman" w:cs="Times New Roman"/>
                <w:color w:val="auto"/>
              </w:rPr>
              <w:t>Tabela Podział zadań w realizacji PRKC – Podmioty współpracujące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DDB8" w14:textId="77777777" w:rsidR="00CF0298" w:rsidRPr="00084C4B" w:rsidRDefault="00CF0298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Proponujemy o uzupełnienie podmiotów współpracujących o Urząd Komunikacji Elektronicznej przy Działaniach I.1.1.; II.1.2.; II.1.5.; II.2.1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B382" w14:textId="77777777" w:rsidR="00CF0298" w:rsidRPr="00084C4B" w:rsidRDefault="00CF0298" w:rsidP="009326B7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Uzupełnić o Urząd Komunikacji Elektronicznej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7000" w14:textId="77777777" w:rsidR="00CF0298" w:rsidRPr="00935F36" w:rsidRDefault="00CF0298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35F36">
              <w:rPr>
                <w:rFonts w:ascii="Times New Roman" w:hAnsi="Times New Roman" w:cs="Times New Roman"/>
                <w:b/>
                <w:bCs/>
                <w:color w:val="auto"/>
              </w:rPr>
              <w:t>Uwzględniono</w:t>
            </w:r>
          </w:p>
        </w:tc>
      </w:tr>
      <w:tr w:rsidR="00084C4B" w:rsidRPr="00084C4B" w14:paraId="43122D93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4A01" w14:textId="77777777" w:rsidR="00E9364B" w:rsidRPr="00084C4B" w:rsidRDefault="00CF0298" w:rsidP="00E9364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16.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0FC2" w14:textId="77777777" w:rsidR="00E9364B" w:rsidRPr="00084C4B" w:rsidRDefault="00E9364B" w:rsidP="00CF029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084C4B">
              <w:rPr>
                <w:rFonts w:ascii="Times New Roman" w:hAnsi="Times New Roman" w:cs="Times New Roman"/>
                <w:b/>
                <w:color w:val="auto"/>
              </w:rPr>
              <w:t>GUS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6802" w14:textId="77777777" w:rsidR="00E9364B" w:rsidRPr="00084C4B" w:rsidRDefault="00E9364B" w:rsidP="00CF029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Uzasadnienie projektu uchwały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E918" w14:textId="77777777" w:rsidR="00E9364B" w:rsidRPr="00084C4B" w:rsidRDefault="00E9364B" w:rsidP="00CF0298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Mało precyzyjny opis wskaźnika w uzasadnieniu, na stronie 4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2BC9" w14:textId="77777777" w:rsidR="00E9364B" w:rsidRPr="00084C4B" w:rsidRDefault="00E9364B" w:rsidP="009326B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Na stronie 4 opis wskaźnika dotyczącego przyczyn niekorzystania z Internetu jest mało precyzyjny. Warto doprecyzować, że dotyczy to osób które nie korzystają z Internetu, teraz można to zrozumieć, że dotyczy to wszystkich osób w wieku 25-74 lata. Propozycja poprawy: „w 2021 r. wśród osób, które nie korzystały z Internetu w ciągu ostatnich 3 miesięcy w </w:t>
            </w: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grupie wiekowej 25-74 lata 64% wskazało na brak takiej potrzeby, a 51% na brak umiejętności”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7C8" w14:textId="77777777" w:rsidR="00E9364B" w:rsidRPr="0070507F" w:rsidRDefault="00E9364B" w:rsidP="009326B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507F">
              <w:rPr>
                <w:rFonts w:ascii="Times New Roman" w:hAnsi="Times New Roman" w:cs="Times New Roman"/>
                <w:b/>
                <w:bCs/>
                <w:color w:val="auto"/>
              </w:rPr>
              <w:lastRenderedPageBreak/>
              <w:t>Uwzględniono</w:t>
            </w:r>
          </w:p>
        </w:tc>
      </w:tr>
      <w:tr w:rsidR="00B80837" w:rsidRPr="00084C4B" w14:paraId="2F62D837" w14:textId="77777777" w:rsidTr="008D01F0">
        <w:trPr>
          <w:trHeight w:val="15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49E7" w14:textId="77777777" w:rsidR="00B80837" w:rsidRPr="00084C4B" w:rsidRDefault="00B80837" w:rsidP="00B8083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17.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F32A" w14:textId="77777777" w:rsidR="00B80837" w:rsidRPr="00B80837" w:rsidRDefault="00B80837" w:rsidP="00B80837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80837">
              <w:rPr>
                <w:rFonts w:ascii="Times New Roman" w:hAnsi="Times New Roman" w:cs="Times New Roman"/>
                <w:b/>
                <w:color w:val="auto"/>
              </w:rPr>
              <w:t>MF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80B4" w14:textId="77777777" w:rsidR="00B80837" w:rsidRPr="00084C4B" w:rsidRDefault="00B80837" w:rsidP="00B8083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Załącznik do projektu uchwały</w:t>
            </w:r>
            <w:r>
              <w:rPr>
                <w:rFonts w:ascii="Times New Roman" w:hAnsi="Times New Roman" w:cs="Times New Roman"/>
                <w:color w:val="auto"/>
              </w:rPr>
              <w:t xml:space="preserve"> i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OSR.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4931" w14:textId="77777777" w:rsidR="00B80837" w:rsidRPr="00084C4B" w:rsidRDefault="00B80837" w:rsidP="00B80837">
            <w:pPr>
              <w:spacing w:after="152" w:line="248" w:lineRule="auto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Na str. 121 projektu Programu oraz w OSR wszystkie źródła finansowania podsumowano w następujący sposób: </w:t>
            </w:r>
          </w:p>
          <w:p w14:paraId="575DA16F" w14:textId="77777777" w:rsidR="00B80837" w:rsidRPr="00084C4B" w:rsidRDefault="00B80837" w:rsidP="00B80837">
            <w:pPr>
              <w:spacing w:after="32" w:line="248" w:lineRule="auto"/>
              <w:ind w:left="132" w:right="76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 xml:space="preserve">"Źródłem finansowania zadań przewidzianych do realizacji w PRKC są w 91,48 % środki Unii Europejskiej, w ramach perspektywy finansowej </w:t>
            </w:r>
          </w:p>
          <w:p w14:paraId="3E0707DA" w14:textId="77777777" w:rsidR="00B80837" w:rsidRPr="00084C4B" w:rsidRDefault="00B80837" w:rsidP="00B80837">
            <w:pPr>
              <w:spacing w:after="32" w:line="248" w:lineRule="auto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 xml:space="preserve">na lata 2014-2020, perspektywy na lata 2021-2027 oraz Krajowego Planu Odbudowy, 0,13% środki z rezerwy celowej poz. 8 i 98 (programy UE). </w:t>
            </w:r>
          </w:p>
          <w:p w14:paraId="2EC4F895" w14:textId="77777777" w:rsidR="00B80837" w:rsidRPr="00084C4B" w:rsidRDefault="00B80837" w:rsidP="00B80837">
            <w:pPr>
              <w:spacing w:after="152" w:line="240" w:lineRule="auto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i/>
                <w:color w:val="auto"/>
              </w:rPr>
              <w:t>Budżet państwa pokryje 8,39 % kosztów realizacji PRKC."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5581436B" w14:textId="77777777" w:rsidR="00B80837" w:rsidRPr="00084C4B" w:rsidRDefault="00B80837" w:rsidP="00B80837">
            <w:pPr>
              <w:spacing w:after="152" w:line="248" w:lineRule="auto"/>
              <w:ind w:left="180" w:right="124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niezrozumiałe jest wyszczególnienie środków z rezerwy celowej poz. 98 jako odrębnego źródła, skoro z rezerwy tej uruchamiane są wydatki na ww. perspektywy (nie są to dodatkowe środki). </w:t>
            </w:r>
          </w:p>
          <w:p w14:paraId="5B045129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Ponadto należy doprecyzować czy współfinansowanie krajowe zostało uwzględnione w zdaniu </w:t>
            </w:r>
            <w:r w:rsidRPr="00084C4B">
              <w:rPr>
                <w:rFonts w:ascii="Times New Roman" w:hAnsi="Times New Roman" w:cs="Times New Roman"/>
                <w:i/>
                <w:color w:val="auto"/>
              </w:rPr>
              <w:t>„Budżet państwa pokryje 8,39 % kosztów realizacji PRKC."</w:t>
            </w:r>
            <w:r w:rsidRPr="00084C4B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844F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Korekta projektowanego dokumentu we wskazanym zakresie.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B28C" w14:textId="77777777" w:rsidR="00B80837" w:rsidRPr="0070507F" w:rsidRDefault="00B80837" w:rsidP="00B8083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507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Uwzględniono. </w:t>
            </w:r>
          </w:p>
          <w:p w14:paraId="0BA89BA0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Środki z rezerwy celowej poz. 98 nie są wykazywane jako odrębne źródło finansowania. </w:t>
            </w:r>
          </w:p>
          <w:p w14:paraId="5E66F8C7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Współfinansowanie krajowe nie zostało uwzględnione w ramach środków budżetu  państwa. Zdecydowana większość działań przewidzianych do realizacji ze środków UE 2021-2027 jest na etapie planowania i nie jest jeszcze znany montaż finansowy uwzględniający m.in.  wysokość dofinansowania ze środków UE. </w:t>
            </w:r>
          </w:p>
        </w:tc>
      </w:tr>
      <w:tr w:rsidR="00B80837" w:rsidRPr="00084C4B" w14:paraId="707DEC9F" w14:textId="77777777" w:rsidTr="008D01F0">
        <w:trPr>
          <w:trHeight w:val="410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7B5C" w14:textId="77777777" w:rsidR="00B80837" w:rsidRPr="00084C4B" w:rsidRDefault="00B80837" w:rsidP="00B8083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lastRenderedPageBreak/>
              <w:t>18.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8044" w14:textId="77777777" w:rsidR="00B80837" w:rsidRPr="00B80837" w:rsidRDefault="00B80837" w:rsidP="00B80837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80837">
              <w:rPr>
                <w:rFonts w:ascii="Times New Roman" w:hAnsi="Times New Roman" w:cs="Times New Roman"/>
                <w:b/>
                <w:color w:val="auto"/>
              </w:rPr>
              <w:t>MF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96AF" w14:textId="77777777" w:rsidR="00B80837" w:rsidRPr="00084C4B" w:rsidRDefault="00B80837" w:rsidP="00B8083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Załącznik do projektu uchwały</w:t>
            </w:r>
          </w:p>
        </w:tc>
        <w:tc>
          <w:tcPr>
            <w:tcW w:w="5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7338" w14:textId="77777777" w:rsidR="00B80837" w:rsidRPr="00084C4B" w:rsidRDefault="00B80837" w:rsidP="00B80837">
            <w:pPr>
              <w:spacing w:after="152" w:line="248" w:lineRule="auto"/>
              <w:ind w:right="70"/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Przy finansowaniu działania pn. </w:t>
            </w:r>
            <w:r w:rsidRPr="00084C4B">
              <w:rPr>
                <w:rFonts w:ascii="Times New Roman" w:hAnsi="Times New Roman" w:cs="Times New Roman"/>
                <w:i/>
                <w:color w:val="auto"/>
              </w:rPr>
              <w:t>„IV.1.2.Kształcenie wysokiej klasy specjalistów ICT w modelu opracowanym w projekcie AI Tech”</w:t>
            </w:r>
            <w:r w:rsidRPr="00084C4B">
              <w:rPr>
                <w:rFonts w:ascii="Times New Roman" w:hAnsi="Times New Roman" w:cs="Times New Roman"/>
                <w:color w:val="auto"/>
              </w:rPr>
              <w:t xml:space="preserve"> z Programu Operacyjnego Polska Cyfrowa (POPC) jednoczesne wskazano finansowanie ze środków UE (str. 124). </w:t>
            </w:r>
          </w:p>
          <w:p w14:paraId="6E44F54C" w14:textId="77777777" w:rsidR="00B80837" w:rsidRPr="00084C4B" w:rsidRDefault="00B80837" w:rsidP="00B8083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W związku z powyższym niezrozumiałe jest dlaczego wskazano dwa źródła tj. oprócz POPC również ogólnie wskazane </w:t>
            </w:r>
            <w:r w:rsidRPr="00084C4B">
              <w:rPr>
                <w:rFonts w:ascii="Times New Roman" w:hAnsi="Times New Roman" w:cs="Times New Roman"/>
                <w:i/>
                <w:color w:val="auto"/>
              </w:rPr>
              <w:t>„środki UE”</w:t>
            </w:r>
            <w:r w:rsidRPr="00084C4B">
              <w:rPr>
                <w:rFonts w:ascii="Times New Roman" w:hAnsi="Times New Roman" w:cs="Times New Roman"/>
                <w:color w:val="auto"/>
              </w:rPr>
              <w:t>, nie precyzując konkretnego Programu.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4929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Korekta projektowanego dokumentu we wskazanym zakresie.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A11B" w14:textId="77777777" w:rsidR="00B80837" w:rsidRPr="0070507F" w:rsidRDefault="00B80837" w:rsidP="00B8083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507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Nie uwzględniono. </w:t>
            </w:r>
          </w:p>
          <w:p w14:paraId="28236246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W działaniu  „IV.1.2.Kształcenie wysokiej klasy specjalistów ICT w modelu opracowanym w projekcie AI Tech” pozostawiono informację  finansowaniu:  POPC, środki UE 2021-2027. Wynika to z faktu, że w 2023 roku kończy się realizacja projektu ze środków POPC. Planowana jest kontynuacja projektu w ramach perspektywy finansowej 2021-2027, ale nie zapadły jeszcze decyzje co do finansowania z konkretnego programu operacyjnego.</w:t>
            </w:r>
          </w:p>
        </w:tc>
      </w:tr>
      <w:tr w:rsidR="00B80837" w:rsidRPr="00084C4B" w14:paraId="736D61E8" w14:textId="77777777" w:rsidTr="008D01F0">
        <w:trPr>
          <w:gridAfter w:val="1"/>
          <w:wAfter w:w="22" w:type="dxa"/>
          <w:trHeight w:val="130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7DC2" w14:textId="77777777" w:rsidR="00B80837" w:rsidRPr="00084C4B" w:rsidRDefault="00B80837" w:rsidP="00B8083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19.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47D4" w14:textId="77777777" w:rsidR="00B80837" w:rsidRPr="00B80837" w:rsidRDefault="00B80837" w:rsidP="00B8083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80837">
              <w:rPr>
                <w:rFonts w:ascii="Times New Roman" w:hAnsi="Times New Roman" w:cs="Times New Roman"/>
                <w:b/>
                <w:color w:val="auto"/>
              </w:rPr>
              <w:t>RCL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6D61" w14:textId="77777777" w:rsidR="00B80837" w:rsidRPr="00084C4B" w:rsidRDefault="00B80837" w:rsidP="00B8083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Uzasadnienie projektu uchwały pkt 6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E227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 xml:space="preserve">Punkt 6 uzasadnienia projektu nie może już stanowić celu Programu Rozwoju Kompetencji Cyfrowych, ponieważ dotyczy III kwartału 2022 r. </w:t>
            </w:r>
          </w:p>
        </w:tc>
        <w:tc>
          <w:tcPr>
            <w:tcW w:w="3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C9AE" w14:textId="77777777" w:rsidR="00B80837" w:rsidRPr="00084C4B" w:rsidRDefault="00B80837" w:rsidP="00B80837">
            <w:pPr>
              <w:rPr>
                <w:rFonts w:ascii="Times New Roman" w:hAnsi="Times New Roman" w:cs="Times New Roman"/>
                <w:color w:val="auto"/>
              </w:rPr>
            </w:pPr>
            <w:r w:rsidRPr="00084C4B">
              <w:rPr>
                <w:rFonts w:ascii="Times New Roman" w:hAnsi="Times New Roman" w:cs="Times New Roman"/>
                <w:color w:val="auto"/>
              </w:rPr>
              <w:t>Skreślenie pkt 6 w uzasadnieniu projektu uchwały.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1E69" w14:textId="77777777" w:rsidR="00B80837" w:rsidRPr="0070507F" w:rsidRDefault="00B80837" w:rsidP="00B80837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0507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Uwzględniono. </w:t>
            </w:r>
          </w:p>
        </w:tc>
      </w:tr>
    </w:tbl>
    <w:p w14:paraId="4651F13A" w14:textId="77777777" w:rsidR="00844528" w:rsidRDefault="00844528"/>
    <w:sectPr w:rsidR="00844528">
      <w:pgSz w:w="16838" w:h="11906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CE"/>
    <w:rsid w:val="00084C4B"/>
    <w:rsid w:val="00284FDA"/>
    <w:rsid w:val="00344A80"/>
    <w:rsid w:val="003F37D3"/>
    <w:rsid w:val="006634BD"/>
    <w:rsid w:val="0070507F"/>
    <w:rsid w:val="00844528"/>
    <w:rsid w:val="008D01F0"/>
    <w:rsid w:val="009326B7"/>
    <w:rsid w:val="00935F36"/>
    <w:rsid w:val="009614CE"/>
    <w:rsid w:val="00984FF2"/>
    <w:rsid w:val="00A944A5"/>
    <w:rsid w:val="00B80837"/>
    <w:rsid w:val="00CF0298"/>
    <w:rsid w:val="00E9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D921"/>
  <w15:docId w15:val="{F204CBD9-1965-41E0-B79B-189C0C73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44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2147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5</cp:revision>
  <dcterms:created xsi:type="dcterms:W3CDTF">2022-12-01T08:08:00Z</dcterms:created>
  <dcterms:modified xsi:type="dcterms:W3CDTF">2022-12-01T09:42:00Z</dcterms:modified>
</cp:coreProperties>
</file>