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C7B" w:rsidRDefault="005E4C7B">
      <w:pPr>
        <w:jc w:val="center"/>
      </w:pPr>
    </w:p>
    <w:tbl>
      <w:tblPr>
        <w:tblStyle w:val="a"/>
        <w:tblW w:w="1524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55"/>
        <w:gridCol w:w="1425"/>
        <w:gridCol w:w="1665"/>
        <w:gridCol w:w="4095"/>
        <w:gridCol w:w="2670"/>
        <w:gridCol w:w="4830"/>
      </w:tblGrid>
      <w:tr w:rsidR="005E4C7B">
        <w:tc>
          <w:tcPr>
            <w:tcW w:w="15240" w:type="dxa"/>
            <w:gridSpan w:val="6"/>
            <w:shd w:val="clear" w:color="auto" w:fill="auto"/>
            <w:vAlign w:val="center"/>
          </w:tcPr>
          <w:p w:rsidR="005E4C7B" w:rsidRDefault="003A4573">
            <w:pPr>
              <w:spacing w:before="120" w:after="12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  <w:i/>
                <w:sz w:val="22"/>
                <w:szCs w:val="22"/>
              </w:rPr>
              <w:t>Nazwa dokumentu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: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Opis założeń projektu informatycznego pn.: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„Rozwój systemu monitoringu karier absolwentów i absolwentek szkół ponadpodstawowych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”</w:t>
            </w:r>
            <w:r>
              <w:rPr>
                <w:b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- wnioskodawca Minister Edukacji, beneficjent Instytut Badań Edukacyjnych.</w:t>
            </w:r>
          </w:p>
        </w:tc>
      </w:tr>
      <w:tr w:rsidR="005E4C7B">
        <w:tc>
          <w:tcPr>
            <w:tcW w:w="555" w:type="dxa"/>
            <w:shd w:val="clear" w:color="auto" w:fill="auto"/>
            <w:vAlign w:val="center"/>
          </w:tcPr>
          <w:p w:rsidR="005E4C7B" w:rsidRDefault="003A4573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5E4C7B" w:rsidRDefault="003A4573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5E4C7B" w:rsidRDefault="003A4573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095" w:type="dxa"/>
            <w:shd w:val="clear" w:color="auto" w:fill="auto"/>
            <w:vAlign w:val="center"/>
          </w:tcPr>
          <w:p w:rsidR="005E4C7B" w:rsidRDefault="003A4573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Treść uwagi</w:t>
            </w:r>
          </w:p>
        </w:tc>
        <w:tc>
          <w:tcPr>
            <w:tcW w:w="2670" w:type="dxa"/>
            <w:shd w:val="clear" w:color="auto" w:fill="auto"/>
            <w:vAlign w:val="center"/>
          </w:tcPr>
          <w:p w:rsidR="005E4C7B" w:rsidRDefault="003A4573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4830" w:type="dxa"/>
            <w:vAlign w:val="center"/>
          </w:tcPr>
          <w:p w:rsidR="005E4C7B" w:rsidRDefault="003A4573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Odniesienie do uwagi</w:t>
            </w:r>
          </w:p>
        </w:tc>
      </w:tr>
      <w:tr w:rsidR="005E4C7B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C7B" w:rsidRDefault="005E4C7B">
            <w:pPr>
              <w:numPr>
                <w:ilvl w:val="0"/>
                <w:numId w:val="3"/>
              </w:numPr>
              <w:spacing w:before="120" w:after="12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C7B" w:rsidRDefault="003A4573">
            <w:pPr>
              <w:spacing w:before="60" w:after="6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b/>
                <w:sz w:val="22"/>
                <w:szCs w:val="22"/>
              </w:rPr>
              <w:t>MRiT</w:t>
            </w:r>
            <w:proofErr w:type="spellEnd"/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C7B" w:rsidRDefault="003A4573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6. Otoczenie prawne</w:t>
            </w:r>
          </w:p>
        </w:tc>
        <w:tc>
          <w:tcPr>
            <w:tcW w:w="40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C7B" w:rsidRDefault="003A4573">
            <w:pPr>
              <w:spacing w:line="259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Projektowany system powinien uwzględniać zasady przetwarzania danych osobowych, tym bardziej że lista przepływów/wymiany danych wskazuje na liczną kategorię przetwarzanych danych, dodatkowo funkcjonalność e-usługi musi umożliwiać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anonimizację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danych indywi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dualnych. Dodatkowo, w kontekście bezpieczeństwa przetwarzania danych osobowych, uzupełnienie otoczenia prawnego o RODO wydaje się bardziej zasadne niż uwzględnienie w tym miejscu ustawy o ochronie danych osobowych, która reguluje zupełnie inny obszar prze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dmiotowy w ochronie danych osobowych.</w:t>
            </w:r>
          </w:p>
        </w:tc>
        <w:tc>
          <w:tcPr>
            <w:tcW w:w="26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C7B" w:rsidRDefault="003A4573">
            <w:pPr>
              <w:spacing w:line="259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W otoczeniu prawnym proponuje się uwzględnić przepisy Rozporządzenia Parlamentu Europejskiego i Rady (UE) 2016/679 z dnia 27 kwietnia 2016 r. (ogólne rozporządzenie o ochronie danych), dalej RODO.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C7B" w:rsidRDefault="003A4573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Dodano RODO do otoczenia prawnego projektu.</w:t>
            </w:r>
          </w:p>
          <w:p w:rsidR="005E4C7B" w:rsidRDefault="005E4C7B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5E4C7B" w:rsidRDefault="003A4573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Ponadto chcemy zwrócić uwagę, że system monitoring karier absolwentów szkół ponadpodstawowych już działa w oparciu o następujące przepisy: </w:t>
            </w:r>
          </w:p>
          <w:p w:rsidR="005E4C7B" w:rsidRDefault="003A4573">
            <w:pPr>
              <w:numPr>
                <w:ilvl w:val="0"/>
                <w:numId w:val="5"/>
              </w:num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art. 6 ust. 1 lit. c RODO,</w:t>
            </w:r>
          </w:p>
          <w:p w:rsidR="005E4C7B" w:rsidRDefault="003A4573">
            <w:pPr>
              <w:numPr>
                <w:ilvl w:val="0"/>
                <w:numId w:val="5"/>
              </w:num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art. 26b. Ustawy z 14 grudnia 2016 roku Praw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o Oświatowe z późn.zm.,</w:t>
            </w:r>
          </w:p>
          <w:p w:rsidR="005E4C7B" w:rsidRDefault="003A4573">
            <w:pPr>
              <w:numPr>
                <w:ilvl w:val="0"/>
                <w:numId w:val="5"/>
              </w:num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w zakresie wykorzystania danych z Systemu Informacji Oświatowej: Ustawa z dnia 15 kwietnia 2011 r. o systemie informacji oświatowej (Dz.U. z 2019 r. poz. 1942 oraz z 2020 r. poz. 695),</w:t>
            </w:r>
          </w:p>
          <w:p w:rsidR="005E4C7B" w:rsidRDefault="003A4573">
            <w:pPr>
              <w:numPr>
                <w:ilvl w:val="0"/>
                <w:numId w:val="5"/>
              </w:num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w zakresie wykorzystania danych ZUS: Ustawa z d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nia 13 października 1998 r. o systemie ubezpieczeń społecznych (Dz.U. z 2020 r. poz. 266, 321, 568, 695 i 875),</w:t>
            </w:r>
          </w:p>
          <w:p w:rsidR="005E4C7B" w:rsidRDefault="003A4573">
            <w:pPr>
              <w:numPr>
                <w:ilvl w:val="0"/>
                <w:numId w:val="5"/>
              </w:num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w zakresie wykorzystania danych POLON: Prawo o szkolnictwie wyższym i nauce (Dz.U.2018.1668 z późniejszymi zmianami).</w:t>
            </w:r>
          </w:p>
          <w:p w:rsidR="005E4C7B" w:rsidRDefault="003A4573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Ww. regulacje zawierają ro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związania  gwarantujące ochronę danych osobowych osób objętych monitoringiem.</w:t>
            </w:r>
          </w:p>
          <w:p w:rsidR="005E4C7B" w:rsidRDefault="005E4C7B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5E4C7B" w:rsidRDefault="003A4573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Projekt informatyczny </w:t>
            </w:r>
            <w:r>
              <w:rPr>
                <w:rFonts w:ascii="Calibri" w:eastAsia="Calibri" w:hAnsi="Calibri" w:cs="Calibri"/>
                <w:i/>
                <w:sz w:val="22"/>
                <w:szCs w:val="22"/>
              </w:rPr>
              <w:t>Rozwój systemu monitoringu karier absolwentów i absolwentek szkół ponadpodstawowych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ma na celu dalszy rozwój </w:t>
            </w:r>
            <w:r>
              <w:rPr>
                <w:rFonts w:ascii="Calibri" w:eastAsia="Calibri" w:hAnsi="Calibri" w:cs="Calibri"/>
                <w:sz w:val="22"/>
                <w:szCs w:val="22"/>
              </w:rPr>
              <w:lastRenderedPageBreak/>
              <w:t>systemu monitoringu, z czym wiązać się będzie rozszerzenie zakresu przetwarzanych danych. Oczywiście w związku z tym, zwłaszcza że zakłada się również włączenie do przetwarzania danych wrażliwych (specjalne potrzeby edukacyjne), k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westia zapewnienia odpowiedniego poziomu ochrony danych osobowych będzie pieczołowicie uwzględniona w opracowywanych w ramach projektu propozycjach zmian prawnych.</w:t>
            </w:r>
          </w:p>
        </w:tc>
      </w:tr>
    </w:tbl>
    <w:p w:rsidR="005E4C7B" w:rsidRDefault="005E4C7B">
      <w:bookmarkStart w:id="0" w:name="_GoBack"/>
      <w:bookmarkEnd w:id="0"/>
    </w:p>
    <w:sectPr w:rsidR="005E4C7B">
      <w:footerReference w:type="default" r:id="rId8"/>
      <w:pgSz w:w="16838" w:h="11906" w:orient="landscape"/>
      <w:pgMar w:top="720" w:right="720" w:bottom="720" w:left="720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4573" w:rsidRDefault="003A4573">
      <w:r>
        <w:separator/>
      </w:r>
    </w:p>
  </w:endnote>
  <w:endnote w:type="continuationSeparator" w:id="0">
    <w:p w:rsidR="003A4573" w:rsidRDefault="003A4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C7B" w:rsidRDefault="003A457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rFonts w:ascii="Calibri" w:eastAsia="Calibri" w:hAnsi="Calibri" w:cs="Calibri"/>
        <w:color w:val="000000"/>
        <w:sz w:val="20"/>
        <w:szCs w:val="20"/>
      </w:rPr>
      <w:t xml:space="preserve">Strona </w:t>
    </w:r>
    <w:r>
      <w:rPr>
        <w:rFonts w:ascii="Calibri" w:eastAsia="Calibri" w:hAnsi="Calibri" w:cs="Calibri"/>
        <w:b/>
        <w:color w:val="000000"/>
        <w:sz w:val="20"/>
        <w:szCs w:val="20"/>
      </w:rPr>
      <w:fldChar w:fldCharType="begin"/>
    </w:r>
    <w:r>
      <w:rPr>
        <w:rFonts w:ascii="Calibri" w:eastAsia="Calibri" w:hAnsi="Calibri" w:cs="Calibri"/>
        <w:b/>
        <w:color w:val="000000"/>
        <w:sz w:val="20"/>
        <w:szCs w:val="20"/>
      </w:rPr>
      <w:instrText>PAGE</w:instrText>
    </w:r>
    <w:r w:rsidR="00081D99">
      <w:rPr>
        <w:rFonts w:ascii="Calibri" w:eastAsia="Calibri" w:hAnsi="Calibri" w:cs="Calibri"/>
        <w:b/>
        <w:color w:val="000000"/>
        <w:sz w:val="20"/>
        <w:szCs w:val="20"/>
      </w:rPr>
      <w:fldChar w:fldCharType="separate"/>
    </w:r>
    <w:r w:rsidR="00582805">
      <w:rPr>
        <w:rFonts w:ascii="Calibri" w:eastAsia="Calibri" w:hAnsi="Calibri" w:cs="Calibri"/>
        <w:b/>
        <w:noProof/>
        <w:color w:val="000000"/>
        <w:sz w:val="20"/>
        <w:szCs w:val="20"/>
      </w:rPr>
      <w:t>2</w:t>
    </w:r>
    <w:r>
      <w:rPr>
        <w:rFonts w:ascii="Calibri" w:eastAsia="Calibri" w:hAnsi="Calibri" w:cs="Calibri"/>
        <w:b/>
        <w:color w:val="000000"/>
        <w:sz w:val="20"/>
        <w:szCs w:val="20"/>
      </w:rPr>
      <w:fldChar w:fldCharType="end"/>
    </w:r>
    <w:r>
      <w:rPr>
        <w:rFonts w:ascii="Calibri" w:eastAsia="Calibri" w:hAnsi="Calibri" w:cs="Calibri"/>
        <w:color w:val="000000"/>
        <w:sz w:val="20"/>
        <w:szCs w:val="20"/>
      </w:rPr>
      <w:t xml:space="preserve"> z </w:t>
    </w:r>
    <w:r>
      <w:rPr>
        <w:rFonts w:ascii="Calibri" w:eastAsia="Calibri" w:hAnsi="Calibri" w:cs="Calibri"/>
        <w:b/>
        <w:color w:val="000000"/>
        <w:sz w:val="20"/>
        <w:szCs w:val="20"/>
      </w:rPr>
      <w:fldChar w:fldCharType="begin"/>
    </w:r>
    <w:r>
      <w:rPr>
        <w:rFonts w:ascii="Calibri" w:eastAsia="Calibri" w:hAnsi="Calibri" w:cs="Calibri"/>
        <w:b/>
        <w:color w:val="000000"/>
        <w:sz w:val="20"/>
        <w:szCs w:val="20"/>
      </w:rPr>
      <w:instrText>NUMPAGES</w:instrText>
    </w:r>
    <w:r w:rsidR="00081D99">
      <w:rPr>
        <w:rFonts w:ascii="Calibri" w:eastAsia="Calibri" w:hAnsi="Calibri" w:cs="Calibri"/>
        <w:b/>
        <w:color w:val="000000"/>
        <w:sz w:val="20"/>
        <w:szCs w:val="20"/>
      </w:rPr>
      <w:fldChar w:fldCharType="separate"/>
    </w:r>
    <w:r w:rsidR="00582805">
      <w:rPr>
        <w:rFonts w:ascii="Calibri" w:eastAsia="Calibri" w:hAnsi="Calibri" w:cs="Calibri"/>
        <w:b/>
        <w:noProof/>
        <w:color w:val="000000"/>
        <w:sz w:val="20"/>
        <w:szCs w:val="20"/>
      </w:rPr>
      <w:t>2</w:t>
    </w:r>
    <w:r>
      <w:rPr>
        <w:rFonts w:ascii="Calibri" w:eastAsia="Calibri" w:hAnsi="Calibri" w:cs="Calibri"/>
        <w:b/>
        <w:color w:val="000000"/>
        <w:sz w:val="20"/>
        <w:szCs w:val="20"/>
      </w:rPr>
      <w:fldChar w:fldCharType="end"/>
    </w:r>
  </w:p>
  <w:p w:rsidR="005E4C7B" w:rsidRDefault="005E4C7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4573" w:rsidRDefault="003A4573">
      <w:r>
        <w:separator/>
      </w:r>
    </w:p>
  </w:footnote>
  <w:footnote w:type="continuationSeparator" w:id="0">
    <w:p w:rsidR="003A4573" w:rsidRDefault="003A45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31EF3"/>
    <w:multiLevelType w:val="multilevel"/>
    <w:tmpl w:val="218698E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F211AC0"/>
    <w:multiLevelType w:val="multilevel"/>
    <w:tmpl w:val="C516804C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120E5EA4"/>
    <w:multiLevelType w:val="multilevel"/>
    <w:tmpl w:val="00F4E42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12591CAD"/>
    <w:multiLevelType w:val="multilevel"/>
    <w:tmpl w:val="AEB4CD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DAD626F"/>
    <w:multiLevelType w:val="multilevel"/>
    <w:tmpl w:val="F3F21D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C7B"/>
    <w:rsid w:val="00081D99"/>
    <w:rsid w:val="003A4573"/>
    <w:rsid w:val="00582805"/>
    <w:rsid w:val="005E4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D37DD4-B9A6-41C4-B3AE-AFDBC9C5C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ist Paragraph_0,Podsis rysunku,Lista XXX,Normalny PDST,HŁ_Bullet1"/>
    <w:basedOn w:val="Normalny"/>
    <w:link w:val="AkapitzlistZnak"/>
    <w:uiPriority w:val="34"/>
    <w:qFormat/>
    <w:rsid w:val="00D36466"/>
    <w:pPr>
      <w:ind w:left="720"/>
      <w:contextualSpacing/>
    </w:pPr>
  </w:style>
  <w:style w:type="paragraph" w:styleId="Nagwek">
    <w:name w:val="header"/>
    <w:basedOn w:val="Normalny"/>
    <w:link w:val="NagwekZnak"/>
    <w:rsid w:val="001000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0006D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1000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006D"/>
    <w:rPr>
      <w:sz w:val="24"/>
      <w:szCs w:val="24"/>
    </w:rPr>
  </w:style>
  <w:style w:type="character" w:customStyle="1" w:styleId="AkapitzlistZnak">
    <w:name w:val="Akapit z listą Znak"/>
    <w:aliases w:val="List Paragraph_0 Znak,Podsis rysunku Znak,Lista XXX Znak,Normalny PDST Znak,HŁ_Bullet1 Znak"/>
    <w:link w:val="Akapitzlist"/>
    <w:uiPriority w:val="34"/>
    <w:qFormat/>
    <w:locked/>
    <w:rsid w:val="00B77D65"/>
    <w:rPr>
      <w:sz w:val="24"/>
      <w:szCs w:val="24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Cd7Axufulvr/sQ3mq75nctbZRZg==">CgMxLjA4AHIhMWlMYmF1clMtR1QtN3EySkpiX2t6UjJLOHQzXzNIbFpL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357</Words>
  <Characters>2146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BAF</dc:creator>
  <cp:lastModifiedBy>MK</cp:lastModifiedBy>
  <cp:revision>3</cp:revision>
  <dcterms:created xsi:type="dcterms:W3CDTF">2024-01-31T11:34:00Z</dcterms:created>
  <dcterms:modified xsi:type="dcterms:W3CDTF">2024-01-31T11:34:00Z</dcterms:modified>
</cp:coreProperties>
</file>