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231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8159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81596" w:rsidRDefault="00C8159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81596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DOOŚ-WDŚZIL.420.3.2021.KM/MKR.2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57259" w:rsidRDefault="00C81596" w:rsidP="004572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8159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2019 r. poz. 2325, ze zm.),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skargi Magdaleny Michalak i Tomasza Michalaka z dnia 30 grudnia 2021 r. na decyzję Generalnego Dyrektora Ochrony Środowiska z dnia 16 listopada 2021 r., znak: DOOŚ-WDŚZIL.420.3.2021.KM.24, uchylającą w części i w tym zakresie orzekającą co do istoty sprawy lub umarzającą postępowanie organu I instancji, a w pozostałej części utrzymującą w mocy decyzję Regionalnego Dyrektora Ochrony Środowiska w Poznaniu z dnia 23 grudnia 2020 r., znak WOO-II.420.219.2018.ZP.40 o środowiskowych uwarunkowaniach dla przedsięwzięcia polegającego na budowie trasy tramwajowej wraz uspokojeniem ruchu samo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chodowego w ul. Ratajczaka w Poz</w:t>
      </w:r>
      <w:r w:rsidRPr="00C81596">
        <w:rPr>
          <w:rFonts w:asciiTheme="minorHAnsi" w:hAnsiTheme="minorHAnsi" w:cstheme="minorHAnsi"/>
          <w:bCs/>
          <w:color w:val="000000"/>
          <w:sz w:val="24"/>
          <w:szCs w:val="24"/>
        </w:rPr>
        <w:t>naniu, według wariantu I. 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81596" w:rsidRPr="00C81596" w:rsidRDefault="00C81596" w:rsidP="00C815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81596">
        <w:rPr>
          <w:rFonts w:asciiTheme="minorHAnsi" w:hAnsiTheme="minorHAnsi" w:cstheme="minorHAnsi"/>
          <w:bCs/>
        </w:rPr>
        <w:t>Art. 33 § la Ppsa Jeżeli p</w:t>
      </w:r>
      <w:r>
        <w:rPr>
          <w:rFonts w:asciiTheme="minorHAnsi" w:hAnsiTheme="minorHAnsi" w:cstheme="minorHAnsi"/>
          <w:bCs/>
        </w:rPr>
        <w:t>rzepis szczególny przewiduje, że</w:t>
      </w:r>
      <w:r w:rsidRPr="00C81596">
        <w:rPr>
          <w:rFonts w:asciiTheme="minorHAnsi" w:hAnsiTheme="minorHAnsi" w:cstheme="minorHAnsi"/>
          <w:bCs/>
        </w:rPr>
        <w:t xml:space="preserve"> strony postępowania </w:t>
      </w:r>
      <w:r>
        <w:rPr>
          <w:rFonts w:asciiTheme="minorHAnsi" w:hAnsiTheme="minorHAnsi" w:cstheme="minorHAnsi"/>
          <w:bCs/>
        </w:rPr>
        <w:t>przed organem administracji publiczne</w:t>
      </w:r>
      <w:r w:rsidRPr="00C81596">
        <w:rPr>
          <w:rFonts w:asciiTheme="minorHAnsi" w:hAnsiTheme="minorHAnsi" w:cstheme="minorHAnsi"/>
          <w:bCs/>
        </w:rPr>
        <w:t>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C81596" w:rsidRPr="00C81596" w:rsidRDefault="00C81596" w:rsidP="00C815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81596">
        <w:rPr>
          <w:rFonts w:asciiTheme="minorHAnsi" w:hAnsiTheme="minorHAnsi" w:cstheme="minorHAnsi"/>
          <w:bCs/>
        </w:rPr>
        <w:lastRenderedPageBreak/>
        <w:t>Art. 54 § 4 Ppsa W przypadku, o którym mowa w art. 33 § la,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985B8F" w:rsidRPr="00B35A7F" w:rsidRDefault="00C81596" w:rsidP="00C815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8159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E9" w:rsidRDefault="004D7EE9">
      <w:pPr>
        <w:spacing w:after="0" w:line="240" w:lineRule="auto"/>
      </w:pPr>
      <w:r>
        <w:separator/>
      </w:r>
    </w:p>
  </w:endnote>
  <w:endnote w:type="continuationSeparator" w:id="0">
    <w:p w:rsidR="004D7EE9" w:rsidRDefault="004D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8159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D7EE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E9" w:rsidRDefault="004D7EE9">
      <w:pPr>
        <w:spacing w:after="0" w:line="240" w:lineRule="auto"/>
      </w:pPr>
      <w:r>
        <w:separator/>
      </w:r>
    </w:p>
  </w:footnote>
  <w:footnote w:type="continuationSeparator" w:id="0">
    <w:p w:rsidR="004D7EE9" w:rsidRDefault="004D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D7EE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D7EE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D7EE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D7EE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81596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60BD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F943-4A99-4F09-BD2C-D964DAE5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2023-07-06T07:52:00Z</dcterms:created>
  <dcterms:modified xsi:type="dcterms:W3CDTF">2023-07-06T07:52:00Z</dcterms:modified>
</cp:coreProperties>
</file>