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B2" w:rsidRDefault="003A06B2" w:rsidP="009C3BDF">
      <w:pPr>
        <w:spacing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A06B2">
        <w:rPr>
          <w:rFonts w:ascii="Arial" w:hAnsi="Arial" w:cs="Arial"/>
          <w:noProof/>
          <w:lang w:eastAsia="pl-PL"/>
        </w:rPr>
        <w:drawing>
          <wp:inline distT="0" distB="0" distL="0" distR="0" wp14:anchorId="41792AA4" wp14:editId="6065BE40">
            <wp:extent cx="1760220" cy="482987"/>
            <wp:effectExtent l="0" t="0" r="0" b="0"/>
            <wp:docPr id="7" name="Obraz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F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905" cy="50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6B2" w:rsidRPr="003A06B2" w:rsidRDefault="003A06B2" w:rsidP="009C3BDF">
      <w:pPr>
        <w:spacing w:line="240" w:lineRule="auto"/>
        <w:rPr>
          <w:rFonts w:ascii="Arial" w:hAnsi="Arial" w:cs="Arial"/>
          <w:sz w:val="24"/>
          <w:szCs w:val="24"/>
        </w:rPr>
      </w:pPr>
    </w:p>
    <w:p w:rsidR="003A06B2" w:rsidRPr="003A06B2" w:rsidRDefault="003A06B2" w:rsidP="009C3BDF">
      <w:pPr>
        <w:tabs>
          <w:tab w:val="left" w:pos="6022"/>
          <w:tab w:val="right" w:pos="9072"/>
        </w:tabs>
        <w:spacing w:line="240" w:lineRule="auto"/>
        <w:rPr>
          <w:rFonts w:ascii="Arial" w:hAnsi="Arial" w:cs="Arial"/>
        </w:rPr>
      </w:pPr>
      <w:r w:rsidRPr="003A06B2">
        <w:rPr>
          <w:rFonts w:ascii="Arial" w:hAnsi="Arial" w:cs="Arial"/>
        </w:rPr>
        <w:tab/>
      </w:r>
      <w:r w:rsidRPr="003A06B2">
        <w:rPr>
          <w:rFonts w:ascii="Arial" w:hAnsi="Arial" w:cs="Arial"/>
        </w:rPr>
        <w:tab/>
        <w:t>Bruksela , 9 listopada 2021</w:t>
      </w:r>
    </w:p>
    <w:p w:rsidR="003A06B2" w:rsidRDefault="003A06B2" w:rsidP="009C3BD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3A06B2" w:rsidRPr="003A06B2" w:rsidRDefault="003A06B2" w:rsidP="009C3BD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792517" w:rsidRPr="003A06B2" w:rsidRDefault="00792517" w:rsidP="0023647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3A06B2">
        <w:rPr>
          <w:rFonts w:ascii="Arial" w:hAnsi="Arial" w:cs="Arial"/>
          <w:b/>
          <w:sz w:val="26"/>
          <w:szCs w:val="26"/>
        </w:rPr>
        <w:t>Wspólne oświadczenie</w:t>
      </w:r>
      <w:r w:rsidR="00115CD5">
        <w:rPr>
          <w:rFonts w:ascii="Arial" w:hAnsi="Arial" w:cs="Arial"/>
          <w:b/>
          <w:sz w:val="26"/>
          <w:szCs w:val="26"/>
        </w:rPr>
        <w:br/>
      </w:r>
      <w:r w:rsidRPr="003A06B2">
        <w:rPr>
          <w:rFonts w:ascii="Arial" w:hAnsi="Arial" w:cs="Arial"/>
          <w:b/>
          <w:sz w:val="26"/>
          <w:szCs w:val="26"/>
        </w:rPr>
        <w:t xml:space="preserve">Belgii, Finlandii, Francji, </w:t>
      </w:r>
      <w:r w:rsidR="00BF0EE3" w:rsidRPr="003A06B2">
        <w:rPr>
          <w:rFonts w:ascii="Arial" w:hAnsi="Arial" w:cs="Arial"/>
          <w:b/>
          <w:sz w:val="26"/>
          <w:szCs w:val="26"/>
        </w:rPr>
        <w:t>Hiszpanii, Holandii, Niemiec</w:t>
      </w:r>
      <w:r w:rsidRPr="003A06B2">
        <w:rPr>
          <w:rFonts w:ascii="Arial" w:hAnsi="Arial" w:cs="Arial"/>
          <w:b/>
          <w:sz w:val="26"/>
          <w:szCs w:val="26"/>
        </w:rPr>
        <w:t xml:space="preserve"> </w:t>
      </w:r>
      <w:r w:rsidR="00D43268" w:rsidRPr="003A06B2">
        <w:rPr>
          <w:rFonts w:ascii="Arial" w:hAnsi="Arial" w:cs="Arial"/>
          <w:b/>
          <w:sz w:val="26"/>
          <w:szCs w:val="26"/>
        </w:rPr>
        <w:t>oraz</w:t>
      </w:r>
      <w:r w:rsidRPr="003A06B2">
        <w:rPr>
          <w:rFonts w:ascii="Arial" w:hAnsi="Arial" w:cs="Arial"/>
          <w:b/>
          <w:sz w:val="26"/>
          <w:szCs w:val="26"/>
        </w:rPr>
        <w:t xml:space="preserve"> Polski</w:t>
      </w:r>
      <w:r w:rsidR="00115CD5">
        <w:rPr>
          <w:rFonts w:ascii="Arial" w:hAnsi="Arial" w:cs="Arial"/>
          <w:b/>
          <w:sz w:val="26"/>
          <w:szCs w:val="26"/>
        </w:rPr>
        <w:br/>
        <w:t>w sprawie Europejskiej Inicjatywy Płatności (EPI)</w:t>
      </w:r>
    </w:p>
    <w:p w:rsidR="00792517" w:rsidRPr="003A06B2" w:rsidRDefault="00792517" w:rsidP="009C3BDF">
      <w:pPr>
        <w:spacing w:line="240" w:lineRule="auto"/>
        <w:rPr>
          <w:rFonts w:ascii="Arial" w:hAnsi="Arial" w:cs="Arial"/>
          <w:sz w:val="24"/>
          <w:szCs w:val="24"/>
        </w:rPr>
      </w:pPr>
    </w:p>
    <w:p w:rsidR="00FA5ED8" w:rsidRPr="003A06B2" w:rsidRDefault="00792517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 xml:space="preserve">Jesteśmy w pełni świadomi oczekiwań naszych obywateli w zakresie bezpiecznych, wydajnych, dostępnych oraz </w:t>
      </w:r>
      <w:r w:rsidR="006122E9" w:rsidRPr="003A06B2">
        <w:rPr>
          <w:rFonts w:ascii="Arial" w:hAnsi="Arial" w:cs="Arial"/>
          <w:b/>
          <w:sz w:val="24"/>
          <w:szCs w:val="24"/>
        </w:rPr>
        <w:t>osiągalnych finansowo</w:t>
      </w:r>
      <w:r w:rsidRPr="003A06B2">
        <w:rPr>
          <w:rFonts w:ascii="Arial" w:hAnsi="Arial" w:cs="Arial"/>
          <w:b/>
          <w:sz w:val="24"/>
          <w:szCs w:val="24"/>
        </w:rPr>
        <w:t xml:space="preserve"> usług płatniczych. </w:t>
      </w:r>
      <w:r w:rsidR="00872BF5" w:rsidRPr="003A06B2">
        <w:rPr>
          <w:rFonts w:ascii="Arial" w:hAnsi="Arial" w:cs="Arial"/>
          <w:sz w:val="24"/>
          <w:szCs w:val="24"/>
        </w:rPr>
        <w:t>Zgodnie z ogólną tendencją</w:t>
      </w:r>
      <w:r w:rsidR="00916225" w:rsidRPr="003A06B2">
        <w:rPr>
          <w:rFonts w:ascii="Arial" w:hAnsi="Arial" w:cs="Arial"/>
          <w:sz w:val="24"/>
          <w:szCs w:val="24"/>
        </w:rPr>
        <w:t>, któr</w:t>
      </w:r>
      <w:r w:rsidR="00872BF5" w:rsidRPr="003A06B2">
        <w:rPr>
          <w:rFonts w:ascii="Arial" w:hAnsi="Arial" w:cs="Arial"/>
          <w:sz w:val="24"/>
          <w:szCs w:val="24"/>
        </w:rPr>
        <w:t>ą</w:t>
      </w:r>
      <w:r w:rsidR="00916225" w:rsidRPr="003A06B2">
        <w:rPr>
          <w:rFonts w:ascii="Arial" w:hAnsi="Arial" w:cs="Arial"/>
          <w:sz w:val="24"/>
          <w:szCs w:val="24"/>
        </w:rPr>
        <w:t xml:space="preserve"> nasze gospodarki obecnie doświadczają, rozwiązania płatnicze stają się coraz bardziej </w:t>
      </w:r>
      <w:r w:rsidR="00872BF5" w:rsidRPr="003A06B2">
        <w:rPr>
          <w:rFonts w:ascii="Arial" w:hAnsi="Arial" w:cs="Arial"/>
          <w:sz w:val="24"/>
          <w:szCs w:val="24"/>
        </w:rPr>
        <w:t>zdigitalizowane</w:t>
      </w:r>
      <w:r w:rsidR="00916225" w:rsidRPr="003A06B2">
        <w:rPr>
          <w:rFonts w:ascii="Arial" w:hAnsi="Arial" w:cs="Arial"/>
          <w:sz w:val="24"/>
          <w:szCs w:val="24"/>
        </w:rPr>
        <w:t>, a nowe usługi oparte na płatnościach natychmiastowych zosta</w:t>
      </w:r>
      <w:r w:rsidR="0056615C" w:rsidRPr="003A06B2">
        <w:rPr>
          <w:rFonts w:ascii="Arial" w:hAnsi="Arial" w:cs="Arial"/>
          <w:sz w:val="24"/>
          <w:szCs w:val="24"/>
        </w:rPr>
        <w:t>ją</w:t>
      </w:r>
      <w:r w:rsidR="00916225" w:rsidRPr="003A06B2">
        <w:rPr>
          <w:rFonts w:ascii="Arial" w:hAnsi="Arial" w:cs="Arial"/>
          <w:sz w:val="24"/>
          <w:szCs w:val="24"/>
        </w:rPr>
        <w:t xml:space="preserve"> z powodzeniem wprowadz</w:t>
      </w:r>
      <w:r w:rsidR="0056615C" w:rsidRPr="003A06B2">
        <w:rPr>
          <w:rFonts w:ascii="Arial" w:hAnsi="Arial" w:cs="Arial"/>
          <w:sz w:val="24"/>
          <w:szCs w:val="24"/>
        </w:rPr>
        <w:t>a</w:t>
      </w:r>
      <w:r w:rsidR="00916225" w:rsidRPr="003A06B2">
        <w:rPr>
          <w:rFonts w:ascii="Arial" w:hAnsi="Arial" w:cs="Arial"/>
          <w:sz w:val="24"/>
          <w:szCs w:val="24"/>
        </w:rPr>
        <w:t xml:space="preserve">ne w wielu krajach. Obywatele oczekują szybszych, bezpieczniejszych oraz wydajniejszych rozwiązań płatniczych oraz większego wyboru dostawców i rozwiązań. </w:t>
      </w:r>
    </w:p>
    <w:p w:rsidR="0056615C" w:rsidRPr="003A06B2" w:rsidRDefault="0056615C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6615C" w:rsidRPr="003A06B2" w:rsidRDefault="00DC6BC4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>Podzielamy</w:t>
      </w:r>
      <w:r w:rsidR="00BC43D0" w:rsidRPr="003A06B2">
        <w:rPr>
          <w:rFonts w:ascii="Arial" w:hAnsi="Arial" w:cs="Arial"/>
          <w:b/>
          <w:sz w:val="24"/>
          <w:szCs w:val="24"/>
        </w:rPr>
        <w:t xml:space="preserve"> jeden cel</w:t>
      </w:r>
      <w:r w:rsidR="00290734" w:rsidRPr="003A06B2">
        <w:rPr>
          <w:rFonts w:ascii="Arial" w:hAnsi="Arial" w:cs="Arial"/>
          <w:b/>
          <w:sz w:val="24"/>
          <w:szCs w:val="24"/>
        </w:rPr>
        <w:t>,</w:t>
      </w:r>
      <w:r w:rsidR="00BC43D0" w:rsidRPr="003A06B2">
        <w:rPr>
          <w:rFonts w:ascii="Arial" w:hAnsi="Arial" w:cs="Arial"/>
          <w:b/>
          <w:sz w:val="24"/>
          <w:szCs w:val="24"/>
        </w:rPr>
        <w:t xml:space="preserve"> jakim jest sprawny wewnętrzny rynek płatności w UE i od dawna angażujemy się w zapewnienie sprawnych, dobrze funkcjonujących rozwiązań płatniczych. </w:t>
      </w:r>
      <w:r w:rsidR="000351B6" w:rsidRPr="003A06B2">
        <w:rPr>
          <w:rFonts w:ascii="Arial" w:hAnsi="Arial" w:cs="Arial"/>
          <w:sz w:val="24"/>
          <w:szCs w:val="24"/>
        </w:rPr>
        <w:t xml:space="preserve">Wiele zostało </w:t>
      </w:r>
      <w:r w:rsidR="008865C6" w:rsidRPr="003A06B2">
        <w:rPr>
          <w:rFonts w:ascii="Arial" w:hAnsi="Arial" w:cs="Arial"/>
          <w:sz w:val="24"/>
          <w:szCs w:val="24"/>
        </w:rPr>
        <w:t xml:space="preserve">już </w:t>
      </w:r>
      <w:r w:rsidR="000351B6" w:rsidRPr="003A06B2">
        <w:rPr>
          <w:rFonts w:ascii="Arial" w:hAnsi="Arial" w:cs="Arial"/>
          <w:sz w:val="24"/>
          <w:szCs w:val="24"/>
        </w:rPr>
        <w:t xml:space="preserve">osiągnięte </w:t>
      </w:r>
      <w:r w:rsidR="0054134D" w:rsidRPr="003A06B2">
        <w:rPr>
          <w:rFonts w:ascii="Arial" w:hAnsi="Arial" w:cs="Arial"/>
          <w:sz w:val="24"/>
          <w:szCs w:val="24"/>
        </w:rPr>
        <w:t xml:space="preserve">od </w:t>
      </w:r>
      <w:r w:rsidR="008865C6" w:rsidRPr="003A06B2">
        <w:rPr>
          <w:rFonts w:ascii="Arial" w:hAnsi="Arial" w:cs="Arial"/>
          <w:sz w:val="24"/>
          <w:szCs w:val="24"/>
        </w:rPr>
        <w:t xml:space="preserve">momentu </w:t>
      </w:r>
      <w:r w:rsidR="0054134D" w:rsidRPr="003A06B2">
        <w:rPr>
          <w:rFonts w:ascii="Arial" w:hAnsi="Arial" w:cs="Arial"/>
          <w:sz w:val="24"/>
          <w:szCs w:val="24"/>
        </w:rPr>
        <w:t>wprowadzenia waluty e</w:t>
      </w:r>
      <w:r w:rsidR="000351B6" w:rsidRPr="003A06B2">
        <w:rPr>
          <w:rFonts w:ascii="Arial" w:hAnsi="Arial" w:cs="Arial"/>
          <w:sz w:val="24"/>
          <w:szCs w:val="24"/>
        </w:rPr>
        <w:t>uro, w szczególności dzięki stworzeniu Jednolitego Obszaru Płatności w Euro (SEPA) w 2012 roku oraz harmonizacji prawodawstwa unijnego w zakresie płatności detalicznych.</w:t>
      </w:r>
    </w:p>
    <w:p w:rsidR="007243F1" w:rsidRPr="003A06B2" w:rsidRDefault="007243F1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0351B6" w:rsidRPr="003A06B2" w:rsidRDefault="003744EF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 xml:space="preserve">Jednakże, usługi płatnicze w UE </w:t>
      </w:r>
      <w:r w:rsidR="00290734" w:rsidRPr="003A06B2">
        <w:rPr>
          <w:rFonts w:ascii="Arial" w:hAnsi="Arial" w:cs="Arial"/>
          <w:b/>
          <w:sz w:val="24"/>
          <w:szCs w:val="24"/>
        </w:rPr>
        <w:t xml:space="preserve">ciągle </w:t>
      </w:r>
      <w:r w:rsidR="001662D5" w:rsidRPr="003A06B2">
        <w:rPr>
          <w:rFonts w:ascii="Arial" w:hAnsi="Arial" w:cs="Arial"/>
          <w:b/>
          <w:sz w:val="24"/>
          <w:szCs w:val="24"/>
        </w:rPr>
        <w:t>pozostają rozdrobnione.</w:t>
      </w:r>
      <w:r w:rsidRPr="003A06B2">
        <w:rPr>
          <w:rFonts w:ascii="Arial" w:hAnsi="Arial" w:cs="Arial"/>
          <w:b/>
          <w:sz w:val="24"/>
          <w:szCs w:val="24"/>
        </w:rPr>
        <w:t xml:space="preserve"> </w:t>
      </w:r>
      <w:r w:rsidRPr="003A06B2">
        <w:rPr>
          <w:rFonts w:ascii="Arial" w:hAnsi="Arial" w:cs="Arial"/>
          <w:sz w:val="24"/>
          <w:szCs w:val="24"/>
        </w:rPr>
        <w:t xml:space="preserve">Krajowe rozwiązania płatnicze oparte na kartach i poleceniach przelewu pozostają obecnie, </w:t>
      </w:r>
      <w:r w:rsidR="00290734" w:rsidRPr="003A06B2">
        <w:rPr>
          <w:rFonts w:ascii="Arial" w:hAnsi="Arial" w:cs="Arial"/>
          <w:sz w:val="24"/>
          <w:szCs w:val="24"/>
        </w:rPr>
        <w:t>w</w:t>
      </w:r>
      <w:r w:rsidRPr="003A06B2">
        <w:rPr>
          <w:rFonts w:ascii="Arial" w:hAnsi="Arial" w:cs="Arial"/>
          <w:sz w:val="24"/>
          <w:szCs w:val="24"/>
        </w:rPr>
        <w:t xml:space="preserve"> znaczn</w:t>
      </w:r>
      <w:r w:rsidR="00290734" w:rsidRPr="003A06B2">
        <w:rPr>
          <w:rFonts w:ascii="Arial" w:hAnsi="Arial" w:cs="Arial"/>
          <w:sz w:val="24"/>
          <w:szCs w:val="24"/>
        </w:rPr>
        <w:t>ym</w:t>
      </w:r>
      <w:r w:rsidRPr="003A06B2">
        <w:rPr>
          <w:rFonts w:ascii="Arial" w:hAnsi="Arial" w:cs="Arial"/>
          <w:sz w:val="24"/>
          <w:szCs w:val="24"/>
        </w:rPr>
        <w:t xml:space="preserve"> stopni</w:t>
      </w:r>
      <w:r w:rsidR="00290734" w:rsidRPr="003A06B2">
        <w:rPr>
          <w:rFonts w:ascii="Arial" w:hAnsi="Arial" w:cs="Arial"/>
          <w:sz w:val="24"/>
          <w:szCs w:val="24"/>
        </w:rPr>
        <w:t>u</w:t>
      </w:r>
      <w:r w:rsidRPr="003A06B2">
        <w:rPr>
          <w:rFonts w:ascii="Arial" w:hAnsi="Arial" w:cs="Arial"/>
          <w:sz w:val="24"/>
          <w:szCs w:val="24"/>
        </w:rPr>
        <w:t xml:space="preserve">, rozdrobnione między granicami państwowymi oraz </w:t>
      </w:r>
      <w:r w:rsidR="00913F69" w:rsidRPr="003A06B2">
        <w:rPr>
          <w:rFonts w:ascii="Arial" w:hAnsi="Arial" w:cs="Arial"/>
          <w:sz w:val="24"/>
          <w:szCs w:val="24"/>
        </w:rPr>
        <w:t>brakuje</w:t>
      </w:r>
      <w:r w:rsidRPr="003A06B2">
        <w:rPr>
          <w:rFonts w:ascii="Arial" w:hAnsi="Arial" w:cs="Arial"/>
          <w:sz w:val="24"/>
          <w:szCs w:val="24"/>
        </w:rPr>
        <w:t xml:space="preserve"> interoperacyjności pomiędzy istniejącymi </w:t>
      </w:r>
      <w:r w:rsidR="00561CAF" w:rsidRPr="003A06B2">
        <w:rPr>
          <w:rFonts w:ascii="Arial" w:hAnsi="Arial" w:cs="Arial"/>
          <w:sz w:val="24"/>
          <w:szCs w:val="24"/>
        </w:rPr>
        <w:t>krajowymi</w:t>
      </w:r>
      <w:r w:rsidRPr="003A06B2">
        <w:rPr>
          <w:rFonts w:ascii="Arial" w:hAnsi="Arial" w:cs="Arial"/>
          <w:sz w:val="24"/>
          <w:szCs w:val="24"/>
        </w:rPr>
        <w:t xml:space="preserve"> rozwiązaniami, schematami i infrastrukturami. </w:t>
      </w:r>
      <w:r w:rsidR="00F57DB8" w:rsidRPr="003A06B2">
        <w:rPr>
          <w:rFonts w:ascii="Arial" w:hAnsi="Arial" w:cs="Arial"/>
          <w:sz w:val="24"/>
          <w:szCs w:val="24"/>
        </w:rPr>
        <w:t xml:space="preserve">Jednocześnie, rynek unijny jest zależny od rozwiązań oferowanych przez podmioty nieeuropejskie, zarówno w punktach sprzedaży jak i online. </w:t>
      </w:r>
      <w:r w:rsidR="001F6281" w:rsidRPr="003A06B2">
        <w:rPr>
          <w:rFonts w:ascii="Arial" w:hAnsi="Arial" w:cs="Arial"/>
          <w:sz w:val="24"/>
          <w:szCs w:val="24"/>
        </w:rPr>
        <w:t>Ponadto, zbędne obciążenia rynku wewnętrznego w zakresie płatności</w:t>
      </w:r>
      <w:r w:rsidR="005C2808" w:rsidRPr="003A06B2">
        <w:rPr>
          <w:rFonts w:ascii="Arial" w:hAnsi="Arial" w:cs="Arial"/>
          <w:sz w:val="24"/>
          <w:szCs w:val="24"/>
        </w:rPr>
        <w:t xml:space="preserve"> wciąż się utrzymują</w:t>
      </w:r>
      <w:r w:rsidR="001F6281" w:rsidRPr="003A06B2">
        <w:rPr>
          <w:rFonts w:ascii="Arial" w:hAnsi="Arial" w:cs="Arial"/>
          <w:sz w:val="24"/>
          <w:szCs w:val="24"/>
        </w:rPr>
        <w:t xml:space="preserve">. </w:t>
      </w:r>
      <w:r w:rsidR="005E7242" w:rsidRPr="003A06B2">
        <w:rPr>
          <w:rFonts w:ascii="Arial" w:hAnsi="Arial" w:cs="Arial"/>
          <w:sz w:val="24"/>
          <w:szCs w:val="24"/>
        </w:rPr>
        <w:t xml:space="preserve">Z uwagi na to, że płatności oraz dane płatnicze </w:t>
      </w:r>
      <w:r w:rsidR="00694232" w:rsidRPr="003A06B2">
        <w:rPr>
          <w:rFonts w:ascii="Arial" w:hAnsi="Arial" w:cs="Arial"/>
          <w:sz w:val="24"/>
          <w:szCs w:val="24"/>
        </w:rPr>
        <w:t>nabrały</w:t>
      </w:r>
      <w:r w:rsidR="005E7242" w:rsidRPr="003A06B2">
        <w:rPr>
          <w:rFonts w:ascii="Arial" w:hAnsi="Arial" w:cs="Arial"/>
          <w:sz w:val="24"/>
          <w:szCs w:val="24"/>
        </w:rPr>
        <w:t xml:space="preserve"> strategiczn</w:t>
      </w:r>
      <w:r w:rsidR="00694232" w:rsidRPr="003A06B2">
        <w:rPr>
          <w:rFonts w:ascii="Arial" w:hAnsi="Arial" w:cs="Arial"/>
          <w:sz w:val="24"/>
          <w:szCs w:val="24"/>
        </w:rPr>
        <w:t>ego</w:t>
      </w:r>
      <w:r w:rsidR="005E7242" w:rsidRPr="003A06B2">
        <w:rPr>
          <w:rFonts w:ascii="Arial" w:hAnsi="Arial" w:cs="Arial"/>
          <w:sz w:val="24"/>
          <w:szCs w:val="24"/>
        </w:rPr>
        <w:t xml:space="preserve"> i ekonomiczn</w:t>
      </w:r>
      <w:r w:rsidR="00694232" w:rsidRPr="003A06B2">
        <w:rPr>
          <w:rFonts w:ascii="Arial" w:hAnsi="Arial" w:cs="Arial"/>
          <w:sz w:val="24"/>
          <w:szCs w:val="24"/>
        </w:rPr>
        <w:t>ego</w:t>
      </w:r>
      <w:r w:rsidR="005E7242" w:rsidRPr="003A06B2">
        <w:rPr>
          <w:rFonts w:ascii="Arial" w:hAnsi="Arial" w:cs="Arial"/>
          <w:sz w:val="24"/>
          <w:szCs w:val="24"/>
        </w:rPr>
        <w:t xml:space="preserve"> </w:t>
      </w:r>
      <w:r w:rsidR="00694232" w:rsidRPr="003A06B2">
        <w:rPr>
          <w:rFonts w:ascii="Arial" w:hAnsi="Arial" w:cs="Arial"/>
          <w:sz w:val="24"/>
          <w:szCs w:val="24"/>
        </w:rPr>
        <w:t>znaczenia</w:t>
      </w:r>
      <w:r w:rsidR="005E7242" w:rsidRPr="003A06B2">
        <w:rPr>
          <w:rFonts w:ascii="Arial" w:hAnsi="Arial" w:cs="Arial"/>
          <w:sz w:val="24"/>
          <w:szCs w:val="24"/>
        </w:rPr>
        <w:t>, to</w:t>
      </w:r>
      <w:r w:rsidR="007B52B8" w:rsidRPr="003A06B2">
        <w:rPr>
          <w:rFonts w:ascii="Arial" w:hAnsi="Arial" w:cs="Arial"/>
          <w:sz w:val="24"/>
          <w:szCs w:val="24"/>
        </w:rPr>
        <w:t xml:space="preserve"> podjęcie odpowiednich działań jest potrzebne bardziej niż kiedykolwiek</w:t>
      </w:r>
      <w:r w:rsidR="005E7242" w:rsidRPr="003A06B2">
        <w:rPr>
          <w:rFonts w:ascii="Arial" w:hAnsi="Arial" w:cs="Arial"/>
          <w:sz w:val="24"/>
          <w:szCs w:val="24"/>
        </w:rPr>
        <w:t xml:space="preserve">. </w:t>
      </w:r>
    </w:p>
    <w:p w:rsidR="0056615C" w:rsidRPr="003A06B2" w:rsidRDefault="0056615C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56615C" w:rsidRPr="003A06B2" w:rsidRDefault="00D759CB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>Głęboko w</w:t>
      </w:r>
      <w:r w:rsidR="005E7242" w:rsidRPr="003A06B2">
        <w:rPr>
          <w:rFonts w:ascii="Arial" w:hAnsi="Arial" w:cs="Arial"/>
          <w:b/>
          <w:sz w:val="24"/>
          <w:szCs w:val="24"/>
        </w:rPr>
        <w:t>ierzymy, że nadszedł czas zbudowania prawdziwej „Europy płatności”</w:t>
      </w:r>
      <w:r w:rsidR="00795620" w:rsidRPr="003A06B2">
        <w:rPr>
          <w:rFonts w:ascii="Arial" w:hAnsi="Arial" w:cs="Arial"/>
          <w:b/>
          <w:sz w:val="24"/>
          <w:szCs w:val="24"/>
        </w:rPr>
        <w:t xml:space="preserve">. </w:t>
      </w:r>
      <w:r w:rsidR="00795620" w:rsidRPr="003A06B2">
        <w:rPr>
          <w:rFonts w:ascii="Arial" w:hAnsi="Arial" w:cs="Arial"/>
          <w:sz w:val="24"/>
          <w:szCs w:val="24"/>
        </w:rPr>
        <w:t xml:space="preserve">Zintegrowany, otwarty rynek dla płatności elektronicznych, bez podziału na krajowe i transgraniczne płatności oraz bez niepotrzebnych barier jest niezbędny do rozwoju rynku wewnętrznego. </w:t>
      </w:r>
      <w:r w:rsidR="005D0CB8" w:rsidRPr="003A06B2">
        <w:rPr>
          <w:rFonts w:ascii="Arial" w:hAnsi="Arial" w:cs="Arial"/>
          <w:sz w:val="24"/>
          <w:szCs w:val="24"/>
        </w:rPr>
        <w:t xml:space="preserve">Zwiększyłoby to konkurencję oraz innowacyjność, </w:t>
      </w:r>
      <w:r w:rsidR="00964775" w:rsidRPr="003A06B2">
        <w:rPr>
          <w:rFonts w:ascii="Arial" w:hAnsi="Arial" w:cs="Arial"/>
          <w:sz w:val="24"/>
          <w:szCs w:val="24"/>
        </w:rPr>
        <w:t>przynosząc</w:t>
      </w:r>
      <w:r w:rsidR="005D0CB8" w:rsidRPr="003A06B2">
        <w:rPr>
          <w:rFonts w:ascii="Arial" w:hAnsi="Arial" w:cs="Arial"/>
          <w:sz w:val="24"/>
          <w:szCs w:val="24"/>
        </w:rPr>
        <w:t xml:space="preserve"> potencjaln</w:t>
      </w:r>
      <w:r w:rsidR="00964775" w:rsidRPr="003A06B2">
        <w:rPr>
          <w:rFonts w:ascii="Arial" w:hAnsi="Arial" w:cs="Arial"/>
          <w:sz w:val="24"/>
          <w:szCs w:val="24"/>
        </w:rPr>
        <w:t xml:space="preserve">e </w:t>
      </w:r>
      <w:r w:rsidR="005D0CB8" w:rsidRPr="003A06B2">
        <w:rPr>
          <w:rFonts w:ascii="Arial" w:hAnsi="Arial" w:cs="Arial"/>
          <w:sz w:val="24"/>
          <w:szCs w:val="24"/>
        </w:rPr>
        <w:t>zysk</w:t>
      </w:r>
      <w:r w:rsidR="00964775" w:rsidRPr="003A06B2">
        <w:rPr>
          <w:rFonts w:ascii="Arial" w:hAnsi="Arial" w:cs="Arial"/>
          <w:sz w:val="24"/>
          <w:szCs w:val="24"/>
        </w:rPr>
        <w:t>i</w:t>
      </w:r>
      <w:r w:rsidR="005D0CB8" w:rsidRPr="003A06B2">
        <w:rPr>
          <w:rFonts w:ascii="Arial" w:hAnsi="Arial" w:cs="Arial"/>
          <w:sz w:val="24"/>
          <w:szCs w:val="24"/>
        </w:rPr>
        <w:t xml:space="preserve"> dla konsumentów. Ponadto, jest to </w:t>
      </w:r>
      <w:r w:rsidR="001711F6" w:rsidRPr="003A06B2">
        <w:rPr>
          <w:rFonts w:ascii="Arial" w:hAnsi="Arial" w:cs="Arial"/>
          <w:sz w:val="24"/>
          <w:szCs w:val="24"/>
        </w:rPr>
        <w:t>kwestia</w:t>
      </w:r>
      <w:r w:rsidR="005D0CB8" w:rsidRPr="003A06B2">
        <w:rPr>
          <w:rFonts w:ascii="Arial" w:hAnsi="Arial" w:cs="Arial"/>
          <w:sz w:val="24"/>
          <w:szCs w:val="24"/>
        </w:rPr>
        <w:t xml:space="preserve"> strategicznej autonomii na rynku. Takie wspólne rozwiązanie płatnicze, </w:t>
      </w:r>
      <w:r w:rsidR="004E67D9" w:rsidRPr="003A06B2">
        <w:rPr>
          <w:rFonts w:ascii="Arial" w:hAnsi="Arial" w:cs="Arial"/>
          <w:sz w:val="24"/>
          <w:szCs w:val="24"/>
        </w:rPr>
        <w:t>opracowane</w:t>
      </w:r>
      <w:r w:rsidR="005D0CB8" w:rsidRPr="003A06B2">
        <w:rPr>
          <w:rFonts w:ascii="Arial" w:hAnsi="Arial" w:cs="Arial"/>
          <w:sz w:val="24"/>
          <w:szCs w:val="24"/>
        </w:rPr>
        <w:t xml:space="preserve"> w Europie, </w:t>
      </w:r>
      <w:r w:rsidR="00FF6DE5" w:rsidRPr="003A06B2">
        <w:rPr>
          <w:rFonts w:ascii="Arial" w:hAnsi="Arial" w:cs="Arial"/>
          <w:sz w:val="24"/>
          <w:szCs w:val="24"/>
        </w:rPr>
        <w:t xml:space="preserve">obniżyłoby ryzyka i </w:t>
      </w:r>
      <w:r w:rsidR="00720B44" w:rsidRPr="003A06B2">
        <w:rPr>
          <w:rFonts w:ascii="Arial" w:hAnsi="Arial" w:cs="Arial"/>
          <w:sz w:val="24"/>
          <w:szCs w:val="24"/>
        </w:rPr>
        <w:t>słabe punkty</w:t>
      </w:r>
      <w:r w:rsidR="00FF6DE5" w:rsidRPr="003A06B2">
        <w:rPr>
          <w:rFonts w:ascii="Arial" w:hAnsi="Arial" w:cs="Arial"/>
          <w:sz w:val="24"/>
          <w:szCs w:val="24"/>
        </w:rPr>
        <w:t xml:space="preserve"> </w:t>
      </w:r>
      <w:r w:rsidR="004E67D9" w:rsidRPr="003A06B2">
        <w:rPr>
          <w:rFonts w:ascii="Arial" w:hAnsi="Arial" w:cs="Arial"/>
          <w:sz w:val="24"/>
          <w:szCs w:val="24"/>
        </w:rPr>
        <w:t>systemów płatności detalicznych</w:t>
      </w:r>
      <w:r w:rsidR="00FF6DE5" w:rsidRPr="003A06B2">
        <w:rPr>
          <w:rFonts w:ascii="Arial" w:hAnsi="Arial" w:cs="Arial"/>
          <w:sz w:val="24"/>
          <w:szCs w:val="24"/>
        </w:rPr>
        <w:t xml:space="preserve"> i przyczyniłoby się do </w:t>
      </w:r>
      <w:r w:rsidR="008E030E" w:rsidRPr="003A06B2">
        <w:rPr>
          <w:rFonts w:ascii="Arial" w:hAnsi="Arial" w:cs="Arial"/>
          <w:sz w:val="24"/>
          <w:szCs w:val="24"/>
        </w:rPr>
        <w:t>zachowania</w:t>
      </w:r>
      <w:r w:rsidR="00FF6DE5" w:rsidRPr="003A06B2">
        <w:rPr>
          <w:rFonts w:ascii="Arial" w:hAnsi="Arial" w:cs="Arial"/>
          <w:sz w:val="24"/>
          <w:szCs w:val="24"/>
        </w:rPr>
        <w:t xml:space="preserve"> kontroli nad wrażliwymi danymi </w:t>
      </w:r>
      <w:r w:rsidR="00CD1211" w:rsidRPr="003A06B2">
        <w:rPr>
          <w:rFonts w:ascii="Arial" w:hAnsi="Arial" w:cs="Arial"/>
          <w:sz w:val="24"/>
          <w:szCs w:val="24"/>
        </w:rPr>
        <w:t>dotyczącymi płatności</w:t>
      </w:r>
      <w:r w:rsidR="00FF6DE5" w:rsidRPr="003A06B2">
        <w:rPr>
          <w:rFonts w:ascii="Arial" w:hAnsi="Arial" w:cs="Arial"/>
          <w:sz w:val="24"/>
          <w:szCs w:val="24"/>
        </w:rPr>
        <w:t>, tym samym lepiej chroniąc naszych obywateli.</w:t>
      </w:r>
      <w:r w:rsidR="004E67D9" w:rsidRPr="003A06B2">
        <w:rPr>
          <w:rFonts w:ascii="Arial" w:hAnsi="Arial" w:cs="Arial"/>
          <w:sz w:val="24"/>
          <w:szCs w:val="24"/>
        </w:rPr>
        <w:t xml:space="preserve"> </w:t>
      </w:r>
      <w:r w:rsidR="00FF6DE5" w:rsidRPr="003A06B2">
        <w:rPr>
          <w:rFonts w:ascii="Arial" w:hAnsi="Arial" w:cs="Arial"/>
          <w:sz w:val="24"/>
          <w:szCs w:val="24"/>
        </w:rPr>
        <w:t xml:space="preserve">W tym zakresie </w:t>
      </w:r>
      <w:r w:rsidR="00AA1EA4" w:rsidRPr="003A06B2">
        <w:rPr>
          <w:rFonts w:ascii="Arial" w:hAnsi="Arial" w:cs="Arial"/>
          <w:sz w:val="24"/>
          <w:szCs w:val="24"/>
        </w:rPr>
        <w:t>popieramy</w:t>
      </w:r>
      <w:r w:rsidR="00FF6DE5" w:rsidRPr="003A06B2">
        <w:rPr>
          <w:rFonts w:ascii="Arial" w:hAnsi="Arial" w:cs="Arial"/>
          <w:sz w:val="24"/>
          <w:szCs w:val="24"/>
        </w:rPr>
        <w:t xml:space="preserve"> wszelki</w:t>
      </w:r>
      <w:r w:rsidR="00AA1EA4" w:rsidRPr="003A06B2">
        <w:rPr>
          <w:rFonts w:ascii="Arial" w:hAnsi="Arial" w:cs="Arial"/>
          <w:sz w:val="24"/>
          <w:szCs w:val="24"/>
        </w:rPr>
        <w:t>e</w:t>
      </w:r>
      <w:r w:rsidR="00FF6DE5" w:rsidRPr="003A06B2">
        <w:rPr>
          <w:rFonts w:ascii="Arial" w:hAnsi="Arial" w:cs="Arial"/>
          <w:sz w:val="24"/>
          <w:szCs w:val="24"/>
        </w:rPr>
        <w:t xml:space="preserve"> inicjatyw</w:t>
      </w:r>
      <w:r w:rsidR="00AA1EA4" w:rsidRPr="003A06B2">
        <w:rPr>
          <w:rFonts w:ascii="Arial" w:hAnsi="Arial" w:cs="Arial"/>
          <w:sz w:val="24"/>
          <w:szCs w:val="24"/>
        </w:rPr>
        <w:t>y</w:t>
      </w:r>
      <w:r w:rsidR="00FF6DE5" w:rsidRPr="003A06B2">
        <w:rPr>
          <w:rFonts w:ascii="Arial" w:hAnsi="Arial" w:cs="Arial"/>
          <w:sz w:val="24"/>
          <w:szCs w:val="24"/>
        </w:rPr>
        <w:t xml:space="preserve"> mając</w:t>
      </w:r>
      <w:r w:rsidR="00AA1EA4" w:rsidRPr="003A06B2">
        <w:rPr>
          <w:rFonts w:ascii="Arial" w:hAnsi="Arial" w:cs="Arial"/>
          <w:sz w:val="24"/>
          <w:szCs w:val="24"/>
        </w:rPr>
        <w:t>e</w:t>
      </w:r>
      <w:r w:rsidR="00FF6DE5" w:rsidRPr="003A06B2">
        <w:rPr>
          <w:rFonts w:ascii="Arial" w:hAnsi="Arial" w:cs="Arial"/>
          <w:sz w:val="24"/>
          <w:szCs w:val="24"/>
        </w:rPr>
        <w:t xml:space="preserve"> na celu dalszą harmonizację unijnego rynku usług płatniczych oraz oferowanie nowych, innowacyjnych rozwiązań płatniczych. Pozostajemy zaangażowani w zwalczanie wszelkich nieuzasadnionych przeszkód w sprawnym funkcjonowaniu rynku wewnętrznego</w:t>
      </w:r>
      <w:r w:rsidR="007243F1" w:rsidRPr="003A06B2">
        <w:rPr>
          <w:rFonts w:ascii="Arial" w:hAnsi="Arial" w:cs="Arial"/>
          <w:sz w:val="24"/>
          <w:szCs w:val="24"/>
        </w:rPr>
        <w:t>, takich jak dyskryminacja IBAN.</w:t>
      </w:r>
    </w:p>
    <w:p w:rsidR="007243F1" w:rsidRPr="003A06B2" w:rsidRDefault="007243F1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FF6DE5" w:rsidRPr="003A06B2" w:rsidRDefault="008207D2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>W</w:t>
      </w:r>
      <w:r w:rsidR="00FF6DE5" w:rsidRPr="003A06B2">
        <w:rPr>
          <w:rFonts w:ascii="Arial" w:hAnsi="Arial" w:cs="Arial"/>
          <w:b/>
          <w:sz w:val="24"/>
          <w:szCs w:val="24"/>
        </w:rPr>
        <w:t xml:space="preserve"> tym kontekście, </w:t>
      </w:r>
      <w:r w:rsidR="00720B44" w:rsidRPr="003A06B2">
        <w:rPr>
          <w:rFonts w:ascii="Arial" w:hAnsi="Arial" w:cs="Arial"/>
          <w:b/>
          <w:sz w:val="24"/>
          <w:szCs w:val="24"/>
        </w:rPr>
        <w:t>ponawiamy</w:t>
      </w:r>
      <w:r w:rsidR="00FF6DE5" w:rsidRPr="003A06B2">
        <w:rPr>
          <w:rFonts w:ascii="Arial" w:hAnsi="Arial" w:cs="Arial"/>
          <w:b/>
          <w:sz w:val="24"/>
          <w:szCs w:val="24"/>
        </w:rPr>
        <w:t xml:space="preserve"> nasze wsparcie dla Europejskiej Inicjatywy Płatniczej (EPI), ponieważ przyczyni</w:t>
      </w:r>
      <w:r w:rsidR="00633039" w:rsidRPr="003A06B2">
        <w:rPr>
          <w:rFonts w:ascii="Arial" w:hAnsi="Arial" w:cs="Arial"/>
          <w:b/>
          <w:sz w:val="24"/>
          <w:szCs w:val="24"/>
        </w:rPr>
        <w:t>łaby</w:t>
      </w:r>
      <w:r w:rsidR="00FF6DE5" w:rsidRPr="003A06B2">
        <w:rPr>
          <w:rFonts w:ascii="Arial" w:hAnsi="Arial" w:cs="Arial"/>
          <w:b/>
          <w:sz w:val="24"/>
          <w:szCs w:val="24"/>
        </w:rPr>
        <w:t xml:space="preserve"> się </w:t>
      </w:r>
      <w:r w:rsidR="00633039" w:rsidRPr="003A06B2">
        <w:rPr>
          <w:rFonts w:ascii="Arial" w:hAnsi="Arial" w:cs="Arial"/>
          <w:b/>
          <w:sz w:val="24"/>
          <w:szCs w:val="24"/>
        </w:rPr>
        <w:t>ona</w:t>
      </w:r>
      <w:r w:rsidR="00FF6DE5" w:rsidRPr="003A06B2">
        <w:rPr>
          <w:rFonts w:ascii="Arial" w:hAnsi="Arial" w:cs="Arial"/>
          <w:b/>
          <w:sz w:val="24"/>
          <w:szCs w:val="24"/>
        </w:rPr>
        <w:t xml:space="preserve"> do osiągnięcia tych celów. </w:t>
      </w:r>
      <w:r w:rsidR="00FF6DE5" w:rsidRPr="003A06B2">
        <w:rPr>
          <w:rFonts w:ascii="Arial" w:hAnsi="Arial" w:cs="Arial"/>
          <w:sz w:val="24"/>
          <w:szCs w:val="24"/>
        </w:rPr>
        <w:t xml:space="preserve">Prowadzone przez </w:t>
      </w:r>
      <w:r w:rsidR="00762F1A" w:rsidRPr="003A06B2">
        <w:rPr>
          <w:rFonts w:ascii="Arial" w:hAnsi="Arial" w:cs="Arial"/>
          <w:sz w:val="24"/>
          <w:szCs w:val="24"/>
        </w:rPr>
        <w:t xml:space="preserve">podmioty </w:t>
      </w:r>
      <w:r w:rsidR="00FF6DE5" w:rsidRPr="003A06B2">
        <w:rPr>
          <w:rFonts w:ascii="Arial" w:hAnsi="Arial" w:cs="Arial"/>
          <w:sz w:val="24"/>
          <w:szCs w:val="24"/>
        </w:rPr>
        <w:t xml:space="preserve">prywatne z siedmiu rynków </w:t>
      </w:r>
      <w:r w:rsidR="00762F1A" w:rsidRPr="003A06B2">
        <w:rPr>
          <w:rFonts w:ascii="Arial" w:hAnsi="Arial" w:cs="Arial"/>
          <w:sz w:val="24"/>
          <w:szCs w:val="24"/>
        </w:rPr>
        <w:t xml:space="preserve">krajowych </w:t>
      </w:r>
      <w:r w:rsidR="00FF6DE5" w:rsidRPr="003A06B2">
        <w:rPr>
          <w:rFonts w:ascii="Arial" w:hAnsi="Arial" w:cs="Arial"/>
          <w:sz w:val="24"/>
          <w:szCs w:val="24"/>
        </w:rPr>
        <w:t xml:space="preserve">Unii Europejskiej, </w:t>
      </w:r>
      <w:r w:rsidR="001B6C80" w:rsidRPr="003A06B2">
        <w:rPr>
          <w:rFonts w:ascii="Arial" w:hAnsi="Arial" w:cs="Arial"/>
          <w:sz w:val="24"/>
          <w:szCs w:val="24"/>
        </w:rPr>
        <w:t xml:space="preserve">EPI dąży do dostarczenia powszechnego, paneuropejskiego rozwiązania płatniczego, </w:t>
      </w:r>
      <w:r w:rsidR="003B44F6" w:rsidRPr="003A06B2">
        <w:rPr>
          <w:rFonts w:ascii="Arial" w:hAnsi="Arial" w:cs="Arial"/>
          <w:sz w:val="24"/>
          <w:szCs w:val="24"/>
        </w:rPr>
        <w:t xml:space="preserve">które </w:t>
      </w:r>
      <w:r w:rsidR="001B6C80" w:rsidRPr="003A06B2">
        <w:rPr>
          <w:rFonts w:ascii="Arial" w:hAnsi="Arial" w:cs="Arial"/>
          <w:sz w:val="24"/>
          <w:szCs w:val="24"/>
        </w:rPr>
        <w:t>łącz</w:t>
      </w:r>
      <w:r w:rsidR="003B44F6" w:rsidRPr="003A06B2">
        <w:rPr>
          <w:rFonts w:ascii="Arial" w:hAnsi="Arial" w:cs="Arial"/>
          <w:sz w:val="24"/>
          <w:szCs w:val="24"/>
        </w:rPr>
        <w:t xml:space="preserve">y </w:t>
      </w:r>
      <w:r w:rsidR="001B6C80" w:rsidRPr="003A06B2">
        <w:rPr>
          <w:rFonts w:ascii="Arial" w:hAnsi="Arial" w:cs="Arial"/>
          <w:sz w:val="24"/>
          <w:szCs w:val="24"/>
        </w:rPr>
        <w:t>rozwiązania oparte na kartach oraz cyfrowych płatnościach natychmiastowych.</w:t>
      </w:r>
      <w:r w:rsidR="00FF6DE5" w:rsidRPr="003A06B2">
        <w:rPr>
          <w:rFonts w:ascii="Arial" w:hAnsi="Arial" w:cs="Arial"/>
          <w:sz w:val="24"/>
          <w:szCs w:val="24"/>
        </w:rPr>
        <w:t xml:space="preserve"> </w:t>
      </w:r>
      <w:r w:rsidR="007221E6" w:rsidRPr="003A06B2">
        <w:rPr>
          <w:rFonts w:ascii="Arial" w:hAnsi="Arial" w:cs="Arial"/>
          <w:sz w:val="24"/>
          <w:szCs w:val="24"/>
        </w:rPr>
        <w:t xml:space="preserve">Ta prywatna inicjatywa przyczyniłaby się do zaoferowania bezpiecznych, innowacyjnych i nowoczesnych rozwiązań płatniczych, w ramach wspólnego systemu i </w:t>
      </w:r>
      <w:r w:rsidR="007221E6" w:rsidRPr="003A06B2">
        <w:rPr>
          <w:rFonts w:ascii="Arial" w:hAnsi="Arial" w:cs="Arial"/>
          <w:sz w:val="24"/>
          <w:szCs w:val="24"/>
        </w:rPr>
        <w:lastRenderedPageBreak/>
        <w:t xml:space="preserve">zharmonizowanych norm. </w:t>
      </w:r>
      <w:r w:rsidR="00D85A12" w:rsidRPr="003A06B2">
        <w:rPr>
          <w:rFonts w:ascii="Arial" w:hAnsi="Arial" w:cs="Arial"/>
          <w:sz w:val="24"/>
          <w:szCs w:val="24"/>
        </w:rPr>
        <w:t>Na jednolitym rozwiązaniu płatniczym EPI skorzystaliby europejscy konsumenci, akceptanci, banki, dostawcy usług płatniczych oraz cała europejska gospodarka.</w:t>
      </w:r>
      <w:r w:rsidR="007221E6" w:rsidRPr="003A06B2">
        <w:rPr>
          <w:rFonts w:ascii="Arial" w:hAnsi="Arial" w:cs="Arial"/>
          <w:sz w:val="24"/>
          <w:szCs w:val="24"/>
        </w:rPr>
        <w:t xml:space="preserve"> </w:t>
      </w:r>
      <w:r w:rsidR="00D85A12" w:rsidRPr="003A06B2">
        <w:rPr>
          <w:rFonts w:ascii="Arial" w:hAnsi="Arial" w:cs="Arial"/>
          <w:sz w:val="24"/>
          <w:szCs w:val="24"/>
        </w:rPr>
        <w:t>Takie europejskie rozwiązania płatnicze stanowiłyby ważny wkład w realizację naszego nadrzędnego celu politycznego, jakim jest większa otwarta autonomia strategiczna UE.</w:t>
      </w:r>
    </w:p>
    <w:p w:rsidR="007243F1" w:rsidRPr="003A06B2" w:rsidRDefault="007243F1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D85A12" w:rsidRPr="003A06B2" w:rsidRDefault="0056615C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  <w:r w:rsidRPr="003A06B2">
        <w:rPr>
          <w:rFonts w:ascii="Arial" w:hAnsi="Arial" w:cs="Arial"/>
          <w:b/>
          <w:sz w:val="24"/>
          <w:szCs w:val="24"/>
        </w:rPr>
        <w:t>Dlatego czekamy na pomyślne formalne rozpoczęcie projektu</w:t>
      </w:r>
      <w:r w:rsidR="00D85A12" w:rsidRPr="003A06B2">
        <w:rPr>
          <w:rFonts w:ascii="Arial" w:hAnsi="Arial" w:cs="Arial"/>
          <w:b/>
          <w:sz w:val="24"/>
          <w:szCs w:val="24"/>
        </w:rPr>
        <w:t>.</w:t>
      </w:r>
      <w:r w:rsidR="00D85A12" w:rsidRPr="003A06B2">
        <w:rPr>
          <w:rFonts w:ascii="Arial" w:hAnsi="Arial" w:cs="Arial"/>
          <w:sz w:val="24"/>
          <w:szCs w:val="24"/>
        </w:rPr>
        <w:t xml:space="preserve"> </w:t>
      </w:r>
      <w:r w:rsidR="00BF0EE3" w:rsidRPr="003A06B2">
        <w:rPr>
          <w:rFonts w:ascii="Arial" w:hAnsi="Arial" w:cs="Arial"/>
          <w:sz w:val="24"/>
          <w:szCs w:val="24"/>
        </w:rPr>
        <w:t>Zachęcamy EPI</w:t>
      </w:r>
      <w:r w:rsidR="0044647D" w:rsidRPr="003A06B2">
        <w:rPr>
          <w:rFonts w:ascii="Arial" w:hAnsi="Arial" w:cs="Arial"/>
          <w:sz w:val="24"/>
          <w:szCs w:val="24"/>
        </w:rPr>
        <w:t xml:space="preserve"> do </w:t>
      </w:r>
      <w:r w:rsidR="00762F1A" w:rsidRPr="003A06B2">
        <w:rPr>
          <w:rFonts w:ascii="Arial" w:hAnsi="Arial" w:cs="Arial"/>
          <w:sz w:val="24"/>
          <w:szCs w:val="24"/>
        </w:rPr>
        <w:t xml:space="preserve">zaangażowania </w:t>
      </w:r>
      <w:r w:rsidR="00C55805" w:rsidRPr="003A06B2">
        <w:rPr>
          <w:rFonts w:ascii="Arial" w:hAnsi="Arial" w:cs="Arial"/>
          <w:sz w:val="24"/>
          <w:szCs w:val="24"/>
        </w:rPr>
        <w:t>się w sprawne</w:t>
      </w:r>
      <w:r w:rsidR="003203D9" w:rsidRPr="003A06B2">
        <w:rPr>
          <w:rFonts w:ascii="Arial" w:hAnsi="Arial" w:cs="Arial"/>
          <w:sz w:val="24"/>
          <w:szCs w:val="24"/>
        </w:rPr>
        <w:t xml:space="preserve"> </w:t>
      </w:r>
      <w:r w:rsidR="00762F1A" w:rsidRPr="003A06B2">
        <w:rPr>
          <w:rFonts w:ascii="Arial" w:hAnsi="Arial" w:cs="Arial"/>
          <w:sz w:val="24"/>
          <w:szCs w:val="24"/>
        </w:rPr>
        <w:t>wdrożen</w:t>
      </w:r>
      <w:r w:rsidR="00C55805" w:rsidRPr="003A06B2">
        <w:rPr>
          <w:rFonts w:ascii="Arial" w:hAnsi="Arial" w:cs="Arial"/>
          <w:sz w:val="24"/>
          <w:szCs w:val="24"/>
        </w:rPr>
        <w:t>ie</w:t>
      </w:r>
      <w:r w:rsidR="00762F1A" w:rsidRPr="003A06B2">
        <w:rPr>
          <w:rFonts w:ascii="Arial" w:hAnsi="Arial" w:cs="Arial"/>
          <w:sz w:val="24"/>
          <w:szCs w:val="24"/>
        </w:rPr>
        <w:t xml:space="preserve"> tego nowego rozwiązania, </w:t>
      </w:r>
      <w:r w:rsidR="003203D9" w:rsidRPr="003A06B2">
        <w:rPr>
          <w:rFonts w:ascii="Arial" w:hAnsi="Arial" w:cs="Arial"/>
          <w:sz w:val="24"/>
          <w:szCs w:val="24"/>
        </w:rPr>
        <w:t xml:space="preserve">tak aby osiągnął sukces, jednocześnie uznając jej prywatny, konkurencyjny model biznesowy i </w:t>
      </w:r>
      <w:r w:rsidR="00C55805" w:rsidRPr="003A06B2">
        <w:rPr>
          <w:rFonts w:ascii="Arial" w:hAnsi="Arial" w:cs="Arial"/>
          <w:sz w:val="24"/>
          <w:szCs w:val="24"/>
        </w:rPr>
        <w:t>zachowując</w:t>
      </w:r>
      <w:r w:rsidR="00A44811" w:rsidRPr="003A06B2">
        <w:rPr>
          <w:rFonts w:ascii="Arial" w:hAnsi="Arial" w:cs="Arial"/>
          <w:sz w:val="24"/>
          <w:szCs w:val="24"/>
        </w:rPr>
        <w:t xml:space="preserve"> </w:t>
      </w:r>
      <w:r w:rsidR="00C55805" w:rsidRPr="003A06B2">
        <w:rPr>
          <w:rFonts w:ascii="Arial" w:hAnsi="Arial" w:cs="Arial"/>
          <w:sz w:val="24"/>
          <w:szCs w:val="24"/>
        </w:rPr>
        <w:t>czujność w celu zachowania</w:t>
      </w:r>
      <w:r w:rsidR="00A44811" w:rsidRPr="003A06B2">
        <w:rPr>
          <w:rFonts w:ascii="Arial" w:hAnsi="Arial" w:cs="Arial"/>
          <w:sz w:val="24"/>
          <w:szCs w:val="24"/>
        </w:rPr>
        <w:t xml:space="preserve"> uczciw</w:t>
      </w:r>
      <w:r w:rsidR="00C55805" w:rsidRPr="003A06B2">
        <w:rPr>
          <w:rFonts w:ascii="Arial" w:hAnsi="Arial" w:cs="Arial"/>
          <w:sz w:val="24"/>
          <w:szCs w:val="24"/>
        </w:rPr>
        <w:t>ej</w:t>
      </w:r>
      <w:r w:rsidR="00A44811" w:rsidRPr="003A06B2">
        <w:rPr>
          <w:rFonts w:ascii="Arial" w:hAnsi="Arial" w:cs="Arial"/>
          <w:sz w:val="24"/>
          <w:szCs w:val="24"/>
        </w:rPr>
        <w:t xml:space="preserve"> i woln</w:t>
      </w:r>
      <w:r w:rsidR="00C55805" w:rsidRPr="003A06B2">
        <w:rPr>
          <w:rFonts w:ascii="Arial" w:hAnsi="Arial" w:cs="Arial"/>
          <w:sz w:val="24"/>
          <w:szCs w:val="24"/>
        </w:rPr>
        <w:t>ej</w:t>
      </w:r>
      <w:r w:rsidR="00A44811" w:rsidRPr="003A06B2">
        <w:rPr>
          <w:rFonts w:ascii="Arial" w:hAnsi="Arial" w:cs="Arial"/>
          <w:sz w:val="24"/>
          <w:szCs w:val="24"/>
        </w:rPr>
        <w:t xml:space="preserve"> konkurencj</w:t>
      </w:r>
      <w:r w:rsidR="00C55805" w:rsidRPr="003A06B2">
        <w:rPr>
          <w:rFonts w:ascii="Arial" w:hAnsi="Arial" w:cs="Arial"/>
          <w:sz w:val="24"/>
          <w:szCs w:val="24"/>
        </w:rPr>
        <w:t>i</w:t>
      </w:r>
      <w:r w:rsidR="00A44811" w:rsidRPr="003A06B2">
        <w:rPr>
          <w:rFonts w:ascii="Arial" w:hAnsi="Arial" w:cs="Arial"/>
          <w:sz w:val="24"/>
          <w:szCs w:val="24"/>
        </w:rPr>
        <w:t xml:space="preserve"> </w:t>
      </w:r>
      <w:r w:rsidR="00FA13E7" w:rsidRPr="003A06B2">
        <w:rPr>
          <w:rFonts w:ascii="Arial" w:hAnsi="Arial" w:cs="Arial"/>
          <w:sz w:val="24"/>
          <w:szCs w:val="24"/>
        </w:rPr>
        <w:t>oraz</w:t>
      </w:r>
      <w:r w:rsidR="00A44811" w:rsidRPr="003A06B2">
        <w:rPr>
          <w:rFonts w:ascii="Arial" w:hAnsi="Arial" w:cs="Arial"/>
          <w:sz w:val="24"/>
          <w:szCs w:val="24"/>
        </w:rPr>
        <w:t xml:space="preserve"> równe</w:t>
      </w:r>
      <w:r w:rsidR="00C55805" w:rsidRPr="003A06B2">
        <w:rPr>
          <w:rFonts w:ascii="Arial" w:hAnsi="Arial" w:cs="Arial"/>
          <w:sz w:val="24"/>
          <w:szCs w:val="24"/>
        </w:rPr>
        <w:t>go</w:t>
      </w:r>
      <w:r w:rsidR="00A44811" w:rsidRPr="003A06B2">
        <w:rPr>
          <w:rFonts w:ascii="Arial" w:hAnsi="Arial" w:cs="Arial"/>
          <w:sz w:val="24"/>
          <w:szCs w:val="24"/>
        </w:rPr>
        <w:t xml:space="preserve"> traktowani</w:t>
      </w:r>
      <w:r w:rsidR="00C55805" w:rsidRPr="003A06B2">
        <w:rPr>
          <w:rFonts w:ascii="Arial" w:hAnsi="Arial" w:cs="Arial"/>
          <w:sz w:val="24"/>
          <w:szCs w:val="24"/>
        </w:rPr>
        <w:t>a</w:t>
      </w:r>
      <w:r w:rsidR="00A44811" w:rsidRPr="003A06B2">
        <w:rPr>
          <w:rFonts w:ascii="Arial" w:hAnsi="Arial" w:cs="Arial"/>
          <w:sz w:val="24"/>
          <w:szCs w:val="24"/>
        </w:rPr>
        <w:t xml:space="preserve"> podmiotów z sektora płatniczego. </w:t>
      </w:r>
      <w:r w:rsidR="00190670" w:rsidRPr="003A06B2">
        <w:rPr>
          <w:rFonts w:ascii="Arial" w:hAnsi="Arial" w:cs="Arial"/>
          <w:sz w:val="24"/>
          <w:szCs w:val="24"/>
        </w:rPr>
        <w:t xml:space="preserve">Pozostajemy również </w:t>
      </w:r>
      <w:r w:rsidR="00B01C4A" w:rsidRPr="003A06B2">
        <w:rPr>
          <w:rFonts w:ascii="Arial" w:hAnsi="Arial" w:cs="Arial"/>
          <w:sz w:val="24"/>
          <w:szCs w:val="24"/>
        </w:rPr>
        <w:t xml:space="preserve">nadal </w:t>
      </w:r>
      <w:r w:rsidR="00190670" w:rsidRPr="003A06B2">
        <w:rPr>
          <w:rFonts w:ascii="Arial" w:hAnsi="Arial" w:cs="Arial"/>
          <w:sz w:val="24"/>
          <w:szCs w:val="24"/>
        </w:rPr>
        <w:t xml:space="preserve">zaangażowani w </w:t>
      </w:r>
      <w:r w:rsidR="00FA13E7" w:rsidRPr="003A06B2">
        <w:rPr>
          <w:rFonts w:ascii="Arial" w:hAnsi="Arial" w:cs="Arial"/>
          <w:sz w:val="24"/>
          <w:szCs w:val="24"/>
        </w:rPr>
        <w:t>odkrywanie</w:t>
      </w:r>
      <w:r w:rsidR="00B01C4A" w:rsidRPr="003A06B2">
        <w:rPr>
          <w:rFonts w:ascii="Arial" w:hAnsi="Arial" w:cs="Arial"/>
          <w:sz w:val="24"/>
          <w:szCs w:val="24"/>
        </w:rPr>
        <w:t xml:space="preserve"> wzajemnie wzmacniającej </w:t>
      </w:r>
      <w:r w:rsidR="00190670" w:rsidRPr="003A06B2">
        <w:rPr>
          <w:rFonts w:ascii="Arial" w:hAnsi="Arial" w:cs="Arial"/>
          <w:sz w:val="24"/>
          <w:szCs w:val="24"/>
        </w:rPr>
        <w:t>współprac</w:t>
      </w:r>
      <w:r w:rsidR="00B01C4A" w:rsidRPr="003A06B2">
        <w:rPr>
          <w:rFonts w:ascii="Arial" w:hAnsi="Arial" w:cs="Arial"/>
          <w:sz w:val="24"/>
          <w:szCs w:val="24"/>
        </w:rPr>
        <w:t>y</w:t>
      </w:r>
      <w:r w:rsidR="00190670" w:rsidRPr="003A06B2">
        <w:rPr>
          <w:rFonts w:ascii="Arial" w:hAnsi="Arial" w:cs="Arial"/>
          <w:sz w:val="24"/>
          <w:szCs w:val="24"/>
        </w:rPr>
        <w:t xml:space="preserve"> pomiędzy EPI a innymi </w:t>
      </w:r>
      <w:r w:rsidR="009D1015" w:rsidRPr="003A06B2">
        <w:rPr>
          <w:rFonts w:ascii="Arial" w:hAnsi="Arial" w:cs="Arial"/>
          <w:sz w:val="24"/>
          <w:szCs w:val="24"/>
        </w:rPr>
        <w:t>bieżącymi</w:t>
      </w:r>
      <w:r w:rsidR="00190670" w:rsidRPr="003A06B2">
        <w:rPr>
          <w:rFonts w:ascii="Arial" w:hAnsi="Arial" w:cs="Arial"/>
          <w:sz w:val="24"/>
          <w:szCs w:val="24"/>
        </w:rPr>
        <w:t xml:space="preserve"> pracami w zakresie płatności, takimi jak </w:t>
      </w:r>
      <w:r w:rsidR="00FA13E7" w:rsidRPr="003A06B2">
        <w:rPr>
          <w:rFonts w:ascii="Arial" w:hAnsi="Arial" w:cs="Arial"/>
          <w:sz w:val="24"/>
          <w:szCs w:val="24"/>
        </w:rPr>
        <w:t xml:space="preserve">e-identyfikacja oraz pieniądze </w:t>
      </w:r>
      <w:r w:rsidR="00B87B7E" w:rsidRPr="003A06B2">
        <w:rPr>
          <w:rFonts w:ascii="Arial" w:hAnsi="Arial" w:cs="Arial"/>
          <w:sz w:val="24"/>
          <w:szCs w:val="24"/>
        </w:rPr>
        <w:t>cyfrowe</w:t>
      </w:r>
      <w:r w:rsidR="00FA13E7" w:rsidRPr="003A06B2">
        <w:rPr>
          <w:rFonts w:ascii="Arial" w:hAnsi="Arial" w:cs="Arial"/>
          <w:sz w:val="24"/>
          <w:szCs w:val="24"/>
        </w:rPr>
        <w:t xml:space="preserve"> banków centralnych.</w:t>
      </w:r>
    </w:p>
    <w:p w:rsidR="00FA13E7" w:rsidRPr="003A06B2" w:rsidRDefault="00FA13E7" w:rsidP="009C3BDF">
      <w:pPr>
        <w:pStyle w:val="Akapitzlist"/>
        <w:spacing w:line="240" w:lineRule="auto"/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BF0EE3" w:rsidRPr="003A06B2" w:rsidRDefault="00BF0EE3" w:rsidP="009C3BDF">
      <w:pPr>
        <w:pStyle w:val="Akapitzlist"/>
        <w:numPr>
          <w:ilvl w:val="0"/>
          <w:numId w:val="2"/>
        </w:numPr>
        <w:spacing w:line="240" w:lineRule="auto"/>
        <w:ind w:left="284"/>
        <w:jc w:val="both"/>
        <w:rPr>
          <w:rFonts w:ascii="Arial" w:hAnsi="Arial" w:cs="Arial"/>
          <w:b/>
        </w:rPr>
      </w:pPr>
      <w:r w:rsidRPr="003A06B2">
        <w:rPr>
          <w:rFonts w:ascii="Arial" w:hAnsi="Arial" w:cs="Arial"/>
          <w:b/>
          <w:sz w:val="24"/>
          <w:szCs w:val="24"/>
        </w:rPr>
        <w:t>EPI przyniesie największe korzyści jeśli będzie miało zasięg unijny.</w:t>
      </w:r>
      <w:r w:rsidRPr="003A06B2">
        <w:rPr>
          <w:rFonts w:ascii="Arial" w:hAnsi="Arial" w:cs="Arial"/>
          <w:sz w:val="24"/>
          <w:szCs w:val="24"/>
        </w:rPr>
        <w:t xml:space="preserve"> </w:t>
      </w:r>
      <w:r w:rsidRPr="003A06B2">
        <w:rPr>
          <w:rFonts w:ascii="Arial" w:hAnsi="Arial" w:cs="Arial"/>
          <w:b/>
          <w:sz w:val="24"/>
          <w:szCs w:val="24"/>
        </w:rPr>
        <w:t>Zachęcamy zatem EPI do dalsz</w:t>
      </w:r>
      <w:r w:rsidR="00415B77" w:rsidRPr="003A06B2">
        <w:rPr>
          <w:rFonts w:ascii="Arial" w:hAnsi="Arial" w:cs="Arial"/>
          <w:b/>
          <w:sz w:val="24"/>
          <w:szCs w:val="24"/>
        </w:rPr>
        <w:t>ych prac mających na celu</w:t>
      </w:r>
      <w:r w:rsidR="00A16482" w:rsidRPr="003A06B2">
        <w:rPr>
          <w:rFonts w:ascii="Arial" w:hAnsi="Arial" w:cs="Arial"/>
          <w:b/>
          <w:sz w:val="24"/>
          <w:szCs w:val="24"/>
        </w:rPr>
        <w:t xml:space="preserve"> przyłączeni</w:t>
      </w:r>
      <w:r w:rsidR="00415B77" w:rsidRPr="003A06B2">
        <w:rPr>
          <w:rFonts w:ascii="Arial" w:hAnsi="Arial" w:cs="Arial"/>
          <w:b/>
          <w:sz w:val="24"/>
          <w:szCs w:val="24"/>
        </w:rPr>
        <w:t>e się</w:t>
      </w:r>
      <w:r w:rsidR="00A16482" w:rsidRPr="003A06B2">
        <w:rPr>
          <w:rFonts w:ascii="Arial" w:hAnsi="Arial" w:cs="Arial"/>
          <w:b/>
          <w:sz w:val="24"/>
          <w:szCs w:val="24"/>
        </w:rPr>
        <w:t xml:space="preserve"> </w:t>
      </w:r>
      <w:r w:rsidRPr="003A06B2">
        <w:rPr>
          <w:rFonts w:ascii="Arial" w:hAnsi="Arial" w:cs="Arial"/>
          <w:b/>
          <w:sz w:val="24"/>
          <w:szCs w:val="24"/>
        </w:rPr>
        <w:t xml:space="preserve">kolejnych Państw Członkowskich </w:t>
      </w:r>
      <w:r w:rsidR="00A16482" w:rsidRPr="003A06B2">
        <w:rPr>
          <w:rFonts w:ascii="Arial" w:hAnsi="Arial" w:cs="Arial"/>
          <w:b/>
          <w:sz w:val="24"/>
          <w:szCs w:val="24"/>
        </w:rPr>
        <w:t>oraz ich środowisk bankowych i płatniczych</w:t>
      </w:r>
      <w:r w:rsidR="007064D3" w:rsidRPr="003A06B2">
        <w:rPr>
          <w:rFonts w:ascii="Arial" w:hAnsi="Arial" w:cs="Arial"/>
          <w:b/>
          <w:sz w:val="24"/>
          <w:szCs w:val="24"/>
        </w:rPr>
        <w:t xml:space="preserve"> do tej i</w:t>
      </w:r>
      <w:r w:rsidR="009752AF" w:rsidRPr="003A06B2">
        <w:rPr>
          <w:rFonts w:ascii="Arial" w:hAnsi="Arial" w:cs="Arial"/>
          <w:b/>
          <w:sz w:val="24"/>
          <w:szCs w:val="24"/>
        </w:rPr>
        <w:t xml:space="preserve">nicjatywy. </w:t>
      </w:r>
      <w:r w:rsidR="00762F1A" w:rsidRPr="003A06B2">
        <w:rPr>
          <w:rFonts w:ascii="Arial" w:hAnsi="Arial" w:cs="Arial"/>
          <w:sz w:val="24"/>
          <w:szCs w:val="24"/>
        </w:rPr>
        <w:t>Posiadanie jednolitego, zintegrowanego</w:t>
      </w:r>
      <w:r w:rsidR="00C31A08" w:rsidRPr="003A06B2">
        <w:rPr>
          <w:rFonts w:ascii="Arial" w:hAnsi="Arial" w:cs="Arial"/>
          <w:sz w:val="24"/>
          <w:szCs w:val="24"/>
        </w:rPr>
        <w:t xml:space="preserve"> oraz konkurencyjne</w:t>
      </w:r>
      <w:r w:rsidR="00762F1A" w:rsidRPr="003A06B2">
        <w:rPr>
          <w:rFonts w:ascii="Arial" w:hAnsi="Arial" w:cs="Arial"/>
          <w:sz w:val="24"/>
          <w:szCs w:val="24"/>
        </w:rPr>
        <w:t>go</w:t>
      </w:r>
      <w:r w:rsidR="00DD67F5" w:rsidRPr="003A06B2">
        <w:rPr>
          <w:rFonts w:ascii="Arial" w:hAnsi="Arial" w:cs="Arial"/>
          <w:sz w:val="24"/>
          <w:szCs w:val="24"/>
        </w:rPr>
        <w:t xml:space="preserve"> rozwiązania</w:t>
      </w:r>
      <w:r w:rsidR="00C31A08" w:rsidRPr="003A06B2">
        <w:rPr>
          <w:rFonts w:ascii="Arial" w:hAnsi="Arial" w:cs="Arial"/>
          <w:sz w:val="24"/>
          <w:szCs w:val="24"/>
        </w:rPr>
        <w:t xml:space="preserve"> płatnicze</w:t>
      </w:r>
      <w:r w:rsidR="00DD67F5" w:rsidRPr="003A06B2">
        <w:rPr>
          <w:rFonts w:ascii="Arial" w:hAnsi="Arial" w:cs="Arial"/>
          <w:sz w:val="24"/>
          <w:szCs w:val="24"/>
        </w:rPr>
        <w:t>go</w:t>
      </w:r>
      <w:r w:rsidR="00C31A08" w:rsidRPr="003A06B2">
        <w:rPr>
          <w:rFonts w:ascii="Arial" w:hAnsi="Arial" w:cs="Arial"/>
          <w:sz w:val="24"/>
          <w:szCs w:val="24"/>
        </w:rPr>
        <w:t xml:space="preserve"> byłoby wysoce </w:t>
      </w:r>
      <w:r w:rsidR="0056615C" w:rsidRPr="003A06B2">
        <w:rPr>
          <w:rFonts w:ascii="Arial" w:hAnsi="Arial" w:cs="Arial"/>
          <w:sz w:val="24"/>
          <w:szCs w:val="24"/>
        </w:rPr>
        <w:t xml:space="preserve">korzystne, zarówno dla Unii Europejskiej jako całości, jak również dla wszystkich obywateli i przedsiębiorstw. </w:t>
      </w:r>
    </w:p>
    <w:sectPr w:rsidR="00BF0EE3" w:rsidRPr="003A06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3E" w:rsidRDefault="00065C3E">
      <w:pPr>
        <w:spacing w:after="0" w:line="240" w:lineRule="auto"/>
      </w:pPr>
      <w:r>
        <w:separator/>
      </w:r>
    </w:p>
  </w:endnote>
  <w:endnote w:type="continuationSeparator" w:id="0">
    <w:p w:rsidR="00065C3E" w:rsidRDefault="0006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788703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E0672" w:rsidRDefault="003E067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A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3A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0672" w:rsidRDefault="003E06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3E" w:rsidRDefault="00065C3E">
      <w:pPr>
        <w:spacing w:after="0" w:line="240" w:lineRule="auto"/>
      </w:pPr>
      <w:r>
        <w:separator/>
      </w:r>
    </w:p>
  </w:footnote>
  <w:footnote w:type="continuationSeparator" w:id="0">
    <w:p w:rsidR="00065C3E" w:rsidRDefault="0006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4021"/>
    <w:multiLevelType w:val="hybridMultilevel"/>
    <w:tmpl w:val="12D27138"/>
    <w:lvl w:ilvl="0" w:tplc="AAE8F9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56B76DF0"/>
    <w:multiLevelType w:val="hybridMultilevel"/>
    <w:tmpl w:val="6DEEE44E"/>
    <w:lvl w:ilvl="0" w:tplc="0748CD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D73"/>
    <w:rsid w:val="000351B6"/>
    <w:rsid w:val="00065C3E"/>
    <w:rsid w:val="00115CD5"/>
    <w:rsid w:val="001662D5"/>
    <w:rsid w:val="001711F6"/>
    <w:rsid w:val="00190670"/>
    <w:rsid w:val="001B6C80"/>
    <w:rsid w:val="001F6281"/>
    <w:rsid w:val="0023647A"/>
    <w:rsid w:val="00263ABD"/>
    <w:rsid w:val="00290734"/>
    <w:rsid w:val="003203D9"/>
    <w:rsid w:val="003744EF"/>
    <w:rsid w:val="003A06B2"/>
    <w:rsid w:val="003B44F6"/>
    <w:rsid w:val="003E0672"/>
    <w:rsid w:val="00415B77"/>
    <w:rsid w:val="0044647D"/>
    <w:rsid w:val="004E67D9"/>
    <w:rsid w:val="0054134D"/>
    <w:rsid w:val="00561CAF"/>
    <w:rsid w:val="0056615C"/>
    <w:rsid w:val="005C2808"/>
    <w:rsid w:val="005D0CB8"/>
    <w:rsid w:val="005E7242"/>
    <w:rsid w:val="006122E9"/>
    <w:rsid w:val="006173C2"/>
    <w:rsid w:val="00633039"/>
    <w:rsid w:val="00694232"/>
    <w:rsid w:val="007064D3"/>
    <w:rsid w:val="00720B44"/>
    <w:rsid w:val="007221E6"/>
    <w:rsid w:val="007243F1"/>
    <w:rsid w:val="00762F1A"/>
    <w:rsid w:val="00792517"/>
    <w:rsid w:val="00795620"/>
    <w:rsid w:val="007B3629"/>
    <w:rsid w:val="007B52B8"/>
    <w:rsid w:val="008207D2"/>
    <w:rsid w:val="00857149"/>
    <w:rsid w:val="00872BF5"/>
    <w:rsid w:val="008865C6"/>
    <w:rsid w:val="008E030E"/>
    <w:rsid w:val="00913F69"/>
    <w:rsid w:val="00916225"/>
    <w:rsid w:val="00964775"/>
    <w:rsid w:val="009752AF"/>
    <w:rsid w:val="009C3BDF"/>
    <w:rsid w:val="009D1015"/>
    <w:rsid w:val="00A16482"/>
    <w:rsid w:val="00A44811"/>
    <w:rsid w:val="00AA1EA4"/>
    <w:rsid w:val="00B01C4A"/>
    <w:rsid w:val="00B87B7E"/>
    <w:rsid w:val="00BC43D0"/>
    <w:rsid w:val="00BD01C8"/>
    <w:rsid w:val="00BF0EE3"/>
    <w:rsid w:val="00C21D73"/>
    <w:rsid w:val="00C31A08"/>
    <w:rsid w:val="00C55805"/>
    <w:rsid w:val="00CD1211"/>
    <w:rsid w:val="00D1512E"/>
    <w:rsid w:val="00D43268"/>
    <w:rsid w:val="00D759CB"/>
    <w:rsid w:val="00D85A12"/>
    <w:rsid w:val="00D97B4E"/>
    <w:rsid w:val="00DC6BC4"/>
    <w:rsid w:val="00DD67F5"/>
    <w:rsid w:val="00E8276A"/>
    <w:rsid w:val="00EC4B0E"/>
    <w:rsid w:val="00F57DB8"/>
    <w:rsid w:val="00FA13E7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425154-E1BF-4C6F-B45A-70A1FF8A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5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672"/>
  </w:style>
  <w:style w:type="paragraph" w:styleId="Stopka">
    <w:name w:val="footer"/>
    <w:basedOn w:val="Normalny"/>
    <w:link w:val="StopkaZnak"/>
    <w:uiPriority w:val="99"/>
    <w:unhideWhenUsed/>
    <w:rsid w:val="003E0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finan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648BF-1E38-499D-8353-39727FF00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2021-11-09T09:13:00Z</dcterms:created>
  <dcterms:modified xsi:type="dcterms:W3CDTF">2021-11-09T09:13:00Z</dcterms:modified>
</cp:coreProperties>
</file>