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9F7071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E5621C">
              <w:t>3-12</w:t>
            </w:r>
            <w:r w:rsidRPr="00EF30A1">
              <w:t>-</w:t>
            </w:r>
            <w:r w:rsidR="00E5621C">
              <w:t>27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E5621C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E5621C">
              <w:rPr>
                <w:rFonts w:eastAsia="Arial Unicode MS"/>
                <w:b/>
              </w:rPr>
              <w:t>51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E5621C" w:rsidRPr="00E5621C" w:rsidRDefault="00524D8D" w:rsidP="00E5621C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E5621C" w:rsidRPr="00E5621C">
        <w:rPr>
          <w:b/>
        </w:rPr>
        <w:t>Pan</w:t>
      </w:r>
    </w:p>
    <w:p w:rsidR="00E5621C" w:rsidRPr="00E5621C" w:rsidRDefault="00E5621C" w:rsidP="00E5621C">
      <w:pPr>
        <w:spacing w:line="360" w:lineRule="auto"/>
        <w:ind w:left="3540" w:firstLine="708"/>
        <w:jc w:val="both"/>
        <w:rPr>
          <w:b/>
        </w:rPr>
      </w:pPr>
      <w:r w:rsidRPr="00E5621C">
        <w:rPr>
          <w:b/>
        </w:rPr>
        <w:t>Feliks Solecki</w:t>
      </w:r>
    </w:p>
    <w:p w:rsidR="0071753C" w:rsidRDefault="00E5621C" w:rsidP="00E5621C">
      <w:pPr>
        <w:spacing w:line="360" w:lineRule="auto"/>
        <w:ind w:left="3540" w:firstLine="708"/>
        <w:jc w:val="both"/>
      </w:pPr>
      <w:r w:rsidRPr="00E5621C">
        <w:rPr>
          <w:b/>
        </w:rPr>
        <w:t>Przewodniczący Rady Gminy Lubenia</w:t>
      </w:r>
    </w:p>
    <w:p w:rsidR="00692AEA" w:rsidRDefault="00692AEA" w:rsidP="00524D8D">
      <w:pPr>
        <w:jc w:val="both"/>
      </w:pPr>
    </w:p>
    <w:p w:rsidR="00E5621C" w:rsidRDefault="00E5621C" w:rsidP="00996C9E">
      <w:pPr>
        <w:pStyle w:val="Tekstpodstawowy"/>
        <w:spacing w:after="0" w:line="360" w:lineRule="auto"/>
        <w:jc w:val="both"/>
      </w:pPr>
    </w:p>
    <w:p w:rsidR="00E5621C" w:rsidRDefault="00E5621C" w:rsidP="00996C9E">
      <w:pPr>
        <w:pStyle w:val="Tekstpodstawowy"/>
        <w:spacing w:after="0" w:line="360" w:lineRule="auto"/>
        <w:jc w:val="both"/>
      </w:pPr>
    </w:p>
    <w:p w:rsidR="00E87A59" w:rsidRDefault="00C9367D" w:rsidP="00E5621C">
      <w:pPr>
        <w:pStyle w:val="Tekstpodstawowy"/>
        <w:spacing w:after="0" w:line="360" w:lineRule="auto"/>
        <w:ind w:firstLine="708"/>
        <w:jc w:val="both"/>
        <w:rPr>
          <w:rFonts w:eastAsia="Arial Unicode MS"/>
        </w:rPr>
      </w:pPr>
      <w:r w:rsidRPr="00EF30A1">
        <w:t xml:space="preserve">Na podstawie art. 46 </w:t>
      </w:r>
      <w:r w:rsidRPr="00EF30A1">
        <w:rPr>
          <w:rFonts w:eastAsia="Arial Unicode MS"/>
        </w:rPr>
        <w:t xml:space="preserve">ust. 1 </w:t>
      </w:r>
      <w:r w:rsidR="00524D8D"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E5621C">
        <w:t>6, 12, 13 grudnia 2023</w:t>
      </w:r>
      <w:r w:rsidR="009F7071" w:rsidRPr="009F7071">
        <w:t xml:space="preserve"> r. w Radzie Gminy </w:t>
      </w:r>
      <w:r w:rsidR="00E5621C">
        <w:t>Lubenia</w:t>
      </w:r>
      <w:r w:rsidR="009F7071">
        <w:rPr>
          <w:rStyle w:val="Odwoanieprzypisudolnego"/>
        </w:rPr>
        <w:footnoteReference w:id="1"/>
      </w:r>
      <w:r w:rsidR="009F7071">
        <w:t xml:space="preserve">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E5621C" w:rsidRDefault="009F7071" w:rsidP="00E5621C">
      <w:pPr>
        <w:pStyle w:val="Tekstpodstawowy"/>
        <w:spacing w:after="0" w:line="360" w:lineRule="auto"/>
        <w:jc w:val="both"/>
      </w:pPr>
      <w:r>
        <w:rPr>
          <w:rFonts w:eastAsia="Arial Unicode MS"/>
        </w:rPr>
        <w:tab/>
      </w:r>
      <w:r w:rsidR="00E5621C">
        <w:t xml:space="preserve">Kontrolę przeprowadził p. Mateusz </w:t>
      </w:r>
      <w:proofErr w:type="spellStart"/>
      <w:r w:rsidR="00E5621C">
        <w:t>Wojtyna</w:t>
      </w:r>
      <w:proofErr w:type="spellEnd"/>
      <w:r w:rsidR="00E5621C">
        <w:t xml:space="preserve"> – inspektor wojewódzki w Oddziale Kontroli w Wydziale Prawnym i Nadzoru Podkarpackiego Urzędu Wojewódzkiego w Rzeszowie, na podstawie imiennego upoważnienia do kontroli (pismo z dnia 24 listopada 2023 r., znak: </w:t>
      </w:r>
      <w:r w:rsidR="00E5621C">
        <w:rPr>
          <w:rFonts w:eastAsia="Arial Unicode MS"/>
        </w:rPr>
        <w:t>P-I.431.51.2023),</w:t>
      </w:r>
      <w:r w:rsidR="00E5621C">
        <w:t xml:space="preserve"> udzielonego przez działającą</w:t>
      </w:r>
      <w:r w:rsidR="00E5621C" w:rsidRPr="003A4F7F">
        <w:t xml:space="preserve"> z upoważnienia Wojewody Podkarpackiego p. Małgorzatę Wąsacz – Zastępcę Dyrektora Wydziału Prawnego i Nadzoru Podkarpackiego Urzędu Wojewódzkiego w Rzeszowie.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E5621C" w:rsidRDefault="00E5621C" w:rsidP="00E5621C">
      <w:pPr>
        <w:spacing w:line="360" w:lineRule="auto"/>
        <w:ind w:firstLine="708"/>
        <w:jc w:val="both"/>
      </w:pPr>
    </w:p>
    <w:p w:rsidR="00E5621C" w:rsidRDefault="00E5621C" w:rsidP="00E5621C">
      <w:pPr>
        <w:spacing w:line="360" w:lineRule="auto"/>
        <w:ind w:firstLine="709"/>
        <w:jc w:val="both"/>
        <w:rPr>
          <w:b/>
        </w:rPr>
      </w:pPr>
      <w:r>
        <w:lastRenderedPageBreak/>
        <w:t>W oparciu o poczynione ustalenia, stosownie do skali ocen przyjętej w „Programie kontroli problemowej realizowanej w Radzie Gminy Lubenia”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>wyborów ławników do sądów okręgowych i rejonowych</w:t>
      </w:r>
      <w:r>
        <w:t xml:space="preserve"> </w:t>
      </w:r>
      <w:r w:rsidRPr="00BF257D">
        <w:rPr>
          <w:b/>
        </w:rPr>
        <w:t>należy ocenić pozytywnie</w:t>
      </w:r>
      <w:r>
        <w:rPr>
          <w:b/>
        </w:rPr>
        <w:t xml:space="preserve"> z uchybieniem</w:t>
      </w:r>
      <w:r w:rsidRPr="00BF257D">
        <w:rPr>
          <w:b/>
        </w:rPr>
        <w:t>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Stwierdzone uchybienie – zasięgnięcie przez Przewodniczącego Rady </w:t>
      </w:r>
      <w:r>
        <w:t>Gminy</w:t>
      </w:r>
      <w:r w:rsidRPr="005218BB">
        <w:t xml:space="preserve"> od Komendanta Wojewódzkiego Policji</w:t>
      </w:r>
      <w:r>
        <w:t xml:space="preserve"> w Rzeszowie</w:t>
      </w:r>
      <w:r w:rsidRPr="005218BB">
        <w:t xml:space="preserve"> informacji o kandydatach na ławników w miejsce kompetencji przepisanych Radzie </w:t>
      </w:r>
      <w:r>
        <w:t>Gminy</w:t>
      </w:r>
      <w:r w:rsidRPr="005218BB">
        <w:t xml:space="preserve">, niezgodnie z art. 162 § 9 ustawy </w:t>
      </w:r>
      <w:r w:rsidRPr="005218BB">
        <w:rPr>
          <w:i/>
        </w:rPr>
        <w:t>Prawo o ustroju sądów powszechnych</w:t>
      </w:r>
      <w:r w:rsidRPr="005218BB">
        <w:t xml:space="preserve"> - nie miało charakteru kluczowego (strategicznego) dla funkcjonowania kontrolowanej jednostki, nie miało negatywnego wpływu na kontrolowaną działalność, zarówno w aspekcie finansowym, jak i wykonania zadań. Przy czym przyczyny zaistnienia ww. uchybienia leżały m.in. po stronie kadry pracowniczej odpowiedzialnej za realizację zadań w obszarach objętych kontrolą, dopuszczającej do zmaterializowania się </w:t>
      </w:r>
      <w:proofErr w:type="spellStart"/>
      <w:r w:rsidRPr="005218BB">
        <w:t>ryzyk</w:t>
      </w:r>
      <w:proofErr w:type="spellEnd"/>
      <w:r w:rsidRPr="005218BB">
        <w:t xml:space="preserve"> nieodłącznych kontroli (</w:t>
      </w:r>
      <w:proofErr w:type="spellStart"/>
      <w:r w:rsidRPr="005218BB">
        <w:t>ryzyk</w:t>
      </w:r>
      <w:proofErr w:type="spellEnd"/>
      <w:r w:rsidRPr="005218BB">
        <w:t xml:space="preserve"> związanych z charakterem działalności, operacji, zarządzania procesami) oraz braku adekwatnego wsparcia (dla działań ww. pracowników), gwarantującego właściwe wykonywanie zadań ze strony kadry kierowniczej kontrolowanej jednostki. Nie stwierdzono innych nieprawidłowości (uchybień) w swych skutkach mających charakter kluczowy (strategiczny) dla objętych kontrolą realizowanych zadań. </w:t>
      </w:r>
    </w:p>
    <w:p w:rsidR="00E5621C" w:rsidRDefault="00E5621C" w:rsidP="00E5621C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E5621C" w:rsidRDefault="00E5621C" w:rsidP="00E5621C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Lubenia</w:t>
      </w:r>
      <w:r>
        <w:rPr>
          <w:rStyle w:val="Odwoanieprzypisudolnego"/>
        </w:rPr>
        <w:footnoteReference w:id="3"/>
      </w:r>
      <w:r>
        <w:t xml:space="preserve"> oraz w Regulaminie Organizacyjnym Urzędu Gminy Lubenia</w:t>
      </w:r>
      <w:r>
        <w:rPr>
          <w:rStyle w:val="Odwoanieprzypisudolnego"/>
        </w:rPr>
        <w:footnoteReference w:id="4"/>
      </w:r>
      <w:r>
        <w:t>.</w:t>
      </w:r>
    </w:p>
    <w:p w:rsidR="00E5621C" w:rsidRPr="0083383F" w:rsidRDefault="00E5621C" w:rsidP="00E5621C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lastRenderedPageBreak/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E5621C" w:rsidRDefault="00E5621C" w:rsidP="00E5621C">
      <w:pPr>
        <w:spacing w:line="360" w:lineRule="auto"/>
        <w:ind w:firstLine="708"/>
        <w:jc w:val="both"/>
      </w:pPr>
      <w:r>
        <w:t>W okresie objętym kontrolą (lata 2020-2023) funkcję Przewodniczącego Rady Gminy pełnił p. Feliks Solecki</w:t>
      </w:r>
      <w:r>
        <w:rPr>
          <w:rStyle w:val="Odwoanieprzypisudolnego"/>
        </w:rPr>
        <w:footnoteReference w:id="6"/>
      </w:r>
      <w:r>
        <w:t>.</w:t>
      </w:r>
    </w:p>
    <w:p w:rsidR="00E5621C" w:rsidRDefault="00E5621C" w:rsidP="00E5621C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 xml:space="preserve">Gminy </w:t>
      </w:r>
      <w:r w:rsidRPr="004E35FD">
        <w:t xml:space="preserve">w oparciu o zakres zadań, obowiązków uprawnień i odpowiedzialności realizowała p. </w:t>
      </w:r>
      <w:r>
        <w:t>Jadwiga Szczęch</w:t>
      </w:r>
      <w:r w:rsidRPr="004E35FD">
        <w:rPr>
          <w:rStyle w:val="Odwoanieprzypisudolnego"/>
        </w:rPr>
        <w:footnoteReference w:id="7"/>
      </w:r>
      <w:r w:rsidRPr="004E35FD">
        <w:t xml:space="preserve">, </w:t>
      </w:r>
      <w:r>
        <w:t xml:space="preserve">podinspektor w Urzędzie Gminy Lubenia. 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E5621C" w:rsidRPr="002939C4" w:rsidRDefault="00E5621C" w:rsidP="00E5621C">
      <w:pPr>
        <w:spacing w:line="360" w:lineRule="auto"/>
        <w:ind w:firstLine="708"/>
        <w:jc w:val="both"/>
      </w:pPr>
      <w:r w:rsidRPr="002939C4">
        <w:t xml:space="preserve">W okresie objętym kontrolą Rada </w:t>
      </w:r>
      <w:r>
        <w:t>Gminy</w:t>
      </w:r>
      <w:r w:rsidRPr="002939C4">
        <w:t xml:space="preserve"> prowadziła dwa postępowania dotyczące wyborów ławników do sąd</w:t>
      </w:r>
      <w:r>
        <w:t xml:space="preserve">ów okręgowych i rejonowych, tj. w </w:t>
      </w:r>
      <w:r w:rsidRPr="002939C4">
        <w:t>cze</w:t>
      </w:r>
      <w:r>
        <w:t>rwcu 2019 r. (kadencja</w:t>
      </w:r>
      <w:r w:rsidRPr="002939C4">
        <w:t xml:space="preserve"> 2020-2023) oraz w </w:t>
      </w:r>
      <w:r>
        <w:t>czerwcu</w:t>
      </w:r>
      <w:r w:rsidRPr="002939C4">
        <w:t xml:space="preserve"> 202</w:t>
      </w:r>
      <w:r>
        <w:t>3</w:t>
      </w:r>
      <w:r w:rsidRPr="002939C4">
        <w:t xml:space="preserve"> r. (kadenc</w:t>
      </w:r>
      <w:r>
        <w:t>ja 2024-2027</w:t>
      </w:r>
      <w:r w:rsidRPr="002939C4">
        <w:t>).</w:t>
      </w:r>
    </w:p>
    <w:p w:rsidR="00E5621C" w:rsidRDefault="00E5621C" w:rsidP="00E5621C">
      <w:pPr>
        <w:spacing w:line="360" w:lineRule="auto"/>
        <w:ind w:firstLine="708"/>
        <w:jc w:val="both"/>
      </w:pPr>
      <w:r w:rsidRPr="00A451DB">
        <w:t xml:space="preserve">Dokumentacja związana z postępowaniami dotyczącymi wyboru ławników do sądów okręgowych i rejonowych przechowywana była w teczkach oznaczonych symbolem </w:t>
      </w:r>
      <w:r>
        <w:t>RG.533</w:t>
      </w:r>
      <w:r w:rsidRPr="00A451DB">
        <w:t xml:space="preserve"> o nazwie</w:t>
      </w:r>
      <w:r w:rsidRPr="00A451DB">
        <w:rPr>
          <w:i/>
        </w:rPr>
        <w:t xml:space="preserve"> „Wybory Ławników”</w:t>
      </w:r>
      <w:r w:rsidRPr="00A451DB">
        <w:t>, kat. arch. BE - 5</w:t>
      </w:r>
      <w:r w:rsidRPr="00A451DB">
        <w:rPr>
          <w:i/>
        </w:rPr>
        <w:t xml:space="preserve"> </w:t>
      </w:r>
      <w:r w:rsidRPr="00A451DB">
        <w:t>w szafie biurowej zamykanej na klucz.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>
        <w:t xml:space="preserve">Pismem z dnia 14 </w:t>
      </w:r>
      <w:r w:rsidRPr="005218BB">
        <w:t>maja 20</w:t>
      </w:r>
      <w:r>
        <w:t>19</w:t>
      </w:r>
      <w:r w:rsidRPr="005218BB">
        <w:t xml:space="preserve"> r., znak: A-</w:t>
      </w:r>
      <w:r>
        <w:t>0140-6-2/19</w:t>
      </w:r>
      <w:r w:rsidRPr="005218BB">
        <w:t>, Prezes Sądu Okręgowego w </w:t>
      </w:r>
      <w:r>
        <w:t>Rzeszowie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 gminy ławników na kadencję 2020-2023 - ustalając, że powi</w:t>
      </w:r>
      <w:r>
        <w:t xml:space="preserve">nno </w:t>
      </w:r>
      <w:r w:rsidRPr="005218BB">
        <w:t>zostać wybrany</w:t>
      </w:r>
      <w:r>
        <w:t>ch</w:t>
      </w:r>
      <w:r w:rsidRPr="005218BB">
        <w:t xml:space="preserve"> </w:t>
      </w:r>
      <w:r>
        <w:t>7 </w:t>
      </w:r>
      <w:r w:rsidRPr="005218BB">
        <w:t>ławnik</w:t>
      </w:r>
      <w:r>
        <w:t>ów</w:t>
      </w:r>
      <w:r w:rsidRPr="005218BB">
        <w:t xml:space="preserve"> do orzekania w Sądzie </w:t>
      </w:r>
      <w:r>
        <w:t>Okręgowym w Rzeszowie oraz 2 ławników do orzekania w Sądzie Rejonowym w Rzeszowie (w tym 1 ławnik do orzekania w sprawach z zakresu prawa pracy).</w:t>
      </w:r>
    </w:p>
    <w:p w:rsidR="00E5621C" w:rsidRDefault="00E5621C" w:rsidP="00E5621C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E5621C" w:rsidRDefault="00E5621C" w:rsidP="00E5621C">
      <w:pPr>
        <w:spacing w:line="360" w:lineRule="auto"/>
        <w:ind w:firstLine="708"/>
        <w:jc w:val="both"/>
      </w:pPr>
      <w:r>
        <w:lastRenderedPageBreak/>
        <w:t xml:space="preserve">Pismem z dnia 18 czerwca </w:t>
      </w:r>
      <w:r w:rsidRPr="005218BB">
        <w:t>20</w:t>
      </w:r>
      <w:r>
        <w:t>19</w:t>
      </w:r>
      <w:r w:rsidRPr="005218BB">
        <w:t xml:space="preserve"> r., znak: A-</w:t>
      </w:r>
      <w:r>
        <w:t>0140-6-4/19</w:t>
      </w:r>
      <w:r w:rsidRPr="005218BB">
        <w:t>, Prezes Sądu Okręgowego w </w:t>
      </w:r>
      <w:r>
        <w:t>Rzeszowie</w:t>
      </w:r>
      <w:r w:rsidRPr="005218BB">
        <w:t xml:space="preserve"> </w:t>
      </w:r>
      <w:r>
        <w:t xml:space="preserve">na podstawie </w:t>
      </w:r>
      <w:r w:rsidRPr="005218BB">
        <w:t xml:space="preserve">art. 162 § 1 ustawy </w:t>
      </w:r>
      <w:r w:rsidRPr="005218BB">
        <w:rPr>
          <w:i/>
        </w:rPr>
        <w:t>Prawo o ustroju sądów powszechnych</w:t>
      </w:r>
      <w:r>
        <w:t xml:space="preserve"> w trybie określonym przepisami rozporządzenie Ministra Sprawiedliwości z dnia 9 czerwca 2011 r. </w:t>
      </w:r>
      <w:r w:rsidRPr="006D7A4A">
        <w:rPr>
          <w:i/>
        </w:rPr>
        <w:t>w</w:t>
      </w:r>
      <w:r>
        <w:rPr>
          <w:i/>
        </w:rPr>
        <w:t> 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>, zgłosił 5 kandydatów na ławników do orzekania w Sądzie Okręgowym w Rzeszowie.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>
        <w:t>Ponadto pismem z dnia 25 czerwca 2019 r., znak: A-510-2/19, Prezes Sądu Rejonowego w Rzeszowie zgłosił 1 kandydata na ławnika do orzekania w Sądzie Rejonowym w Rzeszowie.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 xml:space="preserve">o łącznie 6 zgłoszeń </w:t>
      </w:r>
      <w:r w:rsidRPr="005218BB">
        <w:t>na ławnik</w:t>
      </w:r>
      <w:r>
        <w:t>ów</w:t>
      </w:r>
      <w:r w:rsidRPr="005218BB">
        <w:t>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VIII</w:t>
      </w:r>
      <w:r w:rsidRPr="00962CAB">
        <w:t>/</w:t>
      </w:r>
      <w:r>
        <w:t>53/2019</w:t>
      </w:r>
      <w:r w:rsidRPr="00962CAB">
        <w:t xml:space="preserve"> z dnia </w:t>
      </w:r>
      <w:r>
        <w:t>18 czerwca 2019 </w:t>
      </w:r>
      <w:r w:rsidRPr="005218BB">
        <w:t xml:space="preserve">r. </w:t>
      </w:r>
      <w:r>
        <w:rPr>
          <w:i/>
        </w:rPr>
        <w:t xml:space="preserve">w sprawie powołania zespołu dla wyrażenia opinii o zgłoszonych kandydatach na ławników na kadencję 2020-2023 </w:t>
      </w:r>
      <w:r w:rsidRPr="005218BB">
        <w:t>- powołała zespół opiniujący kandydatów na ławników</w:t>
      </w:r>
      <w:r>
        <w:t>.</w:t>
      </w:r>
    </w:p>
    <w:p w:rsidR="00E5621C" w:rsidRDefault="00E5621C" w:rsidP="00E5621C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8 lipca </w:t>
      </w:r>
      <w:r w:rsidRPr="005218BB">
        <w:t>2019 r.</w:t>
      </w:r>
      <w:r>
        <w:t xml:space="preserve"> oraz 29 października 2019 r. ww. </w:t>
      </w:r>
      <w:r w:rsidRPr="005218BB">
        <w:t>zespół ocenił, że zgłoszon</w:t>
      </w:r>
      <w:r>
        <w:t>e</w:t>
      </w:r>
      <w:r w:rsidRPr="005218BB">
        <w:t xml:space="preserve"> kandydatu</w:t>
      </w:r>
      <w:r>
        <w:t>ry spełniają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</w:t>
      </w:r>
      <w:r>
        <w:rPr>
          <w:i/>
        </w:rPr>
        <w:t> </w:t>
      </w:r>
      <w:r w:rsidRPr="005218BB">
        <w:rPr>
          <w:i/>
        </w:rPr>
        <w:t>ustroju sądów powszechnych</w:t>
      </w:r>
      <w:r w:rsidRPr="005218BB">
        <w:t xml:space="preserve"> i</w:t>
      </w:r>
      <w:r>
        <w:t xml:space="preserve"> pozytywnie zaopiniował ich kandydatury na ławników</w:t>
      </w:r>
      <w:r w:rsidRPr="005218BB">
        <w:t>.</w:t>
      </w:r>
    </w:p>
    <w:p w:rsidR="00E5621C" w:rsidRPr="005218BB" w:rsidRDefault="00E5621C" w:rsidP="00E5621C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 xml:space="preserve">8 lipca </w:t>
      </w:r>
      <w:r w:rsidRPr="005218BB">
        <w:t xml:space="preserve">2019 r., znak: </w:t>
      </w:r>
      <w:r>
        <w:t>RG.0054.1.2019</w:t>
      </w:r>
      <w:r w:rsidRPr="005218BB">
        <w:t xml:space="preserve">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>o informację o 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>tj. 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E5621C" w:rsidRDefault="00E5621C" w:rsidP="00E5621C">
      <w:pPr>
        <w:spacing w:line="360" w:lineRule="auto"/>
        <w:ind w:firstLine="708"/>
        <w:jc w:val="both"/>
      </w:pPr>
      <w:r>
        <w:t>W odpowiedzi na powyższe, pismem z dnia 18 lipca 2019 r., znak: E-425/17, Zastępca Komendanta Wojewódzkiego Policji w Rzeszowie udzielił stosownych informacji.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W kontroli ustalono, iż Rada </w:t>
      </w:r>
      <w:r>
        <w:t>Gminy</w:t>
      </w:r>
      <w:r w:rsidRPr="005218BB">
        <w:t xml:space="preserve"> nie podjęła uchwały upoważniającej Przewodniczącego Rady </w:t>
      </w:r>
      <w:r>
        <w:t>Gminy</w:t>
      </w:r>
      <w:r w:rsidRPr="005218BB">
        <w:t xml:space="preserve"> do wystąpienia do Komendanta Wojewódzkiego Policji w Rzeszowie z prośbą o informację o kandydatach na ławników zgłoszonych w wyborach na kadencję 2020-2023.</w:t>
      </w:r>
      <w:r>
        <w:t xml:space="preserve"> </w:t>
      </w:r>
      <w:r w:rsidRPr="005218BB">
        <w:t xml:space="preserve">Powyższym działaniem Przewodniczący Rady </w:t>
      </w:r>
      <w:r>
        <w:t>Gminy</w:t>
      </w:r>
      <w:r w:rsidRPr="005218BB">
        <w:t xml:space="preserve"> naruszył zapisy art. 162 § 9 ustawy </w:t>
      </w:r>
      <w:r w:rsidRPr="005218BB">
        <w:rPr>
          <w:i/>
        </w:rPr>
        <w:t>Prawo o ustroju sądów powszechnych</w:t>
      </w:r>
      <w:r>
        <w:t xml:space="preserve">, zgodnie z </w:t>
      </w:r>
      <w:r w:rsidRPr="005218BB">
        <w:t xml:space="preserve">którym </w:t>
      </w:r>
      <w:r w:rsidRPr="005218BB">
        <w:tab/>
        <w:t>rady gmin zasięgają od komendanta wojewódzkiego Policji albo Komendanta Stołecznego Policji informacji o kandydatach na ławników. 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Wójta Gminy Lubenia </w:t>
      </w:r>
      <w:r w:rsidRPr="005218BB">
        <w:t xml:space="preserve">p. </w:t>
      </w:r>
      <w:r>
        <w:t xml:space="preserve">Bożena Wiśniowska, Sekretarz Gminy </w:t>
      </w:r>
      <w:r w:rsidRPr="005218BB">
        <w:t xml:space="preserve">stwierdziła, </w:t>
      </w:r>
      <w:r w:rsidRPr="00E510CA">
        <w:rPr>
          <w:i/>
        </w:rPr>
        <w:lastRenderedPageBreak/>
        <w:t>że nie została podjęta uchwała w sprawie upoważnienia Przewodniczącego Rady Gminy Lubenia do wystąpienia do Komendanta Wojewódzkiego Policji w Rzeszowie o zasięgnięcie informacji o kandydatach na ławników z powodu przeoczenia.</w:t>
      </w:r>
      <w:r>
        <w:rPr>
          <w:i/>
        </w:rPr>
        <w:t xml:space="preserve"> </w:t>
      </w:r>
    </w:p>
    <w:p w:rsidR="00E5621C" w:rsidRDefault="00E5621C" w:rsidP="00E5621C">
      <w:pPr>
        <w:spacing w:line="360" w:lineRule="auto"/>
        <w:ind w:firstLine="708"/>
        <w:jc w:val="both"/>
      </w:pPr>
      <w:r w:rsidRPr="00962CAB">
        <w:t xml:space="preserve">Rada </w:t>
      </w:r>
      <w:r>
        <w:t>Gminy</w:t>
      </w:r>
      <w:r w:rsidRPr="00962CAB">
        <w:t xml:space="preserve"> - uchwałą Nr X</w:t>
      </w:r>
      <w:r>
        <w:t>II</w:t>
      </w:r>
      <w:r w:rsidRPr="00962CAB">
        <w:t>/</w:t>
      </w:r>
      <w:r>
        <w:t>74/2019</w:t>
      </w:r>
      <w:r w:rsidRPr="00962CAB">
        <w:t xml:space="preserve"> z dnia </w:t>
      </w:r>
      <w:r>
        <w:t xml:space="preserve">29 października 2019 r. </w:t>
      </w:r>
      <w:r w:rsidRPr="00962CAB">
        <w:rPr>
          <w:i/>
        </w:rPr>
        <w:t>w sprawie wyboru ławnik</w:t>
      </w:r>
      <w:r>
        <w:rPr>
          <w:i/>
        </w:rPr>
        <w:t xml:space="preserve">ów na kadencję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ów</w:t>
      </w:r>
      <w:r w:rsidRPr="00962CAB">
        <w:t xml:space="preserve"> do orzekania w </w:t>
      </w:r>
      <w:r>
        <w:t>Sądzie Okręgowym w Rzeszowie oraz w Sądzie Rejonowym w Rzeszowie.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pismami z dnia 30 października 2019 r., znak: RG.0054.1.2019 - przesłał Prezesowi Sądu Okręgowego w Rzeszowie oraz Prezesowi Sądu Rejonowego w Rzeszowie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>
        <w:t xml:space="preserve">Pismem z dnia 15 </w:t>
      </w:r>
      <w:r w:rsidRPr="005218BB">
        <w:t>maja 20</w:t>
      </w:r>
      <w:r>
        <w:t>23</w:t>
      </w:r>
      <w:r w:rsidRPr="005218BB">
        <w:t xml:space="preserve"> r., znak: A-</w:t>
      </w:r>
      <w:r>
        <w:t>0140-5-1/23</w:t>
      </w:r>
      <w:r w:rsidRPr="005218BB">
        <w:t>, Prezes Sądu Okręgowego w </w:t>
      </w:r>
      <w:r>
        <w:t>Rzeszowie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</w:t>
      </w:r>
      <w:r>
        <w:t>u gminy ławników na kadencję 2024-2027</w:t>
      </w:r>
      <w:r w:rsidRPr="005218BB">
        <w:t xml:space="preserve"> - ustalając, że powi</w:t>
      </w:r>
      <w:r>
        <w:t xml:space="preserve">nno </w:t>
      </w:r>
      <w:r w:rsidRPr="005218BB">
        <w:t>zostać wybrany</w:t>
      </w:r>
      <w:r>
        <w:t>ch</w:t>
      </w:r>
      <w:r w:rsidRPr="005218BB">
        <w:t xml:space="preserve"> </w:t>
      </w:r>
      <w:r>
        <w:t>3 </w:t>
      </w:r>
      <w:r w:rsidRPr="005218BB">
        <w:t>ławnik</w:t>
      </w:r>
      <w:r>
        <w:t>ów</w:t>
      </w:r>
      <w:r w:rsidRPr="005218BB">
        <w:t xml:space="preserve"> do orzekania w Sądzie </w:t>
      </w:r>
      <w:r>
        <w:t>Okręgowym w Rzeszowie oraz 2 ławników do orzekania w Sądzie Rejonowym w Rzeszowie (w tym 1 ławnik do orzekania w sprawach z zakresu prawa pracy).</w:t>
      </w:r>
    </w:p>
    <w:p w:rsidR="00E5621C" w:rsidRDefault="00E5621C" w:rsidP="00E5621C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Pismem z dnia 15 czerwca </w:t>
      </w:r>
      <w:r w:rsidRPr="005218BB">
        <w:t>20</w:t>
      </w:r>
      <w:r>
        <w:t>19</w:t>
      </w:r>
      <w:r w:rsidRPr="005218BB">
        <w:t xml:space="preserve"> r., znak: A-</w:t>
      </w:r>
      <w:r>
        <w:t>0140-5-4/23</w:t>
      </w:r>
      <w:r w:rsidRPr="005218BB">
        <w:t>, Prezes Sądu Okręgowego w </w:t>
      </w:r>
      <w:r>
        <w:t>Rzeszowie</w:t>
      </w:r>
      <w:r w:rsidRPr="005218BB">
        <w:t xml:space="preserve"> </w:t>
      </w:r>
      <w:r>
        <w:t xml:space="preserve">na podstawie </w:t>
      </w:r>
      <w:r w:rsidRPr="005218BB">
        <w:t xml:space="preserve">art. 162 § 1 ustawy </w:t>
      </w:r>
      <w:r w:rsidRPr="005218BB">
        <w:rPr>
          <w:i/>
        </w:rPr>
        <w:t>Prawo o ustroju sądów powszechnych</w:t>
      </w:r>
      <w:r>
        <w:t xml:space="preserve"> w trybie określonym przepisami rozporządzenie Ministra Sprawiedliwości z dnia 9 czerwca 2011 r. </w:t>
      </w:r>
      <w:r w:rsidRPr="006D7A4A">
        <w:rPr>
          <w:i/>
        </w:rPr>
        <w:t>w</w:t>
      </w:r>
      <w:r>
        <w:rPr>
          <w:i/>
        </w:rPr>
        <w:t> 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>, zgłosił 1 kandydata na ławnika do orzekania w Sądzie Okręgowym w Rzeszowie.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>
        <w:t>, tj. do końca czerwca 2023</w:t>
      </w:r>
      <w:r w:rsidRPr="005218BB">
        <w:t xml:space="preserve"> r., wpłynęł</w:t>
      </w:r>
      <w:r>
        <w:t xml:space="preserve">o łącznie 2 zgłoszenia </w:t>
      </w:r>
      <w:r w:rsidRPr="005218BB">
        <w:t>na ławnik</w:t>
      </w:r>
      <w:r>
        <w:t>ów</w:t>
      </w:r>
      <w:r w:rsidRPr="005218BB">
        <w:t>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lastRenderedPageBreak/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>
        <w:t>LXIV</w:t>
      </w:r>
      <w:r w:rsidRPr="00962CAB">
        <w:t>/</w:t>
      </w:r>
      <w:r>
        <w:t>296/2023</w:t>
      </w:r>
      <w:r w:rsidRPr="00962CAB">
        <w:t xml:space="preserve"> z dnia </w:t>
      </w:r>
      <w:r>
        <w:t>20 czerwca 2023 </w:t>
      </w:r>
      <w:r w:rsidRPr="005218BB">
        <w:t xml:space="preserve">r. </w:t>
      </w:r>
      <w:r>
        <w:rPr>
          <w:i/>
        </w:rPr>
        <w:t xml:space="preserve">w sprawie powołania zespołu dla wyrażenia opinii o zgłoszonych kandydatach na ławników na kadencję 2020-2023 </w:t>
      </w:r>
      <w:r w:rsidRPr="005218BB">
        <w:t>- powołała zespół opiniujący kandydatów na ławników</w:t>
      </w:r>
      <w:r>
        <w:t>.</w:t>
      </w:r>
    </w:p>
    <w:p w:rsidR="00E5621C" w:rsidRDefault="00E5621C" w:rsidP="00E5621C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11 lipca 2023</w:t>
      </w:r>
      <w:r w:rsidRPr="005218BB">
        <w:t xml:space="preserve"> r.</w:t>
      </w:r>
      <w:r>
        <w:t xml:space="preserve"> oraz 28 września 2023 r. ww. </w:t>
      </w:r>
      <w:r w:rsidRPr="005218BB">
        <w:t>zespół ocenił, że zgłoszon</w:t>
      </w:r>
      <w:r>
        <w:t>e</w:t>
      </w:r>
      <w:r w:rsidRPr="005218BB">
        <w:t xml:space="preserve"> kandydatu</w:t>
      </w:r>
      <w:r>
        <w:t>ry spełniają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 </w:t>
      </w:r>
      <w:r w:rsidRPr="005218BB">
        <w:t xml:space="preserve">art. 162 ustawy </w:t>
      </w:r>
      <w:r w:rsidRPr="005218BB">
        <w:rPr>
          <w:i/>
        </w:rPr>
        <w:t>Prawo o</w:t>
      </w:r>
      <w:r>
        <w:rPr>
          <w:i/>
        </w:rPr>
        <w:t> </w:t>
      </w:r>
      <w:r w:rsidRPr="005218BB">
        <w:rPr>
          <w:i/>
        </w:rPr>
        <w:t>ustroju sądów powszechnych</w:t>
      </w:r>
      <w:r w:rsidRPr="005218BB">
        <w:t xml:space="preserve"> i</w:t>
      </w:r>
      <w:r>
        <w:t xml:space="preserve"> pozytywnie zaopiniował ich kandydatury na ławników</w:t>
      </w:r>
      <w:r w:rsidRPr="005218BB">
        <w:t>.</w:t>
      </w:r>
    </w:p>
    <w:p w:rsidR="00E5621C" w:rsidRPr="005218BB" w:rsidRDefault="00E5621C" w:rsidP="00E5621C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 xml:space="preserve">11 lipca </w:t>
      </w:r>
      <w:r w:rsidRPr="005218BB">
        <w:t>20</w:t>
      </w:r>
      <w:r>
        <w:t>23</w:t>
      </w:r>
      <w:r w:rsidRPr="005218BB">
        <w:t xml:space="preserve"> r., znak: </w:t>
      </w:r>
      <w:r>
        <w:t>RG.533.1.2023</w:t>
      </w:r>
      <w:r w:rsidRPr="005218BB">
        <w:t xml:space="preserve">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>o informację o 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</w:t>
      </w:r>
      <w:r>
        <w:t>4-2027</w:t>
      </w:r>
      <w:r w:rsidRPr="005218BB">
        <w:t xml:space="preserve">, </w:t>
      </w:r>
      <w:r>
        <w:t>tj. 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E5621C" w:rsidRDefault="00E5621C" w:rsidP="00E5621C">
      <w:pPr>
        <w:spacing w:line="360" w:lineRule="auto"/>
        <w:ind w:firstLine="708"/>
        <w:jc w:val="both"/>
      </w:pPr>
      <w:r>
        <w:t>W odpowiedzi na powyższe, pismami z dnia 24 lipa 2023 r. oraz 2 sierpnia 2023 r., znak: E-344/23, Zastępca Komendanta Wojewódzkiego Policji w Rzeszowie udzielił stosownych informacji.</w:t>
      </w:r>
    </w:p>
    <w:p w:rsidR="00E5621C" w:rsidRPr="005218BB" w:rsidRDefault="00E5621C" w:rsidP="00E5621C">
      <w:pPr>
        <w:spacing w:line="360" w:lineRule="auto"/>
        <w:ind w:firstLine="708"/>
        <w:jc w:val="both"/>
      </w:pPr>
      <w:r w:rsidRPr="005218BB">
        <w:t xml:space="preserve">W kontroli ustalono, iż Rada </w:t>
      </w:r>
      <w:r>
        <w:t>Gminy</w:t>
      </w:r>
      <w:r w:rsidRPr="005218BB">
        <w:t xml:space="preserve"> nie podjęła uchwały upoważniającej Przewodniczącego Rady </w:t>
      </w:r>
      <w:r>
        <w:t>Gminy</w:t>
      </w:r>
      <w:r w:rsidRPr="005218BB">
        <w:t xml:space="preserve"> do wystąpienia do Komendanta Wojewódzkiego Policji w Rzeszowie z prośbą o informację o kandydatach na ławników zgłoszo</w:t>
      </w:r>
      <w:r>
        <w:t>nych w wyborach na kadencję 2023</w:t>
      </w:r>
      <w:r w:rsidRPr="005218BB">
        <w:t>-202</w:t>
      </w:r>
      <w:r>
        <w:t>7</w:t>
      </w:r>
      <w:r w:rsidRPr="005218BB">
        <w:t>.</w:t>
      </w:r>
      <w:r>
        <w:t xml:space="preserve"> </w:t>
      </w:r>
      <w:r w:rsidRPr="005218BB">
        <w:t xml:space="preserve">Powyższym działaniem Przewodniczący Rady </w:t>
      </w:r>
      <w:r>
        <w:t>Gminy</w:t>
      </w:r>
      <w:r w:rsidRPr="005218BB">
        <w:t xml:space="preserve"> naruszył zapisy art. 162 § 9 ustawy </w:t>
      </w:r>
      <w:r w:rsidRPr="005218BB">
        <w:rPr>
          <w:i/>
        </w:rPr>
        <w:t>Prawo o ustroju sądów powszechnych</w:t>
      </w:r>
      <w:r>
        <w:t xml:space="preserve">, zgodnie z </w:t>
      </w:r>
      <w:r w:rsidRPr="005218BB">
        <w:t xml:space="preserve">którym </w:t>
      </w:r>
      <w:r w:rsidRPr="005218BB">
        <w:tab/>
        <w:t>rady gmin zasięgają od komendanta wojewódzkiego Policji albo Komendanta Stołecznego Policji informacji o kandydatach na ławników. Odnosząc się do powyższego</w:t>
      </w:r>
      <w:r>
        <w:t>,</w:t>
      </w:r>
      <w:r w:rsidRPr="005218BB">
        <w:t xml:space="preserve"> </w:t>
      </w:r>
      <w:r>
        <w:t>działająca</w:t>
      </w:r>
      <w:r w:rsidRPr="00916791">
        <w:t xml:space="preserve"> z</w:t>
      </w:r>
      <w:r>
        <w:t> </w:t>
      </w:r>
      <w:r w:rsidRPr="00916791">
        <w:t xml:space="preserve">upoważnienia </w:t>
      </w:r>
      <w:r>
        <w:t xml:space="preserve">Wójta Gminy Lubenia </w:t>
      </w:r>
      <w:r w:rsidRPr="005218BB">
        <w:t xml:space="preserve">p. </w:t>
      </w:r>
      <w:r>
        <w:t xml:space="preserve">Bożena Wiśniowska, Sekretarz Gminy </w:t>
      </w:r>
      <w:r w:rsidRPr="005218BB">
        <w:t xml:space="preserve">stwierdziła, </w:t>
      </w:r>
      <w:r w:rsidRPr="00E510CA">
        <w:rPr>
          <w:i/>
        </w:rPr>
        <w:t>że nie została podjęta uchwała w sprawie upoważnienia Przewodniczącego Rady Gminy Lubenia do wystąpienia do Komendanta Wojewódzkiego Policji w Rzeszowie o zasięgnięcie informacji o kandydatach na ławników z powodu przeoczenia.</w:t>
      </w:r>
      <w:r>
        <w:rPr>
          <w:i/>
        </w:rPr>
        <w:t xml:space="preserve"> </w:t>
      </w:r>
    </w:p>
    <w:p w:rsidR="00E5621C" w:rsidRDefault="00E5621C" w:rsidP="00E5621C">
      <w:pPr>
        <w:spacing w:line="360" w:lineRule="auto"/>
        <w:ind w:firstLine="708"/>
        <w:jc w:val="both"/>
      </w:pPr>
      <w:r w:rsidRPr="00962CAB">
        <w:t xml:space="preserve">Rada </w:t>
      </w:r>
      <w:r>
        <w:t>Gminy</w:t>
      </w:r>
      <w:r w:rsidRPr="00962CAB">
        <w:t xml:space="preserve"> - uchwałą Nr </w:t>
      </w:r>
      <w:r>
        <w:t>L</w:t>
      </w:r>
      <w:r w:rsidRPr="00962CAB">
        <w:t>X</w:t>
      </w:r>
      <w:r>
        <w:t>VIII</w:t>
      </w:r>
      <w:r w:rsidRPr="00962CAB">
        <w:t>/</w:t>
      </w:r>
      <w:r>
        <w:t>307/2023</w:t>
      </w:r>
      <w:r w:rsidRPr="00962CAB">
        <w:t xml:space="preserve"> z dnia </w:t>
      </w:r>
      <w:r>
        <w:t xml:space="preserve">28 września 2023 r. </w:t>
      </w:r>
      <w:r w:rsidRPr="00962CAB">
        <w:rPr>
          <w:i/>
        </w:rPr>
        <w:t>w sprawie wyboru ławnik</w:t>
      </w:r>
      <w:r>
        <w:rPr>
          <w:i/>
        </w:rPr>
        <w:t xml:space="preserve">ów na kadencję 2024-2027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ów</w:t>
      </w:r>
      <w:r w:rsidRPr="00962CAB">
        <w:t xml:space="preserve"> do orzekania w </w:t>
      </w:r>
      <w:r>
        <w:t>Sądzie Okręgowym w Rzeszowie.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pismem z dnia 2 października 2023 r., znak: RG.533.2.2019 - przesłał Prezesowi Sądu Okręgowego w Rzeszowie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</w:t>
      </w:r>
      <w:r>
        <w:lastRenderedPageBreak/>
        <w:t xml:space="preserve">oraz § 4 rozporządzenia Ministra Sprawiedliwości z 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Z uwagi na brak zgłoszeń kandydatów do orzekania w Sadzie Rejonowym w Rzeszowie Rada Gminy nie dokonała wyborów ławników. </w:t>
      </w:r>
    </w:p>
    <w:p w:rsidR="00E5621C" w:rsidRDefault="00E5621C" w:rsidP="00E5621C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E5621C" w:rsidRDefault="00E5621C" w:rsidP="00E5621C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E5621C" w:rsidRDefault="00E5621C" w:rsidP="00E5621C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E5621C" w:rsidRPr="00EF30A1" w:rsidRDefault="00E5621C" w:rsidP="00E5621C">
      <w:pPr>
        <w:spacing w:line="360" w:lineRule="auto"/>
        <w:ind w:firstLine="708"/>
        <w:jc w:val="both"/>
      </w:pPr>
      <w:r w:rsidRPr="00EF30A1">
        <w:t xml:space="preserve">Do ww. ustaleń kontrolnych zawartych w projekcie wystąpienia </w:t>
      </w:r>
      <w:r>
        <w:t>pokontrolnego, przekazanych Panu</w:t>
      </w:r>
      <w:r w:rsidRPr="00EF30A1">
        <w:t xml:space="preserve"> w dniu </w:t>
      </w:r>
      <w:r>
        <w:t>13 grudnia 2023 r., p</w:t>
      </w:r>
      <w:r w:rsidRPr="00EF30A1">
        <w:t>rzysługiwało Pan</w:t>
      </w:r>
      <w:r>
        <w:t>u</w:t>
      </w:r>
      <w:r w:rsidRPr="00EF30A1">
        <w:t>, na podstawie ww. ustawy o</w:t>
      </w:r>
      <w:r>
        <w:t> </w:t>
      </w:r>
      <w:r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5621C" w:rsidRDefault="00E5621C" w:rsidP="00E5621C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E5621C" w:rsidRDefault="00E5621C" w:rsidP="00E5621C">
      <w:pPr>
        <w:spacing w:line="360" w:lineRule="auto"/>
        <w:ind w:firstLine="709"/>
        <w:jc w:val="both"/>
      </w:pPr>
      <w:r>
        <w:t>Przedstawiając powyższe uwagi i oceny, dokonane m.in. w oparciu o projekt wystąpienia pokontrolnego oraz ww. akta kontroli, w celu usprawnienia badanej działalności, przekazuję do realizacji następujące zalecenie pokontrolne:</w:t>
      </w:r>
    </w:p>
    <w:p w:rsidR="00E5621C" w:rsidRDefault="00E5621C" w:rsidP="00E5621C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Pr="0071753C">
        <w:t>zasięgnięcia przez Radę gminy od komendanta wojewódzkiego Policji albo Komendanta Stołecznego Policji infor</w:t>
      </w:r>
      <w:r>
        <w:t>macji o kandydatach na ławników.</w:t>
      </w:r>
    </w:p>
    <w:p w:rsidR="00E5621C" w:rsidRDefault="00E5621C" w:rsidP="00E5621C">
      <w:pPr>
        <w:spacing w:line="360" w:lineRule="auto"/>
        <w:ind w:left="360" w:firstLine="348"/>
        <w:jc w:val="both"/>
      </w:pPr>
      <w:r>
        <w:lastRenderedPageBreak/>
        <w:t xml:space="preserve">O sposobie wykonania powyższego zalecenia, a także o podjętych działaniach lub przyczynach ich niepodjęcia - mając na względzie art. 64 ust. 3 zarządzenia Nr 1/14 Wojewody Podkarpackiego z dnia 2 stycznia 2014 r. </w:t>
      </w:r>
      <w:r w:rsidRPr="00E5621C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>- proszę mnie poinformować na piśmie w terminie 14 dni od daty otrzymania niniejszego wystąpienia pokontrolnego.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5A3538" w:rsidRDefault="005A3538" w:rsidP="005A3538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5A3538" w:rsidRDefault="005A3538" w:rsidP="005A3538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5621C" w:rsidRPr="00E5621C">
        <w:rPr>
          <w:b/>
          <w:sz w:val="26"/>
          <w:szCs w:val="26"/>
        </w:rPr>
        <w:t>Teresa Kubas-</w:t>
      </w:r>
      <w:proofErr w:type="spellStart"/>
      <w:r w:rsidR="00E5621C" w:rsidRPr="00E5621C">
        <w:rPr>
          <w:b/>
          <w:sz w:val="26"/>
          <w:szCs w:val="26"/>
        </w:rPr>
        <w:t>Hul</w:t>
      </w:r>
      <w:proofErr w:type="spellEnd"/>
    </w:p>
    <w:p w:rsidR="005A3538" w:rsidRDefault="005A3538" w:rsidP="005A3538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7C79FF" w:rsidRPr="007C79FF" w:rsidRDefault="007C79FF" w:rsidP="007C79FF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7C79FF">
        <w:rPr>
          <w:i/>
          <w:sz w:val="20"/>
          <w:szCs w:val="20"/>
        </w:rPr>
        <w:t>Pan</w:t>
      </w:r>
    </w:p>
    <w:p w:rsidR="007C79FF" w:rsidRDefault="007C79FF" w:rsidP="007C79FF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7C79FF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Adam Skoczylas</w:t>
      </w:r>
    </w:p>
    <w:p w:rsidR="007C79FF" w:rsidRPr="007C79FF" w:rsidRDefault="007C79FF" w:rsidP="007C79FF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7C79FF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Lubenia</w:t>
      </w:r>
    </w:p>
    <w:p w:rsidR="00302788" w:rsidRPr="00A96586" w:rsidRDefault="00302788" w:rsidP="007C79FF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</w:p>
    <w:sectPr w:rsidR="00302788" w:rsidRPr="00A96586" w:rsidSect="00E5621C">
      <w:footerReference w:type="even" r:id="rId10"/>
      <w:footerReference w:type="default" r:id="rId11"/>
      <w:pgSz w:w="11906" w:h="16838" w:code="9"/>
      <w:pgMar w:top="1560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B8" w:rsidRDefault="008F43B8" w:rsidP="004E2049">
      <w:r>
        <w:separator/>
      </w:r>
    </w:p>
  </w:endnote>
  <w:endnote w:type="continuationSeparator" w:id="0">
    <w:p w:rsidR="008F43B8" w:rsidRDefault="008F43B8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E5621C">
      <w:rPr>
        <w:sz w:val="20"/>
      </w:rPr>
      <w:t>51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EF2AA3">
      <w:rPr>
        <w:noProof/>
        <w:sz w:val="20"/>
      </w:rPr>
      <w:t>8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EF2AA3">
      <w:rPr>
        <w:noProof/>
        <w:sz w:val="20"/>
      </w:rPr>
      <w:t>8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B8" w:rsidRDefault="008F43B8" w:rsidP="004E2049">
      <w:r>
        <w:separator/>
      </w:r>
    </w:p>
  </w:footnote>
  <w:footnote w:type="continuationSeparator" w:id="0">
    <w:p w:rsidR="008F43B8" w:rsidRDefault="008F43B8" w:rsidP="004E2049">
      <w:r>
        <w:continuationSeparator/>
      </w:r>
    </w:p>
  </w:footnote>
  <w:footnote w:id="1">
    <w:p w:rsidR="009F7071" w:rsidRDefault="009F7071" w:rsidP="009F707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  <w:footnote w:id="2">
    <w:p w:rsidR="00E5621C" w:rsidRPr="008F08CC" w:rsidRDefault="00E5621C" w:rsidP="00E5621C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E5621C" w:rsidRDefault="00E5621C" w:rsidP="00E5621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Obwieszczenie Nr 1/2019 Rady Gminy Lubenia z dnia 29 października 2019 r. </w:t>
      </w:r>
      <w:r w:rsidRPr="00474E00">
        <w:rPr>
          <w:i/>
        </w:rPr>
        <w:t xml:space="preserve">w sprawie </w:t>
      </w:r>
      <w:r>
        <w:rPr>
          <w:i/>
        </w:rPr>
        <w:t>ogłoszenia tekstu jednolitego uchwały w sprawie uchwalenia Statutu Gminy Lubenia.</w:t>
      </w:r>
    </w:p>
  </w:footnote>
  <w:footnote w:id="4">
    <w:p w:rsidR="00E5621C" w:rsidRDefault="00E5621C" w:rsidP="00E5621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40/2015 Wójta Gminy Lubenia z dnia 22 maja 2015 r. </w:t>
      </w:r>
      <w:r w:rsidRPr="00CB265F">
        <w:rPr>
          <w:i/>
        </w:rPr>
        <w:t>w sprawie Regulaminu Urzędu Gminy Lubenia</w:t>
      </w:r>
      <w:r>
        <w:rPr>
          <w:i/>
        </w:rPr>
        <w:t>.</w:t>
      </w:r>
    </w:p>
  </w:footnote>
  <w:footnote w:id="5">
    <w:p w:rsidR="00E5621C" w:rsidRDefault="00E5621C" w:rsidP="00E5621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E5621C" w:rsidRDefault="00E5621C" w:rsidP="00E5621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Gminy Lubenia z dnia 20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 Lubenia</w:t>
      </w:r>
      <w:r w:rsidRPr="00750483">
        <w:rPr>
          <w:i/>
        </w:rPr>
        <w:t>.</w:t>
      </w:r>
    </w:p>
  </w:footnote>
  <w:footnote w:id="7">
    <w:p w:rsidR="00E5621C" w:rsidRDefault="00E5621C" w:rsidP="00E5621C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znak: OR.2122.43.2015 z dnia 1 czerwca 2015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49D5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0D67"/>
    <w:rsid w:val="00302788"/>
    <w:rsid w:val="00303C08"/>
    <w:rsid w:val="00307D20"/>
    <w:rsid w:val="00314DD0"/>
    <w:rsid w:val="00315721"/>
    <w:rsid w:val="003179C1"/>
    <w:rsid w:val="003231D3"/>
    <w:rsid w:val="00327711"/>
    <w:rsid w:val="0033045D"/>
    <w:rsid w:val="00333995"/>
    <w:rsid w:val="00340376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3538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0D6D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2479"/>
    <w:rsid w:val="00666B82"/>
    <w:rsid w:val="00667CC0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C79FF"/>
    <w:rsid w:val="007D180A"/>
    <w:rsid w:val="007E074F"/>
    <w:rsid w:val="007E0EA2"/>
    <w:rsid w:val="007E15E8"/>
    <w:rsid w:val="007E3686"/>
    <w:rsid w:val="007E4F86"/>
    <w:rsid w:val="007F5FA4"/>
    <w:rsid w:val="007F6006"/>
    <w:rsid w:val="007F647D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8F43B8"/>
    <w:rsid w:val="009019CA"/>
    <w:rsid w:val="009026DF"/>
    <w:rsid w:val="00903D43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9F7071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621C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4CF8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2AA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4980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0E8B-ED90-4981-80D3-EFCFB64A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2023-12-27T07:26:00Z</cp:lastPrinted>
  <dcterms:created xsi:type="dcterms:W3CDTF">2024-01-03T08:51:00Z</dcterms:created>
  <dcterms:modified xsi:type="dcterms:W3CDTF">2024-01-03T08:51:00Z</dcterms:modified>
</cp:coreProperties>
</file>