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C6AF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10E16A64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2BB492F" w14:textId="77777777" w:rsidR="00525E0B" w:rsidRPr="007541BD" w:rsidRDefault="00525E0B" w:rsidP="00525E0B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02B20CC9" w14:textId="4C89E3E3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625A30A4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za I</w:t>
      </w:r>
      <w:r w:rsidR="00EF6AFC">
        <w:rPr>
          <w:rFonts w:ascii="Arial" w:hAnsi="Arial" w:cs="Arial"/>
          <w:b/>
          <w:color w:val="auto"/>
          <w:sz w:val="24"/>
          <w:szCs w:val="24"/>
        </w:rPr>
        <w:t>I</w:t>
      </w:r>
      <w:r w:rsidR="006D0A99">
        <w:rPr>
          <w:rFonts w:ascii="Arial" w:hAnsi="Arial" w:cs="Arial"/>
          <w:b/>
          <w:color w:val="auto"/>
          <w:sz w:val="24"/>
          <w:szCs w:val="24"/>
        </w:rPr>
        <w:t>I</w:t>
      </w: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 kwartał 2020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9" w14:textId="6B2D090C" w:rsidR="00346F52" w:rsidRPr="00DD77E1" w:rsidRDefault="00222882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2020 r.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2023 r.</w:t>
            </w: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02B20CFB" w14:textId="3667CD0A" w:rsidR="004C5214" w:rsidRPr="00DD77E1" w:rsidRDefault="00FB5A86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02B20CFD" w14:textId="5E80D0D3" w:rsidR="00D8752C" w:rsidRPr="00DD77E1" w:rsidRDefault="005548F2" w:rsidP="00D2479E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EF6AFC">
              <w:rPr>
                <w:rFonts w:ascii="Arial" w:hAnsi="Arial" w:cs="Arial"/>
                <w:sz w:val="20"/>
                <w:szCs w:val="20"/>
              </w:rPr>
              <w:t>1,40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E" w14:textId="0ED8160F" w:rsidR="00071880" w:rsidRPr="00DD77E1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EF6AFC">
              <w:rPr>
                <w:rFonts w:ascii="Arial" w:hAnsi="Arial" w:cs="Arial"/>
                <w:sz w:val="20"/>
                <w:szCs w:val="20"/>
              </w:rPr>
              <w:t>1,40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2B20CFF" w14:textId="071DBD46" w:rsidR="00907F6D" w:rsidRPr="00DD77E1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3F831C04" w:rsidR="00ED2CD3" w:rsidRPr="00DD77E1" w:rsidRDefault="00EF6AFC" w:rsidP="00C441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</w:t>
            </w:r>
            <w:r w:rsidR="006D0A99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77777777" w:rsidR="004350B8" w:rsidRPr="00DD77E1" w:rsidRDefault="00121875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2B20D10" w14:textId="16310EF9" w:rsidR="004350B8" w:rsidRPr="00DD77E1" w:rsidRDefault="00A608CC" w:rsidP="007B5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08-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77777777" w:rsidR="00EC6677" w:rsidRPr="00DD77E1" w:rsidRDefault="00121875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05-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07-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09-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77777777" w:rsidR="00DC39A9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2B20D51" w14:textId="77777777" w:rsidR="00047D9D" w:rsidRPr="00DD77E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77777777" w:rsidR="0076145B" w:rsidRPr="00DD77E1" w:rsidRDefault="00213912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333E7175" w:rsidR="0060483D" w:rsidRPr="00DD77E1" w:rsidRDefault="00C42F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7D935C28" w:rsidR="0060483D" w:rsidRPr="00DD77E1" w:rsidRDefault="00C94BCA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194375C0" w:rsidR="00327130" w:rsidRPr="00DD77E1" w:rsidDel="005B5A13" w:rsidRDefault="00C94BC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</w:t>
            </w:r>
            <w:r w:rsidR="00B239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B20D77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4C090D1B" w:rsidR="00327130" w:rsidRPr="00DD77E1" w:rsidDel="005B5A13" w:rsidRDefault="00C94BC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</w:t>
            </w:r>
            <w:r w:rsidR="00B239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B20D7D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56303870" w:rsidR="0060483D" w:rsidRPr="00DD77E1" w:rsidRDefault="005B5A13" w:rsidP="000126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3037DCAD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 xml:space="preserve">Średnia liczba oświadczeń o współpracy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lastRenderedPageBreak/>
              <w:t>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118CFFA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2045FCA1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5EF16359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373F807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51949688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7777777" w:rsidR="00587A65" w:rsidRDefault="00F35C57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2268" w:type="dxa"/>
          </w:tcPr>
          <w:p w14:paraId="02B20DB4" w14:textId="77777777" w:rsidR="00587A65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01-2022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D77E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D77E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2B20DDE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002715AF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31B2C8EC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11-2020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002715AF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72A36FBB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E" w14:textId="77777777" w:rsidTr="002715AF">
        <w:tc>
          <w:tcPr>
            <w:tcW w:w="2547" w:type="dxa"/>
          </w:tcPr>
          <w:p w14:paraId="02B20DEA" w14:textId="080374DA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07A6927D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843" w:type="dxa"/>
          </w:tcPr>
          <w:p w14:paraId="02B20DEC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1C4E6DDD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7"/>
        <w:gridCol w:w="1693"/>
        <w:gridCol w:w="1705"/>
        <w:gridCol w:w="3146"/>
      </w:tblGrid>
      <w:tr w:rsidR="00153FFF" w:rsidRPr="00DD77E1" w14:paraId="02B20DF6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DD77E1" w:rsidRDefault="00153FFF">
            <w:pPr>
              <w:suppressAutoHyphens/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lang w:eastAsia="ar-SA"/>
              </w:rPr>
            </w:pPr>
            <w:r w:rsidRPr="00DD77E1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Sposób zarządzania ryzykiem</w:t>
            </w:r>
          </w:p>
        </w:tc>
      </w:tr>
      <w:tr w:rsidR="00153FFF" w:rsidRPr="00DD77E1" w14:paraId="02B20DFF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DD77E1" w:rsidRDefault="00153FFF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Default="002C1234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41FCFFDE" w14:textId="77777777" w:rsidR="00153FFF" w:rsidRDefault="00E97E8D" w:rsidP="002C12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  <w:p w14:paraId="2A951D18" w14:textId="77777777" w:rsidR="00054271" w:rsidRDefault="00054271" w:rsidP="00054271">
            <w:pPr>
              <w:rPr>
                <w:lang w:eastAsia="pl-PL"/>
              </w:rPr>
            </w:pPr>
          </w:p>
          <w:p w14:paraId="02B20DFE" w14:textId="6A78F734" w:rsidR="00054271" w:rsidRPr="003F2F07" w:rsidRDefault="00054271" w:rsidP="003F2F07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3F2F07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0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DD77E1" w:rsidRDefault="00153FFF" w:rsidP="00357862">
            <w:pPr>
              <w:pStyle w:val="Legenda"/>
              <w:numPr>
                <w:ilvl w:val="0"/>
                <w:numId w:val="3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Stawianie odpowiednio wysokich wymagań ukierunkowanych na weryfikację kompetencji i </w:t>
            </w: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doświadczenia podmiotów ubiegających się o realizację prac.</w:t>
            </w:r>
          </w:p>
          <w:p w14:paraId="02B20E06" w14:textId="77777777" w:rsidR="00F6310E" w:rsidRDefault="00F6310E" w:rsidP="00357862">
            <w:pPr>
              <w:pStyle w:val="Akapitzlist"/>
              <w:numPr>
                <w:ilvl w:val="0"/>
                <w:numId w:val="31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192741BC" w14:textId="77777777" w:rsidR="00F6310E" w:rsidRDefault="00C14E6E" w:rsidP="00357862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4B26E6">
              <w:rPr>
                <w:lang w:eastAsia="pl-PL"/>
              </w:rPr>
              <w:t>że Wykonawca</w:t>
            </w:r>
            <w:r>
              <w:rPr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  <w:p w14:paraId="43AD4C72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6A5A98BD" w14:textId="77777777" w:rsidR="00054271" w:rsidRDefault="00054271" w:rsidP="00054271">
            <w:pPr>
              <w:rPr>
                <w:lang w:eastAsia="pl-PL"/>
              </w:rPr>
            </w:pPr>
          </w:p>
          <w:p w14:paraId="02B20E07" w14:textId="30A27702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1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Rotacja członków zespołu projektowego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DD77E1" w:rsidRDefault="00153FFF" w:rsidP="00357862">
            <w:pPr>
              <w:pStyle w:val="Legenda"/>
              <w:numPr>
                <w:ilvl w:val="0"/>
                <w:numId w:val="32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Default="00F647D4" w:rsidP="00357862">
            <w:pPr>
              <w:pStyle w:val="Akapitzlist"/>
              <w:numPr>
                <w:ilvl w:val="0"/>
                <w:numId w:val="32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AF8205E" w14:textId="77777777" w:rsidR="00F647D4" w:rsidRDefault="00226371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>
              <w:rPr>
                <w:lang w:eastAsia="pl-PL"/>
              </w:rPr>
              <w:t xml:space="preserve"> Planuje się cykliczne spotkania z członkami zespołu celem weryfikacji jakości pracy.</w:t>
            </w:r>
          </w:p>
          <w:p w14:paraId="6087A757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4F2B8D65" w14:textId="77777777" w:rsidR="00054271" w:rsidRDefault="00054271" w:rsidP="00054271">
            <w:pPr>
              <w:rPr>
                <w:lang w:eastAsia="pl-PL"/>
              </w:rPr>
            </w:pPr>
          </w:p>
          <w:p w14:paraId="02B20E0F" w14:textId="54DC3EE5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1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błędów działania systemu nie wykrytych na etapie wdrożenia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DD77E1" w:rsidRDefault="00153FFF" w:rsidP="00357862">
            <w:pPr>
              <w:pStyle w:val="Legenda"/>
              <w:numPr>
                <w:ilvl w:val="0"/>
                <w:numId w:val="35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zasobów do przeprowadzenia testów.</w:t>
            </w:r>
          </w:p>
          <w:p w14:paraId="02B20E16" w14:textId="77777777" w:rsidR="00E9435A" w:rsidRDefault="00E9435A" w:rsidP="00357862">
            <w:pPr>
              <w:pStyle w:val="Akapitzlist"/>
              <w:numPr>
                <w:ilvl w:val="0"/>
                <w:numId w:val="35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7B19B0FC" w14:textId="77777777" w:rsidR="00E9435A" w:rsidRDefault="00E9435A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Spodziewanym efektem</w:t>
            </w:r>
            <w:r w:rsidR="00701875">
              <w:rPr>
                <w:lang w:eastAsia="pl-PL"/>
              </w:rPr>
              <w:t xml:space="preserve"> jest wdrożenie systemu</w:t>
            </w:r>
            <w:r w:rsidR="00837189">
              <w:rPr>
                <w:lang w:eastAsia="pl-PL"/>
              </w:rPr>
              <w:t xml:space="preserve">, który po </w:t>
            </w:r>
            <w:r w:rsidR="005223AD">
              <w:rPr>
                <w:lang w:eastAsia="pl-PL"/>
              </w:rPr>
              <w:t>uruchomieniu</w:t>
            </w:r>
            <w:r w:rsidR="00837189">
              <w:rPr>
                <w:lang w:eastAsia="pl-PL"/>
              </w:rPr>
              <w:t xml:space="preserve"> produkcyjnym nie będzie miał błędów krytycznych uniemożliwiających pracę z systemem.</w:t>
            </w:r>
          </w:p>
          <w:p w14:paraId="732EE3ED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68EAEF16" w14:textId="77777777" w:rsidR="00054271" w:rsidRDefault="00054271" w:rsidP="00054271">
            <w:pPr>
              <w:rPr>
                <w:lang w:eastAsia="pl-PL"/>
              </w:rPr>
            </w:pPr>
          </w:p>
          <w:p w14:paraId="02B20E17" w14:textId="17E2FFBA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przyjęcia nieprawidłowych założeń wynikające z braku kompletnych informacji na etapie przygotowania Studium Wykonalności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DD77E1" w:rsidRDefault="00153FFF" w:rsidP="00357862">
            <w:pPr>
              <w:pStyle w:val="Legenda"/>
              <w:numPr>
                <w:ilvl w:val="0"/>
                <w:numId w:val="36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Default="00837189" w:rsidP="00357862">
            <w:pPr>
              <w:pStyle w:val="Akapitzlist"/>
              <w:numPr>
                <w:ilvl w:val="0"/>
                <w:numId w:val="36"/>
              </w:numPr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Spodziewane lub faktyczne efekty:</w:t>
            </w:r>
          </w:p>
          <w:p w14:paraId="19F83B0E" w14:textId="77777777" w:rsidR="00837189" w:rsidRDefault="00154BAA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  <w:p w14:paraId="02B20E1F" w14:textId="2C94C376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7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Zmiany prawne w systemie ochrony zdrowia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Default="00153FFF" w:rsidP="00357862">
            <w:pPr>
              <w:pStyle w:val="Legenda"/>
              <w:numPr>
                <w:ilvl w:val="0"/>
                <w:numId w:val="34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Default="002F2439" w:rsidP="00357862">
            <w:pPr>
              <w:pStyle w:val="Akapitzlist"/>
              <w:numPr>
                <w:ilvl w:val="0"/>
                <w:numId w:val="34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4C92D2B0" w14:textId="77777777" w:rsidR="002F2439" w:rsidRDefault="00337BED" w:rsidP="00357862">
            <w:pPr>
              <w:rPr>
                <w:lang w:eastAsia="pl-PL"/>
              </w:rPr>
            </w:pPr>
            <w:r>
              <w:rPr>
                <w:lang w:eastAsia="pl-PL"/>
              </w:rPr>
              <w:t>Spodziewanym jest, wyznaczenie dedykowanej osoby z Biura Prawego AOTMiT, celem bieżącej współpracy z Kierownikiem Projektu SMoKL.</w:t>
            </w:r>
          </w:p>
          <w:p w14:paraId="7DE932AF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764A681F" w14:textId="77777777" w:rsidR="00054271" w:rsidRDefault="00054271" w:rsidP="00054271">
            <w:pPr>
              <w:rPr>
                <w:lang w:eastAsia="pl-PL"/>
              </w:rPr>
            </w:pPr>
          </w:p>
          <w:p w14:paraId="02B20E26" w14:textId="1F89538B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  <w:tr w:rsidR="00153FFF" w:rsidRPr="00DD77E1" w14:paraId="02B20E2E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7777777" w:rsidR="00153FFF" w:rsidRPr="00DD77E1" w:rsidRDefault="00337BED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153FFF" w:rsidRPr="00DD77E1">
              <w:rPr>
                <w:rFonts w:ascii="Arial" w:hAnsi="Arial" w:cs="Arial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Default="00153FFF" w:rsidP="00357862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Default="00CA5AD4" w:rsidP="00357862">
            <w:pPr>
              <w:pStyle w:val="Akapitzlist"/>
              <w:numPr>
                <w:ilvl w:val="0"/>
                <w:numId w:val="33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2D1C03" w14:textId="77777777" w:rsidR="00CA5AD4" w:rsidRDefault="00CA5AD4" w:rsidP="00357862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9A7195">
              <w:rPr>
                <w:lang w:eastAsia="pl-PL"/>
              </w:rPr>
              <w:t xml:space="preserve">formalna współpraca z jednostkami medycznymi. Zebranie szczegółowych informacji celem </w:t>
            </w:r>
            <w:r w:rsidR="002F2439">
              <w:rPr>
                <w:lang w:eastAsia="pl-PL"/>
              </w:rPr>
              <w:t>wspierania jednostek i ciągłej komunikacji na temat projektu.</w:t>
            </w:r>
          </w:p>
          <w:p w14:paraId="4ADAC862" w14:textId="77777777" w:rsidR="00054271" w:rsidRDefault="00054271" w:rsidP="00357862">
            <w:pPr>
              <w:rPr>
                <w:b/>
                <w:bCs/>
                <w:lang w:eastAsia="pl-PL"/>
              </w:rPr>
            </w:pPr>
          </w:p>
          <w:p w14:paraId="464630EB" w14:textId="77777777" w:rsidR="00054271" w:rsidRDefault="00054271" w:rsidP="00054271">
            <w:pPr>
              <w:rPr>
                <w:lang w:eastAsia="pl-PL"/>
              </w:rPr>
            </w:pPr>
          </w:p>
          <w:p w14:paraId="02B20E2D" w14:textId="0DCF6EA2" w:rsidR="00054271" w:rsidRPr="00357862" w:rsidRDefault="00054271" w:rsidP="00054271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Nie nastąpiła </w:t>
            </w:r>
            <w:r w:rsidRPr="00016C6A">
              <w:rPr>
                <w:lang w:eastAsia="pl-PL"/>
              </w:rPr>
              <w:t>zmiana w zakresie danego ryzyka w stosunku do poprzedniego okresu sprawozdawczego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573B5C35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 kwartale I</w:t>
      </w:r>
      <w:r w:rsidR="00F84190">
        <w:rPr>
          <w:rFonts w:ascii="Arial" w:eastAsia="Times New Roman" w:hAnsi="Arial" w:cs="Arial"/>
          <w:lang w:eastAsia="pl-PL"/>
        </w:rPr>
        <w:t>I</w:t>
      </w:r>
      <w:r w:rsidRPr="00DD77E1">
        <w:rPr>
          <w:rFonts w:ascii="Arial" w:eastAsia="Times New Roman" w:hAnsi="Arial" w:cs="Arial"/>
          <w:lang w:eastAsia="pl-PL"/>
        </w:rPr>
        <w:t xml:space="preserve"> 2020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nieistniejących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</w:t>
      </w:r>
      <w:proofErr w:type="spellStart"/>
      <w:r w:rsidRPr="00DD77E1">
        <w:rPr>
          <w:rFonts w:ascii="Arial" w:eastAsia="Times New Roman" w:hAnsi="Arial" w:cs="Arial"/>
          <w:lang w:eastAsia="pl-PL"/>
        </w:rPr>
        <w:t>house</w:t>
      </w:r>
      <w:proofErr w:type="spellEnd"/>
      <w:r w:rsidRPr="00DD77E1">
        <w:rPr>
          <w:rFonts w:ascii="Arial" w:eastAsia="Times New Roman" w:hAnsi="Arial" w:cs="Arial"/>
          <w:lang w:eastAsia="pl-PL"/>
        </w:rPr>
        <w:t>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11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AC264C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12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49B44" w14:textId="77777777" w:rsidR="00AC264C" w:rsidRDefault="00AC264C" w:rsidP="00BB2420">
      <w:pPr>
        <w:spacing w:after="0" w:line="240" w:lineRule="auto"/>
      </w:pPr>
      <w:r>
        <w:separator/>
      </w:r>
    </w:p>
  </w:endnote>
  <w:endnote w:type="continuationSeparator" w:id="0">
    <w:p w14:paraId="5E73777D" w14:textId="77777777" w:rsidR="00AC264C" w:rsidRDefault="00AC264C" w:rsidP="00BB2420">
      <w:pPr>
        <w:spacing w:after="0" w:line="240" w:lineRule="auto"/>
      </w:pPr>
      <w:r>
        <w:continuationSeparator/>
      </w:r>
    </w:p>
  </w:endnote>
  <w:endnote w:type="continuationNotice" w:id="1">
    <w:p w14:paraId="5924F6E8" w14:textId="77777777" w:rsidR="00AC264C" w:rsidRDefault="00AC26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B20EC0" w14:textId="77777777" w:rsidR="002C1234" w:rsidRDefault="002C12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E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02B20EC1" w14:textId="77777777" w:rsidR="002C1234" w:rsidRDefault="002C1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20495" w14:textId="77777777" w:rsidR="00AC264C" w:rsidRDefault="00AC264C" w:rsidP="00BB2420">
      <w:pPr>
        <w:spacing w:after="0" w:line="240" w:lineRule="auto"/>
      </w:pPr>
      <w:r>
        <w:separator/>
      </w:r>
    </w:p>
  </w:footnote>
  <w:footnote w:type="continuationSeparator" w:id="0">
    <w:p w14:paraId="6F266E7E" w14:textId="77777777" w:rsidR="00AC264C" w:rsidRDefault="00AC264C" w:rsidP="00BB2420">
      <w:pPr>
        <w:spacing w:after="0" w:line="240" w:lineRule="auto"/>
      </w:pPr>
      <w:r>
        <w:continuationSeparator/>
      </w:r>
    </w:p>
  </w:footnote>
  <w:footnote w:type="continuationNotice" w:id="1">
    <w:p w14:paraId="651F9FB4" w14:textId="77777777" w:rsidR="00AC264C" w:rsidRDefault="00AC264C">
      <w:pPr>
        <w:spacing w:after="0" w:line="240" w:lineRule="auto"/>
      </w:pPr>
    </w:p>
  </w:footnote>
  <w:footnote w:id="2">
    <w:p w14:paraId="02B20EC2" w14:textId="77777777" w:rsidR="002C1234" w:rsidRDefault="002C123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9A260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5C7EA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43384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7FF0B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35A8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4"/>
  </w:num>
  <w:num w:numId="4">
    <w:abstractNumId w:val="20"/>
  </w:num>
  <w:num w:numId="5">
    <w:abstractNumId w:val="29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0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1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54271"/>
    <w:rsid w:val="0006403E"/>
    <w:rsid w:val="00067EAF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1F83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06AF"/>
    <w:rsid w:val="002E2FAF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2F07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70D43"/>
    <w:rsid w:val="004729D1"/>
    <w:rsid w:val="0048372C"/>
    <w:rsid w:val="004967F3"/>
    <w:rsid w:val="004B26E6"/>
    <w:rsid w:val="004C1D48"/>
    <w:rsid w:val="004C5214"/>
    <w:rsid w:val="004C74E7"/>
    <w:rsid w:val="004D65CA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5E0B"/>
    <w:rsid w:val="0052774C"/>
    <w:rsid w:val="005332D6"/>
    <w:rsid w:val="005363A1"/>
    <w:rsid w:val="00542BCB"/>
    <w:rsid w:val="00544DFE"/>
    <w:rsid w:val="005522D9"/>
    <w:rsid w:val="005548F2"/>
    <w:rsid w:val="005569CE"/>
    <w:rsid w:val="005734CE"/>
    <w:rsid w:val="00577F1E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A68B1"/>
    <w:rsid w:val="005B1A32"/>
    <w:rsid w:val="005B5A13"/>
    <w:rsid w:val="005C0469"/>
    <w:rsid w:val="005C6116"/>
    <w:rsid w:val="005C77BB"/>
    <w:rsid w:val="005D17CF"/>
    <w:rsid w:val="005D24AF"/>
    <w:rsid w:val="005D5AAB"/>
    <w:rsid w:val="005D6E12"/>
    <w:rsid w:val="005E0ED8"/>
    <w:rsid w:val="005E2E0C"/>
    <w:rsid w:val="005E6ABD"/>
    <w:rsid w:val="005E71D5"/>
    <w:rsid w:val="005F41FA"/>
    <w:rsid w:val="00600AE4"/>
    <w:rsid w:val="0060483D"/>
    <w:rsid w:val="006054AA"/>
    <w:rsid w:val="00613BFD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22BC"/>
    <w:rsid w:val="006948D3"/>
    <w:rsid w:val="006A60AA"/>
    <w:rsid w:val="006B034F"/>
    <w:rsid w:val="006B5117"/>
    <w:rsid w:val="006C78AE"/>
    <w:rsid w:val="006D0A99"/>
    <w:rsid w:val="006D6AB5"/>
    <w:rsid w:val="006E0CFA"/>
    <w:rsid w:val="006E6205"/>
    <w:rsid w:val="00701800"/>
    <w:rsid w:val="00701875"/>
    <w:rsid w:val="00707F57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4D3C"/>
    <w:rsid w:val="00746ABD"/>
    <w:rsid w:val="007575F7"/>
    <w:rsid w:val="0076145B"/>
    <w:rsid w:val="0077418F"/>
    <w:rsid w:val="00775C44"/>
    <w:rsid w:val="00776802"/>
    <w:rsid w:val="0078383A"/>
    <w:rsid w:val="00784D10"/>
    <w:rsid w:val="007876E1"/>
    <w:rsid w:val="007924CE"/>
    <w:rsid w:val="00795AFA"/>
    <w:rsid w:val="007966AB"/>
    <w:rsid w:val="007A30BD"/>
    <w:rsid w:val="007A4742"/>
    <w:rsid w:val="007A777B"/>
    <w:rsid w:val="007B0251"/>
    <w:rsid w:val="007B5846"/>
    <w:rsid w:val="007B7B99"/>
    <w:rsid w:val="007C2F7E"/>
    <w:rsid w:val="007C6235"/>
    <w:rsid w:val="007C70D1"/>
    <w:rsid w:val="007C7D90"/>
    <w:rsid w:val="007D1990"/>
    <w:rsid w:val="007D2C34"/>
    <w:rsid w:val="007D38BD"/>
    <w:rsid w:val="007D3F21"/>
    <w:rsid w:val="007D6488"/>
    <w:rsid w:val="007E341A"/>
    <w:rsid w:val="007E3FEA"/>
    <w:rsid w:val="007F126F"/>
    <w:rsid w:val="007F14A0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57C8D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2298"/>
    <w:rsid w:val="00943D85"/>
    <w:rsid w:val="0095183B"/>
    <w:rsid w:val="00952126"/>
    <w:rsid w:val="00952617"/>
    <w:rsid w:val="009663A6"/>
    <w:rsid w:val="0096794A"/>
    <w:rsid w:val="00971A40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B46CB"/>
    <w:rsid w:val="009C08B5"/>
    <w:rsid w:val="009C3FF2"/>
    <w:rsid w:val="009C6140"/>
    <w:rsid w:val="009D0672"/>
    <w:rsid w:val="009D2FA4"/>
    <w:rsid w:val="009D7D8A"/>
    <w:rsid w:val="009E4C67"/>
    <w:rsid w:val="009E6F7B"/>
    <w:rsid w:val="009F09BF"/>
    <w:rsid w:val="009F1DC8"/>
    <w:rsid w:val="009F437E"/>
    <w:rsid w:val="009F7E64"/>
    <w:rsid w:val="00A01C24"/>
    <w:rsid w:val="00A1145F"/>
    <w:rsid w:val="00A11788"/>
    <w:rsid w:val="00A236C2"/>
    <w:rsid w:val="00A23D58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08CC"/>
    <w:rsid w:val="00A61F27"/>
    <w:rsid w:val="00A67685"/>
    <w:rsid w:val="00A728AE"/>
    <w:rsid w:val="00A73FAB"/>
    <w:rsid w:val="00A804AE"/>
    <w:rsid w:val="00A86449"/>
    <w:rsid w:val="00A87C1C"/>
    <w:rsid w:val="00A91903"/>
    <w:rsid w:val="00A92887"/>
    <w:rsid w:val="00AA4CAB"/>
    <w:rsid w:val="00AA4F66"/>
    <w:rsid w:val="00AA51AD"/>
    <w:rsid w:val="00AA730D"/>
    <w:rsid w:val="00AB2E01"/>
    <w:rsid w:val="00AC264C"/>
    <w:rsid w:val="00AC7E26"/>
    <w:rsid w:val="00AD45BB"/>
    <w:rsid w:val="00AE1643"/>
    <w:rsid w:val="00AE3A6C"/>
    <w:rsid w:val="00AE5403"/>
    <w:rsid w:val="00AF09B8"/>
    <w:rsid w:val="00AF567D"/>
    <w:rsid w:val="00B022BE"/>
    <w:rsid w:val="00B0345B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02A9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E0CCD"/>
    <w:rsid w:val="00BE2A11"/>
    <w:rsid w:val="00BE304D"/>
    <w:rsid w:val="00BE47CD"/>
    <w:rsid w:val="00BE5BF9"/>
    <w:rsid w:val="00BF7B40"/>
    <w:rsid w:val="00C045B4"/>
    <w:rsid w:val="00C1106C"/>
    <w:rsid w:val="00C14E6E"/>
    <w:rsid w:val="00C24711"/>
    <w:rsid w:val="00C26361"/>
    <w:rsid w:val="00C302F1"/>
    <w:rsid w:val="00C3575F"/>
    <w:rsid w:val="00C407D5"/>
    <w:rsid w:val="00C42AEA"/>
    <w:rsid w:val="00C42FBF"/>
    <w:rsid w:val="00C44106"/>
    <w:rsid w:val="00C54AE7"/>
    <w:rsid w:val="00C57985"/>
    <w:rsid w:val="00C6751B"/>
    <w:rsid w:val="00C71F45"/>
    <w:rsid w:val="00C7551F"/>
    <w:rsid w:val="00C94BCA"/>
    <w:rsid w:val="00CA0DB5"/>
    <w:rsid w:val="00CA516B"/>
    <w:rsid w:val="00CA5AD4"/>
    <w:rsid w:val="00CB56C8"/>
    <w:rsid w:val="00CC7E21"/>
    <w:rsid w:val="00CD1258"/>
    <w:rsid w:val="00CE0EE8"/>
    <w:rsid w:val="00CE74F9"/>
    <w:rsid w:val="00CE7777"/>
    <w:rsid w:val="00CF2E64"/>
    <w:rsid w:val="00CF6E52"/>
    <w:rsid w:val="00D02F6D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9F4"/>
    <w:rsid w:val="00D85A52"/>
    <w:rsid w:val="00D86FEC"/>
    <w:rsid w:val="00D8752C"/>
    <w:rsid w:val="00D930EA"/>
    <w:rsid w:val="00DA0254"/>
    <w:rsid w:val="00DA0775"/>
    <w:rsid w:val="00DA3491"/>
    <w:rsid w:val="00DA34DF"/>
    <w:rsid w:val="00DA3822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6A86"/>
    <w:rsid w:val="00E0076D"/>
    <w:rsid w:val="00E056A3"/>
    <w:rsid w:val="00E073C5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6E6"/>
    <w:rsid w:val="00E71256"/>
    <w:rsid w:val="00E716EE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F5B08"/>
    <w:rsid w:val="00EF6AFC"/>
    <w:rsid w:val="00F10001"/>
    <w:rsid w:val="00F10427"/>
    <w:rsid w:val="00F138F7"/>
    <w:rsid w:val="00F2008A"/>
    <w:rsid w:val="00F21D9E"/>
    <w:rsid w:val="00F25348"/>
    <w:rsid w:val="00F35C57"/>
    <w:rsid w:val="00F40F24"/>
    <w:rsid w:val="00F45506"/>
    <w:rsid w:val="00F51832"/>
    <w:rsid w:val="00F60062"/>
    <w:rsid w:val="00F613CC"/>
    <w:rsid w:val="00F6310E"/>
    <w:rsid w:val="00F647D4"/>
    <w:rsid w:val="00F76777"/>
    <w:rsid w:val="00F83F2F"/>
    <w:rsid w:val="00F84190"/>
    <w:rsid w:val="00F86555"/>
    <w:rsid w:val="00F86C58"/>
    <w:rsid w:val="00F95DFC"/>
    <w:rsid w:val="00FB5A86"/>
    <w:rsid w:val="00FB5CCC"/>
    <w:rsid w:val="00FC3B03"/>
    <w:rsid w:val="00FC56AF"/>
    <w:rsid w:val="00FC5981"/>
    <w:rsid w:val="00FE090F"/>
    <w:rsid w:val="00FE3FAD"/>
    <w:rsid w:val="00FE4A57"/>
    <w:rsid w:val="00FF03A2"/>
    <w:rsid w:val="00FF22C4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D16F669450A147819A6B342D0A4E2B" ma:contentTypeVersion="2" ma:contentTypeDescription="Utwórz nowy dokument." ma:contentTypeScope="" ma:versionID="4962315d4f7db2427af1d08df3ef1ccf">
  <xsd:schema xmlns:xsd="http://www.w3.org/2001/XMLSchema" xmlns:xs="http://www.w3.org/2001/XMLSchema" xmlns:p="http://schemas.microsoft.com/office/2006/metadata/properties" xmlns:ns2="bc99ae8b-1441-4e27-94b1-65b3f43961f6" targetNamespace="http://schemas.microsoft.com/office/2006/metadata/properties" ma:root="true" ma:fieldsID="01734ffbb3b6b3d6e4a407bff4fd8278" ns2:_="">
    <xsd:import namespace="bc99ae8b-1441-4e27-94b1-65b3f4396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9ae8b-1441-4e27-94b1-65b3f43961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701DEF-D6D4-4CE4-BCE0-61F3DACB0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9ae8b-1441-4e27-94b1-65b3f4396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731877-18D3-4F8F-92D9-278AE05EBC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65B2AE-6488-4A7D-BE26-3C5F08245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725033-0607-4700-AA2F-D130139046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1748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2020-10-14T08:31:00Z</dcterms:created>
  <dcterms:modified xsi:type="dcterms:W3CDTF">2020-10-14T13:51:00Z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0x010100C1D16F669450A147819A6B342D0A4E2B</vt:lpwstr>
  </property>
</Properties>
</file>