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94CCC" w14:textId="5A881D6E" w:rsidR="008C0E92" w:rsidRDefault="008C0E92" w:rsidP="008C0E92">
      <w:pPr>
        <w:jc w:val="right"/>
        <w:rPr>
          <w:rFonts w:ascii="Abadi" w:hAnsi="Abadi"/>
          <w:b/>
          <w:bCs/>
          <w:color w:val="00B0F0"/>
          <w:sz w:val="28"/>
          <w:szCs w:val="28"/>
        </w:rPr>
      </w:pPr>
    </w:p>
    <w:p w14:paraId="7CC758A3" w14:textId="262C9E68" w:rsidR="00AD08C5" w:rsidRPr="005058F2" w:rsidRDefault="006A7DCE" w:rsidP="008C0E92">
      <w:pPr>
        <w:jc w:val="center"/>
        <w:rPr>
          <w:b/>
          <w:bCs/>
          <w:color w:val="00B0F0"/>
          <w:sz w:val="36"/>
          <w:szCs w:val="36"/>
          <w:u w:val="single"/>
        </w:rPr>
      </w:pPr>
      <w:r w:rsidRPr="008C0E92">
        <w:rPr>
          <w:rFonts w:ascii="Abadi" w:hAnsi="Abadi"/>
          <w:b/>
          <w:bCs/>
          <w:color w:val="00B0F0"/>
          <w:sz w:val="36"/>
          <w:szCs w:val="36"/>
          <w:u w:val="single"/>
        </w:rPr>
        <w:t>OBWIESZCZENI</w:t>
      </w:r>
      <w:r w:rsidR="005C6551">
        <w:rPr>
          <w:rFonts w:ascii="Abadi" w:hAnsi="Abadi"/>
          <w:b/>
          <w:bCs/>
          <w:color w:val="00B0F0"/>
          <w:sz w:val="36"/>
          <w:szCs w:val="36"/>
          <w:u w:val="single"/>
        </w:rPr>
        <w:t>E</w:t>
      </w:r>
      <w:r w:rsidRPr="008C0E92">
        <w:rPr>
          <w:rFonts w:ascii="Abadi" w:hAnsi="Abadi"/>
          <w:b/>
          <w:bCs/>
          <w:color w:val="00B0F0"/>
          <w:sz w:val="36"/>
          <w:szCs w:val="36"/>
          <w:u w:val="single"/>
        </w:rPr>
        <w:t xml:space="preserve"> REFUNDACYJNE NR </w:t>
      </w:r>
      <w:r w:rsidR="00A960EA">
        <w:rPr>
          <w:rFonts w:ascii="Abadi" w:hAnsi="Abadi"/>
          <w:b/>
          <w:bCs/>
          <w:color w:val="00B0F0"/>
          <w:sz w:val="36"/>
          <w:szCs w:val="36"/>
          <w:u w:val="single"/>
        </w:rPr>
        <w:t>6</w:t>
      </w:r>
      <w:r w:rsidR="00446466">
        <w:rPr>
          <w:rFonts w:ascii="Abadi" w:hAnsi="Abadi"/>
          <w:b/>
          <w:bCs/>
          <w:color w:val="00B0F0"/>
          <w:sz w:val="36"/>
          <w:szCs w:val="36"/>
          <w:u w:val="single"/>
        </w:rPr>
        <w:t>1</w:t>
      </w:r>
      <w:r w:rsidR="0056748F">
        <w:rPr>
          <w:rFonts w:ascii="Abadi" w:hAnsi="Abadi"/>
          <w:b/>
          <w:bCs/>
          <w:color w:val="00B0F0"/>
          <w:sz w:val="36"/>
          <w:szCs w:val="36"/>
          <w:u w:val="single"/>
        </w:rPr>
        <w:t xml:space="preserve"> (1 </w:t>
      </w:r>
      <w:r w:rsidR="00266DCA">
        <w:rPr>
          <w:rFonts w:ascii="Abadi" w:hAnsi="Abadi"/>
          <w:b/>
          <w:bCs/>
          <w:color w:val="00B0F0"/>
          <w:sz w:val="36"/>
          <w:szCs w:val="36"/>
          <w:u w:val="single"/>
        </w:rPr>
        <w:t>STYCZNIA</w:t>
      </w:r>
      <w:r w:rsidR="0056748F">
        <w:rPr>
          <w:rFonts w:ascii="Abadi" w:hAnsi="Abadi"/>
          <w:b/>
          <w:bCs/>
          <w:color w:val="00B0F0"/>
          <w:sz w:val="36"/>
          <w:szCs w:val="36"/>
          <w:u w:val="single"/>
        </w:rPr>
        <w:t xml:space="preserve"> 202</w:t>
      </w:r>
      <w:r w:rsidR="00266DCA">
        <w:rPr>
          <w:rFonts w:ascii="Abadi" w:hAnsi="Abadi"/>
          <w:b/>
          <w:bCs/>
          <w:color w:val="00B0F0"/>
          <w:sz w:val="36"/>
          <w:szCs w:val="36"/>
          <w:u w:val="single"/>
        </w:rPr>
        <w:t>2</w:t>
      </w:r>
      <w:r w:rsidR="0056748F">
        <w:rPr>
          <w:rFonts w:ascii="Abadi" w:hAnsi="Abadi"/>
          <w:b/>
          <w:bCs/>
          <w:color w:val="00B0F0"/>
          <w:sz w:val="36"/>
          <w:szCs w:val="36"/>
          <w:u w:val="single"/>
        </w:rPr>
        <w:t xml:space="preserve"> r.)</w:t>
      </w:r>
    </w:p>
    <w:p w14:paraId="407689B5" w14:textId="3576B441" w:rsidR="008C0E92" w:rsidRDefault="008C0E92" w:rsidP="008C0E92">
      <w:pPr>
        <w:spacing w:before="360"/>
        <w:jc w:val="center"/>
      </w:pPr>
      <w:bookmarkStart w:id="0" w:name="_Hlk90283803"/>
      <w:r>
        <w:rPr>
          <w:rFonts w:ascii="Abadi" w:hAnsi="Abadi"/>
          <w:b/>
          <w:bCs/>
          <w:color w:val="00B0F0"/>
          <w:sz w:val="28"/>
          <w:szCs w:val="28"/>
        </w:rPr>
        <w:t>STATYSTYKI</w:t>
      </w:r>
    </w:p>
    <w:bookmarkEnd w:id="0"/>
    <w:p w14:paraId="452B5651" w14:textId="521A69AF" w:rsidR="00A118F0" w:rsidRPr="00F028E1" w:rsidRDefault="00A118F0" w:rsidP="00A118F0">
      <w:pPr>
        <w:rPr>
          <w:rFonts w:asciiTheme="majorHAnsi" w:hAnsiTheme="majorHAnsi"/>
          <w:sz w:val="24"/>
          <w:szCs w:val="24"/>
        </w:rPr>
      </w:pPr>
      <w:r w:rsidRPr="00F028E1">
        <w:rPr>
          <w:rFonts w:asciiTheme="majorHAnsi" w:hAnsiTheme="majorHAnsi"/>
          <w:sz w:val="24"/>
          <w:szCs w:val="24"/>
        </w:rPr>
        <w:t>Obwieszczenie refundacyjne obowiązujące od</w:t>
      </w:r>
      <w:r w:rsidR="00266DCA" w:rsidRPr="00F028E1">
        <w:rPr>
          <w:rFonts w:asciiTheme="majorHAnsi" w:hAnsiTheme="majorHAnsi"/>
          <w:sz w:val="24"/>
          <w:szCs w:val="24"/>
        </w:rPr>
        <w:t xml:space="preserve"> stycznia</w:t>
      </w:r>
      <w:r w:rsidRPr="00F028E1">
        <w:rPr>
          <w:rFonts w:asciiTheme="majorHAnsi" w:hAnsiTheme="majorHAnsi"/>
          <w:sz w:val="24"/>
          <w:szCs w:val="24"/>
        </w:rPr>
        <w:t xml:space="preserve"> 202</w:t>
      </w:r>
      <w:r w:rsidR="00266DCA" w:rsidRPr="00F028E1">
        <w:rPr>
          <w:rFonts w:asciiTheme="majorHAnsi" w:hAnsiTheme="majorHAnsi"/>
          <w:sz w:val="24"/>
          <w:szCs w:val="24"/>
        </w:rPr>
        <w:t>2</w:t>
      </w:r>
      <w:r w:rsidRPr="00F028E1">
        <w:rPr>
          <w:rFonts w:asciiTheme="majorHAnsi" w:hAnsiTheme="majorHAnsi"/>
          <w:sz w:val="24"/>
          <w:szCs w:val="24"/>
        </w:rPr>
        <w:t xml:space="preserve"> r. (nr </w:t>
      </w:r>
      <w:r w:rsidR="00266DCA" w:rsidRPr="00F028E1">
        <w:rPr>
          <w:rFonts w:asciiTheme="majorHAnsi" w:hAnsiTheme="majorHAnsi"/>
          <w:sz w:val="24"/>
          <w:szCs w:val="24"/>
        </w:rPr>
        <w:t>61</w:t>
      </w:r>
      <w:r w:rsidRPr="00F028E1">
        <w:rPr>
          <w:rFonts w:asciiTheme="majorHAnsi" w:hAnsiTheme="majorHAnsi"/>
          <w:sz w:val="24"/>
          <w:szCs w:val="24"/>
        </w:rPr>
        <w:t xml:space="preserve">), w porównaniu do obwieszczenia </w:t>
      </w:r>
      <w:r w:rsidR="00266DCA" w:rsidRPr="00F028E1">
        <w:rPr>
          <w:rFonts w:asciiTheme="majorHAnsi" w:hAnsiTheme="majorHAnsi"/>
          <w:sz w:val="24"/>
          <w:szCs w:val="24"/>
        </w:rPr>
        <w:t>60</w:t>
      </w:r>
      <w:r w:rsidRPr="00F028E1">
        <w:rPr>
          <w:rFonts w:asciiTheme="majorHAnsi" w:hAnsiTheme="majorHAnsi"/>
          <w:sz w:val="24"/>
          <w:szCs w:val="24"/>
        </w:rPr>
        <w:t xml:space="preserve"> zawiera następujące zmiany:</w:t>
      </w:r>
    </w:p>
    <w:p w14:paraId="2A9B39EB" w14:textId="5B5D6385" w:rsidR="00A118F0" w:rsidRPr="00476A3C" w:rsidRDefault="00A118F0" w:rsidP="00A118F0">
      <w:pPr>
        <w:pStyle w:val="Akapitzlist"/>
        <w:numPr>
          <w:ilvl w:val="0"/>
          <w:numId w:val="1"/>
        </w:numPr>
        <w:ind w:left="714" w:hanging="357"/>
        <w:contextualSpacing w:val="0"/>
        <w:rPr>
          <w:rFonts w:asciiTheme="majorHAnsi" w:hAnsiTheme="majorHAnsi"/>
          <w:sz w:val="24"/>
          <w:szCs w:val="24"/>
        </w:rPr>
      </w:pPr>
      <w:r w:rsidRPr="00476A3C">
        <w:rPr>
          <w:rFonts w:asciiTheme="majorHAnsi" w:hAnsiTheme="majorHAnsi"/>
          <w:sz w:val="24"/>
          <w:szCs w:val="24"/>
        </w:rPr>
        <w:t>W związku z wydaniem pozytywnych decyzji o objęciu refundacją ogó</w:t>
      </w:r>
      <w:r w:rsidRPr="00476A3C">
        <w:rPr>
          <w:rFonts w:asciiTheme="majorHAnsi" w:hAnsiTheme="majorHAnsi" w:cs="Calibri"/>
          <w:sz w:val="24"/>
          <w:szCs w:val="24"/>
        </w:rPr>
        <w:t>ł</w:t>
      </w:r>
      <w:r w:rsidRPr="00476A3C">
        <w:rPr>
          <w:rFonts w:asciiTheme="majorHAnsi" w:hAnsiTheme="majorHAnsi"/>
          <w:sz w:val="24"/>
          <w:szCs w:val="24"/>
        </w:rPr>
        <w:t xml:space="preserve">em do obwieszczenia zostanie dodanych </w:t>
      </w:r>
      <w:r w:rsidR="00D6346A">
        <w:rPr>
          <w:rFonts w:asciiTheme="majorHAnsi" w:hAnsiTheme="majorHAnsi"/>
          <w:sz w:val="24"/>
          <w:szCs w:val="24"/>
        </w:rPr>
        <w:t>81</w:t>
      </w:r>
      <w:r w:rsidRPr="00476A3C">
        <w:rPr>
          <w:rFonts w:asciiTheme="majorHAnsi" w:hAnsiTheme="majorHAnsi"/>
          <w:sz w:val="24"/>
          <w:szCs w:val="24"/>
        </w:rPr>
        <w:t xml:space="preserve"> produkt</w:t>
      </w:r>
      <w:r w:rsidRPr="00476A3C">
        <w:rPr>
          <w:rFonts w:asciiTheme="majorHAnsi" w:hAnsiTheme="majorHAnsi" w:cs="Abadi"/>
          <w:sz w:val="24"/>
          <w:szCs w:val="24"/>
        </w:rPr>
        <w:t>ó</w:t>
      </w:r>
      <w:r w:rsidRPr="00476A3C">
        <w:rPr>
          <w:rFonts w:asciiTheme="majorHAnsi" w:hAnsiTheme="majorHAnsi"/>
          <w:sz w:val="24"/>
          <w:szCs w:val="24"/>
        </w:rPr>
        <w:t>w bądź nowych wskazań.</w:t>
      </w:r>
    </w:p>
    <w:p w14:paraId="2009B3B5" w14:textId="0A82F6DB" w:rsidR="00A118F0" w:rsidRPr="00476A3C" w:rsidRDefault="00A118F0" w:rsidP="00A118F0">
      <w:pPr>
        <w:pStyle w:val="Akapitzlist"/>
        <w:numPr>
          <w:ilvl w:val="0"/>
          <w:numId w:val="1"/>
        </w:numPr>
        <w:ind w:left="714" w:hanging="357"/>
        <w:contextualSpacing w:val="0"/>
        <w:rPr>
          <w:rFonts w:asciiTheme="majorHAnsi" w:hAnsiTheme="majorHAnsi"/>
          <w:sz w:val="24"/>
          <w:szCs w:val="24"/>
        </w:rPr>
      </w:pPr>
      <w:r w:rsidRPr="00476A3C">
        <w:rPr>
          <w:rFonts w:asciiTheme="majorHAnsi" w:hAnsiTheme="majorHAnsi"/>
          <w:sz w:val="24"/>
          <w:szCs w:val="24"/>
        </w:rPr>
        <w:t xml:space="preserve">Dla </w:t>
      </w:r>
      <w:r w:rsidR="00BB688D" w:rsidRPr="00476A3C">
        <w:rPr>
          <w:rFonts w:asciiTheme="majorHAnsi" w:hAnsiTheme="majorHAnsi"/>
          <w:sz w:val="24"/>
          <w:szCs w:val="24"/>
        </w:rPr>
        <w:t>986</w:t>
      </w:r>
      <w:r w:rsidRPr="00476A3C">
        <w:rPr>
          <w:rFonts w:asciiTheme="majorHAnsi" w:hAnsiTheme="majorHAnsi"/>
          <w:sz w:val="24"/>
          <w:szCs w:val="24"/>
        </w:rPr>
        <w:t xml:space="preserve"> produktów wprowadzono obni</w:t>
      </w:r>
      <w:r w:rsidRPr="00476A3C">
        <w:rPr>
          <w:rFonts w:asciiTheme="majorHAnsi" w:hAnsiTheme="majorHAnsi" w:cs="Calibri"/>
          <w:sz w:val="24"/>
          <w:szCs w:val="24"/>
        </w:rPr>
        <w:t>ż</w:t>
      </w:r>
      <w:r w:rsidRPr="00476A3C">
        <w:rPr>
          <w:rFonts w:asciiTheme="majorHAnsi" w:hAnsiTheme="majorHAnsi"/>
          <w:sz w:val="24"/>
          <w:szCs w:val="24"/>
        </w:rPr>
        <w:t>ki urz</w:t>
      </w:r>
      <w:r w:rsidRPr="00476A3C">
        <w:rPr>
          <w:rFonts w:asciiTheme="majorHAnsi" w:hAnsiTheme="majorHAnsi" w:cs="Calibri"/>
          <w:sz w:val="24"/>
          <w:szCs w:val="24"/>
        </w:rPr>
        <w:t>ę</w:t>
      </w:r>
      <w:r w:rsidRPr="00476A3C">
        <w:rPr>
          <w:rFonts w:asciiTheme="majorHAnsi" w:hAnsiTheme="majorHAnsi"/>
          <w:sz w:val="24"/>
          <w:szCs w:val="24"/>
        </w:rPr>
        <w:t>dowych cen zbytu (od 0,01 z</w:t>
      </w:r>
      <w:r w:rsidRPr="00476A3C">
        <w:rPr>
          <w:rFonts w:asciiTheme="majorHAnsi" w:hAnsiTheme="majorHAnsi" w:cs="Calibri"/>
          <w:sz w:val="24"/>
          <w:szCs w:val="24"/>
        </w:rPr>
        <w:t>ł</w:t>
      </w:r>
      <w:r w:rsidRPr="00476A3C">
        <w:rPr>
          <w:rFonts w:asciiTheme="majorHAnsi" w:hAnsiTheme="majorHAnsi"/>
          <w:sz w:val="24"/>
          <w:szCs w:val="24"/>
        </w:rPr>
        <w:t xml:space="preserve"> do </w:t>
      </w:r>
      <w:r w:rsidR="00476A3C" w:rsidRPr="00476A3C">
        <w:rPr>
          <w:rFonts w:asciiTheme="majorHAnsi" w:hAnsiTheme="majorHAnsi"/>
          <w:sz w:val="24"/>
          <w:szCs w:val="24"/>
        </w:rPr>
        <w:t xml:space="preserve">7 753,98 </w:t>
      </w:r>
      <w:r w:rsidRPr="00476A3C">
        <w:rPr>
          <w:rFonts w:asciiTheme="majorHAnsi" w:hAnsiTheme="majorHAnsi"/>
          <w:sz w:val="24"/>
          <w:szCs w:val="24"/>
        </w:rPr>
        <w:t>z</w:t>
      </w:r>
      <w:r w:rsidRPr="00476A3C">
        <w:rPr>
          <w:rFonts w:asciiTheme="majorHAnsi" w:hAnsiTheme="majorHAnsi" w:cs="Calibri"/>
          <w:sz w:val="24"/>
          <w:szCs w:val="24"/>
        </w:rPr>
        <w:t>ł</w:t>
      </w:r>
      <w:r w:rsidRPr="00476A3C">
        <w:rPr>
          <w:rFonts w:asciiTheme="majorHAnsi" w:hAnsiTheme="majorHAnsi"/>
          <w:sz w:val="24"/>
          <w:szCs w:val="24"/>
        </w:rPr>
        <w:t>).</w:t>
      </w:r>
    </w:p>
    <w:p w14:paraId="2F3FD73C" w14:textId="5D44EC19" w:rsidR="00A118F0" w:rsidRPr="00BB688D" w:rsidRDefault="00A118F0" w:rsidP="00A118F0">
      <w:pPr>
        <w:pStyle w:val="Akapitzlist"/>
        <w:numPr>
          <w:ilvl w:val="0"/>
          <w:numId w:val="1"/>
        </w:numPr>
        <w:ind w:left="714" w:hanging="357"/>
        <w:contextualSpacing w:val="0"/>
        <w:rPr>
          <w:rFonts w:asciiTheme="majorHAnsi" w:hAnsiTheme="majorHAnsi"/>
          <w:sz w:val="24"/>
          <w:szCs w:val="24"/>
        </w:rPr>
      </w:pPr>
      <w:r w:rsidRPr="00BB688D">
        <w:rPr>
          <w:rFonts w:asciiTheme="majorHAnsi" w:hAnsiTheme="majorHAnsi"/>
          <w:sz w:val="24"/>
          <w:szCs w:val="24"/>
        </w:rPr>
        <w:t xml:space="preserve">Dla </w:t>
      </w:r>
      <w:r w:rsidR="00BB688D" w:rsidRPr="00BB688D">
        <w:rPr>
          <w:rFonts w:asciiTheme="majorHAnsi" w:hAnsiTheme="majorHAnsi" w:cs="Calibri"/>
          <w:sz w:val="24"/>
          <w:szCs w:val="24"/>
        </w:rPr>
        <w:t>15</w:t>
      </w:r>
      <w:r w:rsidRPr="00BB688D">
        <w:rPr>
          <w:rFonts w:asciiTheme="majorHAnsi" w:hAnsiTheme="majorHAnsi" w:cs="Calibri"/>
          <w:sz w:val="24"/>
          <w:szCs w:val="24"/>
        </w:rPr>
        <w:t xml:space="preserve"> produktów</w:t>
      </w:r>
      <w:r w:rsidRPr="00BB688D">
        <w:rPr>
          <w:rFonts w:asciiTheme="majorHAnsi" w:hAnsiTheme="majorHAnsi"/>
          <w:sz w:val="24"/>
          <w:szCs w:val="24"/>
        </w:rPr>
        <w:t xml:space="preserve">  podwy</w:t>
      </w:r>
      <w:r w:rsidRPr="00BB688D">
        <w:rPr>
          <w:rFonts w:asciiTheme="majorHAnsi" w:hAnsiTheme="majorHAnsi" w:cs="Calibri"/>
          <w:sz w:val="24"/>
          <w:szCs w:val="24"/>
        </w:rPr>
        <w:t>ż</w:t>
      </w:r>
      <w:r w:rsidRPr="00BB688D">
        <w:rPr>
          <w:rFonts w:asciiTheme="majorHAnsi" w:hAnsiTheme="majorHAnsi"/>
          <w:sz w:val="24"/>
          <w:szCs w:val="24"/>
        </w:rPr>
        <w:t>szono urz</w:t>
      </w:r>
      <w:r w:rsidRPr="00BB688D">
        <w:rPr>
          <w:rFonts w:asciiTheme="majorHAnsi" w:hAnsiTheme="majorHAnsi" w:cs="Calibri"/>
          <w:sz w:val="24"/>
          <w:szCs w:val="24"/>
        </w:rPr>
        <w:t>ę</w:t>
      </w:r>
      <w:r w:rsidRPr="00BB688D">
        <w:rPr>
          <w:rFonts w:asciiTheme="majorHAnsi" w:hAnsiTheme="majorHAnsi"/>
          <w:sz w:val="24"/>
          <w:szCs w:val="24"/>
        </w:rPr>
        <w:t>dowe ceny zbytu (od 0,</w:t>
      </w:r>
      <w:r w:rsidR="00BB688D" w:rsidRPr="00BB688D">
        <w:rPr>
          <w:rFonts w:asciiTheme="majorHAnsi" w:hAnsiTheme="majorHAnsi"/>
          <w:sz w:val="24"/>
          <w:szCs w:val="24"/>
        </w:rPr>
        <w:t>46</w:t>
      </w:r>
      <w:r w:rsidRPr="00BB688D">
        <w:rPr>
          <w:rFonts w:asciiTheme="majorHAnsi" w:hAnsiTheme="majorHAnsi"/>
          <w:sz w:val="24"/>
          <w:szCs w:val="24"/>
        </w:rPr>
        <w:t xml:space="preserve"> zł do </w:t>
      </w:r>
      <w:r w:rsidR="00BB688D" w:rsidRPr="00BB688D">
        <w:rPr>
          <w:rFonts w:asciiTheme="majorHAnsi" w:hAnsiTheme="majorHAnsi"/>
          <w:sz w:val="24"/>
          <w:szCs w:val="24"/>
        </w:rPr>
        <w:t>3</w:t>
      </w:r>
      <w:r w:rsidR="00476A3C">
        <w:rPr>
          <w:rFonts w:asciiTheme="majorHAnsi" w:hAnsiTheme="majorHAnsi"/>
          <w:sz w:val="24"/>
          <w:szCs w:val="24"/>
        </w:rPr>
        <w:t xml:space="preserve"> </w:t>
      </w:r>
      <w:r w:rsidR="00BB688D" w:rsidRPr="00BB688D">
        <w:rPr>
          <w:rFonts w:asciiTheme="majorHAnsi" w:hAnsiTheme="majorHAnsi"/>
          <w:sz w:val="24"/>
          <w:szCs w:val="24"/>
        </w:rPr>
        <w:t xml:space="preserve">726,00 </w:t>
      </w:r>
      <w:r w:rsidRPr="00BB688D">
        <w:rPr>
          <w:rFonts w:asciiTheme="majorHAnsi" w:hAnsiTheme="majorHAnsi"/>
          <w:sz w:val="24"/>
          <w:szCs w:val="24"/>
        </w:rPr>
        <w:t>zł)</w:t>
      </w:r>
      <w:r w:rsidR="00476A3C">
        <w:rPr>
          <w:rFonts w:asciiTheme="majorHAnsi" w:hAnsiTheme="majorHAnsi"/>
          <w:sz w:val="24"/>
          <w:szCs w:val="24"/>
        </w:rPr>
        <w:t>.</w:t>
      </w:r>
    </w:p>
    <w:p w14:paraId="3F30E047" w14:textId="0D254D03" w:rsidR="00A118F0" w:rsidRPr="00BB688D" w:rsidRDefault="00A118F0" w:rsidP="00A118F0">
      <w:pPr>
        <w:pStyle w:val="Akapitzlist"/>
        <w:numPr>
          <w:ilvl w:val="0"/>
          <w:numId w:val="1"/>
        </w:numPr>
        <w:ind w:left="714" w:hanging="357"/>
        <w:contextualSpacing w:val="0"/>
        <w:rPr>
          <w:rFonts w:asciiTheme="majorHAnsi" w:hAnsiTheme="majorHAnsi"/>
          <w:sz w:val="24"/>
          <w:szCs w:val="24"/>
        </w:rPr>
      </w:pPr>
      <w:r w:rsidRPr="00BB688D">
        <w:rPr>
          <w:rFonts w:asciiTheme="majorHAnsi" w:hAnsiTheme="majorHAnsi"/>
          <w:sz w:val="24"/>
          <w:szCs w:val="24"/>
        </w:rPr>
        <w:t xml:space="preserve">Dla </w:t>
      </w:r>
      <w:r w:rsidR="00BB688D" w:rsidRPr="00BB688D">
        <w:rPr>
          <w:rFonts w:asciiTheme="majorHAnsi" w:hAnsiTheme="majorHAnsi"/>
          <w:sz w:val="24"/>
          <w:szCs w:val="24"/>
        </w:rPr>
        <w:t>1183</w:t>
      </w:r>
      <w:r w:rsidRPr="00BB688D">
        <w:rPr>
          <w:rFonts w:asciiTheme="majorHAnsi" w:hAnsiTheme="majorHAnsi"/>
          <w:sz w:val="24"/>
          <w:szCs w:val="24"/>
        </w:rPr>
        <w:t xml:space="preserve"> pozycji w obwieszczeniu spadnie dop</w:t>
      </w:r>
      <w:r w:rsidRPr="00BB688D">
        <w:rPr>
          <w:rFonts w:asciiTheme="majorHAnsi" w:hAnsiTheme="majorHAnsi" w:cs="Calibri"/>
          <w:sz w:val="24"/>
          <w:szCs w:val="24"/>
        </w:rPr>
        <w:t>ł</w:t>
      </w:r>
      <w:r w:rsidRPr="00BB688D">
        <w:rPr>
          <w:rFonts w:asciiTheme="majorHAnsi" w:hAnsiTheme="majorHAnsi"/>
          <w:sz w:val="24"/>
          <w:szCs w:val="24"/>
        </w:rPr>
        <w:t>ata pacjenta (od 0,01 z</w:t>
      </w:r>
      <w:r w:rsidRPr="00BB688D">
        <w:rPr>
          <w:rFonts w:asciiTheme="majorHAnsi" w:hAnsiTheme="majorHAnsi" w:cs="Calibri"/>
          <w:sz w:val="24"/>
          <w:szCs w:val="24"/>
        </w:rPr>
        <w:t>ł</w:t>
      </w:r>
      <w:r w:rsidRPr="00BB688D">
        <w:rPr>
          <w:rFonts w:asciiTheme="majorHAnsi" w:hAnsiTheme="majorHAnsi"/>
          <w:sz w:val="24"/>
          <w:szCs w:val="24"/>
        </w:rPr>
        <w:t xml:space="preserve"> do </w:t>
      </w:r>
      <w:r w:rsidR="00BB688D" w:rsidRPr="00BB688D">
        <w:rPr>
          <w:rFonts w:asciiTheme="majorHAnsi" w:hAnsiTheme="majorHAnsi"/>
          <w:sz w:val="24"/>
          <w:szCs w:val="24"/>
        </w:rPr>
        <w:t xml:space="preserve">121,86 </w:t>
      </w:r>
      <w:r w:rsidRPr="00BB688D">
        <w:rPr>
          <w:rFonts w:asciiTheme="majorHAnsi" w:hAnsiTheme="majorHAnsi"/>
          <w:sz w:val="24"/>
          <w:szCs w:val="24"/>
        </w:rPr>
        <w:t>z</w:t>
      </w:r>
      <w:r w:rsidRPr="00BB688D">
        <w:rPr>
          <w:rFonts w:asciiTheme="majorHAnsi" w:hAnsiTheme="majorHAnsi" w:cs="Calibri"/>
          <w:sz w:val="24"/>
          <w:szCs w:val="24"/>
        </w:rPr>
        <w:t>ł</w:t>
      </w:r>
      <w:r w:rsidRPr="00BB688D">
        <w:rPr>
          <w:rFonts w:asciiTheme="majorHAnsi" w:hAnsiTheme="majorHAnsi"/>
          <w:sz w:val="24"/>
          <w:szCs w:val="24"/>
        </w:rPr>
        <w:t>).</w:t>
      </w:r>
    </w:p>
    <w:p w14:paraId="5118E892" w14:textId="650777C9" w:rsidR="00A118F0" w:rsidRPr="00BB688D" w:rsidRDefault="00A118F0" w:rsidP="00A118F0">
      <w:pPr>
        <w:pStyle w:val="Akapitzlist"/>
        <w:numPr>
          <w:ilvl w:val="0"/>
          <w:numId w:val="1"/>
        </w:numPr>
        <w:ind w:left="714" w:hanging="357"/>
        <w:contextualSpacing w:val="0"/>
        <w:rPr>
          <w:rFonts w:asciiTheme="majorHAnsi" w:hAnsiTheme="majorHAnsi"/>
          <w:sz w:val="24"/>
          <w:szCs w:val="24"/>
        </w:rPr>
      </w:pPr>
      <w:r w:rsidRPr="00BB688D">
        <w:rPr>
          <w:rFonts w:asciiTheme="majorHAnsi" w:hAnsiTheme="majorHAnsi"/>
          <w:sz w:val="24"/>
          <w:szCs w:val="24"/>
        </w:rPr>
        <w:t xml:space="preserve">Dla </w:t>
      </w:r>
      <w:r w:rsidR="00BB688D" w:rsidRPr="00BB688D">
        <w:rPr>
          <w:rFonts w:asciiTheme="majorHAnsi" w:hAnsiTheme="majorHAnsi"/>
          <w:sz w:val="24"/>
          <w:szCs w:val="24"/>
        </w:rPr>
        <w:t>509</w:t>
      </w:r>
      <w:r w:rsidRPr="00BB688D">
        <w:rPr>
          <w:rFonts w:asciiTheme="majorHAnsi" w:hAnsiTheme="majorHAnsi"/>
          <w:sz w:val="24"/>
          <w:szCs w:val="24"/>
        </w:rPr>
        <w:t xml:space="preserve"> pozycji w obwieszczeniu wzro</w:t>
      </w:r>
      <w:r w:rsidRPr="00BB688D">
        <w:rPr>
          <w:rFonts w:asciiTheme="majorHAnsi" w:hAnsiTheme="majorHAnsi" w:cs="Calibri"/>
          <w:sz w:val="24"/>
          <w:szCs w:val="24"/>
        </w:rPr>
        <w:t>ś</w:t>
      </w:r>
      <w:r w:rsidRPr="00BB688D">
        <w:rPr>
          <w:rFonts w:asciiTheme="majorHAnsi" w:hAnsiTheme="majorHAnsi"/>
          <w:sz w:val="24"/>
          <w:szCs w:val="24"/>
        </w:rPr>
        <w:t>nie dop</w:t>
      </w:r>
      <w:r w:rsidRPr="00BB688D">
        <w:rPr>
          <w:rFonts w:asciiTheme="majorHAnsi" w:hAnsiTheme="majorHAnsi" w:cs="Calibri"/>
          <w:sz w:val="24"/>
          <w:szCs w:val="24"/>
        </w:rPr>
        <w:t>ł</w:t>
      </w:r>
      <w:r w:rsidRPr="00BB688D">
        <w:rPr>
          <w:rFonts w:asciiTheme="majorHAnsi" w:hAnsiTheme="majorHAnsi"/>
          <w:sz w:val="24"/>
          <w:szCs w:val="24"/>
        </w:rPr>
        <w:t>ata pacjenta (od 0,01 z</w:t>
      </w:r>
      <w:r w:rsidRPr="00BB688D">
        <w:rPr>
          <w:rFonts w:asciiTheme="majorHAnsi" w:hAnsiTheme="majorHAnsi" w:cs="Calibri"/>
          <w:sz w:val="24"/>
          <w:szCs w:val="24"/>
        </w:rPr>
        <w:t>ł</w:t>
      </w:r>
      <w:r w:rsidRPr="00BB688D">
        <w:rPr>
          <w:rFonts w:asciiTheme="majorHAnsi" w:hAnsiTheme="majorHAnsi"/>
          <w:sz w:val="24"/>
          <w:szCs w:val="24"/>
        </w:rPr>
        <w:t xml:space="preserve"> do </w:t>
      </w:r>
      <w:r w:rsidR="00BB688D" w:rsidRPr="00BB688D">
        <w:rPr>
          <w:rFonts w:asciiTheme="majorHAnsi" w:hAnsiTheme="majorHAnsi"/>
          <w:sz w:val="24"/>
          <w:szCs w:val="24"/>
        </w:rPr>
        <w:t xml:space="preserve">452,70 </w:t>
      </w:r>
      <w:r w:rsidRPr="00BB688D">
        <w:rPr>
          <w:rFonts w:asciiTheme="majorHAnsi" w:hAnsiTheme="majorHAnsi"/>
          <w:sz w:val="24"/>
          <w:szCs w:val="24"/>
        </w:rPr>
        <w:t>z</w:t>
      </w:r>
      <w:r w:rsidRPr="00BB688D">
        <w:rPr>
          <w:rFonts w:asciiTheme="majorHAnsi" w:hAnsiTheme="majorHAnsi" w:cs="Calibri"/>
          <w:sz w:val="24"/>
          <w:szCs w:val="24"/>
        </w:rPr>
        <w:t>ł</w:t>
      </w:r>
      <w:r w:rsidRPr="00BB688D">
        <w:rPr>
          <w:rFonts w:asciiTheme="majorHAnsi" w:hAnsiTheme="majorHAnsi"/>
          <w:sz w:val="24"/>
          <w:szCs w:val="24"/>
        </w:rPr>
        <w:t>).</w:t>
      </w:r>
    </w:p>
    <w:p w14:paraId="439F0EA4" w14:textId="529577AA" w:rsidR="00A118F0" w:rsidRPr="00F028E1" w:rsidRDefault="00A118F0" w:rsidP="00A118F0">
      <w:pPr>
        <w:pStyle w:val="Akapitzlist"/>
        <w:numPr>
          <w:ilvl w:val="0"/>
          <w:numId w:val="1"/>
        </w:numPr>
        <w:ind w:left="714" w:hanging="357"/>
        <w:contextualSpacing w:val="0"/>
        <w:rPr>
          <w:rFonts w:asciiTheme="majorHAnsi" w:hAnsiTheme="majorHAnsi"/>
          <w:sz w:val="24"/>
          <w:szCs w:val="24"/>
        </w:rPr>
      </w:pPr>
      <w:r w:rsidRPr="00F028E1">
        <w:rPr>
          <w:rFonts w:asciiTheme="majorHAnsi" w:hAnsiTheme="majorHAnsi"/>
          <w:sz w:val="24"/>
          <w:szCs w:val="24"/>
        </w:rPr>
        <w:t xml:space="preserve">Dla </w:t>
      </w:r>
      <w:r w:rsidR="00F028E1" w:rsidRPr="00F028E1">
        <w:rPr>
          <w:rFonts w:asciiTheme="majorHAnsi" w:hAnsiTheme="majorHAnsi"/>
          <w:sz w:val="24"/>
          <w:szCs w:val="24"/>
        </w:rPr>
        <w:t>1478</w:t>
      </w:r>
      <w:r w:rsidRPr="00F028E1">
        <w:rPr>
          <w:rFonts w:asciiTheme="majorHAnsi" w:hAnsiTheme="majorHAnsi"/>
          <w:sz w:val="24"/>
          <w:szCs w:val="24"/>
        </w:rPr>
        <w:t xml:space="preserve"> produktów ulegną obniżeniu ceny detaliczne brutto (od 0,01 z</w:t>
      </w:r>
      <w:r w:rsidRPr="00F028E1">
        <w:rPr>
          <w:rFonts w:asciiTheme="majorHAnsi" w:hAnsiTheme="majorHAnsi" w:cs="Calibri"/>
          <w:sz w:val="24"/>
          <w:szCs w:val="24"/>
        </w:rPr>
        <w:t>ł</w:t>
      </w:r>
      <w:r w:rsidRPr="00F028E1">
        <w:rPr>
          <w:rFonts w:asciiTheme="majorHAnsi" w:hAnsiTheme="majorHAnsi"/>
          <w:sz w:val="24"/>
          <w:szCs w:val="24"/>
        </w:rPr>
        <w:t xml:space="preserve"> do </w:t>
      </w:r>
      <w:r w:rsidR="00F028E1" w:rsidRPr="00F028E1">
        <w:rPr>
          <w:rFonts w:asciiTheme="majorHAnsi" w:hAnsiTheme="majorHAnsi"/>
          <w:sz w:val="24"/>
          <w:szCs w:val="24"/>
        </w:rPr>
        <w:t xml:space="preserve">126,30 </w:t>
      </w:r>
      <w:r w:rsidRPr="00F028E1">
        <w:rPr>
          <w:rFonts w:asciiTheme="majorHAnsi" w:hAnsiTheme="majorHAnsi"/>
          <w:sz w:val="24"/>
          <w:szCs w:val="24"/>
        </w:rPr>
        <w:t>z</w:t>
      </w:r>
      <w:r w:rsidRPr="00F028E1">
        <w:rPr>
          <w:rFonts w:asciiTheme="majorHAnsi" w:hAnsiTheme="majorHAnsi" w:cs="Calibri"/>
          <w:sz w:val="24"/>
          <w:szCs w:val="24"/>
        </w:rPr>
        <w:t>ł</w:t>
      </w:r>
      <w:r w:rsidRPr="00F028E1">
        <w:rPr>
          <w:rFonts w:asciiTheme="majorHAnsi" w:hAnsiTheme="majorHAnsi"/>
          <w:sz w:val="24"/>
          <w:szCs w:val="24"/>
        </w:rPr>
        <w:t>).</w:t>
      </w:r>
    </w:p>
    <w:p w14:paraId="48018F1B" w14:textId="6E58243E" w:rsidR="00A118F0" w:rsidRPr="00F028E1" w:rsidRDefault="00A118F0" w:rsidP="00A118F0">
      <w:pPr>
        <w:pStyle w:val="Akapitzlist"/>
        <w:numPr>
          <w:ilvl w:val="0"/>
          <w:numId w:val="1"/>
        </w:numPr>
        <w:ind w:left="714" w:hanging="357"/>
        <w:contextualSpacing w:val="0"/>
        <w:rPr>
          <w:rFonts w:asciiTheme="majorHAnsi" w:hAnsiTheme="majorHAnsi"/>
          <w:sz w:val="24"/>
          <w:szCs w:val="24"/>
        </w:rPr>
      </w:pPr>
      <w:r w:rsidRPr="00F028E1">
        <w:rPr>
          <w:rFonts w:asciiTheme="majorHAnsi" w:hAnsiTheme="majorHAnsi"/>
          <w:sz w:val="24"/>
          <w:szCs w:val="24"/>
        </w:rPr>
        <w:t xml:space="preserve">Dla </w:t>
      </w:r>
      <w:r w:rsidR="00F028E1" w:rsidRPr="00F028E1">
        <w:rPr>
          <w:rFonts w:asciiTheme="majorHAnsi" w:hAnsiTheme="majorHAnsi"/>
          <w:sz w:val="24"/>
          <w:szCs w:val="24"/>
        </w:rPr>
        <w:t>63</w:t>
      </w:r>
      <w:r w:rsidRPr="00F028E1">
        <w:rPr>
          <w:rFonts w:asciiTheme="majorHAnsi" w:hAnsiTheme="majorHAnsi"/>
          <w:sz w:val="24"/>
          <w:szCs w:val="24"/>
        </w:rPr>
        <w:t xml:space="preserve"> produktów wzrosn</w:t>
      </w:r>
      <w:r w:rsidRPr="00F028E1">
        <w:rPr>
          <w:rFonts w:asciiTheme="majorHAnsi" w:hAnsiTheme="majorHAnsi" w:cs="Calibri"/>
          <w:sz w:val="24"/>
          <w:szCs w:val="24"/>
        </w:rPr>
        <w:t>ą</w:t>
      </w:r>
      <w:r w:rsidRPr="00F028E1">
        <w:rPr>
          <w:rFonts w:asciiTheme="majorHAnsi" w:hAnsiTheme="majorHAnsi"/>
          <w:sz w:val="24"/>
          <w:szCs w:val="24"/>
        </w:rPr>
        <w:t xml:space="preserve"> ceny detaliczne brutto (od 0,0</w:t>
      </w:r>
      <w:r w:rsidR="00BB688D">
        <w:rPr>
          <w:rFonts w:asciiTheme="majorHAnsi" w:hAnsiTheme="majorHAnsi"/>
          <w:sz w:val="24"/>
          <w:szCs w:val="24"/>
        </w:rPr>
        <w:t>1</w:t>
      </w:r>
      <w:r w:rsidRPr="00F028E1">
        <w:rPr>
          <w:rFonts w:asciiTheme="majorHAnsi" w:hAnsiTheme="majorHAnsi"/>
          <w:sz w:val="24"/>
          <w:szCs w:val="24"/>
        </w:rPr>
        <w:t xml:space="preserve"> z</w:t>
      </w:r>
      <w:r w:rsidRPr="00F028E1">
        <w:rPr>
          <w:rFonts w:asciiTheme="majorHAnsi" w:hAnsiTheme="majorHAnsi" w:cs="Calibri"/>
          <w:sz w:val="24"/>
          <w:szCs w:val="24"/>
        </w:rPr>
        <w:t>ł</w:t>
      </w:r>
      <w:r w:rsidRPr="00F028E1">
        <w:rPr>
          <w:rFonts w:asciiTheme="majorHAnsi" w:hAnsiTheme="majorHAnsi"/>
          <w:sz w:val="24"/>
          <w:szCs w:val="24"/>
        </w:rPr>
        <w:t xml:space="preserve"> do </w:t>
      </w:r>
      <w:r w:rsidR="00F028E1">
        <w:rPr>
          <w:rFonts w:asciiTheme="majorHAnsi" w:hAnsiTheme="majorHAnsi"/>
          <w:sz w:val="24"/>
          <w:szCs w:val="24"/>
        </w:rPr>
        <w:t>2,48</w:t>
      </w:r>
      <w:r w:rsidRPr="00F028E1">
        <w:rPr>
          <w:rFonts w:asciiTheme="majorHAnsi" w:hAnsiTheme="majorHAnsi"/>
          <w:sz w:val="24"/>
          <w:szCs w:val="24"/>
        </w:rPr>
        <w:t xml:space="preserve"> z</w:t>
      </w:r>
      <w:r w:rsidRPr="00F028E1">
        <w:rPr>
          <w:rFonts w:asciiTheme="majorHAnsi" w:hAnsiTheme="majorHAnsi" w:cs="Calibri"/>
          <w:sz w:val="24"/>
          <w:szCs w:val="24"/>
        </w:rPr>
        <w:t>ł</w:t>
      </w:r>
      <w:r w:rsidRPr="00F028E1">
        <w:rPr>
          <w:rFonts w:asciiTheme="majorHAnsi" w:hAnsiTheme="majorHAnsi"/>
          <w:sz w:val="24"/>
          <w:szCs w:val="24"/>
        </w:rPr>
        <w:t>).</w:t>
      </w:r>
    </w:p>
    <w:p w14:paraId="7EDBDD5D" w14:textId="1AF967BD" w:rsidR="00A118F0" w:rsidRPr="00476A3C" w:rsidRDefault="00A118F0" w:rsidP="00A118F0">
      <w:pPr>
        <w:pStyle w:val="Akapitzlist"/>
        <w:numPr>
          <w:ilvl w:val="0"/>
          <w:numId w:val="1"/>
        </w:numPr>
        <w:ind w:left="714" w:hanging="357"/>
        <w:contextualSpacing w:val="0"/>
        <w:jc w:val="both"/>
        <w:rPr>
          <w:rFonts w:asciiTheme="majorHAnsi" w:hAnsiTheme="majorHAnsi"/>
          <w:sz w:val="24"/>
          <w:szCs w:val="24"/>
        </w:rPr>
      </w:pPr>
      <w:r w:rsidRPr="00476A3C">
        <w:rPr>
          <w:rFonts w:asciiTheme="majorHAnsi" w:hAnsiTheme="majorHAnsi"/>
          <w:sz w:val="24"/>
          <w:szCs w:val="24"/>
        </w:rPr>
        <w:t>W zwi</w:t>
      </w:r>
      <w:r w:rsidRPr="00476A3C">
        <w:rPr>
          <w:rFonts w:asciiTheme="majorHAnsi" w:hAnsiTheme="majorHAnsi" w:cs="Calibri"/>
          <w:sz w:val="24"/>
          <w:szCs w:val="24"/>
        </w:rPr>
        <w:t>ą</w:t>
      </w:r>
      <w:r w:rsidRPr="00476A3C">
        <w:rPr>
          <w:rFonts w:asciiTheme="majorHAnsi" w:hAnsiTheme="majorHAnsi"/>
          <w:sz w:val="24"/>
          <w:szCs w:val="24"/>
        </w:rPr>
        <w:t>zku z wp</w:t>
      </w:r>
      <w:r w:rsidRPr="00476A3C">
        <w:rPr>
          <w:rFonts w:asciiTheme="majorHAnsi" w:hAnsiTheme="majorHAnsi" w:cs="Calibri"/>
          <w:sz w:val="24"/>
          <w:szCs w:val="24"/>
        </w:rPr>
        <w:t>ł</w:t>
      </w:r>
      <w:r w:rsidRPr="00476A3C">
        <w:rPr>
          <w:rFonts w:asciiTheme="majorHAnsi" w:hAnsiTheme="majorHAnsi"/>
          <w:sz w:val="24"/>
          <w:szCs w:val="24"/>
        </w:rPr>
        <w:t>yni</w:t>
      </w:r>
      <w:r w:rsidRPr="00476A3C">
        <w:rPr>
          <w:rFonts w:asciiTheme="majorHAnsi" w:hAnsiTheme="majorHAnsi" w:cs="Calibri"/>
          <w:sz w:val="24"/>
          <w:szCs w:val="24"/>
        </w:rPr>
        <w:t>ę</w:t>
      </w:r>
      <w:r w:rsidRPr="00476A3C">
        <w:rPr>
          <w:rFonts w:asciiTheme="majorHAnsi" w:hAnsiTheme="majorHAnsi"/>
          <w:sz w:val="24"/>
          <w:szCs w:val="24"/>
        </w:rPr>
        <w:t>ciem wniosków o skrócenie terminu obowi</w:t>
      </w:r>
      <w:r w:rsidRPr="00476A3C">
        <w:rPr>
          <w:rFonts w:asciiTheme="majorHAnsi" w:hAnsiTheme="majorHAnsi" w:cs="Calibri"/>
          <w:sz w:val="24"/>
          <w:szCs w:val="24"/>
        </w:rPr>
        <w:t>ą</w:t>
      </w:r>
      <w:r w:rsidRPr="00476A3C">
        <w:rPr>
          <w:rFonts w:asciiTheme="majorHAnsi" w:hAnsiTheme="majorHAnsi"/>
          <w:sz w:val="24"/>
          <w:szCs w:val="24"/>
        </w:rPr>
        <w:t>zywania decyzji refundacyjnych lub up</w:t>
      </w:r>
      <w:r w:rsidRPr="00476A3C">
        <w:rPr>
          <w:rFonts w:asciiTheme="majorHAnsi" w:hAnsiTheme="majorHAnsi" w:cs="Calibri"/>
          <w:sz w:val="24"/>
          <w:szCs w:val="24"/>
        </w:rPr>
        <w:t>ł</w:t>
      </w:r>
      <w:r w:rsidRPr="00476A3C">
        <w:rPr>
          <w:rFonts w:asciiTheme="majorHAnsi" w:hAnsiTheme="majorHAnsi"/>
          <w:sz w:val="24"/>
          <w:szCs w:val="24"/>
        </w:rPr>
        <w:t>yni</w:t>
      </w:r>
      <w:r w:rsidRPr="00476A3C">
        <w:rPr>
          <w:rFonts w:asciiTheme="majorHAnsi" w:hAnsiTheme="majorHAnsi" w:cs="Calibri"/>
          <w:sz w:val="24"/>
          <w:szCs w:val="24"/>
        </w:rPr>
        <w:t>ę</w:t>
      </w:r>
      <w:r w:rsidRPr="00476A3C">
        <w:rPr>
          <w:rFonts w:asciiTheme="majorHAnsi" w:hAnsiTheme="majorHAnsi"/>
          <w:sz w:val="24"/>
          <w:szCs w:val="24"/>
        </w:rPr>
        <w:t>ciem terminu obowi</w:t>
      </w:r>
      <w:r w:rsidRPr="00476A3C">
        <w:rPr>
          <w:rFonts w:asciiTheme="majorHAnsi" w:hAnsiTheme="majorHAnsi" w:cs="Calibri"/>
          <w:sz w:val="24"/>
          <w:szCs w:val="24"/>
        </w:rPr>
        <w:t>ą</w:t>
      </w:r>
      <w:r w:rsidRPr="00476A3C">
        <w:rPr>
          <w:rFonts w:asciiTheme="majorHAnsi" w:hAnsiTheme="majorHAnsi"/>
          <w:sz w:val="24"/>
          <w:szCs w:val="24"/>
        </w:rPr>
        <w:t>zywania decyzji refundacyjnych lub odmow</w:t>
      </w:r>
      <w:r w:rsidRPr="00476A3C">
        <w:rPr>
          <w:rFonts w:asciiTheme="majorHAnsi" w:hAnsiTheme="majorHAnsi" w:cs="Calibri"/>
          <w:sz w:val="24"/>
          <w:szCs w:val="24"/>
        </w:rPr>
        <w:t>ą</w:t>
      </w:r>
      <w:r w:rsidRPr="00476A3C">
        <w:rPr>
          <w:rFonts w:asciiTheme="majorHAnsi" w:hAnsiTheme="majorHAnsi"/>
          <w:sz w:val="24"/>
          <w:szCs w:val="24"/>
        </w:rPr>
        <w:t xml:space="preserve"> refundacji na kolejny okres w obwieszczeniu nie znajdzie si</w:t>
      </w:r>
      <w:r w:rsidRPr="00476A3C">
        <w:rPr>
          <w:rFonts w:asciiTheme="majorHAnsi" w:hAnsiTheme="majorHAnsi" w:cs="Calibri"/>
          <w:sz w:val="24"/>
          <w:szCs w:val="24"/>
        </w:rPr>
        <w:t>ę</w:t>
      </w:r>
      <w:r w:rsidRPr="00476A3C">
        <w:rPr>
          <w:rFonts w:asciiTheme="majorHAnsi" w:hAnsiTheme="majorHAnsi"/>
          <w:sz w:val="24"/>
          <w:szCs w:val="24"/>
        </w:rPr>
        <w:t xml:space="preserve"> </w:t>
      </w:r>
      <w:r w:rsidR="00A32C82">
        <w:rPr>
          <w:rFonts w:asciiTheme="majorHAnsi" w:hAnsiTheme="majorHAnsi"/>
          <w:sz w:val="24"/>
          <w:szCs w:val="24"/>
        </w:rPr>
        <w:t>32</w:t>
      </w:r>
      <w:r w:rsidR="0057016E">
        <w:rPr>
          <w:rFonts w:asciiTheme="majorHAnsi" w:hAnsiTheme="majorHAnsi"/>
          <w:sz w:val="24"/>
          <w:szCs w:val="24"/>
        </w:rPr>
        <w:t>0</w:t>
      </w:r>
      <w:r w:rsidRPr="00476A3C">
        <w:rPr>
          <w:rFonts w:asciiTheme="majorHAnsi" w:hAnsiTheme="majorHAnsi"/>
          <w:sz w:val="24"/>
          <w:szCs w:val="24"/>
        </w:rPr>
        <w:t xml:space="preserve"> produktów bądź wskazań figurujących  w poprzednim obwieszczeniu.</w:t>
      </w:r>
    </w:p>
    <w:p w14:paraId="514C942E" w14:textId="77777777" w:rsidR="005058F2" w:rsidRDefault="005058F2">
      <w:pPr>
        <w:suppressAutoHyphens w:val="0"/>
        <w:rPr>
          <w:rFonts w:ascii="Abadi" w:hAnsi="Abadi"/>
          <w:b/>
          <w:bCs/>
          <w:color w:val="00B0F0"/>
          <w:sz w:val="28"/>
          <w:szCs w:val="28"/>
        </w:rPr>
      </w:pPr>
      <w:r>
        <w:rPr>
          <w:rFonts w:ascii="Abadi" w:hAnsi="Abadi"/>
          <w:b/>
          <w:bCs/>
          <w:color w:val="00B0F0"/>
          <w:sz w:val="28"/>
          <w:szCs w:val="28"/>
        </w:rPr>
        <w:br w:type="page"/>
      </w:r>
    </w:p>
    <w:p w14:paraId="06A06678" w14:textId="7D136BFD" w:rsidR="00AD08C5" w:rsidRDefault="006A7DCE" w:rsidP="005058F2">
      <w:pPr>
        <w:jc w:val="center"/>
        <w:rPr>
          <w:rFonts w:ascii="Abadi" w:hAnsi="Abadi"/>
          <w:b/>
          <w:bCs/>
          <w:color w:val="00B0F0"/>
          <w:sz w:val="28"/>
          <w:szCs w:val="28"/>
        </w:rPr>
      </w:pPr>
      <w:r>
        <w:rPr>
          <w:rFonts w:ascii="Abadi" w:hAnsi="Abadi"/>
          <w:b/>
          <w:bCs/>
          <w:color w:val="00B0F0"/>
          <w:sz w:val="28"/>
          <w:szCs w:val="28"/>
        </w:rPr>
        <w:lastRenderedPageBreak/>
        <w:t>NOWE WSKAZANIA ORAZ ZMIANY W PROGRAMACH LEKOWYCH</w:t>
      </w:r>
      <w:r w:rsidR="0056748F">
        <w:rPr>
          <w:rFonts w:ascii="Abadi" w:hAnsi="Abadi"/>
          <w:b/>
          <w:bCs/>
          <w:color w:val="00B0F0"/>
          <w:sz w:val="28"/>
          <w:szCs w:val="28"/>
        </w:rPr>
        <w:t xml:space="preserve"> i CHEMIOTERAPII</w:t>
      </w:r>
    </w:p>
    <w:tbl>
      <w:tblPr>
        <w:tblW w:w="5000" w:type="pct"/>
        <w:tblCellMar>
          <w:top w:w="113" w:type="dxa"/>
          <w:left w:w="10" w:type="dxa"/>
          <w:bottom w:w="113" w:type="dxa"/>
          <w:right w:w="10" w:type="dxa"/>
        </w:tblCellMar>
        <w:tblLook w:val="0000" w:firstRow="0" w:lastRow="0" w:firstColumn="0" w:lastColumn="0" w:noHBand="0" w:noVBand="0"/>
      </w:tblPr>
      <w:tblGrid>
        <w:gridCol w:w="719"/>
        <w:gridCol w:w="1723"/>
        <w:gridCol w:w="660"/>
        <w:gridCol w:w="1922"/>
        <w:gridCol w:w="1872"/>
        <w:gridCol w:w="2596"/>
        <w:gridCol w:w="4496"/>
      </w:tblGrid>
      <w:tr w:rsidR="005058F2" w:rsidRPr="005058F2" w14:paraId="7E2E9B6A" w14:textId="77777777" w:rsidTr="005058F2">
        <w:trPr>
          <w:trHeight w:val="20"/>
        </w:trPr>
        <w:tc>
          <w:tcPr>
            <w:tcW w:w="50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94C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87C9CE" w14:textId="77777777" w:rsidR="005058F2" w:rsidRPr="005058F2" w:rsidRDefault="005058F2" w:rsidP="007B043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FFFFFF"/>
              </w:rPr>
            </w:pPr>
            <w:r w:rsidRPr="005058F2">
              <w:rPr>
                <w:rFonts w:asciiTheme="majorHAnsi" w:hAnsiTheme="majorHAnsi" w:cstheme="majorHAnsi"/>
                <w:b/>
                <w:bCs/>
                <w:color w:val="FFFFFF"/>
              </w:rPr>
              <w:t>Programy lekowe i chemioterapia</w:t>
            </w:r>
          </w:p>
        </w:tc>
      </w:tr>
      <w:tr w:rsidR="005058F2" w:rsidRPr="005058F2" w14:paraId="1C096482" w14:textId="77777777" w:rsidTr="005058F2">
        <w:trPr>
          <w:trHeight w:val="20"/>
        </w:trPr>
        <w:tc>
          <w:tcPr>
            <w:tcW w:w="5000" w:type="pct"/>
            <w:gridSpan w:val="7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0D3F6C" w14:textId="047D7715" w:rsidR="005058F2" w:rsidRPr="005058F2" w:rsidRDefault="005058F2" w:rsidP="007B043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FFFFFF"/>
              </w:rPr>
            </w:pPr>
            <w:r w:rsidRPr="005058F2">
              <w:rPr>
                <w:rFonts w:asciiTheme="majorHAnsi" w:hAnsiTheme="majorHAnsi" w:cstheme="majorHAnsi"/>
                <w:b/>
                <w:bCs/>
                <w:color w:val="FFFFFF"/>
              </w:rPr>
              <w:t>Nowe wskazania onkologiczne</w:t>
            </w:r>
          </w:p>
        </w:tc>
      </w:tr>
      <w:tr w:rsidR="005058F2" w:rsidRPr="005058F2" w14:paraId="60CDF2D4" w14:textId="77777777" w:rsidTr="00625441">
        <w:trPr>
          <w:trHeight w:val="20"/>
        </w:trPr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618D0B" w14:textId="77777777" w:rsidR="005058F2" w:rsidRPr="005058F2" w:rsidRDefault="005058F2" w:rsidP="007B043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5058F2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8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6CB337" w14:textId="77777777" w:rsidR="005058F2" w:rsidRPr="005058F2" w:rsidRDefault="005058F2" w:rsidP="007B043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5058F2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Nazwa leku</w:t>
            </w:r>
          </w:p>
        </w:tc>
        <w:tc>
          <w:tcPr>
            <w:tcW w:w="6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24251E" w14:textId="77777777" w:rsidR="005058F2" w:rsidRPr="005058F2" w:rsidRDefault="005058F2" w:rsidP="007B043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5058F2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Substancja czynna</w:t>
            </w:r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B0A519" w14:textId="77777777" w:rsidR="005058F2" w:rsidRPr="005058F2" w:rsidRDefault="005058F2" w:rsidP="007B043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5058F2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Numer programu lekowego/załącznika chemioterapii</w:t>
            </w:r>
          </w:p>
        </w:tc>
        <w:tc>
          <w:tcPr>
            <w:tcW w:w="9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BA8893" w14:textId="77777777" w:rsidR="005058F2" w:rsidRPr="005058F2" w:rsidRDefault="005058F2" w:rsidP="007B043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</w:rPr>
            </w:pPr>
            <w:r w:rsidRPr="005058F2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Nazwa programu lekowego/ Załącznika chemioterapii</w:t>
            </w:r>
          </w:p>
        </w:tc>
        <w:tc>
          <w:tcPr>
            <w:tcW w:w="1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164232" w14:textId="77777777" w:rsidR="005058F2" w:rsidRPr="005058F2" w:rsidRDefault="005058F2" w:rsidP="007B043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5058F2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Doprecyzowanie wskazania</w:t>
            </w:r>
          </w:p>
        </w:tc>
      </w:tr>
      <w:tr w:rsidR="00EB2F31" w:rsidRPr="005058F2" w14:paraId="1F4280B1" w14:textId="77777777" w:rsidTr="00625441">
        <w:trPr>
          <w:trHeight w:val="20"/>
        </w:trPr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9A6C0" w14:textId="598F0AEB" w:rsidR="00EB2F31" w:rsidRPr="004176B2" w:rsidRDefault="00EB2F31" w:rsidP="00EB2F31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4176B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8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AEF7A1" w14:textId="5FA2B741" w:rsidR="00EB2F31" w:rsidRPr="004176B2" w:rsidRDefault="00EB2F31" w:rsidP="00EB2F31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4176B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Zejula</w:t>
            </w:r>
          </w:p>
        </w:tc>
        <w:tc>
          <w:tcPr>
            <w:tcW w:w="6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5EBA34" w14:textId="005D294F" w:rsidR="00EB2F31" w:rsidRPr="004176B2" w:rsidRDefault="00EB2F31" w:rsidP="00EB2F31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4176B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niraparyb</w:t>
            </w:r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1A00C8" w14:textId="1106765F" w:rsidR="00EB2F31" w:rsidRPr="004176B2" w:rsidRDefault="00EB2F31" w:rsidP="00EB2F31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4176B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B.50</w:t>
            </w:r>
          </w:p>
        </w:tc>
        <w:tc>
          <w:tcPr>
            <w:tcW w:w="9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9CD2B8" w14:textId="3FF7D69B" w:rsidR="00EB2F31" w:rsidRPr="004176B2" w:rsidRDefault="00EB2F31" w:rsidP="00EB2F31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4176B2">
              <w:rPr>
                <w:rFonts w:asciiTheme="majorHAnsi" w:hAnsiTheme="majorHAnsi" w:cstheme="majorHAnsi"/>
                <w:sz w:val="20"/>
                <w:szCs w:val="20"/>
              </w:rPr>
              <w:t>LECZENIE CHORYCH NA RAKA JAJNIKA, RAKA JAJOWODU LUB RAKA OTRZEWNEJ (ICD-10: C56, C57, C48)</w:t>
            </w:r>
          </w:p>
        </w:tc>
        <w:tc>
          <w:tcPr>
            <w:tcW w:w="1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4CC36C" w14:textId="40B3CE69" w:rsidR="00EB2F31" w:rsidRPr="004176B2" w:rsidRDefault="00EB2F31" w:rsidP="00EB2F31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4176B2">
              <w:rPr>
                <w:rFonts w:asciiTheme="majorHAnsi" w:hAnsiTheme="majorHAnsi" w:cstheme="majorHAnsi"/>
                <w:sz w:val="20"/>
                <w:szCs w:val="20"/>
              </w:rPr>
              <w:t xml:space="preserve">I </w:t>
            </w:r>
            <w:r w:rsidR="00476A3C" w:rsidRPr="004176B2">
              <w:rPr>
                <w:rFonts w:asciiTheme="majorHAnsi" w:hAnsiTheme="majorHAnsi" w:cstheme="majorHAnsi"/>
                <w:sz w:val="20"/>
                <w:szCs w:val="20"/>
              </w:rPr>
              <w:t>linia</w:t>
            </w:r>
            <w:r w:rsidRPr="004176B2">
              <w:rPr>
                <w:rFonts w:asciiTheme="majorHAnsi" w:hAnsiTheme="majorHAnsi" w:cstheme="majorHAnsi"/>
                <w:sz w:val="20"/>
                <w:szCs w:val="20"/>
              </w:rPr>
              <w:t xml:space="preserve"> leczenia podtrzymującego </w:t>
            </w:r>
            <w:r w:rsidR="00476A3C" w:rsidRPr="004176B2">
              <w:rPr>
                <w:rFonts w:asciiTheme="majorHAnsi" w:hAnsiTheme="majorHAnsi" w:cstheme="majorHAnsi"/>
                <w:sz w:val="20"/>
                <w:szCs w:val="20"/>
              </w:rPr>
              <w:t>noworozpoznanego</w:t>
            </w:r>
            <w:r w:rsidRPr="004176B2">
              <w:rPr>
                <w:rFonts w:asciiTheme="majorHAnsi" w:hAnsiTheme="majorHAnsi" w:cstheme="majorHAnsi"/>
                <w:sz w:val="20"/>
                <w:szCs w:val="20"/>
              </w:rPr>
              <w:t xml:space="preserve"> zaawansowanego raka jajnika, jajowodu lub pierwotnego raka otrzewnej, niezależnie od stanu mutacji w genach BRCA1/BRCA2</w:t>
            </w:r>
            <w:r w:rsidRPr="004176B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EB2F31" w:rsidRPr="005058F2" w14:paraId="4C9C4901" w14:textId="77777777" w:rsidTr="005058F2">
        <w:trPr>
          <w:trHeight w:val="20"/>
        </w:trPr>
        <w:tc>
          <w:tcPr>
            <w:tcW w:w="50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A390A7" w14:textId="5C4E25DC" w:rsidR="00EB2F31" w:rsidRPr="005058F2" w:rsidRDefault="00EB2F31" w:rsidP="00EB2F31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FFFFFF"/>
              </w:rPr>
            </w:pPr>
            <w:r w:rsidRPr="005058F2">
              <w:rPr>
                <w:rFonts w:asciiTheme="majorHAnsi" w:hAnsiTheme="majorHAnsi" w:cstheme="majorHAnsi"/>
                <w:b/>
                <w:bCs/>
                <w:color w:val="FFFFFF"/>
              </w:rPr>
              <w:t>Nowe wskazania nieonkologiczne</w:t>
            </w:r>
          </w:p>
        </w:tc>
      </w:tr>
      <w:tr w:rsidR="00EB2F31" w:rsidRPr="005058F2" w14:paraId="1394CD71" w14:textId="77777777" w:rsidTr="00625441">
        <w:trPr>
          <w:trHeight w:val="20"/>
        </w:trPr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A979BE" w14:textId="77777777" w:rsidR="00EB2F31" w:rsidRPr="005058F2" w:rsidRDefault="00EB2F31" w:rsidP="00EB2F31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</w:rPr>
            </w:pPr>
            <w:r w:rsidRPr="005058F2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8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B02159" w14:textId="77777777" w:rsidR="00EB2F31" w:rsidRPr="005058F2" w:rsidRDefault="00EB2F31" w:rsidP="00EB2F31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</w:rPr>
            </w:pPr>
            <w:r w:rsidRPr="005058F2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Nazwa leku</w:t>
            </w:r>
          </w:p>
        </w:tc>
        <w:tc>
          <w:tcPr>
            <w:tcW w:w="6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FC3D6F" w14:textId="77777777" w:rsidR="00EB2F31" w:rsidRPr="005058F2" w:rsidRDefault="00EB2F31" w:rsidP="00EB2F31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</w:rPr>
            </w:pPr>
            <w:r w:rsidRPr="005058F2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Substancja czynna</w:t>
            </w:r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CD8698" w14:textId="77777777" w:rsidR="00EB2F31" w:rsidRPr="005058F2" w:rsidRDefault="00EB2F31" w:rsidP="00EB2F31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</w:rPr>
            </w:pPr>
            <w:r w:rsidRPr="005058F2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Numer programu lekowego/załącznika chemioterapii</w:t>
            </w:r>
          </w:p>
        </w:tc>
        <w:tc>
          <w:tcPr>
            <w:tcW w:w="9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B142B2" w14:textId="77777777" w:rsidR="00EB2F31" w:rsidRPr="005058F2" w:rsidRDefault="00EB2F31" w:rsidP="00EB2F31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</w:rPr>
            </w:pPr>
            <w:r w:rsidRPr="005058F2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Nazwa programu lekowego/ Załącznika chemioterapii</w:t>
            </w:r>
          </w:p>
        </w:tc>
        <w:tc>
          <w:tcPr>
            <w:tcW w:w="1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587975" w14:textId="77777777" w:rsidR="00EB2F31" w:rsidRPr="005058F2" w:rsidRDefault="00EB2F31" w:rsidP="00EB2F31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</w:rPr>
            </w:pPr>
            <w:r w:rsidRPr="005058F2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Doprecyzowanie wskazania</w:t>
            </w:r>
          </w:p>
        </w:tc>
      </w:tr>
      <w:tr w:rsidR="004C63DE" w:rsidRPr="005058F2" w14:paraId="62A01DA9" w14:textId="77777777" w:rsidTr="00625441">
        <w:trPr>
          <w:trHeight w:val="20"/>
        </w:trPr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87BBA0" w14:textId="6F4C3736" w:rsidR="004C63DE" w:rsidRPr="004176B2" w:rsidRDefault="004C63DE" w:rsidP="004C63D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4176B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8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35BE2B" w14:textId="70191E43" w:rsidR="004C63DE" w:rsidRPr="004176B2" w:rsidRDefault="004C63DE" w:rsidP="004C63D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4176B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Entyvio</w:t>
            </w:r>
          </w:p>
        </w:tc>
        <w:tc>
          <w:tcPr>
            <w:tcW w:w="6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CD57AE" w14:textId="0EAAD26D" w:rsidR="004C63DE" w:rsidRPr="004176B2" w:rsidRDefault="004C63DE" w:rsidP="004C63D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4176B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wedolizumab</w:t>
            </w:r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A982CD" w14:textId="4A574A3B" w:rsidR="004C63DE" w:rsidRPr="004176B2" w:rsidRDefault="004C63DE" w:rsidP="004C63D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4176B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B.32</w:t>
            </w:r>
          </w:p>
        </w:tc>
        <w:tc>
          <w:tcPr>
            <w:tcW w:w="9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0BF572" w14:textId="11C7A0D6" w:rsidR="004C63DE" w:rsidRPr="004176B2" w:rsidRDefault="004C63DE" w:rsidP="004C63D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4176B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LECZENIE PACJENTÓW Z CHOROBĄ LEŚNIOWSKIEGO - CROHNA (ICD-10 K 50)</w:t>
            </w:r>
          </w:p>
        </w:tc>
        <w:tc>
          <w:tcPr>
            <w:tcW w:w="1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D403BB" w14:textId="3271FEB2" w:rsidR="004C63DE" w:rsidRPr="004176B2" w:rsidRDefault="004C63DE" w:rsidP="004C63D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4176B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Zniesienie ograniczenia czasu terapii pacjentów leczonych wedolizumabem w ramach programu lekowego B.32.</w:t>
            </w:r>
          </w:p>
        </w:tc>
      </w:tr>
      <w:tr w:rsidR="004C63DE" w:rsidRPr="005058F2" w14:paraId="4D38E9FD" w14:textId="77777777" w:rsidTr="00625441">
        <w:trPr>
          <w:trHeight w:val="20"/>
        </w:trPr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5E4BE" w14:textId="59EEF5BF" w:rsidR="004C63DE" w:rsidRPr="004176B2" w:rsidRDefault="004C63DE" w:rsidP="004C63D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4176B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8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E52B5C" w14:textId="2C777C2E" w:rsidR="004C63DE" w:rsidRPr="004176B2" w:rsidRDefault="004C63DE" w:rsidP="004C63D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4176B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Olumiant </w:t>
            </w:r>
          </w:p>
        </w:tc>
        <w:tc>
          <w:tcPr>
            <w:tcW w:w="6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BD3634" w14:textId="17092136" w:rsidR="004C63DE" w:rsidRPr="004176B2" w:rsidRDefault="004C63DE" w:rsidP="004C63D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4176B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barycytynib</w:t>
            </w:r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50AD6" w14:textId="5E875480" w:rsidR="004C63DE" w:rsidRPr="004176B2" w:rsidRDefault="004C63DE" w:rsidP="004C63D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4176B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B.33</w:t>
            </w:r>
          </w:p>
        </w:tc>
        <w:tc>
          <w:tcPr>
            <w:tcW w:w="9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0D7215" w14:textId="77BF99E9" w:rsidR="004C63DE" w:rsidRPr="004176B2" w:rsidRDefault="004C63DE" w:rsidP="004C63D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4176B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LECZENIE AKTYWNEJ POSTACI REUMATOIDALNEGO ZAPALENIA STAWÓW I MŁODZIEŃCZEGO IDIOPATYCZNEGO ZAPALENIA STAWÓW</w:t>
            </w:r>
          </w:p>
        </w:tc>
        <w:tc>
          <w:tcPr>
            <w:tcW w:w="1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DE6E44" w14:textId="75054B74" w:rsidR="004C63DE" w:rsidRPr="004176B2" w:rsidRDefault="004C63DE" w:rsidP="004C63D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4176B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Rozszerzenie wskazania refundacyjnego o II i kolejne linie terapii RZS</w:t>
            </w:r>
          </w:p>
        </w:tc>
      </w:tr>
      <w:tr w:rsidR="004C63DE" w:rsidRPr="005058F2" w14:paraId="1BA7C42C" w14:textId="77777777" w:rsidTr="00625441">
        <w:trPr>
          <w:trHeight w:val="20"/>
        </w:trPr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9A130F" w14:textId="3F568637" w:rsidR="004C63DE" w:rsidRPr="004176B2" w:rsidRDefault="004C63DE" w:rsidP="004C63D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4176B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3.</w:t>
            </w:r>
          </w:p>
        </w:tc>
        <w:tc>
          <w:tcPr>
            <w:tcW w:w="8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DA0A55" w14:textId="04C435D5" w:rsidR="004C63DE" w:rsidRPr="004176B2" w:rsidRDefault="004C63DE" w:rsidP="004C63D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4176B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Stelara</w:t>
            </w:r>
          </w:p>
        </w:tc>
        <w:tc>
          <w:tcPr>
            <w:tcW w:w="6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CB1739" w14:textId="79A439C2" w:rsidR="004C63DE" w:rsidRPr="004176B2" w:rsidRDefault="004C63DE" w:rsidP="004C63D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4176B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ustekinumab</w:t>
            </w:r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46D653" w14:textId="40082F15" w:rsidR="004C63DE" w:rsidRPr="004176B2" w:rsidRDefault="004C63DE" w:rsidP="004C63D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4176B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B.55</w:t>
            </w:r>
          </w:p>
        </w:tc>
        <w:tc>
          <w:tcPr>
            <w:tcW w:w="9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990837" w14:textId="15030954" w:rsidR="004C63DE" w:rsidRPr="004176B2" w:rsidRDefault="004C63DE" w:rsidP="004C63D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4176B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LECZENIE PACJENTÓW Z WRZODZIEJĄCYM ZAPALENIEM JELITA GRUBEGO (WZJG) (ICD-10 K51) </w:t>
            </w:r>
          </w:p>
        </w:tc>
        <w:tc>
          <w:tcPr>
            <w:tcW w:w="1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DD0C8E" w14:textId="3089A70B" w:rsidR="004C63DE" w:rsidRPr="004176B2" w:rsidRDefault="004C63DE" w:rsidP="004C63D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4176B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Umożliwienie terapii ustekinumabem pacjentom z rozpoznaną ciężką lub umiarkowaną postacią wrzodziejącego zapalenia jelita grubego.</w:t>
            </w:r>
          </w:p>
        </w:tc>
      </w:tr>
      <w:tr w:rsidR="004C63DE" w:rsidRPr="005058F2" w14:paraId="6937B908" w14:textId="77777777" w:rsidTr="00625441">
        <w:trPr>
          <w:trHeight w:val="20"/>
        </w:trPr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1D8D2D" w14:textId="7567C00C" w:rsidR="004C63DE" w:rsidRPr="004176B2" w:rsidRDefault="004C63DE" w:rsidP="004C63D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4176B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lastRenderedPageBreak/>
              <w:t>4.</w:t>
            </w:r>
          </w:p>
        </w:tc>
        <w:tc>
          <w:tcPr>
            <w:tcW w:w="8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BDABE0" w14:textId="0B01DAFA" w:rsidR="004C63DE" w:rsidRPr="004176B2" w:rsidRDefault="004C63DE" w:rsidP="004C63D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4176B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Entyvio</w:t>
            </w:r>
          </w:p>
        </w:tc>
        <w:tc>
          <w:tcPr>
            <w:tcW w:w="6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777083" w14:textId="613A54F4" w:rsidR="004C63DE" w:rsidRPr="004176B2" w:rsidRDefault="004C63DE" w:rsidP="004C63D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4176B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wedolizumab</w:t>
            </w:r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243E04" w14:textId="15D9EDF5" w:rsidR="004C63DE" w:rsidRPr="004176B2" w:rsidRDefault="004C63DE" w:rsidP="004C63D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4176B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B.55</w:t>
            </w:r>
          </w:p>
        </w:tc>
        <w:tc>
          <w:tcPr>
            <w:tcW w:w="9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BCCA2" w14:textId="648A9742" w:rsidR="004C63DE" w:rsidRPr="004176B2" w:rsidRDefault="004C63DE" w:rsidP="004C63D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4176B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LECZENIE PACJENTÓW Z WRZODZIEJĄCYM ZAPALENIEM JELITA GRUBEGO (WZJG) (ICD-10 K51)</w:t>
            </w:r>
          </w:p>
        </w:tc>
        <w:tc>
          <w:tcPr>
            <w:tcW w:w="1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9650FE" w14:textId="33D9B537" w:rsidR="004C63DE" w:rsidRPr="004176B2" w:rsidRDefault="004C63DE" w:rsidP="004C63D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4176B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Zniesienie ograniczenia czasu terapii pacjentów leczonych wedolizumabem w ramach programu lekowego B.55.</w:t>
            </w:r>
          </w:p>
        </w:tc>
      </w:tr>
      <w:tr w:rsidR="004C63DE" w:rsidRPr="005058F2" w14:paraId="09EE1756" w14:textId="77777777" w:rsidTr="00625441">
        <w:trPr>
          <w:trHeight w:val="20"/>
        </w:trPr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3F2623" w14:textId="283F84EC" w:rsidR="004C63DE" w:rsidRPr="004176B2" w:rsidRDefault="004C63DE" w:rsidP="004C63D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4176B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5.</w:t>
            </w:r>
          </w:p>
        </w:tc>
        <w:tc>
          <w:tcPr>
            <w:tcW w:w="8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A6E2A8" w14:textId="4209CA95" w:rsidR="004C63DE" w:rsidRPr="004176B2" w:rsidRDefault="004C63DE" w:rsidP="004C63D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4176B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Givlaari</w:t>
            </w:r>
          </w:p>
        </w:tc>
        <w:tc>
          <w:tcPr>
            <w:tcW w:w="6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522DFC" w14:textId="0CAD9A89" w:rsidR="004C63DE" w:rsidRPr="004176B2" w:rsidRDefault="004C63DE" w:rsidP="004C63D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g</w:t>
            </w:r>
            <w:r w:rsidRPr="004176B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iwosyran</w:t>
            </w:r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BAE60E" w14:textId="68662E66" w:rsidR="004C63DE" w:rsidRPr="004176B2" w:rsidRDefault="004C63DE" w:rsidP="004C63D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1419A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B.128.FM.</w:t>
            </w:r>
          </w:p>
        </w:tc>
        <w:tc>
          <w:tcPr>
            <w:tcW w:w="9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1861D5" w14:textId="6C35012C" w:rsidR="004C63DE" w:rsidRPr="004176B2" w:rsidRDefault="004C63DE" w:rsidP="004C63D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4176B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LECZENIE CHORYCH NA OSTRĄ PORFIRIĘ WĄTROBOWĄ (AHP) U DOROSŁYCH I MŁODZIEŻY W WIEKU OD 12 LAT (ICD-10: E80.2)</w:t>
            </w:r>
          </w:p>
        </w:tc>
        <w:tc>
          <w:tcPr>
            <w:tcW w:w="1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E562D8" w14:textId="206E9AB7" w:rsidR="001419A3" w:rsidRDefault="004C63DE" w:rsidP="004C63D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4176B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Pierwsza technologia lekowa </w:t>
            </w:r>
            <w:r w:rsidR="00B759B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br/>
            </w:r>
            <w:r w:rsidRPr="004176B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o wysokim poziomie innowacyjności </w:t>
            </w:r>
          </w:p>
          <w:p w14:paraId="6ECDFF17" w14:textId="43DCA2EE" w:rsidR="004C63DE" w:rsidRPr="00B759BC" w:rsidRDefault="004C63DE" w:rsidP="004C63D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B759BC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(</w:t>
            </w:r>
            <w:r w:rsidR="00476A3C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C</w:t>
            </w:r>
            <w:r w:rsidRPr="00B759BC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horoba ultrarzadka)</w:t>
            </w:r>
          </w:p>
          <w:p w14:paraId="6E6DEB70" w14:textId="676E2A6C" w:rsidR="00B759BC" w:rsidRPr="004176B2" w:rsidRDefault="00B759BC" w:rsidP="004C63D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B759B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(technologia finansowana z Funduszu Medycznego)</w:t>
            </w:r>
          </w:p>
        </w:tc>
      </w:tr>
      <w:tr w:rsidR="007505CE" w:rsidRPr="005058F2" w14:paraId="0B833808" w14:textId="77777777" w:rsidTr="005058F2">
        <w:trPr>
          <w:trHeight w:val="20"/>
        </w:trPr>
        <w:tc>
          <w:tcPr>
            <w:tcW w:w="50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4B9EA6" w14:textId="428F8CF7" w:rsidR="007505CE" w:rsidRPr="005058F2" w:rsidRDefault="007505CE" w:rsidP="007505C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</w:rPr>
            </w:pPr>
            <w:r w:rsidRPr="005058F2">
              <w:rPr>
                <w:rFonts w:asciiTheme="majorHAnsi" w:hAnsiTheme="majorHAnsi" w:cstheme="majorHAnsi"/>
                <w:b/>
                <w:bCs/>
                <w:color w:val="FFFFFF"/>
              </w:rPr>
              <w:t>Zmiany w programach lekowych</w:t>
            </w:r>
            <w:r>
              <w:rPr>
                <w:rFonts w:asciiTheme="majorHAnsi" w:hAnsiTheme="majorHAnsi" w:cstheme="majorHAnsi"/>
                <w:b/>
                <w:bCs/>
                <w:color w:val="FFFFFF"/>
              </w:rPr>
              <w:t xml:space="preserve"> i chemioterapii</w:t>
            </w:r>
          </w:p>
        </w:tc>
      </w:tr>
      <w:tr w:rsidR="007505CE" w:rsidRPr="005058F2" w14:paraId="2BCC5E80" w14:textId="77777777" w:rsidTr="00625441">
        <w:trPr>
          <w:trHeight w:val="20"/>
        </w:trPr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9385C7" w14:textId="77777777" w:rsidR="007505CE" w:rsidRPr="005058F2" w:rsidRDefault="007505CE" w:rsidP="007505C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</w:rPr>
            </w:pPr>
            <w:r w:rsidRPr="005058F2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6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800381" w14:textId="7E0E9907" w:rsidR="007505CE" w:rsidRPr="005058F2" w:rsidRDefault="007505CE" w:rsidP="007505C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</w:rPr>
            </w:pPr>
            <w:r w:rsidRPr="005058F2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Numer programu lekowego</w:t>
            </w:r>
            <w:r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 xml:space="preserve"> lub nu</w:t>
            </w:r>
            <w:r w:rsidRPr="00A118F0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m</w:t>
            </w:r>
            <w:r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eru załącznika</w:t>
            </w:r>
          </w:p>
        </w:tc>
        <w:tc>
          <w:tcPr>
            <w:tcW w:w="92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132808" w14:textId="70920D05" w:rsidR="007505CE" w:rsidRPr="005058F2" w:rsidRDefault="007505CE" w:rsidP="007505C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</w:rPr>
            </w:pPr>
            <w:r w:rsidRPr="005058F2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Nazwa programu lekowego</w:t>
            </w:r>
            <w:r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 xml:space="preserve"> lub załącznika che</w:t>
            </w:r>
            <w:r w:rsidRPr="005058F2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m</w:t>
            </w:r>
            <w:r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ioterapii</w:t>
            </w:r>
          </w:p>
        </w:tc>
        <w:tc>
          <w:tcPr>
            <w:tcW w:w="320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38F47" w14:textId="14B18ED3" w:rsidR="007505CE" w:rsidRPr="005058F2" w:rsidRDefault="007505CE" w:rsidP="007505C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</w:rPr>
            </w:pPr>
            <w:r w:rsidRPr="005058F2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Krótki opis zmian dokonanych w obrębie programu lekowego</w:t>
            </w:r>
            <w:r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 xml:space="preserve"> / załącznika chemioterapii</w:t>
            </w:r>
          </w:p>
        </w:tc>
      </w:tr>
      <w:tr w:rsidR="007505CE" w:rsidRPr="005058F2" w14:paraId="571B0832" w14:textId="77777777" w:rsidTr="00625441">
        <w:trPr>
          <w:trHeight w:val="20"/>
        </w:trPr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270F3C" w14:textId="21F3CAC0" w:rsidR="007505CE" w:rsidRPr="00106761" w:rsidRDefault="00266DCA" w:rsidP="007505C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</w:t>
            </w:r>
            <w:r w:rsidR="007505CE" w:rsidRPr="00106761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6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8038BA" w14:textId="76833A81" w:rsidR="007505CE" w:rsidRPr="00106761" w:rsidRDefault="007505CE" w:rsidP="007505C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106761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B.32</w:t>
            </w:r>
          </w:p>
        </w:tc>
        <w:tc>
          <w:tcPr>
            <w:tcW w:w="92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0D1FCD" w14:textId="23685ADB" w:rsidR="007505CE" w:rsidRPr="00106761" w:rsidRDefault="007505CE" w:rsidP="007505C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106761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LECZENIE PACJENTÓW Z CHOROBĄ LEŚNIOWSKIEGO - CROHNA (ICD-10 K 50)</w:t>
            </w:r>
            <w:r w:rsidRPr="00106761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20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723DED" w14:textId="77777777" w:rsidR="007505CE" w:rsidRPr="00106761" w:rsidRDefault="007505CE" w:rsidP="007505CE">
            <w:pPr>
              <w:pStyle w:val="Akapitzlist"/>
              <w:numPr>
                <w:ilvl w:val="0"/>
                <w:numId w:val="3"/>
              </w:numPr>
              <w:spacing w:before="60" w:after="60"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106761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Zniesienie ograniczenia czasu leczenia dla wszystkich leków biologicznych dostępnych w ramach programu lekowego B.32.</w:t>
            </w:r>
          </w:p>
          <w:p w14:paraId="008996A2" w14:textId="77777777" w:rsidR="007505CE" w:rsidRDefault="007505CE" w:rsidP="007505CE">
            <w:pPr>
              <w:pStyle w:val="Akapitzlist"/>
              <w:numPr>
                <w:ilvl w:val="0"/>
                <w:numId w:val="3"/>
              </w:numPr>
              <w:spacing w:before="60" w:after="60"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106761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Doprecyzowanie kryteriów wyłączenia z programu.</w:t>
            </w:r>
          </w:p>
          <w:p w14:paraId="4C89A20F" w14:textId="17BB1E64" w:rsidR="007505CE" w:rsidRPr="00BB0128" w:rsidRDefault="007505CE" w:rsidP="007505CE">
            <w:pPr>
              <w:pStyle w:val="Akapitzlist"/>
              <w:numPr>
                <w:ilvl w:val="0"/>
                <w:numId w:val="3"/>
              </w:numPr>
              <w:spacing w:before="60" w:after="60"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BB0128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Modyfikacja badań diagnostycznych wymaganych podczas kwalifikacji do programu, a także stosowanych w celu optymalizacji leczenia i oceny zasadności kontynuowania terapii.</w:t>
            </w:r>
          </w:p>
        </w:tc>
      </w:tr>
      <w:tr w:rsidR="007505CE" w:rsidRPr="005058F2" w14:paraId="66D571B6" w14:textId="77777777" w:rsidTr="00625441">
        <w:trPr>
          <w:trHeight w:val="20"/>
        </w:trPr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0113C4" w14:textId="7ED86D03" w:rsidR="007505CE" w:rsidRPr="00106761" w:rsidRDefault="00266DCA" w:rsidP="007505C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2</w:t>
            </w:r>
            <w:r w:rsidR="007505CE" w:rsidRPr="00106761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6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60310C" w14:textId="5444E92C" w:rsidR="007505CE" w:rsidRPr="00106761" w:rsidRDefault="007505CE" w:rsidP="007505C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106761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B.55</w:t>
            </w:r>
          </w:p>
        </w:tc>
        <w:tc>
          <w:tcPr>
            <w:tcW w:w="92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469A50" w14:textId="72B215C6" w:rsidR="007505CE" w:rsidRPr="00106761" w:rsidRDefault="007505CE" w:rsidP="007505C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106761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LECZENIE PACJENTÓW Z WRZODZIEJĄCYM ZAPALENIEM JELITA GRUBEGO (WZJG) (ICD-10 K51)</w:t>
            </w:r>
          </w:p>
        </w:tc>
        <w:tc>
          <w:tcPr>
            <w:tcW w:w="320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FA3023" w14:textId="77777777" w:rsidR="007505CE" w:rsidRPr="00106761" w:rsidRDefault="007505CE" w:rsidP="007505CE">
            <w:pPr>
              <w:pStyle w:val="Akapitzlist"/>
              <w:numPr>
                <w:ilvl w:val="0"/>
                <w:numId w:val="4"/>
              </w:numPr>
              <w:spacing w:before="60" w:after="60"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106761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Zniesienie ograniczenia czasu leczenia dla wszystkich leków biologicznych dostępnych w ramach programu lekowego B.55.</w:t>
            </w:r>
          </w:p>
          <w:p w14:paraId="7D157512" w14:textId="77777777" w:rsidR="007505CE" w:rsidRPr="00106761" w:rsidRDefault="007505CE" w:rsidP="007505CE">
            <w:pPr>
              <w:pStyle w:val="Akapitzlist"/>
              <w:numPr>
                <w:ilvl w:val="0"/>
                <w:numId w:val="4"/>
              </w:numPr>
              <w:spacing w:before="60" w:after="60"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106761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Dodanie zapisów związanych z udostępnieniem nowej terapii ustekinumabem w ramach programu lekowego B.55.</w:t>
            </w:r>
          </w:p>
          <w:p w14:paraId="52AD5618" w14:textId="77777777" w:rsidR="007505CE" w:rsidRDefault="007505CE" w:rsidP="007505CE">
            <w:pPr>
              <w:pStyle w:val="Akapitzlist"/>
              <w:numPr>
                <w:ilvl w:val="0"/>
                <w:numId w:val="4"/>
              </w:numPr>
              <w:spacing w:before="60" w:after="60"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106761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Doprecyzowanie kryteriów wyłączenia z programu</w:t>
            </w:r>
          </w:p>
          <w:p w14:paraId="4C9AB9C4" w14:textId="19D670AD" w:rsidR="007505CE" w:rsidRPr="00BB0128" w:rsidRDefault="007505CE" w:rsidP="007505CE">
            <w:pPr>
              <w:pStyle w:val="Akapitzlist"/>
              <w:numPr>
                <w:ilvl w:val="0"/>
                <w:numId w:val="4"/>
              </w:numPr>
              <w:spacing w:before="60" w:after="60"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BB0128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Modyfikacja badań diagnostycznych wymaganych podczas kwalifikacji do programu, a także stosowanych w celu optymalizacji leczenia i oceny zasadności kontynuowania terapii.</w:t>
            </w:r>
          </w:p>
        </w:tc>
      </w:tr>
      <w:tr w:rsidR="007505CE" w:rsidRPr="005058F2" w14:paraId="724AC3F0" w14:textId="77777777" w:rsidTr="00625441">
        <w:trPr>
          <w:trHeight w:val="20"/>
        </w:trPr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7E8D35" w14:textId="1E76CD65" w:rsidR="007505CE" w:rsidRPr="00106761" w:rsidRDefault="00266DCA" w:rsidP="007505C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3</w:t>
            </w:r>
            <w:r w:rsidR="007505CE" w:rsidRPr="00106761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6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FC0B6F" w14:textId="61309D2C" w:rsidR="007505CE" w:rsidRPr="00106761" w:rsidRDefault="007505CE" w:rsidP="007505C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106761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B.52</w:t>
            </w:r>
          </w:p>
        </w:tc>
        <w:tc>
          <w:tcPr>
            <w:tcW w:w="92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4F91B7" w14:textId="3631CA50" w:rsidR="007505CE" w:rsidRPr="00106761" w:rsidRDefault="007505CE" w:rsidP="007505CE">
            <w:pPr>
              <w:autoSpaceDE w:val="0"/>
              <w:adjustRightInd w:val="0"/>
              <w:spacing w:after="200" w:line="276" w:lineRule="auto"/>
              <w:jc w:val="center"/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</w:pPr>
            <w:r w:rsidRPr="00106761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>LECZENIE PŁASKONABŁONKOWEGO RAKA NARZĄDÓW GŁOWY I SZYI</w:t>
            </w:r>
          </w:p>
        </w:tc>
        <w:tc>
          <w:tcPr>
            <w:tcW w:w="320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960502" w14:textId="001C0004" w:rsidR="007505CE" w:rsidRPr="001E1EAA" w:rsidRDefault="007505CE" w:rsidP="007505C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1E1EAA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>Umożliwiono podawanie cetuksymabu dożylnie w dawce 500 mg/m2, co 2 tygodnie</w:t>
            </w:r>
          </w:p>
        </w:tc>
      </w:tr>
      <w:tr w:rsidR="00266DCA" w:rsidRPr="005058F2" w14:paraId="5FB7B0FC" w14:textId="77777777" w:rsidTr="00625441">
        <w:trPr>
          <w:trHeight w:val="20"/>
        </w:trPr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7184C" w14:textId="03D62C83" w:rsidR="00266DCA" w:rsidRPr="00106761" w:rsidRDefault="00266DCA" w:rsidP="00266DCA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lastRenderedPageBreak/>
              <w:t>4.</w:t>
            </w:r>
          </w:p>
        </w:tc>
        <w:tc>
          <w:tcPr>
            <w:tcW w:w="6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EC021C" w14:textId="5E3588C7" w:rsidR="00266DCA" w:rsidRPr="00106761" w:rsidRDefault="00266DCA" w:rsidP="00266DCA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106761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B.92.</w:t>
            </w:r>
          </w:p>
        </w:tc>
        <w:tc>
          <w:tcPr>
            <w:tcW w:w="92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19D898" w14:textId="46CD2E5C" w:rsidR="00266DCA" w:rsidRPr="00106761" w:rsidRDefault="00266DCA" w:rsidP="00266DCA">
            <w:pPr>
              <w:autoSpaceDE w:val="0"/>
              <w:adjustRightInd w:val="0"/>
              <w:spacing w:after="200" w:line="276" w:lineRule="auto"/>
              <w:jc w:val="center"/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</w:pPr>
            <w:r w:rsidRPr="00106761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Leczenie chorych na przewlekłą białaczkę limfocytową ibrutynibem (ICD 10: C91.1)</w:t>
            </w:r>
          </w:p>
        </w:tc>
        <w:tc>
          <w:tcPr>
            <w:tcW w:w="320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9712C4" w14:textId="487857C3" w:rsidR="00266DCA" w:rsidRPr="001E1EAA" w:rsidRDefault="00266DCA" w:rsidP="00266DCA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</w:pPr>
            <w:r w:rsidRPr="00106761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Zmiana w kryteriach kwalifikacji w części II programu lekowego w punkcie dotyczącym przeciwwskazań medycznych do zastosowania schematu zawierającego wenetoklaks w skojarzeniu z rytuksymabem</w:t>
            </w:r>
          </w:p>
        </w:tc>
      </w:tr>
    </w:tbl>
    <w:p w14:paraId="452A616A" w14:textId="7565B602" w:rsidR="00AD08C5" w:rsidRDefault="00AD08C5">
      <w:pPr>
        <w:rPr>
          <w:rFonts w:ascii="Arial Rounded MT Bold" w:hAnsi="Arial Rounded MT Bold"/>
          <w:b/>
          <w:bCs/>
          <w:color w:val="00B0F0"/>
        </w:rPr>
      </w:pPr>
    </w:p>
    <w:p w14:paraId="5A044ED4" w14:textId="77777777" w:rsidR="00106761" w:rsidRDefault="00106761">
      <w:pPr>
        <w:rPr>
          <w:rFonts w:ascii="Arial Rounded MT Bold" w:hAnsi="Arial Rounded MT Bold"/>
          <w:b/>
          <w:bCs/>
          <w:color w:val="00B0F0"/>
        </w:rPr>
      </w:pPr>
    </w:p>
    <w:p w14:paraId="08AE375A" w14:textId="77777777" w:rsidR="0056748F" w:rsidRDefault="0056748F">
      <w:pPr>
        <w:suppressAutoHyphens w:val="0"/>
        <w:rPr>
          <w:rFonts w:ascii="Abadi" w:hAnsi="Abadi"/>
          <w:b/>
          <w:bCs/>
          <w:color w:val="00B0F0"/>
          <w:sz w:val="28"/>
          <w:szCs w:val="28"/>
        </w:rPr>
      </w:pPr>
      <w:r>
        <w:rPr>
          <w:rFonts w:ascii="Abadi" w:hAnsi="Abadi"/>
          <w:b/>
          <w:bCs/>
          <w:color w:val="00B0F0"/>
          <w:sz w:val="28"/>
          <w:szCs w:val="28"/>
        </w:rPr>
        <w:br w:type="page"/>
      </w:r>
    </w:p>
    <w:p w14:paraId="703841AA" w14:textId="45026A20" w:rsidR="0056748F" w:rsidRDefault="0056748F" w:rsidP="0056748F">
      <w:pPr>
        <w:jc w:val="center"/>
        <w:rPr>
          <w:rFonts w:ascii="Abadi" w:hAnsi="Abadi"/>
          <w:b/>
          <w:bCs/>
          <w:color w:val="00B0F0"/>
          <w:sz w:val="28"/>
          <w:szCs w:val="28"/>
        </w:rPr>
      </w:pPr>
      <w:bookmarkStart w:id="1" w:name="_Hlk90283710"/>
      <w:r>
        <w:rPr>
          <w:rFonts w:ascii="Abadi" w:hAnsi="Abadi"/>
          <w:b/>
          <w:bCs/>
          <w:color w:val="00B0F0"/>
          <w:sz w:val="28"/>
          <w:szCs w:val="28"/>
        </w:rPr>
        <w:lastRenderedPageBreak/>
        <w:t>NOWE WSKAZANIA ORAZ ZMIANY W REFUNDACJI APTECZNEJ</w:t>
      </w:r>
    </w:p>
    <w:tbl>
      <w:tblPr>
        <w:tblW w:w="5000" w:type="pct"/>
        <w:tblCellMar>
          <w:top w:w="57" w:type="dxa"/>
          <w:left w:w="10" w:type="dxa"/>
          <w:bottom w:w="57" w:type="dxa"/>
          <w:right w:w="10" w:type="dxa"/>
        </w:tblCellMar>
        <w:tblLook w:val="0000" w:firstRow="0" w:lastRow="0" w:firstColumn="0" w:lastColumn="0" w:noHBand="0" w:noVBand="0"/>
      </w:tblPr>
      <w:tblGrid>
        <w:gridCol w:w="691"/>
        <w:gridCol w:w="2412"/>
        <w:gridCol w:w="1838"/>
        <w:gridCol w:w="4266"/>
        <w:gridCol w:w="4781"/>
      </w:tblGrid>
      <w:tr w:rsidR="00AD08C5" w:rsidRPr="005058F2" w14:paraId="2CD1B9F9" w14:textId="77777777" w:rsidTr="0056748F">
        <w:trPr>
          <w:trHeight w:val="549"/>
        </w:trPr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94C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bookmarkEnd w:id="1"/>
          <w:p w14:paraId="05E7E891" w14:textId="77777777" w:rsidR="00AD08C5" w:rsidRPr="005058F2" w:rsidRDefault="006A7DCE" w:rsidP="007B043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FFFFFF"/>
              </w:rPr>
            </w:pPr>
            <w:r w:rsidRPr="005058F2">
              <w:rPr>
                <w:rFonts w:asciiTheme="majorHAnsi" w:hAnsiTheme="majorHAnsi" w:cstheme="majorHAnsi"/>
                <w:b/>
                <w:bCs/>
                <w:color w:val="FFFFFF"/>
              </w:rPr>
              <w:t>Apteka</w:t>
            </w:r>
          </w:p>
        </w:tc>
      </w:tr>
      <w:tr w:rsidR="00AD08C5" w:rsidRPr="005058F2" w14:paraId="7C1774EA" w14:textId="77777777" w:rsidTr="0056748F">
        <w:trPr>
          <w:trHeight w:val="328"/>
        </w:trPr>
        <w:tc>
          <w:tcPr>
            <w:tcW w:w="5000" w:type="pct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D86140" w14:textId="77777777" w:rsidR="00AD08C5" w:rsidRPr="005058F2" w:rsidRDefault="006A7DCE" w:rsidP="007B043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FFFFFF"/>
              </w:rPr>
            </w:pPr>
            <w:r w:rsidRPr="005058F2">
              <w:rPr>
                <w:rFonts w:asciiTheme="majorHAnsi" w:hAnsiTheme="majorHAnsi" w:cstheme="majorHAnsi"/>
                <w:b/>
                <w:bCs/>
                <w:color w:val="FFFFFF"/>
              </w:rPr>
              <w:t>Nowe wskazania refundacyjne</w:t>
            </w:r>
          </w:p>
        </w:tc>
      </w:tr>
      <w:tr w:rsidR="0056748F" w:rsidRPr="005058F2" w14:paraId="7D53B9E1" w14:textId="77777777" w:rsidTr="00292C5E"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ED3CB4" w14:textId="77777777" w:rsidR="00AD08C5" w:rsidRPr="005058F2" w:rsidRDefault="006A7DCE" w:rsidP="007B043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5058F2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8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3E9D6E" w14:textId="70C49D87" w:rsidR="00AD08C5" w:rsidRPr="005058F2" w:rsidRDefault="00A118F0" w:rsidP="007B043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5058F2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Nazwa leku</w:t>
            </w:r>
            <w:r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 xml:space="preserve">, środka spożywczego specjalnego przeznaczenia lub wyrobu </w:t>
            </w:r>
            <w:r w:rsidRPr="00051701">
              <w:rPr>
                <w:rFonts w:asciiTheme="majorHAnsi" w:hAnsiTheme="majorHAnsi" w:cstheme="majorHAnsi"/>
                <w:b/>
                <w:bCs/>
              </w:rPr>
              <w:t>medycznego</w:t>
            </w: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2A6F35" w14:textId="615FEFE2" w:rsidR="00AD08C5" w:rsidRPr="005058F2" w:rsidRDefault="006A7DCE" w:rsidP="007B043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5058F2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Substancja czynna</w:t>
            </w:r>
          </w:p>
        </w:tc>
        <w:tc>
          <w:tcPr>
            <w:tcW w:w="1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F933D3" w14:textId="77777777" w:rsidR="00AD08C5" w:rsidRPr="005058F2" w:rsidRDefault="006A7DCE" w:rsidP="007B043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5058F2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Wskazanie refundacyjne</w:t>
            </w:r>
          </w:p>
        </w:tc>
        <w:tc>
          <w:tcPr>
            <w:tcW w:w="1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45EAF7" w14:textId="77777777" w:rsidR="00AD08C5" w:rsidRPr="005058F2" w:rsidRDefault="006A7DCE" w:rsidP="007B043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5058F2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Doprecyzowanie wskazania</w:t>
            </w:r>
          </w:p>
        </w:tc>
      </w:tr>
      <w:tr w:rsidR="00B759BC" w:rsidRPr="005058F2" w14:paraId="6DDAF5B1" w14:textId="77777777" w:rsidTr="00B36F52"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8E530D" w14:textId="366D15C7" w:rsidR="00B759BC" w:rsidRPr="004176B2" w:rsidRDefault="00B759BC" w:rsidP="00B759BC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4176B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1. </w:t>
            </w:r>
          </w:p>
        </w:tc>
        <w:tc>
          <w:tcPr>
            <w:tcW w:w="8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14DDE9" w14:textId="3B23DFB1" w:rsidR="00B759BC" w:rsidRPr="004176B2" w:rsidRDefault="00B759BC" w:rsidP="00B36F52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4176B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Prevenar 13</w:t>
            </w: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91F25D" w14:textId="6A494F35" w:rsidR="00B759BC" w:rsidRPr="004176B2" w:rsidRDefault="00B759BC" w:rsidP="00B36F52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4176B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Szczepionka przeciw pneumokokom sacharydowa, skoniugowana, adsorbowana (13-walentna)</w:t>
            </w:r>
          </w:p>
        </w:tc>
        <w:tc>
          <w:tcPr>
            <w:tcW w:w="1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0B8E88" w14:textId="19709027" w:rsidR="00B759BC" w:rsidRPr="004176B2" w:rsidRDefault="00B759BC" w:rsidP="00B36F52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4176B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Profilaktyka osób powyżej 65 r.ż. ze zwiększonym (umiarkowanym do wysokiego) ryzykiem choroby pneumokokowej tj. z: przewlekłą chorobą serca, przewlekłą chorobą wątroby, przewlekłą chorobą płuc, cukrzycą, implantem ślimakowym, wyciekiem płynu mózgowordzeniowego, wrodzoną lub nabytą asplenią, niedokrwistością sierpowatą i innymi hemoglobinopatiami, przewlekłą niewydolnością nerek, wrodzonym lub nabytym niedoborem odporności, uogólnioną choroba nowotworową, zakażeniem wirusem HIV, chorobą Hodgkina, jatrogenną immunosupresją, białaczką, szpiczakiem mnogim, przeszczepem narządu litego;</w:t>
            </w:r>
          </w:p>
        </w:tc>
        <w:tc>
          <w:tcPr>
            <w:tcW w:w="1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67F2D0" w14:textId="77777777" w:rsidR="00B759BC" w:rsidRPr="00106761" w:rsidRDefault="00B759BC" w:rsidP="00B36F52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B759BC" w:rsidRPr="005058F2" w14:paraId="176F069A" w14:textId="77777777" w:rsidTr="00B36F52"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2028BC" w14:textId="781AE805" w:rsidR="00B759BC" w:rsidRPr="004176B2" w:rsidRDefault="00B759BC" w:rsidP="00B759BC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4176B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2. </w:t>
            </w:r>
          </w:p>
        </w:tc>
        <w:tc>
          <w:tcPr>
            <w:tcW w:w="8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C76632" w14:textId="3F807A68" w:rsidR="00B759BC" w:rsidRPr="004176B2" w:rsidRDefault="00B759BC" w:rsidP="00B36F52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4176B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Briviact</w:t>
            </w: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88B52" w14:textId="3EE4C19F" w:rsidR="00B759BC" w:rsidRPr="004176B2" w:rsidRDefault="00B759BC" w:rsidP="00B36F52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4176B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Brivaracetamum</w:t>
            </w:r>
          </w:p>
        </w:tc>
        <w:tc>
          <w:tcPr>
            <w:tcW w:w="1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F585A1" w14:textId="68E4C26E" w:rsidR="00B759BC" w:rsidRPr="004176B2" w:rsidRDefault="00B759BC" w:rsidP="00B36F52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4176B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Terapia dodana po co najmniej trzech nieudanych próbach leczenia u dzieci powyżej 4 r.ż. i młodzieży poniżej 16. roku życia z encefalopatiami padaczkowymi pod postacią zespołu Lennoxa-Gastauta, Zespołu Dravet, zespołu Westa i innych rzadkich genetycznie uwarunkowanych encefalopatii padaczkowych</w:t>
            </w:r>
          </w:p>
        </w:tc>
        <w:tc>
          <w:tcPr>
            <w:tcW w:w="1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145E36" w14:textId="2B03F5B7" w:rsidR="00B759BC" w:rsidRPr="00106761" w:rsidRDefault="00B759BC" w:rsidP="00B36F52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106761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Rozszerzenie aktualnego wskazania o populację dzieci od 4 roku życia z encefalopatiami padaczkowymi</w:t>
            </w:r>
          </w:p>
        </w:tc>
      </w:tr>
      <w:tr w:rsidR="00B36F52" w:rsidRPr="005058F2" w14:paraId="3E62A70D" w14:textId="77777777" w:rsidTr="00B36F52"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0ED6C4" w14:textId="310D81C1" w:rsidR="00B36F52" w:rsidRPr="004176B2" w:rsidRDefault="00B36F52" w:rsidP="00B36F52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4176B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3.</w:t>
            </w:r>
          </w:p>
        </w:tc>
        <w:tc>
          <w:tcPr>
            <w:tcW w:w="8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51D194" w14:textId="582EEAA0" w:rsidR="00B36F52" w:rsidRPr="00F028E1" w:rsidRDefault="00B36F52" w:rsidP="00B36F52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  <w:lang w:val="en-GB"/>
              </w:rPr>
            </w:pPr>
            <w:r w:rsidRPr="004176B2">
              <w:rPr>
                <w:rFonts w:asciiTheme="majorHAnsi" w:hAnsiTheme="majorHAnsi" w:cstheme="majorHAnsi"/>
                <w:sz w:val="20"/>
                <w:szCs w:val="20"/>
                <w:lang w:val="en-GB" w:eastAsia="pl-PL"/>
              </w:rPr>
              <w:t>Mevalia PKU Motion Red Fruits</w:t>
            </w: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E1F354" w14:textId="1AEBDC7C" w:rsidR="00B36F52" w:rsidRPr="004176B2" w:rsidRDefault="00B36F52" w:rsidP="00B36F52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4176B2">
              <w:rPr>
                <w:rFonts w:asciiTheme="majorHAnsi" w:hAnsiTheme="majorHAnsi" w:cstheme="majorHAnsi"/>
                <w:sz w:val="20"/>
                <w:szCs w:val="20"/>
                <w:lang w:eastAsia="pl-PL"/>
              </w:rPr>
              <w:t>Dieta eliminacyjna w fenyloketonurii</w:t>
            </w:r>
          </w:p>
        </w:tc>
        <w:tc>
          <w:tcPr>
            <w:tcW w:w="1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40D22F" w14:textId="65764B26" w:rsidR="00B36F52" w:rsidRPr="004176B2" w:rsidRDefault="00B36F52" w:rsidP="00B36F52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4176B2">
              <w:rPr>
                <w:rFonts w:asciiTheme="majorHAnsi" w:hAnsiTheme="majorHAnsi" w:cstheme="majorHAnsi"/>
                <w:sz w:val="20"/>
                <w:szCs w:val="20"/>
                <w:lang w:eastAsia="pl-PL"/>
              </w:rPr>
              <w:t>Fenyloketonuria (PKU) u pacjentów powyżej 3 roku życia</w:t>
            </w:r>
          </w:p>
        </w:tc>
        <w:tc>
          <w:tcPr>
            <w:tcW w:w="1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CC0182" w14:textId="062DE34D" w:rsidR="00B36F52" w:rsidRPr="002D03A4" w:rsidRDefault="00B36F52" w:rsidP="00B36F52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2D03A4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Choroba rzadka</w:t>
            </w:r>
          </w:p>
        </w:tc>
      </w:tr>
      <w:tr w:rsidR="00B36F52" w:rsidRPr="005058F2" w14:paraId="4C72C520" w14:textId="77777777" w:rsidTr="00B36F52"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7BBC1B" w14:textId="6E70FA40" w:rsidR="00B36F52" w:rsidRPr="004176B2" w:rsidRDefault="00B36F52" w:rsidP="00B36F52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4176B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4. </w:t>
            </w:r>
          </w:p>
        </w:tc>
        <w:tc>
          <w:tcPr>
            <w:tcW w:w="8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EC24D5" w14:textId="5BB12A69" w:rsidR="00B36F52" w:rsidRPr="004176B2" w:rsidRDefault="00B36F52" w:rsidP="00B36F52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4176B2">
              <w:rPr>
                <w:rFonts w:asciiTheme="majorHAnsi" w:hAnsiTheme="majorHAnsi" w:cstheme="majorHAnsi"/>
                <w:sz w:val="20"/>
                <w:szCs w:val="20"/>
                <w:lang w:eastAsia="pl-PL"/>
              </w:rPr>
              <w:t>Mevalia PKU Motion Tropical</w:t>
            </w: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4DF518" w14:textId="36B4EBD7" w:rsidR="00B36F52" w:rsidRPr="004176B2" w:rsidRDefault="00B36F52" w:rsidP="00B36F52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4176B2">
              <w:rPr>
                <w:rFonts w:asciiTheme="majorHAnsi" w:hAnsiTheme="majorHAnsi" w:cstheme="majorHAnsi"/>
                <w:sz w:val="20"/>
                <w:szCs w:val="20"/>
                <w:lang w:eastAsia="pl-PL"/>
              </w:rPr>
              <w:t>Dieta eliminacyjna w fenyloketonurii</w:t>
            </w:r>
          </w:p>
        </w:tc>
        <w:tc>
          <w:tcPr>
            <w:tcW w:w="1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C05AE9" w14:textId="55C86DF2" w:rsidR="00B36F52" w:rsidRPr="004176B2" w:rsidRDefault="00B36F52" w:rsidP="00B36F52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4176B2">
              <w:rPr>
                <w:rFonts w:asciiTheme="majorHAnsi" w:hAnsiTheme="majorHAnsi" w:cstheme="majorHAnsi"/>
                <w:sz w:val="20"/>
                <w:szCs w:val="20"/>
                <w:lang w:eastAsia="pl-PL"/>
              </w:rPr>
              <w:t>Fenyloketonuria (PKU) u pacjentów powyżej 3 roku życia</w:t>
            </w:r>
          </w:p>
        </w:tc>
        <w:tc>
          <w:tcPr>
            <w:tcW w:w="1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6C512B" w14:textId="052ECAC3" w:rsidR="00B36F52" w:rsidRPr="002D03A4" w:rsidRDefault="00B36F52" w:rsidP="00B36F52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2D03A4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Choroba rzadka</w:t>
            </w:r>
          </w:p>
        </w:tc>
      </w:tr>
      <w:tr w:rsidR="00B36F52" w:rsidRPr="005058F2" w14:paraId="046C0578" w14:textId="77777777" w:rsidTr="00B36F52"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012E38" w14:textId="6745CB33" w:rsidR="00B36F52" w:rsidRPr="004176B2" w:rsidRDefault="00B36F52" w:rsidP="00B36F52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4176B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lastRenderedPageBreak/>
              <w:t xml:space="preserve">5. </w:t>
            </w:r>
          </w:p>
        </w:tc>
        <w:tc>
          <w:tcPr>
            <w:tcW w:w="8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571321" w14:textId="1FDB7799" w:rsidR="00B36F52" w:rsidRPr="00F028E1" w:rsidRDefault="00B36F52" w:rsidP="00B36F52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  <w:lang w:val="en-GB"/>
              </w:rPr>
            </w:pPr>
            <w:r w:rsidRPr="004176B2">
              <w:rPr>
                <w:rFonts w:asciiTheme="majorHAnsi" w:hAnsiTheme="majorHAnsi" w:cstheme="majorHAnsi"/>
                <w:sz w:val="20"/>
                <w:szCs w:val="20"/>
                <w:lang w:val="en-GB" w:eastAsia="pl-PL"/>
              </w:rPr>
              <w:t>Mevalia PKU Motion Yellow Fruits</w:t>
            </w: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85AB57" w14:textId="4187EAF8" w:rsidR="00B36F52" w:rsidRPr="004176B2" w:rsidRDefault="00B36F52" w:rsidP="00B36F52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4176B2">
              <w:rPr>
                <w:rFonts w:asciiTheme="majorHAnsi" w:hAnsiTheme="majorHAnsi" w:cstheme="majorHAnsi"/>
                <w:sz w:val="20"/>
                <w:szCs w:val="20"/>
                <w:lang w:eastAsia="pl-PL"/>
              </w:rPr>
              <w:t>Dieta eliminacyjna w fenyloketonurii</w:t>
            </w:r>
          </w:p>
        </w:tc>
        <w:tc>
          <w:tcPr>
            <w:tcW w:w="1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0ACD9E" w14:textId="164E1136" w:rsidR="00B36F52" w:rsidRPr="004176B2" w:rsidRDefault="00B36F52" w:rsidP="00B36F52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4176B2">
              <w:rPr>
                <w:rFonts w:asciiTheme="majorHAnsi" w:hAnsiTheme="majorHAnsi" w:cstheme="majorHAnsi"/>
                <w:sz w:val="20"/>
                <w:szCs w:val="20"/>
                <w:lang w:eastAsia="pl-PL"/>
              </w:rPr>
              <w:t>Fenyloketonuria (PKU) u pacjentów powyżej 3 roku życia</w:t>
            </w:r>
          </w:p>
        </w:tc>
        <w:tc>
          <w:tcPr>
            <w:tcW w:w="1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7F1C44" w14:textId="4BF70FFF" w:rsidR="00B36F52" w:rsidRPr="002D03A4" w:rsidRDefault="00B36F52" w:rsidP="00B36F52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2D03A4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Choroba rzadka</w:t>
            </w:r>
          </w:p>
        </w:tc>
      </w:tr>
      <w:tr w:rsidR="00B36F52" w:rsidRPr="005058F2" w14:paraId="772A0AC8" w14:textId="77777777" w:rsidTr="00B36F52"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1A78E1" w14:textId="0057F5D5" w:rsidR="00B36F52" w:rsidRPr="004176B2" w:rsidRDefault="00B36F52" w:rsidP="00B36F52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4176B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6.</w:t>
            </w:r>
          </w:p>
        </w:tc>
        <w:tc>
          <w:tcPr>
            <w:tcW w:w="8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C1C1F" w14:textId="1DA8F549" w:rsidR="00B36F52" w:rsidRPr="004176B2" w:rsidRDefault="00B36F52" w:rsidP="00B36F52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4176B2">
              <w:rPr>
                <w:rFonts w:asciiTheme="majorHAnsi" w:hAnsiTheme="majorHAnsi" w:cstheme="majorHAnsi"/>
                <w:sz w:val="20"/>
                <w:szCs w:val="20"/>
                <w:lang w:eastAsia="pl-PL"/>
              </w:rPr>
              <w:t>PKU Sphere 15 o smaku waniliowym</w:t>
            </w: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EFBDB0" w14:textId="75D6B82D" w:rsidR="00B36F52" w:rsidRPr="004176B2" w:rsidRDefault="00B36F52" w:rsidP="00B36F52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4176B2">
              <w:rPr>
                <w:rFonts w:asciiTheme="majorHAnsi" w:hAnsiTheme="majorHAnsi" w:cstheme="majorHAnsi"/>
                <w:sz w:val="20"/>
                <w:szCs w:val="20"/>
                <w:lang w:eastAsia="pl-PL"/>
              </w:rPr>
              <w:t>Dieta eliminacyjna w fenyloketonurii</w:t>
            </w:r>
          </w:p>
        </w:tc>
        <w:tc>
          <w:tcPr>
            <w:tcW w:w="1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4CB61F" w14:textId="49647B33" w:rsidR="00B36F52" w:rsidRPr="004176B2" w:rsidRDefault="00B36F52" w:rsidP="00B36F52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4176B2">
              <w:rPr>
                <w:rFonts w:asciiTheme="majorHAnsi" w:hAnsiTheme="majorHAnsi" w:cstheme="majorHAnsi"/>
                <w:sz w:val="20"/>
                <w:szCs w:val="20"/>
                <w:lang w:eastAsia="pl-PL"/>
              </w:rPr>
              <w:t>Fenyloketonuria (PKU) u pacjentów powyżej 4 roku życia, u których dobowa tolerancja fenyloalaniny pozwala na zastosowanie preparatów glikomakropeptydowych</w:t>
            </w:r>
          </w:p>
        </w:tc>
        <w:tc>
          <w:tcPr>
            <w:tcW w:w="1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F38B0C" w14:textId="2ED74040" w:rsidR="00B36F52" w:rsidRPr="002D03A4" w:rsidRDefault="00B36F52" w:rsidP="00B36F52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2D03A4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Choroba rzadka</w:t>
            </w:r>
          </w:p>
        </w:tc>
      </w:tr>
      <w:tr w:rsidR="00B36F52" w:rsidRPr="005058F2" w14:paraId="076A0D1E" w14:textId="77777777" w:rsidTr="00B36F52"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ECA4CA" w14:textId="0F270EC0" w:rsidR="00B36F52" w:rsidRPr="004176B2" w:rsidRDefault="00B36F52" w:rsidP="00B36F52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4176B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7.</w:t>
            </w:r>
          </w:p>
        </w:tc>
        <w:tc>
          <w:tcPr>
            <w:tcW w:w="8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7AB192" w14:textId="1EBEE4A4" w:rsidR="00B36F52" w:rsidRPr="004176B2" w:rsidRDefault="00B36F52" w:rsidP="00B36F52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4176B2">
              <w:rPr>
                <w:rFonts w:asciiTheme="majorHAnsi" w:hAnsiTheme="majorHAnsi" w:cstheme="majorHAnsi"/>
                <w:sz w:val="20"/>
                <w:szCs w:val="20"/>
                <w:lang w:eastAsia="pl-PL"/>
              </w:rPr>
              <w:t>PKU Sphere 15 o smaku czerwonych owoców</w:t>
            </w: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FB2639" w14:textId="1C5630EF" w:rsidR="00B36F52" w:rsidRPr="004176B2" w:rsidRDefault="00B36F52" w:rsidP="00B36F52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4176B2">
              <w:rPr>
                <w:rFonts w:asciiTheme="majorHAnsi" w:hAnsiTheme="majorHAnsi" w:cstheme="majorHAnsi"/>
                <w:sz w:val="20"/>
                <w:szCs w:val="20"/>
                <w:lang w:eastAsia="pl-PL"/>
              </w:rPr>
              <w:t>Dieta eliminacyjna w fenyloketonurii</w:t>
            </w:r>
          </w:p>
        </w:tc>
        <w:tc>
          <w:tcPr>
            <w:tcW w:w="1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F64009" w14:textId="31A013FF" w:rsidR="00B36F52" w:rsidRPr="004176B2" w:rsidRDefault="00B36F52" w:rsidP="00B36F52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4176B2">
              <w:rPr>
                <w:rFonts w:asciiTheme="majorHAnsi" w:hAnsiTheme="majorHAnsi" w:cstheme="majorHAnsi"/>
                <w:sz w:val="20"/>
                <w:szCs w:val="20"/>
                <w:lang w:eastAsia="pl-PL"/>
              </w:rPr>
              <w:t>Fenyloketonuria (PKU) u pacjentów powyżej 4 roku życia, u których dobowa tolerancja fenyloalaniny pozwala na zastosowanie preparatów glikomakropeptydowych</w:t>
            </w:r>
          </w:p>
        </w:tc>
        <w:tc>
          <w:tcPr>
            <w:tcW w:w="1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035F40" w14:textId="652BE8F0" w:rsidR="00B36F52" w:rsidRPr="002D03A4" w:rsidRDefault="00B36F52" w:rsidP="00B36F52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2D03A4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Choroba rzadka</w:t>
            </w:r>
          </w:p>
        </w:tc>
      </w:tr>
      <w:tr w:rsidR="00B36F52" w:rsidRPr="005058F2" w14:paraId="34844215" w14:textId="77777777" w:rsidTr="00B36F52">
        <w:trPr>
          <w:trHeight w:val="143"/>
        </w:trPr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85FCD6" w14:textId="53EF507D" w:rsidR="00B36F52" w:rsidRPr="004176B2" w:rsidRDefault="00B36F52" w:rsidP="00B36F52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4176B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8.</w:t>
            </w:r>
          </w:p>
        </w:tc>
        <w:tc>
          <w:tcPr>
            <w:tcW w:w="8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41556A" w14:textId="5CD94753" w:rsidR="00B36F52" w:rsidRPr="004176B2" w:rsidRDefault="00B36F52" w:rsidP="00B36F52">
            <w:pPr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  <w:lang w:eastAsia="pl-PL"/>
              </w:rPr>
            </w:pPr>
            <w:r w:rsidRPr="004176B2">
              <w:rPr>
                <w:rFonts w:asciiTheme="majorHAnsi" w:hAnsiTheme="majorHAnsi" w:cstheme="majorHAnsi"/>
                <w:sz w:val="20"/>
                <w:szCs w:val="20"/>
                <w:lang w:eastAsia="pl-PL"/>
              </w:rPr>
              <w:t>PKU Sphere 20 o smaku waniliowym</w:t>
            </w: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769BC6" w14:textId="16921704" w:rsidR="00B36F52" w:rsidRPr="004176B2" w:rsidRDefault="00B36F52" w:rsidP="00B36F52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4176B2">
              <w:rPr>
                <w:rFonts w:asciiTheme="majorHAnsi" w:hAnsiTheme="majorHAnsi" w:cstheme="majorHAnsi"/>
                <w:sz w:val="20"/>
                <w:szCs w:val="20"/>
                <w:lang w:eastAsia="pl-PL"/>
              </w:rPr>
              <w:t>Dieta eliminacyjna w fenyloketonurii</w:t>
            </w:r>
          </w:p>
        </w:tc>
        <w:tc>
          <w:tcPr>
            <w:tcW w:w="1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42D3B9" w14:textId="7D89C273" w:rsidR="00B36F52" w:rsidRPr="004176B2" w:rsidRDefault="00B36F52" w:rsidP="00B36F52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4176B2">
              <w:rPr>
                <w:rFonts w:asciiTheme="majorHAnsi" w:hAnsiTheme="majorHAnsi" w:cstheme="majorHAnsi"/>
                <w:sz w:val="20"/>
                <w:szCs w:val="20"/>
                <w:lang w:eastAsia="pl-PL"/>
              </w:rPr>
              <w:t>Fenyloketonuria (PKU) u pacjentów powyżej 4 roku życia, u których dobowa tolerancja fenyloalaniny pozwala na zastosowanie preparatów glikomakropeptydowych</w:t>
            </w:r>
          </w:p>
        </w:tc>
        <w:tc>
          <w:tcPr>
            <w:tcW w:w="1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C11D0D" w14:textId="28F5B95A" w:rsidR="00B36F52" w:rsidRPr="002D03A4" w:rsidRDefault="00B36F52" w:rsidP="00B36F52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2D03A4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Choroba rzadka</w:t>
            </w:r>
          </w:p>
        </w:tc>
      </w:tr>
      <w:tr w:rsidR="00B36F52" w:rsidRPr="005058F2" w14:paraId="258266EF" w14:textId="77777777" w:rsidTr="00B36F52"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76DF1C" w14:textId="106E98DC" w:rsidR="00B36F52" w:rsidRPr="004176B2" w:rsidRDefault="00B36F52" w:rsidP="00B36F52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4176B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9.</w:t>
            </w:r>
          </w:p>
        </w:tc>
        <w:tc>
          <w:tcPr>
            <w:tcW w:w="8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5A008D" w14:textId="1062EA80" w:rsidR="00B36F52" w:rsidRPr="004176B2" w:rsidRDefault="00B36F52" w:rsidP="00B36F52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4176B2">
              <w:rPr>
                <w:rFonts w:asciiTheme="majorHAnsi" w:hAnsiTheme="majorHAnsi" w:cstheme="majorHAnsi"/>
                <w:sz w:val="20"/>
                <w:szCs w:val="20"/>
                <w:lang w:val="en-GB" w:eastAsia="pl-PL"/>
              </w:rPr>
              <w:t>BD Micro-Fine Plus</w:t>
            </w: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D3F0B9" w14:textId="3DCAE9BF" w:rsidR="00B36F52" w:rsidRPr="004176B2" w:rsidRDefault="00B36F52" w:rsidP="00B36F52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4176B2">
              <w:rPr>
                <w:rFonts w:asciiTheme="majorHAnsi" w:hAnsiTheme="majorHAnsi" w:cstheme="majorHAnsi"/>
                <w:sz w:val="20"/>
                <w:szCs w:val="20"/>
                <w:lang w:eastAsia="pl-PL"/>
              </w:rPr>
              <w:t>Igły do penów</w:t>
            </w:r>
          </w:p>
        </w:tc>
        <w:tc>
          <w:tcPr>
            <w:tcW w:w="1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C6B854" w14:textId="2C761589" w:rsidR="00B36F52" w:rsidRPr="004176B2" w:rsidRDefault="00B36F52" w:rsidP="00B36F52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4176B2">
              <w:rPr>
                <w:rFonts w:asciiTheme="majorHAnsi" w:hAnsiTheme="majorHAnsi" w:cstheme="majorHAnsi"/>
                <w:sz w:val="20"/>
                <w:szCs w:val="20"/>
                <w:lang w:eastAsia="pl-PL"/>
              </w:rPr>
              <w:t>Cukrzyca wymagająca podawania insuliny, z ograniczeniem do 4 opakowań igieł na rok dla jednego pacjenta</w:t>
            </w:r>
          </w:p>
        </w:tc>
        <w:tc>
          <w:tcPr>
            <w:tcW w:w="1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9A6787" w14:textId="7B97FC7D" w:rsidR="00B36F52" w:rsidRPr="00106761" w:rsidRDefault="00B36F52" w:rsidP="00B36F52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</w:tbl>
    <w:p w14:paraId="50E7E89C" w14:textId="46CE8DFC" w:rsidR="000B2DD7" w:rsidRDefault="000B2DD7">
      <w:pPr>
        <w:rPr>
          <w:rFonts w:ascii="Arial Rounded MT Bold" w:hAnsi="Arial Rounded MT Bold"/>
          <w:b/>
          <w:bCs/>
          <w:color w:val="00B0F0"/>
          <w:u w:val="single"/>
        </w:rPr>
      </w:pPr>
    </w:p>
    <w:p w14:paraId="7D29E598" w14:textId="3D3580F1" w:rsidR="000B2DD7" w:rsidRDefault="000B2DD7">
      <w:pPr>
        <w:suppressAutoHyphens w:val="0"/>
        <w:rPr>
          <w:rFonts w:ascii="Arial Rounded MT Bold" w:hAnsi="Arial Rounded MT Bold"/>
          <w:b/>
          <w:bCs/>
          <w:color w:val="00B0F0"/>
          <w:u w:val="single"/>
        </w:rPr>
      </w:pPr>
    </w:p>
    <w:p w14:paraId="36151328" w14:textId="77777777" w:rsidR="00476A3C" w:rsidRDefault="00476A3C">
      <w:pPr>
        <w:suppressAutoHyphens w:val="0"/>
        <w:rPr>
          <w:rFonts w:ascii="Abadi" w:hAnsi="Abadi"/>
          <w:b/>
          <w:bCs/>
          <w:color w:val="00B0F0"/>
          <w:sz w:val="28"/>
          <w:szCs w:val="28"/>
          <w:u w:val="single"/>
        </w:rPr>
      </w:pPr>
      <w:r>
        <w:rPr>
          <w:rFonts w:ascii="Abadi" w:hAnsi="Abadi"/>
          <w:b/>
          <w:bCs/>
          <w:color w:val="00B0F0"/>
          <w:sz w:val="28"/>
          <w:szCs w:val="28"/>
          <w:u w:val="single"/>
        </w:rPr>
        <w:br w:type="page"/>
      </w:r>
    </w:p>
    <w:p w14:paraId="3B9320B2" w14:textId="023B400E" w:rsidR="00655A81" w:rsidRDefault="00655A81" w:rsidP="00655A81">
      <w:pPr>
        <w:jc w:val="center"/>
        <w:rPr>
          <w:rFonts w:ascii="Abadi" w:hAnsi="Abadi"/>
          <w:b/>
          <w:bCs/>
          <w:color w:val="00B0F0"/>
          <w:sz w:val="28"/>
          <w:szCs w:val="28"/>
          <w:u w:val="single"/>
        </w:rPr>
      </w:pPr>
      <w:r w:rsidRPr="00446466">
        <w:rPr>
          <w:rFonts w:ascii="Abadi" w:hAnsi="Abadi"/>
          <w:b/>
          <w:bCs/>
          <w:color w:val="00B0F0"/>
          <w:sz w:val="28"/>
          <w:szCs w:val="28"/>
          <w:u w:val="single"/>
        </w:rPr>
        <w:lastRenderedPageBreak/>
        <w:t>DODATEK SPECJALNY – PODSUMOWANIE REFUNDACJI W 2021 ROKU</w:t>
      </w:r>
      <w:r>
        <w:rPr>
          <w:rFonts w:ascii="Abadi" w:hAnsi="Abadi"/>
          <w:b/>
          <w:bCs/>
          <w:color w:val="00B0F0"/>
          <w:sz w:val="28"/>
          <w:szCs w:val="28"/>
          <w:u w:val="single"/>
        </w:rPr>
        <w:t xml:space="preserve"> (OBWIESZCZENIA NR 55-60)</w:t>
      </w:r>
    </w:p>
    <w:p w14:paraId="165A254F" w14:textId="77777777" w:rsidR="00655A81" w:rsidRPr="00D90969" w:rsidRDefault="00655A81" w:rsidP="00655A81">
      <w:pPr>
        <w:spacing w:before="360"/>
        <w:jc w:val="center"/>
      </w:pPr>
      <w:r w:rsidRPr="00D90969">
        <w:rPr>
          <w:rFonts w:ascii="Abadi" w:hAnsi="Abadi"/>
          <w:b/>
          <w:bCs/>
          <w:sz w:val="28"/>
          <w:szCs w:val="28"/>
        </w:rPr>
        <w:t>STATYSTYKI</w:t>
      </w:r>
    </w:p>
    <w:p w14:paraId="1B55F69B" w14:textId="77777777" w:rsidR="00655A81" w:rsidRPr="00D90969" w:rsidRDefault="00655A81" w:rsidP="00655A81">
      <w:pPr>
        <w:rPr>
          <w:rFonts w:asciiTheme="majorHAnsi" w:hAnsiTheme="majorHAnsi"/>
          <w:sz w:val="24"/>
          <w:szCs w:val="24"/>
        </w:rPr>
      </w:pPr>
      <w:r w:rsidRPr="00D90969">
        <w:rPr>
          <w:rFonts w:asciiTheme="majorHAnsi" w:hAnsiTheme="majorHAnsi"/>
          <w:sz w:val="24"/>
          <w:szCs w:val="24"/>
        </w:rPr>
        <w:t>W 2021 r. obwieszczenia refundacyjne obowiązujące od stycznia (nr 55) do listopada (nr 60) zawierały następujące zmiany:</w:t>
      </w:r>
    </w:p>
    <w:p w14:paraId="4BE266E8" w14:textId="77777777" w:rsidR="00655A81" w:rsidRPr="00D90969" w:rsidRDefault="00655A81" w:rsidP="00655A81">
      <w:pPr>
        <w:pStyle w:val="Akapitzlist"/>
        <w:numPr>
          <w:ilvl w:val="0"/>
          <w:numId w:val="5"/>
        </w:numPr>
        <w:contextualSpacing w:val="0"/>
        <w:rPr>
          <w:rFonts w:asciiTheme="majorHAnsi" w:hAnsiTheme="majorHAnsi"/>
          <w:sz w:val="24"/>
          <w:szCs w:val="24"/>
        </w:rPr>
      </w:pPr>
      <w:r w:rsidRPr="00D90969">
        <w:rPr>
          <w:rFonts w:asciiTheme="majorHAnsi" w:hAnsiTheme="majorHAnsi"/>
          <w:sz w:val="24"/>
          <w:szCs w:val="24"/>
        </w:rPr>
        <w:t>W związku z wydaniem pozytywnych decyzji o objęciu refundacją zostało dodanych 384 produkt</w:t>
      </w:r>
      <w:r w:rsidRPr="00D90969">
        <w:rPr>
          <w:rFonts w:asciiTheme="majorHAnsi" w:hAnsiTheme="majorHAnsi" w:cs="Abadi"/>
          <w:sz w:val="24"/>
          <w:szCs w:val="24"/>
        </w:rPr>
        <w:t>ó</w:t>
      </w:r>
      <w:r w:rsidRPr="00D90969">
        <w:rPr>
          <w:rFonts w:asciiTheme="majorHAnsi" w:hAnsiTheme="majorHAnsi"/>
          <w:sz w:val="24"/>
          <w:szCs w:val="24"/>
        </w:rPr>
        <w:t>w bądź nowych wskazań.</w:t>
      </w:r>
    </w:p>
    <w:p w14:paraId="4792C0E0" w14:textId="77777777" w:rsidR="00655A81" w:rsidRPr="00D90969" w:rsidRDefault="00655A81" w:rsidP="00655A81">
      <w:pPr>
        <w:pStyle w:val="Akapitzlist"/>
        <w:numPr>
          <w:ilvl w:val="0"/>
          <w:numId w:val="5"/>
        </w:numPr>
        <w:ind w:left="714" w:hanging="357"/>
        <w:contextualSpacing w:val="0"/>
        <w:rPr>
          <w:rFonts w:asciiTheme="majorHAnsi" w:hAnsiTheme="majorHAnsi"/>
          <w:sz w:val="24"/>
          <w:szCs w:val="24"/>
        </w:rPr>
      </w:pPr>
      <w:r w:rsidRPr="00D90969">
        <w:rPr>
          <w:rFonts w:asciiTheme="majorHAnsi" w:hAnsiTheme="majorHAnsi"/>
          <w:sz w:val="24"/>
          <w:szCs w:val="24"/>
        </w:rPr>
        <w:t>Dla 650 produktów wprowadzono obni</w:t>
      </w:r>
      <w:r w:rsidRPr="00D90969">
        <w:rPr>
          <w:rFonts w:asciiTheme="majorHAnsi" w:hAnsiTheme="majorHAnsi" w:cs="Calibri"/>
          <w:sz w:val="24"/>
          <w:szCs w:val="24"/>
        </w:rPr>
        <w:t>ż</w:t>
      </w:r>
      <w:r w:rsidRPr="00D90969">
        <w:rPr>
          <w:rFonts w:asciiTheme="majorHAnsi" w:hAnsiTheme="majorHAnsi"/>
          <w:sz w:val="24"/>
          <w:szCs w:val="24"/>
        </w:rPr>
        <w:t>ki urz</w:t>
      </w:r>
      <w:r w:rsidRPr="00D90969">
        <w:rPr>
          <w:rFonts w:asciiTheme="majorHAnsi" w:hAnsiTheme="majorHAnsi" w:cs="Calibri"/>
          <w:sz w:val="24"/>
          <w:szCs w:val="24"/>
        </w:rPr>
        <w:t>ę</w:t>
      </w:r>
      <w:r w:rsidRPr="00D90969">
        <w:rPr>
          <w:rFonts w:asciiTheme="majorHAnsi" w:hAnsiTheme="majorHAnsi"/>
          <w:sz w:val="24"/>
          <w:szCs w:val="24"/>
        </w:rPr>
        <w:t>dowych cen zbytu (od 0,01 z</w:t>
      </w:r>
      <w:r w:rsidRPr="00D90969">
        <w:rPr>
          <w:rFonts w:asciiTheme="majorHAnsi" w:hAnsiTheme="majorHAnsi" w:cs="Calibri"/>
          <w:sz w:val="24"/>
          <w:szCs w:val="24"/>
        </w:rPr>
        <w:t>ł</w:t>
      </w:r>
      <w:r w:rsidRPr="00D90969">
        <w:rPr>
          <w:rFonts w:asciiTheme="majorHAnsi" w:hAnsiTheme="majorHAnsi"/>
          <w:sz w:val="24"/>
          <w:szCs w:val="24"/>
        </w:rPr>
        <w:t xml:space="preserve"> do 19310,40 z</w:t>
      </w:r>
      <w:r w:rsidRPr="00D90969">
        <w:rPr>
          <w:rFonts w:asciiTheme="majorHAnsi" w:hAnsiTheme="majorHAnsi" w:cs="Calibri"/>
          <w:sz w:val="24"/>
          <w:szCs w:val="24"/>
        </w:rPr>
        <w:t>ł</w:t>
      </w:r>
      <w:r w:rsidRPr="00D90969">
        <w:rPr>
          <w:rFonts w:asciiTheme="majorHAnsi" w:hAnsiTheme="majorHAnsi"/>
          <w:sz w:val="24"/>
          <w:szCs w:val="24"/>
        </w:rPr>
        <w:t>).</w:t>
      </w:r>
    </w:p>
    <w:p w14:paraId="63FE2F1C" w14:textId="1D67A625" w:rsidR="00655A81" w:rsidRPr="00D90969" w:rsidRDefault="00655A81" w:rsidP="00655A81">
      <w:pPr>
        <w:pStyle w:val="Akapitzlist"/>
        <w:numPr>
          <w:ilvl w:val="0"/>
          <w:numId w:val="5"/>
        </w:numPr>
        <w:ind w:left="714" w:hanging="357"/>
        <w:contextualSpacing w:val="0"/>
        <w:rPr>
          <w:rFonts w:asciiTheme="majorHAnsi" w:hAnsiTheme="majorHAnsi"/>
          <w:sz w:val="24"/>
          <w:szCs w:val="24"/>
        </w:rPr>
      </w:pPr>
      <w:r w:rsidRPr="00D90969">
        <w:rPr>
          <w:rFonts w:asciiTheme="majorHAnsi" w:hAnsiTheme="majorHAnsi"/>
          <w:sz w:val="24"/>
          <w:szCs w:val="24"/>
        </w:rPr>
        <w:t xml:space="preserve">Dla </w:t>
      </w:r>
      <w:r w:rsidRPr="00D90969">
        <w:rPr>
          <w:rFonts w:asciiTheme="majorHAnsi" w:hAnsiTheme="majorHAnsi" w:cs="Calibri"/>
          <w:sz w:val="24"/>
          <w:szCs w:val="24"/>
        </w:rPr>
        <w:t>65 produktów</w:t>
      </w:r>
      <w:r w:rsidRPr="00D90969">
        <w:rPr>
          <w:rFonts w:asciiTheme="majorHAnsi" w:hAnsiTheme="majorHAnsi"/>
          <w:sz w:val="24"/>
          <w:szCs w:val="24"/>
        </w:rPr>
        <w:t xml:space="preserve"> podwy</w:t>
      </w:r>
      <w:r w:rsidRPr="00D90969">
        <w:rPr>
          <w:rFonts w:asciiTheme="majorHAnsi" w:hAnsiTheme="majorHAnsi" w:cs="Calibri"/>
          <w:sz w:val="24"/>
          <w:szCs w:val="24"/>
        </w:rPr>
        <w:t>ż</w:t>
      </w:r>
      <w:r w:rsidRPr="00D90969">
        <w:rPr>
          <w:rFonts w:asciiTheme="majorHAnsi" w:hAnsiTheme="majorHAnsi"/>
          <w:sz w:val="24"/>
          <w:szCs w:val="24"/>
        </w:rPr>
        <w:t>szono urz</w:t>
      </w:r>
      <w:r w:rsidRPr="00D90969">
        <w:rPr>
          <w:rFonts w:asciiTheme="majorHAnsi" w:hAnsiTheme="majorHAnsi" w:cs="Calibri"/>
          <w:sz w:val="24"/>
          <w:szCs w:val="24"/>
        </w:rPr>
        <w:t>ę</w:t>
      </w:r>
      <w:r w:rsidRPr="00D90969">
        <w:rPr>
          <w:rFonts w:asciiTheme="majorHAnsi" w:hAnsiTheme="majorHAnsi"/>
          <w:sz w:val="24"/>
          <w:szCs w:val="24"/>
        </w:rPr>
        <w:t>dowe ceny zbytu (od 0,34 zł do 1512,00 zł)</w:t>
      </w:r>
      <w:r w:rsidR="00034AB3" w:rsidRPr="00D90969">
        <w:rPr>
          <w:rFonts w:asciiTheme="majorHAnsi" w:hAnsiTheme="majorHAnsi"/>
          <w:sz w:val="24"/>
          <w:szCs w:val="24"/>
        </w:rPr>
        <w:t>.</w:t>
      </w:r>
    </w:p>
    <w:p w14:paraId="296227EE" w14:textId="29AD095F" w:rsidR="00655A81" w:rsidRPr="00D90969" w:rsidRDefault="00655A81" w:rsidP="00655A81">
      <w:pPr>
        <w:pStyle w:val="Akapitzlist"/>
        <w:numPr>
          <w:ilvl w:val="0"/>
          <w:numId w:val="5"/>
        </w:numPr>
        <w:ind w:left="714" w:hanging="357"/>
        <w:contextualSpacing w:val="0"/>
        <w:jc w:val="both"/>
        <w:rPr>
          <w:rFonts w:asciiTheme="majorHAnsi" w:hAnsiTheme="majorHAnsi"/>
          <w:sz w:val="24"/>
          <w:szCs w:val="24"/>
        </w:rPr>
      </w:pPr>
      <w:r w:rsidRPr="00D90969">
        <w:rPr>
          <w:rFonts w:asciiTheme="majorHAnsi" w:hAnsiTheme="majorHAnsi"/>
          <w:sz w:val="24"/>
          <w:szCs w:val="24"/>
        </w:rPr>
        <w:t>W zwi</w:t>
      </w:r>
      <w:r w:rsidRPr="00D90969">
        <w:rPr>
          <w:rFonts w:asciiTheme="majorHAnsi" w:hAnsiTheme="majorHAnsi" w:cs="Calibri"/>
          <w:sz w:val="24"/>
          <w:szCs w:val="24"/>
        </w:rPr>
        <w:t>ą</w:t>
      </w:r>
      <w:r w:rsidRPr="00D90969">
        <w:rPr>
          <w:rFonts w:asciiTheme="majorHAnsi" w:hAnsiTheme="majorHAnsi"/>
          <w:sz w:val="24"/>
          <w:szCs w:val="24"/>
        </w:rPr>
        <w:t>zku z wp</w:t>
      </w:r>
      <w:r w:rsidRPr="00D90969">
        <w:rPr>
          <w:rFonts w:asciiTheme="majorHAnsi" w:hAnsiTheme="majorHAnsi" w:cs="Calibri"/>
          <w:sz w:val="24"/>
          <w:szCs w:val="24"/>
        </w:rPr>
        <w:t>ł</w:t>
      </w:r>
      <w:r w:rsidRPr="00D90969">
        <w:rPr>
          <w:rFonts w:asciiTheme="majorHAnsi" w:hAnsiTheme="majorHAnsi"/>
          <w:sz w:val="24"/>
          <w:szCs w:val="24"/>
        </w:rPr>
        <w:t>yni</w:t>
      </w:r>
      <w:r w:rsidRPr="00D90969">
        <w:rPr>
          <w:rFonts w:asciiTheme="majorHAnsi" w:hAnsiTheme="majorHAnsi" w:cs="Calibri"/>
          <w:sz w:val="24"/>
          <w:szCs w:val="24"/>
        </w:rPr>
        <w:t>ę</w:t>
      </w:r>
      <w:r w:rsidRPr="00D90969">
        <w:rPr>
          <w:rFonts w:asciiTheme="majorHAnsi" w:hAnsiTheme="majorHAnsi"/>
          <w:sz w:val="24"/>
          <w:szCs w:val="24"/>
        </w:rPr>
        <w:t>ciem wniosków o skrócenie terminu obowi</w:t>
      </w:r>
      <w:r w:rsidRPr="00D90969">
        <w:rPr>
          <w:rFonts w:asciiTheme="majorHAnsi" w:hAnsiTheme="majorHAnsi" w:cs="Calibri"/>
          <w:sz w:val="24"/>
          <w:szCs w:val="24"/>
        </w:rPr>
        <w:t>ą</w:t>
      </w:r>
      <w:r w:rsidRPr="00D90969">
        <w:rPr>
          <w:rFonts w:asciiTheme="majorHAnsi" w:hAnsiTheme="majorHAnsi"/>
          <w:sz w:val="24"/>
          <w:szCs w:val="24"/>
        </w:rPr>
        <w:t>zywania decyzji refundacyjnych lub up</w:t>
      </w:r>
      <w:r w:rsidRPr="00D90969">
        <w:rPr>
          <w:rFonts w:asciiTheme="majorHAnsi" w:hAnsiTheme="majorHAnsi" w:cs="Calibri"/>
          <w:sz w:val="24"/>
          <w:szCs w:val="24"/>
        </w:rPr>
        <w:t>ł</w:t>
      </w:r>
      <w:r w:rsidRPr="00D90969">
        <w:rPr>
          <w:rFonts w:asciiTheme="majorHAnsi" w:hAnsiTheme="majorHAnsi"/>
          <w:sz w:val="24"/>
          <w:szCs w:val="24"/>
        </w:rPr>
        <w:t>yni</w:t>
      </w:r>
      <w:r w:rsidRPr="00D90969">
        <w:rPr>
          <w:rFonts w:asciiTheme="majorHAnsi" w:hAnsiTheme="majorHAnsi" w:cs="Calibri"/>
          <w:sz w:val="24"/>
          <w:szCs w:val="24"/>
        </w:rPr>
        <w:t>ę</w:t>
      </w:r>
      <w:r w:rsidRPr="00D90969">
        <w:rPr>
          <w:rFonts w:asciiTheme="majorHAnsi" w:hAnsiTheme="majorHAnsi"/>
          <w:sz w:val="24"/>
          <w:szCs w:val="24"/>
        </w:rPr>
        <w:t>ciem terminu obowi</w:t>
      </w:r>
      <w:r w:rsidRPr="00D90969">
        <w:rPr>
          <w:rFonts w:asciiTheme="majorHAnsi" w:hAnsiTheme="majorHAnsi" w:cs="Calibri"/>
          <w:sz w:val="24"/>
          <w:szCs w:val="24"/>
        </w:rPr>
        <w:t>ą</w:t>
      </w:r>
      <w:r w:rsidRPr="00D90969">
        <w:rPr>
          <w:rFonts w:asciiTheme="majorHAnsi" w:hAnsiTheme="majorHAnsi"/>
          <w:sz w:val="24"/>
          <w:szCs w:val="24"/>
        </w:rPr>
        <w:t>zywania decyzji refundacyjnych</w:t>
      </w:r>
      <w:r w:rsidR="00212175">
        <w:rPr>
          <w:rFonts w:asciiTheme="majorHAnsi" w:hAnsiTheme="majorHAnsi"/>
          <w:sz w:val="24"/>
          <w:szCs w:val="24"/>
        </w:rPr>
        <w:t>,</w:t>
      </w:r>
      <w:r w:rsidRPr="00D90969">
        <w:rPr>
          <w:rFonts w:asciiTheme="majorHAnsi" w:hAnsiTheme="majorHAnsi"/>
          <w:sz w:val="24"/>
          <w:szCs w:val="24"/>
        </w:rPr>
        <w:t xml:space="preserve"> lub odmow</w:t>
      </w:r>
      <w:r w:rsidRPr="00D90969">
        <w:rPr>
          <w:rFonts w:asciiTheme="majorHAnsi" w:hAnsiTheme="majorHAnsi" w:cs="Calibri"/>
          <w:sz w:val="24"/>
          <w:szCs w:val="24"/>
        </w:rPr>
        <w:t>ą</w:t>
      </w:r>
      <w:r w:rsidRPr="00D90969">
        <w:rPr>
          <w:rFonts w:asciiTheme="majorHAnsi" w:hAnsiTheme="majorHAnsi"/>
          <w:sz w:val="24"/>
          <w:szCs w:val="24"/>
        </w:rPr>
        <w:t xml:space="preserve"> refundacji na kolejny okres z wykazów usunięto 270 produktów bądź wskazań</w:t>
      </w:r>
      <w:r w:rsidR="00034AB3" w:rsidRPr="00D90969">
        <w:rPr>
          <w:rFonts w:asciiTheme="majorHAnsi" w:hAnsiTheme="majorHAnsi"/>
          <w:sz w:val="24"/>
          <w:szCs w:val="24"/>
        </w:rPr>
        <w:t>.</w:t>
      </w:r>
    </w:p>
    <w:p w14:paraId="361CFEF4" w14:textId="7023022A" w:rsidR="00E41338" w:rsidRPr="00D90969" w:rsidRDefault="00E41338" w:rsidP="00E41338">
      <w:pPr>
        <w:pStyle w:val="Akapitzlist"/>
        <w:numPr>
          <w:ilvl w:val="0"/>
          <w:numId w:val="5"/>
        </w:numPr>
        <w:ind w:left="714" w:hanging="357"/>
        <w:contextualSpacing w:val="0"/>
        <w:jc w:val="both"/>
        <w:rPr>
          <w:rFonts w:asciiTheme="majorHAnsi" w:hAnsiTheme="majorHAnsi"/>
          <w:sz w:val="24"/>
          <w:szCs w:val="24"/>
        </w:rPr>
      </w:pPr>
      <w:r w:rsidRPr="00D90969">
        <w:rPr>
          <w:rFonts w:asciiTheme="majorHAnsi" w:hAnsiTheme="majorHAnsi"/>
          <w:sz w:val="24"/>
          <w:szCs w:val="24"/>
        </w:rPr>
        <w:t>W związku z obwieszczeniami nr 55 – 60 wydano 3350 decyzji administracyjnych (dla porównania obwieszczenia 49 – 54 to wydanie 3854 decyzji administracyjnych)</w:t>
      </w:r>
    </w:p>
    <w:p w14:paraId="35778E9E" w14:textId="18DB21D1" w:rsidR="00E41338" w:rsidRPr="00D90969" w:rsidRDefault="00E41338" w:rsidP="00E41338">
      <w:pPr>
        <w:pStyle w:val="Akapitzlist"/>
        <w:numPr>
          <w:ilvl w:val="0"/>
          <w:numId w:val="5"/>
        </w:numPr>
        <w:ind w:left="714" w:hanging="357"/>
        <w:contextualSpacing w:val="0"/>
        <w:jc w:val="both"/>
        <w:rPr>
          <w:rFonts w:asciiTheme="majorHAnsi" w:hAnsiTheme="majorHAnsi"/>
          <w:sz w:val="24"/>
          <w:szCs w:val="24"/>
        </w:rPr>
      </w:pPr>
      <w:r w:rsidRPr="00D90969">
        <w:rPr>
          <w:rFonts w:asciiTheme="majorHAnsi" w:hAnsiTheme="majorHAnsi"/>
          <w:sz w:val="24"/>
          <w:szCs w:val="24"/>
        </w:rPr>
        <w:t>Wykaz nr 61</w:t>
      </w:r>
      <w:r w:rsidR="00212175">
        <w:rPr>
          <w:rFonts w:asciiTheme="majorHAnsi" w:hAnsiTheme="majorHAnsi"/>
          <w:sz w:val="24"/>
          <w:szCs w:val="24"/>
        </w:rPr>
        <w:t>,</w:t>
      </w:r>
      <w:r w:rsidRPr="00D90969">
        <w:rPr>
          <w:rFonts w:asciiTheme="majorHAnsi" w:hAnsiTheme="majorHAnsi"/>
          <w:sz w:val="24"/>
          <w:szCs w:val="24"/>
        </w:rPr>
        <w:t xml:space="preserve"> nad którym prace trwały w 2021 r</w:t>
      </w:r>
      <w:r w:rsidR="00212175">
        <w:rPr>
          <w:rFonts w:asciiTheme="majorHAnsi" w:hAnsiTheme="majorHAnsi"/>
          <w:sz w:val="24"/>
          <w:szCs w:val="24"/>
        </w:rPr>
        <w:t>.,</w:t>
      </w:r>
      <w:r w:rsidRPr="00D90969">
        <w:rPr>
          <w:rFonts w:asciiTheme="majorHAnsi" w:hAnsiTheme="majorHAnsi"/>
          <w:sz w:val="24"/>
          <w:szCs w:val="24"/>
        </w:rPr>
        <w:t xml:space="preserve"> to 275</w:t>
      </w:r>
      <w:r w:rsidR="00B759BC">
        <w:rPr>
          <w:rFonts w:asciiTheme="majorHAnsi" w:hAnsiTheme="majorHAnsi"/>
          <w:sz w:val="24"/>
          <w:szCs w:val="24"/>
        </w:rPr>
        <w:t>1</w:t>
      </w:r>
      <w:r w:rsidRPr="00D90969">
        <w:rPr>
          <w:rFonts w:asciiTheme="majorHAnsi" w:hAnsiTheme="majorHAnsi"/>
          <w:sz w:val="24"/>
          <w:szCs w:val="24"/>
        </w:rPr>
        <w:t xml:space="preserve"> wydanych decyzji administracyjnych.</w:t>
      </w:r>
    </w:p>
    <w:p w14:paraId="0F2B3639" w14:textId="1F9AC9C1" w:rsidR="00034AB3" w:rsidRPr="00D90969" w:rsidRDefault="00E41338" w:rsidP="00034AB3">
      <w:pPr>
        <w:pStyle w:val="Akapitzlist"/>
        <w:numPr>
          <w:ilvl w:val="0"/>
          <w:numId w:val="5"/>
        </w:numPr>
        <w:ind w:left="714" w:hanging="357"/>
        <w:contextualSpacing w:val="0"/>
        <w:jc w:val="both"/>
        <w:rPr>
          <w:rFonts w:asciiTheme="majorHAnsi" w:hAnsiTheme="majorHAnsi"/>
          <w:sz w:val="24"/>
          <w:szCs w:val="24"/>
        </w:rPr>
      </w:pPr>
      <w:r w:rsidRPr="00D90969">
        <w:rPr>
          <w:rFonts w:asciiTheme="majorHAnsi" w:hAnsiTheme="majorHAnsi"/>
          <w:sz w:val="24"/>
          <w:szCs w:val="24"/>
        </w:rPr>
        <w:t>W 2020 r. wpłynęło 180</w:t>
      </w:r>
      <w:r w:rsidR="00D16292">
        <w:rPr>
          <w:rFonts w:asciiTheme="majorHAnsi" w:hAnsiTheme="majorHAnsi"/>
          <w:sz w:val="24"/>
          <w:szCs w:val="24"/>
        </w:rPr>
        <w:t>5</w:t>
      </w:r>
      <w:r w:rsidRPr="00D90969">
        <w:rPr>
          <w:rFonts w:asciiTheme="majorHAnsi" w:hAnsiTheme="majorHAnsi"/>
          <w:sz w:val="24"/>
          <w:szCs w:val="24"/>
        </w:rPr>
        <w:t xml:space="preserve"> wniosków o objęcie refundacją i ustalenie urzędowej ceny zbytu, a w</w:t>
      </w:r>
      <w:r w:rsidR="00034AB3" w:rsidRPr="00D90969">
        <w:rPr>
          <w:rFonts w:asciiTheme="majorHAnsi" w:hAnsiTheme="majorHAnsi"/>
          <w:sz w:val="24"/>
          <w:szCs w:val="24"/>
        </w:rPr>
        <w:t xml:space="preserve"> 2021 r</w:t>
      </w:r>
      <w:r w:rsidR="00212175">
        <w:rPr>
          <w:rFonts w:asciiTheme="majorHAnsi" w:hAnsiTheme="majorHAnsi"/>
          <w:sz w:val="24"/>
          <w:szCs w:val="24"/>
        </w:rPr>
        <w:t>.</w:t>
      </w:r>
      <w:r w:rsidR="00034AB3" w:rsidRPr="00D90969">
        <w:rPr>
          <w:rFonts w:asciiTheme="majorHAnsi" w:hAnsiTheme="majorHAnsi"/>
          <w:sz w:val="24"/>
          <w:szCs w:val="24"/>
        </w:rPr>
        <w:t xml:space="preserve"> </w:t>
      </w:r>
      <w:r w:rsidRPr="00D90969">
        <w:rPr>
          <w:rFonts w:asciiTheme="majorHAnsi" w:hAnsiTheme="majorHAnsi"/>
          <w:sz w:val="24"/>
          <w:szCs w:val="24"/>
        </w:rPr>
        <w:t xml:space="preserve">do dnia 17 grudnia </w:t>
      </w:r>
      <w:r w:rsidR="00034AB3" w:rsidRPr="00D90969">
        <w:rPr>
          <w:rFonts w:asciiTheme="majorHAnsi" w:hAnsiTheme="majorHAnsi"/>
          <w:sz w:val="24"/>
          <w:szCs w:val="24"/>
        </w:rPr>
        <w:t>wpłynęło 38</w:t>
      </w:r>
      <w:r w:rsidR="00D90969">
        <w:rPr>
          <w:rFonts w:asciiTheme="majorHAnsi" w:hAnsiTheme="majorHAnsi"/>
          <w:sz w:val="24"/>
          <w:szCs w:val="24"/>
        </w:rPr>
        <w:t>6</w:t>
      </w:r>
      <w:r w:rsidR="00D16292">
        <w:rPr>
          <w:rFonts w:asciiTheme="majorHAnsi" w:hAnsiTheme="majorHAnsi"/>
          <w:sz w:val="24"/>
          <w:szCs w:val="24"/>
        </w:rPr>
        <w:t>9</w:t>
      </w:r>
      <w:r w:rsidR="00034AB3" w:rsidRPr="00D90969">
        <w:rPr>
          <w:rFonts w:asciiTheme="majorHAnsi" w:hAnsiTheme="majorHAnsi"/>
          <w:sz w:val="24"/>
          <w:szCs w:val="24"/>
        </w:rPr>
        <w:t xml:space="preserve"> wniosków</w:t>
      </w:r>
      <w:r w:rsidRPr="00D90969">
        <w:rPr>
          <w:rFonts w:asciiTheme="majorHAnsi" w:hAnsiTheme="majorHAnsi"/>
          <w:sz w:val="24"/>
          <w:szCs w:val="24"/>
        </w:rPr>
        <w:t>.</w:t>
      </w:r>
    </w:p>
    <w:p w14:paraId="1B167EDD" w14:textId="33D23F8E" w:rsidR="00A2561D" w:rsidRPr="00D90969" w:rsidRDefault="00A2561D" w:rsidP="00034AB3">
      <w:pPr>
        <w:pStyle w:val="Akapitzlist"/>
        <w:numPr>
          <w:ilvl w:val="0"/>
          <w:numId w:val="5"/>
        </w:numPr>
        <w:ind w:left="714" w:hanging="357"/>
        <w:contextualSpacing w:val="0"/>
        <w:jc w:val="both"/>
        <w:rPr>
          <w:rFonts w:asciiTheme="majorHAnsi" w:hAnsiTheme="majorHAnsi"/>
          <w:sz w:val="24"/>
          <w:szCs w:val="24"/>
        </w:rPr>
      </w:pPr>
      <w:r w:rsidRPr="00D90969">
        <w:rPr>
          <w:rFonts w:asciiTheme="majorHAnsi" w:hAnsiTheme="majorHAnsi"/>
          <w:sz w:val="24"/>
          <w:szCs w:val="24"/>
        </w:rPr>
        <w:t>W 2021 r. refundacją objęto 68 nowych cząsteczkowskazań. Podział ze względu na rodzaj wskazań, kategorię dostępności, choroby rzadkie przedstawiono na wykresach poniżej.</w:t>
      </w:r>
    </w:p>
    <w:p w14:paraId="23DCFD9C" w14:textId="0F4356E8" w:rsidR="00A2561D" w:rsidRDefault="00A2561D" w:rsidP="00A2561D">
      <w:pPr>
        <w:jc w:val="both"/>
        <w:rPr>
          <w:rFonts w:asciiTheme="majorHAnsi" w:hAnsiTheme="majorHAnsi"/>
          <w:color w:val="FF0000"/>
          <w:sz w:val="24"/>
          <w:szCs w:val="24"/>
        </w:rPr>
      </w:pPr>
    </w:p>
    <w:p w14:paraId="09A143F5" w14:textId="5312BCE1" w:rsidR="00A2561D" w:rsidRDefault="00A2561D" w:rsidP="00A2561D">
      <w:pPr>
        <w:jc w:val="both"/>
        <w:rPr>
          <w:rFonts w:asciiTheme="majorHAnsi" w:hAnsiTheme="majorHAnsi"/>
          <w:color w:val="FF0000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1C6B26BC" wp14:editId="15916959">
            <wp:extent cx="2781300" cy="3059430"/>
            <wp:effectExtent l="0" t="0" r="0" b="7620"/>
            <wp:docPr id="3" name="Wykres 3">
              <a:extLst xmlns:a="http://schemas.openxmlformats.org/drawingml/2006/main">
                <a:ext uri="{FF2B5EF4-FFF2-40B4-BE49-F238E27FC236}">
                  <a16:creationId xmlns:a16="http://schemas.microsoft.com/office/drawing/2014/main" id="{729F3DEE-6105-4281-860A-FBD63955632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>
        <w:rPr>
          <w:rFonts w:asciiTheme="majorHAnsi" w:hAnsiTheme="majorHAnsi"/>
          <w:color w:val="FF0000"/>
          <w:sz w:val="24"/>
          <w:szCs w:val="24"/>
        </w:rPr>
        <w:t xml:space="preserve"> </w:t>
      </w:r>
      <w:r>
        <w:rPr>
          <w:noProof/>
        </w:rPr>
        <w:drawing>
          <wp:inline distT="0" distB="0" distL="0" distR="0" wp14:anchorId="56810980" wp14:editId="3F8F1F2C">
            <wp:extent cx="2943225" cy="3057525"/>
            <wp:effectExtent l="0" t="0" r="9525" b="9525"/>
            <wp:docPr id="1" name="Wykres 1">
              <a:extLst xmlns:a="http://schemas.openxmlformats.org/drawingml/2006/main">
                <a:ext uri="{FF2B5EF4-FFF2-40B4-BE49-F238E27FC236}">
                  <a16:creationId xmlns:a16="http://schemas.microsoft.com/office/drawing/2014/main" id="{118770CA-56B6-4805-B90C-A9761817141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>
        <w:rPr>
          <w:rFonts w:asciiTheme="majorHAnsi" w:hAnsiTheme="majorHAnsi"/>
          <w:color w:val="FF0000"/>
          <w:sz w:val="24"/>
          <w:szCs w:val="24"/>
        </w:rPr>
        <w:t xml:space="preserve"> </w:t>
      </w:r>
      <w:r>
        <w:rPr>
          <w:noProof/>
        </w:rPr>
        <w:drawing>
          <wp:inline distT="0" distB="0" distL="0" distR="0" wp14:anchorId="4AFC3C14" wp14:editId="2717D8C7">
            <wp:extent cx="3000375" cy="3057525"/>
            <wp:effectExtent l="0" t="0" r="9525" b="9525"/>
            <wp:docPr id="4" name="Wykres 4">
              <a:extLst xmlns:a="http://schemas.openxmlformats.org/drawingml/2006/main">
                <a:ext uri="{FF2B5EF4-FFF2-40B4-BE49-F238E27FC236}">
                  <a16:creationId xmlns:a16="http://schemas.microsoft.com/office/drawing/2014/main" id="{002E6EBA-936F-42D4-ADDB-9CCE627850A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3DA124D0" w14:textId="3E12E84E" w:rsidR="00A2561D" w:rsidRPr="00A2561D" w:rsidRDefault="00A2561D" w:rsidP="00A2561D">
      <w:pPr>
        <w:jc w:val="both"/>
        <w:rPr>
          <w:rFonts w:asciiTheme="majorHAnsi" w:hAnsiTheme="majorHAnsi"/>
          <w:color w:val="FF0000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3B7370DD" wp14:editId="5BF4EB08">
            <wp:extent cx="8715375" cy="2857500"/>
            <wp:effectExtent l="0" t="0" r="9525" b="0"/>
            <wp:docPr id="5" name="Wykres 5">
              <a:extLst xmlns:a="http://schemas.openxmlformats.org/drawingml/2006/main">
                <a:ext uri="{FF2B5EF4-FFF2-40B4-BE49-F238E27FC236}">
                  <a16:creationId xmlns:a16="http://schemas.microsoft.com/office/drawing/2014/main" id="{10D0A13C-1BA5-4D90-AEC6-060C1D06A86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>
        <w:rPr>
          <w:rFonts w:asciiTheme="majorHAnsi" w:hAnsiTheme="majorHAnsi"/>
          <w:color w:val="FF0000"/>
          <w:sz w:val="24"/>
          <w:szCs w:val="24"/>
        </w:rPr>
        <w:t xml:space="preserve"> </w:t>
      </w:r>
      <w:r>
        <w:rPr>
          <w:noProof/>
        </w:rPr>
        <w:drawing>
          <wp:inline distT="0" distB="0" distL="0" distR="0" wp14:anchorId="0F3C3BE4" wp14:editId="069B9B37">
            <wp:extent cx="8715375" cy="2771775"/>
            <wp:effectExtent l="0" t="0" r="9525" b="9525"/>
            <wp:docPr id="6" name="Wykres 6">
              <a:extLst xmlns:a="http://schemas.openxmlformats.org/drawingml/2006/main">
                <a:ext uri="{FF2B5EF4-FFF2-40B4-BE49-F238E27FC236}">
                  <a16:creationId xmlns:a16="http://schemas.microsoft.com/office/drawing/2014/main" id="{0751A6AD-0937-45C0-9788-40D17F3792D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228DF20F" w14:textId="77777777" w:rsidR="00655A81" w:rsidRDefault="00655A81" w:rsidP="00655A81">
      <w:pPr>
        <w:rPr>
          <w:rFonts w:ascii="Abadi" w:hAnsi="Abadi"/>
          <w:b/>
          <w:bCs/>
          <w:color w:val="00B0F0"/>
          <w:sz w:val="28"/>
          <w:szCs w:val="28"/>
        </w:rPr>
      </w:pPr>
    </w:p>
    <w:p w14:paraId="3A8BF8A6" w14:textId="77777777" w:rsidR="00655A81" w:rsidRDefault="00655A81" w:rsidP="00655A81">
      <w:pPr>
        <w:jc w:val="center"/>
        <w:rPr>
          <w:rFonts w:ascii="Abadi" w:hAnsi="Abadi"/>
          <w:b/>
          <w:bCs/>
          <w:color w:val="00B0F0"/>
          <w:sz w:val="28"/>
          <w:szCs w:val="28"/>
        </w:rPr>
      </w:pPr>
      <w:r>
        <w:rPr>
          <w:rFonts w:ascii="Abadi" w:hAnsi="Abadi"/>
          <w:b/>
          <w:bCs/>
          <w:color w:val="00B0F0"/>
          <w:sz w:val="28"/>
          <w:szCs w:val="28"/>
        </w:rPr>
        <w:t>NOWE WSKAZANIA ORAZ ZMIANY W PROGRAMACH LEKOWYCH i CHEMIOTERAPII</w:t>
      </w:r>
    </w:p>
    <w:tbl>
      <w:tblPr>
        <w:tblW w:w="47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left w:w="10" w:type="dxa"/>
          <w:bottom w:w="113" w:type="dxa"/>
          <w:right w:w="10" w:type="dxa"/>
        </w:tblCellMar>
        <w:tblLook w:val="0000" w:firstRow="0" w:lastRow="0" w:firstColumn="0" w:lastColumn="0" w:noHBand="0" w:noVBand="0"/>
      </w:tblPr>
      <w:tblGrid>
        <w:gridCol w:w="559"/>
        <w:gridCol w:w="1421"/>
        <w:gridCol w:w="1745"/>
        <w:gridCol w:w="1877"/>
        <w:gridCol w:w="4038"/>
        <w:gridCol w:w="3540"/>
      </w:tblGrid>
      <w:tr w:rsidR="00655A81" w:rsidRPr="005058F2" w14:paraId="67580780" w14:textId="77777777" w:rsidTr="00476A3C">
        <w:trPr>
          <w:cantSplit/>
          <w:trHeight w:val="20"/>
        </w:trPr>
        <w:tc>
          <w:tcPr>
            <w:tcW w:w="5000" w:type="pct"/>
            <w:gridSpan w:val="6"/>
            <w:shd w:val="clear" w:color="auto" w:fill="0094C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CED1EC" w14:textId="77777777" w:rsidR="00655A81" w:rsidRPr="005058F2" w:rsidRDefault="00655A81" w:rsidP="000C028C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FFFFFF"/>
              </w:rPr>
            </w:pPr>
            <w:r w:rsidRPr="005058F2">
              <w:rPr>
                <w:rFonts w:asciiTheme="majorHAnsi" w:hAnsiTheme="majorHAnsi" w:cstheme="majorHAnsi"/>
                <w:b/>
                <w:bCs/>
                <w:color w:val="FFFFFF"/>
              </w:rPr>
              <w:t>Programy lekowe i chemioterapia</w:t>
            </w:r>
          </w:p>
        </w:tc>
      </w:tr>
      <w:tr w:rsidR="00655A81" w:rsidRPr="005058F2" w14:paraId="12FE4DB8" w14:textId="77777777" w:rsidTr="00476A3C">
        <w:trPr>
          <w:cantSplit/>
          <w:trHeight w:val="20"/>
        </w:trPr>
        <w:tc>
          <w:tcPr>
            <w:tcW w:w="5000" w:type="pct"/>
            <w:gridSpan w:val="6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249F41" w14:textId="77777777" w:rsidR="00655A81" w:rsidRPr="005058F2" w:rsidRDefault="00655A81" w:rsidP="000C028C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FFFFFF"/>
              </w:rPr>
            </w:pPr>
            <w:r w:rsidRPr="005058F2">
              <w:rPr>
                <w:rFonts w:asciiTheme="majorHAnsi" w:hAnsiTheme="majorHAnsi" w:cstheme="majorHAnsi"/>
                <w:b/>
                <w:bCs/>
                <w:color w:val="FFFFFF"/>
              </w:rPr>
              <w:t>Nowe wskazania onkologiczne</w:t>
            </w:r>
          </w:p>
        </w:tc>
      </w:tr>
      <w:tr w:rsidR="00655A81" w:rsidRPr="005058F2" w14:paraId="4CF6EDBF" w14:textId="77777777" w:rsidTr="00476A3C">
        <w:trPr>
          <w:cantSplit/>
          <w:trHeight w:val="20"/>
        </w:trPr>
        <w:tc>
          <w:tcPr>
            <w:tcW w:w="212" w:type="pct"/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F83BCC" w14:textId="77777777" w:rsidR="00655A81" w:rsidRPr="005058F2" w:rsidRDefault="00655A81" w:rsidP="000C028C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5058F2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539" w:type="pct"/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1AE48B" w14:textId="77777777" w:rsidR="00655A81" w:rsidRPr="005058F2" w:rsidRDefault="00655A81" w:rsidP="000C028C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5058F2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Nazwa leku</w:t>
            </w:r>
          </w:p>
        </w:tc>
        <w:tc>
          <w:tcPr>
            <w:tcW w:w="662" w:type="pct"/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BE5D65" w14:textId="77777777" w:rsidR="00655A81" w:rsidRPr="005058F2" w:rsidRDefault="00655A81" w:rsidP="000C028C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5058F2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Substancja czynna</w:t>
            </w:r>
          </w:p>
        </w:tc>
        <w:tc>
          <w:tcPr>
            <w:tcW w:w="712" w:type="pct"/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11CEAB" w14:textId="77777777" w:rsidR="00655A81" w:rsidRPr="005058F2" w:rsidRDefault="00655A81" w:rsidP="000C028C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5058F2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Numer programu lekowego/załącznika chemioterapii</w:t>
            </w:r>
          </w:p>
        </w:tc>
        <w:tc>
          <w:tcPr>
            <w:tcW w:w="1532" w:type="pct"/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32744E" w14:textId="77777777" w:rsidR="00655A81" w:rsidRDefault="00655A81" w:rsidP="000C028C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5058F2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Nazwa programu lekowego</w:t>
            </w:r>
            <w:r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5058F2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 xml:space="preserve">/ </w:t>
            </w:r>
          </w:p>
          <w:p w14:paraId="62A48350" w14:textId="77777777" w:rsidR="00655A81" w:rsidRPr="005058F2" w:rsidRDefault="00655A81" w:rsidP="000C028C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</w:rPr>
            </w:pPr>
            <w:r w:rsidRPr="005058F2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Załącznika chemioterapii</w:t>
            </w:r>
          </w:p>
        </w:tc>
        <w:tc>
          <w:tcPr>
            <w:tcW w:w="1343" w:type="pct"/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4E8FFE" w14:textId="77777777" w:rsidR="00655A81" w:rsidRPr="005058F2" w:rsidRDefault="00655A81" w:rsidP="000C028C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5058F2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Doprecyzowanie wskazania</w:t>
            </w:r>
          </w:p>
        </w:tc>
      </w:tr>
      <w:tr w:rsidR="00655A81" w:rsidRPr="00FF6CD9" w14:paraId="238438B7" w14:textId="77777777" w:rsidTr="00476A3C">
        <w:trPr>
          <w:cantSplit/>
          <w:trHeight w:val="20"/>
        </w:trPr>
        <w:tc>
          <w:tcPr>
            <w:tcW w:w="21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0B967F" w14:textId="77777777" w:rsidR="00655A81" w:rsidRPr="00204A92" w:rsidRDefault="00655A81" w:rsidP="000C028C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04A92">
              <w:rPr>
                <w:rFonts w:asciiTheme="majorHAnsi" w:hAnsiTheme="majorHAnsi" w:cstheme="majorHAnsi"/>
                <w:sz w:val="20"/>
                <w:szCs w:val="20"/>
              </w:rPr>
              <w:t>1.</w:t>
            </w:r>
          </w:p>
        </w:tc>
        <w:tc>
          <w:tcPr>
            <w:tcW w:w="539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99655F" w14:textId="77777777" w:rsidR="00655A81" w:rsidRPr="00204A92" w:rsidRDefault="00655A81" w:rsidP="000C028C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204A9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Besponsa</w:t>
            </w:r>
          </w:p>
        </w:tc>
        <w:tc>
          <w:tcPr>
            <w:tcW w:w="662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D2C22F" w14:textId="77777777" w:rsidR="00655A81" w:rsidRPr="00204A92" w:rsidRDefault="00655A81" w:rsidP="000C028C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04A92">
              <w:rPr>
                <w:rFonts w:asciiTheme="majorHAnsi" w:hAnsiTheme="majorHAnsi" w:cstheme="majorHAnsi"/>
                <w:sz w:val="20"/>
                <w:szCs w:val="20"/>
              </w:rPr>
              <w:t>Inotuzumab ozogamycyny</w:t>
            </w:r>
          </w:p>
        </w:tc>
        <w:tc>
          <w:tcPr>
            <w:tcW w:w="712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70424A" w14:textId="77777777" w:rsidR="00655A81" w:rsidRPr="00204A92" w:rsidRDefault="00655A81" w:rsidP="000C028C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04A92">
              <w:rPr>
                <w:rFonts w:asciiTheme="majorHAnsi" w:hAnsiTheme="majorHAnsi" w:cstheme="majorHAnsi"/>
                <w:sz w:val="20"/>
                <w:szCs w:val="20"/>
              </w:rPr>
              <w:t>B.65.</w:t>
            </w:r>
          </w:p>
        </w:tc>
        <w:tc>
          <w:tcPr>
            <w:tcW w:w="153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ABFA15" w14:textId="77777777" w:rsidR="00655A81" w:rsidRPr="00204A92" w:rsidRDefault="00655A81" w:rsidP="000C028C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04A92">
              <w:rPr>
                <w:rFonts w:asciiTheme="majorHAnsi" w:hAnsiTheme="majorHAnsi" w:cstheme="majorHAnsi"/>
                <w:sz w:val="20"/>
                <w:szCs w:val="20"/>
              </w:rPr>
              <w:t>Leczenie chorych na ostrą białaczkę limfoblastyczną (ICD-10 C91.0)</w:t>
            </w:r>
          </w:p>
        </w:tc>
        <w:tc>
          <w:tcPr>
            <w:tcW w:w="1343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C05782" w14:textId="77777777" w:rsidR="00476A3C" w:rsidRDefault="00655A81" w:rsidP="000C028C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04A92">
              <w:rPr>
                <w:rFonts w:asciiTheme="majorHAnsi" w:hAnsiTheme="majorHAnsi" w:cstheme="majorHAnsi"/>
                <w:sz w:val="20"/>
                <w:szCs w:val="20"/>
              </w:rPr>
              <w:t>Leczenie dorosłych chorych z nawrotową lub oporną na leczenie ostrą białaczką limfoblastyczną wywodzącą się z komórek prekursorowych limfocytów B, z ekspresją antygenu CD22, z lub bez chromosomu Filadelfia</w:t>
            </w:r>
            <w:r w:rsidR="00F541FE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  <w:p w14:paraId="7BA5D25D" w14:textId="116487F4" w:rsidR="00655A81" w:rsidRPr="002D03A4" w:rsidRDefault="00F541FE" w:rsidP="000C028C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2D03A4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(Choroba rzadka)</w:t>
            </w:r>
          </w:p>
        </w:tc>
      </w:tr>
      <w:tr w:rsidR="00655A81" w:rsidRPr="00FF6CD9" w14:paraId="0F4D06C7" w14:textId="77777777" w:rsidTr="00476A3C">
        <w:trPr>
          <w:cantSplit/>
          <w:trHeight w:val="20"/>
        </w:trPr>
        <w:tc>
          <w:tcPr>
            <w:tcW w:w="21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8092EF" w14:textId="77777777" w:rsidR="00655A81" w:rsidRPr="00204A92" w:rsidRDefault="00655A81" w:rsidP="000C028C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539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91951F" w14:textId="77777777" w:rsidR="00655A81" w:rsidRPr="00204A92" w:rsidRDefault="00655A81" w:rsidP="000C028C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204A9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Blincyto</w:t>
            </w:r>
          </w:p>
        </w:tc>
        <w:tc>
          <w:tcPr>
            <w:tcW w:w="662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1285E1" w14:textId="77777777" w:rsidR="00655A81" w:rsidRPr="00204A92" w:rsidRDefault="00655A81" w:rsidP="000C028C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04A92">
              <w:rPr>
                <w:rFonts w:asciiTheme="majorHAnsi" w:hAnsiTheme="majorHAnsi" w:cstheme="majorHAnsi"/>
                <w:sz w:val="20"/>
                <w:szCs w:val="20"/>
              </w:rPr>
              <w:t>Blinatumomab</w:t>
            </w:r>
          </w:p>
        </w:tc>
        <w:tc>
          <w:tcPr>
            <w:tcW w:w="712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A6C461" w14:textId="77777777" w:rsidR="00655A81" w:rsidRPr="00204A92" w:rsidRDefault="00655A81" w:rsidP="000C028C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04A92">
              <w:rPr>
                <w:rFonts w:asciiTheme="majorHAnsi" w:hAnsiTheme="majorHAnsi" w:cstheme="majorHAnsi"/>
                <w:sz w:val="20"/>
                <w:szCs w:val="20"/>
              </w:rPr>
              <w:t>B.65.</w:t>
            </w:r>
          </w:p>
        </w:tc>
        <w:tc>
          <w:tcPr>
            <w:tcW w:w="153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C8AD8E" w14:textId="77777777" w:rsidR="00655A81" w:rsidRPr="00204A92" w:rsidRDefault="00655A81" w:rsidP="000C028C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04A92">
              <w:rPr>
                <w:rFonts w:asciiTheme="majorHAnsi" w:hAnsiTheme="majorHAnsi" w:cstheme="majorHAnsi"/>
                <w:sz w:val="20"/>
                <w:szCs w:val="20"/>
              </w:rPr>
              <w:t>Leczenie chorych na ostrą białaczkę limfoblastyczną (ICD-10 C91.0)</w:t>
            </w:r>
          </w:p>
        </w:tc>
        <w:tc>
          <w:tcPr>
            <w:tcW w:w="1343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6C252E" w14:textId="77777777" w:rsidR="00476A3C" w:rsidRDefault="00655A81" w:rsidP="000C028C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04A92">
              <w:rPr>
                <w:rFonts w:asciiTheme="majorHAnsi" w:hAnsiTheme="majorHAnsi" w:cstheme="majorHAnsi"/>
                <w:sz w:val="20"/>
                <w:szCs w:val="20"/>
              </w:rPr>
              <w:t xml:space="preserve">Leczenie blinatumomabem chorych na ostrą białaczkę limfoblastyczną (dzieci) oraz  leczenie blinatumomabem dorosłych chorych na ostrą białaczkę limfoblastyczną z minimalną chorobą resztkową </w:t>
            </w:r>
          </w:p>
          <w:p w14:paraId="33B70524" w14:textId="65E9F515" w:rsidR="00655A81" w:rsidRPr="002D03A4" w:rsidRDefault="00F541FE" w:rsidP="000C028C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2D03A4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(Choroba rzadka)</w:t>
            </w:r>
          </w:p>
        </w:tc>
      </w:tr>
      <w:tr w:rsidR="00655A81" w:rsidRPr="00FF6CD9" w14:paraId="36339811" w14:textId="77777777" w:rsidTr="00476A3C">
        <w:trPr>
          <w:cantSplit/>
          <w:trHeight w:val="20"/>
        </w:trPr>
        <w:tc>
          <w:tcPr>
            <w:tcW w:w="21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09CBD3" w14:textId="77777777" w:rsidR="00655A81" w:rsidRPr="00204A92" w:rsidRDefault="00655A81" w:rsidP="000C028C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539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DD14BA" w14:textId="77777777" w:rsidR="00655A81" w:rsidRPr="00204A92" w:rsidRDefault="00655A81" w:rsidP="000C028C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204A9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Imbruvica</w:t>
            </w:r>
          </w:p>
        </w:tc>
        <w:tc>
          <w:tcPr>
            <w:tcW w:w="662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70EA73" w14:textId="77777777" w:rsidR="00655A81" w:rsidRPr="00204A92" w:rsidRDefault="00655A81" w:rsidP="000C028C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04A92">
              <w:rPr>
                <w:rFonts w:asciiTheme="majorHAnsi" w:hAnsiTheme="majorHAnsi" w:cstheme="majorHAnsi"/>
                <w:sz w:val="20"/>
                <w:szCs w:val="20"/>
              </w:rPr>
              <w:t>Ibrutynib</w:t>
            </w:r>
          </w:p>
        </w:tc>
        <w:tc>
          <w:tcPr>
            <w:tcW w:w="712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DF3788" w14:textId="77777777" w:rsidR="00655A81" w:rsidRPr="00204A92" w:rsidRDefault="00655A81" w:rsidP="000C028C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04A92">
              <w:rPr>
                <w:rFonts w:asciiTheme="majorHAnsi" w:hAnsiTheme="majorHAnsi" w:cstheme="majorHAnsi"/>
                <w:sz w:val="20"/>
                <w:szCs w:val="20"/>
              </w:rPr>
              <w:t>B.92.</w:t>
            </w:r>
          </w:p>
        </w:tc>
        <w:tc>
          <w:tcPr>
            <w:tcW w:w="153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6262FB" w14:textId="77777777" w:rsidR="00655A81" w:rsidRPr="00204A92" w:rsidRDefault="00655A81" w:rsidP="000C028C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04A92">
              <w:rPr>
                <w:rFonts w:asciiTheme="majorHAnsi" w:hAnsiTheme="majorHAnsi" w:cstheme="majorHAnsi"/>
                <w:sz w:val="20"/>
                <w:szCs w:val="20"/>
              </w:rPr>
              <w:t>LECZENIE CHORYCH NA PRZEWLEKŁĄ BIAŁACZKĘ LIMFOCYTOWĄ IBRUTYNIBEM (ICD 10: C91.1)</w:t>
            </w:r>
          </w:p>
        </w:tc>
        <w:tc>
          <w:tcPr>
            <w:tcW w:w="1343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483185" w14:textId="77777777" w:rsidR="00476A3C" w:rsidRDefault="00655A81" w:rsidP="000C028C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04A92">
              <w:rPr>
                <w:rFonts w:asciiTheme="majorHAnsi" w:hAnsiTheme="majorHAnsi" w:cstheme="majorHAnsi"/>
                <w:sz w:val="20"/>
                <w:szCs w:val="20"/>
              </w:rPr>
              <w:t>Poszerzenie populacji tzn.  udostępnienie leczenia ibrytynibem pacjentom, u których wyczerpane zostały już inne nowoczesne opcje terapeutyczne (schemat wenetoklaks+rtx) lub występują przeciwskazania medyczne do ich zastosowania</w:t>
            </w:r>
            <w:r w:rsidR="00F541FE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  <w:p w14:paraId="287BF35A" w14:textId="5EDB4DE5" w:rsidR="00655A81" w:rsidRPr="002D03A4" w:rsidRDefault="00F541FE" w:rsidP="000C028C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2D03A4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(Choroba rzadka)</w:t>
            </w:r>
          </w:p>
        </w:tc>
      </w:tr>
      <w:tr w:rsidR="00655A81" w:rsidRPr="00FF6CD9" w14:paraId="07D11143" w14:textId="77777777" w:rsidTr="00476A3C">
        <w:trPr>
          <w:cantSplit/>
          <w:trHeight w:val="20"/>
        </w:trPr>
        <w:tc>
          <w:tcPr>
            <w:tcW w:w="21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5D8BE1" w14:textId="77777777" w:rsidR="00655A81" w:rsidRPr="00204A92" w:rsidRDefault="00655A81" w:rsidP="000C028C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4</w:t>
            </w:r>
          </w:p>
        </w:tc>
        <w:tc>
          <w:tcPr>
            <w:tcW w:w="539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CC306C" w14:textId="77777777" w:rsidR="00655A81" w:rsidRPr="00204A92" w:rsidRDefault="00655A81" w:rsidP="000C028C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204A9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Keytruda</w:t>
            </w:r>
          </w:p>
        </w:tc>
        <w:tc>
          <w:tcPr>
            <w:tcW w:w="662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6A787A" w14:textId="77777777" w:rsidR="00655A81" w:rsidRPr="00204A92" w:rsidRDefault="00655A81" w:rsidP="000C028C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04A92">
              <w:rPr>
                <w:rFonts w:asciiTheme="majorHAnsi" w:hAnsiTheme="majorHAnsi" w:cstheme="majorHAnsi"/>
                <w:sz w:val="20"/>
                <w:szCs w:val="20"/>
              </w:rPr>
              <w:t>Pembrolizumab</w:t>
            </w:r>
          </w:p>
        </w:tc>
        <w:tc>
          <w:tcPr>
            <w:tcW w:w="712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9CA09D" w14:textId="77777777" w:rsidR="00655A81" w:rsidRPr="00204A92" w:rsidRDefault="00655A81" w:rsidP="000C028C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04A92">
              <w:rPr>
                <w:rFonts w:asciiTheme="majorHAnsi" w:hAnsiTheme="majorHAnsi" w:cstheme="majorHAnsi"/>
                <w:sz w:val="20"/>
                <w:szCs w:val="20"/>
              </w:rPr>
              <w:t>B.6.</w:t>
            </w:r>
          </w:p>
        </w:tc>
        <w:tc>
          <w:tcPr>
            <w:tcW w:w="1532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CA54AB" w14:textId="77777777" w:rsidR="00655A81" w:rsidRPr="00204A92" w:rsidRDefault="00655A81" w:rsidP="000C028C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04A92">
              <w:rPr>
                <w:rFonts w:asciiTheme="majorHAnsi" w:hAnsiTheme="majorHAnsi" w:cstheme="majorHAnsi"/>
                <w:sz w:val="20"/>
                <w:szCs w:val="20"/>
              </w:rPr>
              <w:t>LECZENIE NIEDROBNOKOMÓRKOWEGO LUB DROBNOKOMÓRKOWEGO RAKA PŁUCA (ICD-10 C 34)</w:t>
            </w:r>
          </w:p>
        </w:tc>
        <w:tc>
          <w:tcPr>
            <w:tcW w:w="1343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1EEF59" w14:textId="77777777" w:rsidR="00655A81" w:rsidRPr="00204A92" w:rsidRDefault="00655A81" w:rsidP="000C028C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04A92">
              <w:rPr>
                <w:rFonts w:asciiTheme="majorHAnsi" w:hAnsiTheme="majorHAnsi" w:cstheme="majorHAnsi"/>
                <w:sz w:val="20"/>
                <w:szCs w:val="20"/>
              </w:rPr>
              <w:t xml:space="preserve">W skojarzeniu z chemioterapią w leczeniu pacjentów z niedrobnokomórkowym rakiem płuca o typie płaskonabłonkowym lub niepłaskonabłonkowym z ekspresja PDL-1 &lt;50% </w:t>
            </w:r>
          </w:p>
        </w:tc>
      </w:tr>
      <w:tr w:rsidR="00655A81" w:rsidRPr="00FF6CD9" w14:paraId="49802921" w14:textId="77777777" w:rsidTr="00476A3C">
        <w:trPr>
          <w:cantSplit/>
          <w:trHeight w:val="20"/>
        </w:trPr>
        <w:tc>
          <w:tcPr>
            <w:tcW w:w="21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8FE857" w14:textId="77777777" w:rsidR="00655A81" w:rsidRPr="00204A92" w:rsidRDefault="00655A81" w:rsidP="000C028C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5</w:t>
            </w:r>
          </w:p>
        </w:tc>
        <w:tc>
          <w:tcPr>
            <w:tcW w:w="539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D149DD" w14:textId="77777777" w:rsidR="00655A81" w:rsidRPr="00204A92" w:rsidRDefault="00655A81" w:rsidP="000C028C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204A9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Tagrisso</w:t>
            </w:r>
          </w:p>
        </w:tc>
        <w:tc>
          <w:tcPr>
            <w:tcW w:w="662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0B91A7" w14:textId="77777777" w:rsidR="00655A81" w:rsidRPr="00204A92" w:rsidRDefault="00655A81" w:rsidP="000C028C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04A92">
              <w:rPr>
                <w:rFonts w:asciiTheme="majorHAnsi" w:hAnsiTheme="majorHAnsi" w:cstheme="majorHAnsi"/>
                <w:sz w:val="20"/>
                <w:szCs w:val="20"/>
              </w:rPr>
              <w:t>Ozymertynib</w:t>
            </w:r>
          </w:p>
        </w:tc>
        <w:tc>
          <w:tcPr>
            <w:tcW w:w="712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DFA2F1" w14:textId="77777777" w:rsidR="00655A81" w:rsidRPr="00204A92" w:rsidRDefault="00655A81" w:rsidP="000C028C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04A92">
              <w:rPr>
                <w:rFonts w:asciiTheme="majorHAnsi" w:hAnsiTheme="majorHAnsi" w:cstheme="majorHAnsi"/>
                <w:sz w:val="20"/>
                <w:szCs w:val="20"/>
              </w:rPr>
              <w:t>B.6.</w:t>
            </w:r>
          </w:p>
        </w:tc>
        <w:tc>
          <w:tcPr>
            <w:tcW w:w="1532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7AA0EA" w14:textId="77777777" w:rsidR="00655A81" w:rsidRPr="00204A92" w:rsidRDefault="00655A81" w:rsidP="000C028C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04A92">
              <w:rPr>
                <w:rFonts w:asciiTheme="majorHAnsi" w:hAnsiTheme="majorHAnsi" w:cstheme="majorHAnsi"/>
                <w:sz w:val="20"/>
                <w:szCs w:val="20"/>
              </w:rPr>
              <w:t>LECZENIE NIEDROBNOKOMÓRKOWEGO LUB DROBNOKOMÓRKOWEGO RAKA PŁUCA (ICD-10 C 34)</w:t>
            </w:r>
          </w:p>
        </w:tc>
        <w:tc>
          <w:tcPr>
            <w:tcW w:w="1343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7BEEAC" w14:textId="77777777" w:rsidR="00655A81" w:rsidRPr="00204A92" w:rsidRDefault="00655A81" w:rsidP="000C028C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04A92">
              <w:rPr>
                <w:rFonts w:asciiTheme="majorHAnsi" w:hAnsiTheme="majorHAnsi" w:cstheme="majorHAnsi"/>
                <w:sz w:val="20"/>
                <w:szCs w:val="20"/>
              </w:rPr>
              <w:t>I linia leczenia pacjentów z zaawansowanym niedrobnokomórkowym rakiem płuc</w:t>
            </w:r>
          </w:p>
        </w:tc>
      </w:tr>
      <w:tr w:rsidR="00655A81" w:rsidRPr="00FF6CD9" w14:paraId="33A52759" w14:textId="77777777" w:rsidTr="00476A3C">
        <w:trPr>
          <w:cantSplit/>
          <w:trHeight w:val="20"/>
        </w:trPr>
        <w:tc>
          <w:tcPr>
            <w:tcW w:w="21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B6BF5D" w14:textId="77777777" w:rsidR="00655A81" w:rsidRPr="00204A92" w:rsidRDefault="00655A81" w:rsidP="000C028C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6</w:t>
            </w:r>
          </w:p>
        </w:tc>
        <w:tc>
          <w:tcPr>
            <w:tcW w:w="539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D82D9A" w14:textId="77777777" w:rsidR="00655A81" w:rsidRPr="00204A92" w:rsidRDefault="00655A81" w:rsidP="000C028C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204A9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Imfinzi</w:t>
            </w:r>
          </w:p>
        </w:tc>
        <w:tc>
          <w:tcPr>
            <w:tcW w:w="662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5A261D" w14:textId="77777777" w:rsidR="00655A81" w:rsidRPr="00204A92" w:rsidRDefault="00655A81" w:rsidP="000C028C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04A92">
              <w:rPr>
                <w:rFonts w:asciiTheme="majorHAnsi" w:hAnsiTheme="majorHAnsi" w:cstheme="majorHAnsi"/>
                <w:sz w:val="20"/>
                <w:szCs w:val="20"/>
              </w:rPr>
              <w:t>Durwalumab</w:t>
            </w:r>
          </w:p>
        </w:tc>
        <w:tc>
          <w:tcPr>
            <w:tcW w:w="712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751714" w14:textId="77777777" w:rsidR="00655A81" w:rsidRPr="00204A92" w:rsidRDefault="00655A81" w:rsidP="000C028C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04A92">
              <w:rPr>
                <w:rFonts w:asciiTheme="majorHAnsi" w:hAnsiTheme="majorHAnsi" w:cstheme="majorHAnsi"/>
                <w:sz w:val="20"/>
                <w:szCs w:val="20"/>
              </w:rPr>
              <w:t>B.6.</w:t>
            </w:r>
          </w:p>
        </w:tc>
        <w:tc>
          <w:tcPr>
            <w:tcW w:w="1532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03445D" w14:textId="77777777" w:rsidR="00655A81" w:rsidRPr="00204A92" w:rsidRDefault="00655A81" w:rsidP="000C028C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04A92">
              <w:rPr>
                <w:rFonts w:asciiTheme="majorHAnsi" w:hAnsiTheme="majorHAnsi" w:cstheme="majorHAnsi"/>
                <w:sz w:val="20"/>
                <w:szCs w:val="20"/>
              </w:rPr>
              <w:t>LECZENIE NIEDROBNOKOMÓRKOWEGO LUB DROBNOKOMÓRKOWEGO RAKA PŁUCA (ICD-10 C 34)</w:t>
            </w:r>
          </w:p>
        </w:tc>
        <w:tc>
          <w:tcPr>
            <w:tcW w:w="1343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62856A" w14:textId="77777777" w:rsidR="00655A81" w:rsidRPr="00204A92" w:rsidRDefault="00655A81" w:rsidP="000C028C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04A92">
              <w:rPr>
                <w:rFonts w:asciiTheme="majorHAnsi" w:hAnsiTheme="majorHAnsi" w:cstheme="majorHAnsi"/>
                <w:sz w:val="20"/>
                <w:szCs w:val="20"/>
              </w:rPr>
              <w:t xml:space="preserve">W leczeniu konsolidującym chorych na miejscowo zaawansowanego, nieoperacyjnego niedrobnokomórkowego raka płuca </w:t>
            </w:r>
          </w:p>
        </w:tc>
      </w:tr>
      <w:tr w:rsidR="00655A81" w:rsidRPr="00FF6CD9" w14:paraId="0DE4F4CF" w14:textId="77777777" w:rsidTr="00476A3C">
        <w:trPr>
          <w:cantSplit/>
          <w:trHeight w:val="20"/>
        </w:trPr>
        <w:tc>
          <w:tcPr>
            <w:tcW w:w="21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E35420" w14:textId="77777777" w:rsidR="00655A81" w:rsidRPr="00204A92" w:rsidRDefault="00655A81" w:rsidP="000C028C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7</w:t>
            </w:r>
          </w:p>
        </w:tc>
        <w:tc>
          <w:tcPr>
            <w:tcW w:w="539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1F44D0" w14:textId="77777777" w:rsidR="00655A81" w:rsidRPr="00204A92" w:rsidRDefault="00655A81" w:rsidP="000C028C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204A9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Keytruda</w:t>
            </w:r>
          </w:p>
        </w:tc>
        <w:tc>
          <w:tcPr>
            <w:tcW w:w="662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9FBCB2" w14:textId="77777777" w:rsidR="00655A81" w:rsidRPr="00204A92" w:rsidRDefault="00655A81" w:rsidP="000C028C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04A92">
              <w:rPr>
                <w:rFonts w:asciiTheme="majorHAnsi" w:hAnsiTheme="majorHAnsi" w:cstheme="majorHAnsi"/>
                <w:sz w:val="20"/>
                <w:szCs w:val="20"/>
              </w:rPr>
              <w:t>Pembrolizumab</w:t>
            </w:r>
          </w:p>
        </w:tc>
        <w:tc>
          <w:tcPr>
            <w:tcW w:w="712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16F066" w14:textId="77777777" w:rsidR="00655A81" w:rsidRPr="00204A92" w:rsidRDefault="00655A81" w:rsidP="000C028C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04A92">
              <w:rPr>
                <w:rFonts w:asciiTheme="majorHAnsi" w:hAnsiTheme="majorHAnsi" w:cstheme="majorHAnsi"/>
                <w:sz w:val="20"/>
                <w:szCs w:val="20"/>
              </w:rPr>
              <w:t>B.59.</w:t>
            </w:r>
          </w:p>
        </w:tc>
        <w:tc>
          <w:tcPr>
            <w:tcW w:w="1532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115D16" w14:textId="77777777" w:rsidR="00655A81" w:rsidRPr="00204A92" w:rsidRDefault="00655A81" w:rsidP="000C028C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04A92">
              <w:rPr>
                <w:rFonts w:asciiTheme="majorHAnsi" w:hAnsiTheme="majorHAnsi" w:cstheme="majorHAnsi"/>
                <w:sz w:val="20"/>
                <w:szCs w:val="20"/>
              </w:rPr>
              <w:t>LECZENIE CZERNIAKA SKÓRY LUB BŁON ŚLUZOWYCH (ICD-10 C43)</w:t>
            </w:r>
          </w:p>
        </w:tc>
        <w:tc>
          <w:tcPr>
            <w:tcW w:w="1343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2CDB47" w14:textId="77777777" w:rsidR="00655A81" w:rsidRPr="00204A92" w:rsidRDefault="00655A81" w:rsidP="000C028C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04A92">
              <w:rPr>
                <w:rFonts w:asciiTheme="majorHAnsi" w:hAnsiTheme="majorHAnsi" w:cstheme="majorHAnsi"/>
                <w:sz w:val="20"/>
                <w:szCs w:val="20"/>
              </w:rPr>
              <w:t>W uzupełniającym (adjuwantowym) leczeniu czerniaka skóry</w:t>
            </w:r>
          </w:p>
        </w:tc>
      </w:tr>
      <w:tr w:rsidR="00655A81" w:rsidRPr="00FF6CD9" w14:paraId="765C5D84" w14:textId="77777777" w:rsidTr="00476A3C">
        <w:trPr>
          <w:cantSplit/>
          <w:trHeight w:val="20"/>
        </w:trPr>
        <w:tc>
          <w:tcPr>
            <w:tcW w:w="21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905DA7" w14:textId="77777777" w:rsidR="00655A81" w:rsidRPr="00204A92" w:rsidRDefault="00655A81" w:rsidP="000C028C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8</w:t>
            </w:r>
          </w:p>
        </w:tc>
        <w:tc>
          <w:tcPr>
            <w:tcW w:w="539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659FD7" w14:textId="77777777" w:rsidR="00655A81" w:rsidRPr="00204A92" w:rsidRDefault="00655A81" w:rsidP="000C028C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204A9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Opdivo</w:t>
            </w:r>
          </w:p>
        </w:tc>
        <w:tc>
          <w:tcPr>
            <w:tcW w:w="662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B1E294" w14:textId="77777777" w:rsidR="00655A81" w:rsidRPr="00204A92" w:rsidRDefault="00655A81" w:rsidP="000C028C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04A92">
              <w:rPr>
                <w:rFonts w:asciiTheme="majorHAnsi" w:hAnsiTheme="majorHAnsi" w:cstheme="majorHAnsi"/>
                <w:sz w:val="20"/>
                <w:szCs w:val="20"/>
              </w:rPr>
              <w:t>Niwolumab</w:t>
            </w:r>
          </w:p>
        </w:tc>
        <w:tc>
          <w:tcPr>
            <w:tcW w:w="712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4E4220" w14:textId="77777777" w:rsidR="00655A81" w:rsidRPr="00204A92" w:rsidRDefault="00655A81" w:rsidP="000C028C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04A92">
              <w:rPr>
                <w:rFonts w:asciiTheme="majorHAnsi" w:hAnsiTheme="majorHAnsi" w:cstheme="majorHAnsi"/>
                <w:sz w:val="20"/>
                <w:szCs w:val="20"/>
              </w:rPr>
              <w:t>B.59.</w:t>
            </w:r>
          </w:p>
        </w:tc>
        <w:tc>
          <w:tcPr>
            <w:tcW w:w="1532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4B90EE" w14:textId="77777777" w:rsidR="00655A81" w:rsidRPr="00204A92" w:rsidRDefault="00655A81" w:rsidP="000C028C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04A92">
              <w:rPr>
                <w:rFonts w:asciiTheme="majorHAnsi" w:hAnsiTheme="majorHAnsi" w:cstheme="majorHAnsi"/>
                <w:sz w:val="20"/>
                <w:szCs w:val="20"/>
              </w:rPr>
              <w:t>LECZENIE CZERNIAKA SKÓRY LUB BŁON ŚLUZOWYCH (ICD-10 C43)</w:t>
            </w:r>
          </w:p>
        </w:tc>
        <w:tc>
          <w:tcPr>
            <w:tcW w:w="1343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03C2FE" w14:textId="77777777" w:rsidR="00655A81" w:rsidRPr="00204A92" w:rsidRDefault="00655A81" w:rsidP="000C028C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04A92">
              <w:rPr>
                <w:rFonts w:asciiTheme="majorHAnsi" w:hAnsiTheme="majorHAnsi" w:cstheme="majorHAnsi"/>
                <w:sz w:val="20"/>
                <w:szCs w:val="20"/>
              </w:rPr>
              <w:t>W uzupełniającym (adjuwantowym) leczeniu czerniaka skóry</w:t>
            </w:r>
          </w:p>
        </w:tc>
      </w:tr>
      <w:tr w:rsidR="00655A81" w:rsidRPr="00FF6CD9" w14:paraId="09526B5E" w14:textId="77777777" w:rsidTr="00476A3C">
        <w:trPr>
          <w:cantSplit/>
          <w:trHeight w:val="20"/>
        </w:trPr>
        <w:tc>
          <w:tcPr>
            <w:tcW w:w="21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7C8996" w14:textId="77777777" w:rsidR="00655A81" w:rsidRPr="00204A92" w:rsidRDefault="00655A81" w:rsidP="000C028C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9</w:t>
            </w:r>
          </w:p>
        </w:tc>
        <w:tc>
          <w:tcPr>
            <w:tcW w:w="539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B72A6A" w14:textId="6C5A2F13" w:rsidR="00655A81" w:rsidRPr="00204A92" w:rsidRDefault="00655A81" w:rsidP="000C028C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204A9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Tafinlar</w:t>
            </w:r>
            <w:r w:rsidR="004B7661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+ Mekinist</w:t>
            </w:r>
          </w:p>
        </w:tc>
        <w:tc>
          <w:tcPr>
            <w:tcW w:w="662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E30611" w14:textId="418B9D8B" w:rsidR="00655A81" w:rsidRPr="00204A92" w:rsidRDefault="00655A81" w:rsidP="000C028C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04A92">
              <w:rPr>
                <w:rFonts w:asciiTheme="majorHAnsi" w:hAnsiTheme="majorHAnsi" w:cstheme="majorHAnsi"/>
                <w:sz w:val="20"/>
                <w:szCs w:val="20"/>
              </w:rPr>
              <w:t>Dabrafenib</w:t>
            </w:r>
            <w:r w:rsidR="004B7661">
              <w:rPr>
                <w:rFonts w:asciiTheme="majorHAnsi" w:hAnsiTheme="majorHAnsi" w:cstheme="majorHAnsi"/>
                <w:sz w:val="20"/>
                <w:szCs w:val="20"/>
              </w:rPr>
              <w:t xml:space="preserve"> + Trametynib</w:t>
            </w:r>
          </w:p>
        </w:tc>
        <w:tc>
          <w:tcPr>
            <w:tcW w:w="712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6C80AF" w14:textId="77777777" w:rsidR="00655A81" w:rsidRPr="00204A92" w:rsidRDefault="00655A81" w:rsidP="000C028C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04A92">
              <w:rPr>
                <w:rFonts w:asciiTheme="majorHAnsi" w:hAnsiTheme="majorHAnsi" w:cstheme="majorHAnsi"/>
                <w:sz w:val="20"/>
                <w:szCs w:val="20"/>
              </w:rPr>
              <w:t>B.59.</w:t>
            </w:r>
          </w:p>
        </w:tc>
        <w:tc>
          <w:tcPr>
            <w:tcW w:w="1532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91907D" w14:textId="77777777" w:rsidR="00655A81" w:rsidRPr="00204A92" w:rsidRDefault="00655A81" w:rsidP="000C028C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04A92">
              <w:rPr>
                <w:rFonts w:asciiTheme="majorHAnsi" w:hAnsiTheme="majorHAnsi" w:cstheme="majorHAnsi"/>
                <w:sz w:val="20"/>
                <w:szCs w:val="20"/>
              </w:rPr>
              <w:t>LECZENIE CZERNIAKA SKÓRY LUB BŁON ŚLUZOWYCH (ICD-10 C43)</w:t>
            </w:r>
          </w:p>
        </w:tc>
        <w:tc>
          <w:tcPr>
            <w:tcW w:w="1343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61003A" w14:textId="6CCFAD32" w:rsidR="00655A81" w:rsidRPr="00204A92" w:rsidRDefault="00655A81" w:rsidP="000C028C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04A92">
              <w:rPr>
                <w:rFonts w:asciiTheme="majorHAnsi" w:hAnsiTheme="majorHAnsi" w:cstheme="majorHAnsi"/>
                <w:sz w:val="20"/>
                <w:szCs w:val="20"/>
              </w:rPr>
              <w:t xml:space="preserve">W uzupełniającym (adjuwantowym) leczeniu czerniaka skóry </w:t>
            </w:r>
            <w:r w:rsidR="004B7661">
              <w:rPr>
                <w:rFonts w:asciiTheme="majorHAnsi" w:hAnsiTheme="majorHAnsi" w:cstheme="majorHAnsi"/>
                <w:sz w:val="20"/>
                <w:szCs w:val="20"/>
              </w:rPr>
              <w:t>(</w:t>
            </w:r>
            <w:r w:rsidRPr="00204A92">
              <w:rPr>
                <w:rFonts w:asciiTheme="majorHAnsi" w:hAnsiTheme="majorHAnsi" w:cstheme="majorHAnsi"/>
                <w:sz w:val="20"/>
                <w:szCs w:val="20"/>
              </w:rPr>
              <w:t xml:space="preserve">w skojarzeniu </w:t>
            </w:r>
            <w:r w:rsidR="004B7661">
              <w:rPr>
                <w:rFonts w:asciiTheme="majorHAnsi" w:hAnsiTheme="majorHAnsi" w:cstheme="majorHAnsi"/>
                <w:sz w:val="20"/>
                <w:szCs w:val="20"/>
              </w:rPr>
              <w:t xml:space="preserve">darafenib </w:t>
            </w:r>
            <w:r w:rsidRPr="00204A92">
              <w:rPr>
                <w:rFonts w:asciiTheme="majorHAnsi" w:hAnsiTheme="majorHAnsi" w:cstheme="majorHAnsi"/>
                <w:sz w:val="20"/>
                <w:szCs w:val="20"/>
              </w:rPr>
              <w:t>z trametynibem</w:t>
            </w:r>
          </w:p>
        </w:tc>
      </w:tr>
      <w:tr w:rsidR="00655A81" w:rsidRPr="00FF6CD9" w14:paraId="31A3DD72" w14:textId="77777777" w:rsidTr="00476A3C">
        <w:trPr>
          <w:cantSplit/>
          <w:trHeight w:val="20"/>
        </w:trPr>
        <w:tc>
          <w:tcPr>
            <w:tcW w:w="21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50F7A5" w14:textId="77777777" w:rsidR="00655A81" w:rsidRPr="00204A92" w:rsidRDefault="00655A81" w:rsidP="000C028C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11</w:t>
            </w:r>
          </w:p>
        </w:tc>
        <w:tc>
          <w:tcPr>
            <w:tcW w:w="539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396D94" w14:textId="77777777" w:rsidR="00655A81" w:rsidRPr="00204A92" w:rsidRDefault="00655A81" w:rsidP="000C028C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204A9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Erbitux</w:t>
            </w:r>
          </w:p>
        </w:tc>
        <w:tc>
          <w:tcPr>
            <w:tcW w:w="662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2D8B53" w14:textId="77777777" w:rsidR="00655A81" w:rsidRPr="00204A92" w:rsidRDefault="00655A81" w:rsidP="000C028C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04A92">
              <w:rPr>
                <w:rFonts w:asciiTheme="majorHAnsi" w:hAnsiTheme="majorHAnsi" w:cstheme="majorHAnsi"/>
                <w:sz w:val="20"/>
                <w:szCs w:val="20"/>
              </w:rPr>
              <w:t>Cetuksymab</w:t>
            </w:r>
          </w:p>
        </w:tc>
        <w:tc>
          <w:tcPr>
            <w:tcW w:w="712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46D0B6" w14:textId="77777777" w:rsidR="00655A81" w:rsidRPr="00204A92" w:rsidRDefault="00655A81" w:rsidP="000C028C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04A92">
              <w:rPr>
                <w:rFonts w:asciiTheme="majorHAnsi" w:hAnsiTheme="majorHAnsi" w:cstheme="majorHAnsi"/>
                <w:sz w:val="20"/>
                <w:szCs w:val="20"/>
              </w:rPr>
              <w:t>B.4.</w:t>
            </w:r>
          </w:p>
        </w:tc>
        <w:tc>
          <w:tcPr>
            <w:tcW w:w="1532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C19CA1" w14:textId="77777777" w:rsidR="00655A81" w:rsidRPr="00204A92" w:rsidRDefault="00655A81" w:rsidP="000C028C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04A92">
              <w:rPr>
                <w:rFonts w:asciiTheme="majorHAnsi" w:hAnsiTheme="majorHAnsi" w:cstheme="majorHAnsi"/>
                <w:sz w:val="20"/>
                <w:szCs w:val="20"/>
              </w:rPr>
              <w:t>LECZENIE ZAAWANSOWANEGO RAKA JELITA GRUBEGO (ICD-10 C 18 – C 20)</w:t>
            </w:r>
          </w:p>
        </w:tc>
        <w:tc>
          <w:tcPr>
            <w:tcW w:w="1343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A27D0A" w14:textId="77777777" w:rsidR="00655A81" w:rsidRPr="00204A92" w:rsidRDefault="00655A81" w:rsidP="000C028C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04A92">
              <w:rPr>
                <w:rFonts w:asciiTheme="majorHAnsi" w:hAnsiTheme="majorHAnsi" w:cstheme="majorHAnsi"/>
                <w:sz w:val="20"/>
                <w:szCs w:val="20"/>
              </w:rPr>
              <w:t>I linia leczenia ze schematem FOLFOX (jest to nowy schemat leczenia w programie leczenia raka jelita grubego) poszerzając dostępny wachlarz opcji terapeutycznych</w:t>
            </w:r>
          </w:p>
        </w:tc>
      </w:tr>
      <w:tr w:rsidR="00655A81" w:rsidRPr="00FF6CD9" w14:paraId="278E7C05" w14:textId="77777777" w:rsidTr="00476A3C">
        <w:trPr>
          <w:cantSplit/>
          <w:trHeight w:val="20"/>
        </w:trPr>
        <w:tc>
          <w:tcPr>
            <w:tcW w:w="21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733F12" w14:textId="77777777" w:rsidR="00655A81" w:rsidRPr="00204A92" w:rsidRDefault="00655A81" w:rsidP="000C028C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12</w:t>
            </w:r>
          </w:p>
        </w:tc>
        <w:tc>
          <w:tcPr>
            <w:tcW w:w="539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477B84" w14:textId="77777777" w:rsidR="00655A81" w:rsidRPr="00204A92" w:rsidRDefault="00655A81" w:rsidP="000C028C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204A9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Kyprolis</w:t>
            </w:r>
          </w:p>
        </w:tc>
        <w:tc>
          <w:tcPr>
            <w:tcW w:w="662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5A5908" w14:textId="77777777" w:rsidR="00655A81" w:rsidRPr="00204A92" w:rsidRDefault="00655A81" w:rsidP="000C028C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04A92">
              <w:rPr>
                <w:rFonts w:asciiTheme="majorHAnsi" w:hAnsiTheme="majorHAnsi" w:cstheme="majorHAnsi"/>
                <w:sz w:val="20"/>
                <w:szCs w:val="20"/>
              </w:rPr>
              <w:t>Karfilzomib</w:t>
            </w:r>
          </w:p>
        </w:tc>
        <w:tc>
          <w:tcPr>
            <w:tcW w:w="712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167F31" w14:textId="77777777" w:rsidR="00655A81" w:rsidRPr="00204A92" w:rsidRDefault="00655A81" w:rsidP="000C028C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04A92">
              <w:rPr>
                <w:rFonts w:asciiTheme="majorHAnsi" w:hAnsiTheme="majorHAnsi" w:cstheme="majorHAnsi"/>
                <w:sz w:val="20"/>
                <w:szCs w:val="20"/>
              </w:rPr>
              <w:t>B.54.</w:t>
            </w:r>
          </w:p>
        </w:tc>
        <w:tc>
          <w:tcPr>
            <w:tcW w:w="153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1A5B3C" w14:textId="77777777" w:rsidR="00655A81" w:rsidRPr="00204A92" w:rsidRDefault="00655A81" w:rsidP="000C028C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04A92">
              <w:rPr>
                <w:rFonts w:asciiTheme="majorHAnsi" w:hAnsiTheme="majorHAnsi" w:cstheme="majorHAnsi"/>
                <w:sz w:val="20"/>
                <w:szCs w:val="20"/>
              </w:rPr>
              <w:t>LECZENIE CHORYCH NA OPORNEGO LUB NAWROTOWEGO SZPICZAKA PLAZMOCYTOWEGO (ICD10 C90.0)</w:t>
            </w:r>
          </w:p>
        </w:tc>
        <w:tc>
          <w:tcPr>
            <w:tcW w:w="1343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2ADDDF" w14:textId="76C67EDC" w:rsidR="00655A81" w:rsidRPr="00204A92" w:rsidRDefault="00655A81" w:rsidP="000C028C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04A92">
              <w:rPr>
                <w:rFonts w:asciiTheme="majorHAnsi" w:hAnsiTheme="majorHAnsi" w:cstheme="majorHAnsi"/>
                <w:sz w:val="20"/>
                <w:szCs w:val="20"/>
              </w:rPr>
              <w:t xml:space="preserve">Leczenie </w:t>
            </w:r>
            <w:r w:rsidR="00476A3C" w:rsidRPr="00204A92">
              <w:rPr>
                <w:rFonts w:asciiTheme="majorHAnsi" w:hAnsiTheme="majorHAnsi" w:cstheme="majorHAnsi"/>
                <w:sz w:val="20"/>
                <w:szCs w:val="20"/>
              </w:rPr>
              <w:t>dorosłych</w:t>
            </w:r>
            <w:r w:rsidRPr="00204A92">
              <w:rPr>
                <w:rFonts w:asciiTheme="majorHAnsi" w:hAnsiTheme="majorHAnsi" w:cstheme="majorHAnsi"/>
                <w:sz w:val="20"/>
                <w:szCs w:val="20"/>
              </w:rPr>
              <w:t xml:space="preserve"> pacjentów, którzy otrzymali 1, ale nie więcej niż 3 wcześniejsze schematy leczenia lub linie terapii szpiczaka mnogiego (terapia indukująca, po której nastąpi przeszczep komórek macierzystych i terapia konsolidacyjna/ podtrzymująca są traktowane jako jedna linia terapii)</w:t>
            </w:r>
            <w:r w:rsidR="00F541FE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F541FE" w:rsidRPr="002D03A4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(Choroba rzadka)</w:t>
            </w:r>
          </w:p>
        </w:tc>
      </w:tr>
      <w:tr w:rsidR="00655A81" w:rsidRPr="00FF6CD9" w14:paraId="24D55298" w14:textId="77777777" w:rsidTr="00476A3C">
        <w:trPr>
          <w:cantSplit/>
          <w:trHeight w:val="20"/>
        </w:trPr>
        <w:tc>
          <w:tcPr>
            <w:tcW w:w="21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3894A6" w14:textId="77777777" w:rsidR="00655A81" w:rsidRPr="00204A92" w:rsidRDefault="00655A81" w:rsidP="000C028C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13</w:t>
            </w:r>
          </w:p>
        </w:tc>
        <w:tc>
          <w:tcPr>
            <w:tcW w:w="539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AB6D10" w14:textId="77777777" w:rsidR="00655A81" w:rsidRPr="00204A92" w:rsidRDefault="00655A81" w:rsidP="000C028C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204A9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Ninlaro</w:t>
            </w:r>
          </w:p>
        </w:tc>
        <w:tc>
          <w:tcPr>
            <w:tcW w:w="662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83C09A" w14:textId="77777777" w:rsidR="00655A81" w:rsidRPr="00204A92" w:rsidRDefault="00655A81" w:rsidP="000C028C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04A92">
              <w:rPr>
                <w:rFonts w:asciiTheme="majorHAnsi" w:hAnsiTheme="majorHAnsi" w:cstheme="majorHAnsi"/>
                <w:sz w:val="20"/>
                <w:szCs w:val="20"/>
              </w:rPr>
              <w:t>Ixazomib</w:t>
            </w:r>
          </w:p>
        </w:tc>
        <w:tc>
          <w:tcPr>
            <w:tcW w:w="712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8099DB" w14:textId="77777777" w:rsidR="00655A81" w:rsidRPr="00204A92" w:rsidRDefault="00655A81" w:rsidP="000C028C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04A92">
              <w:rPr>
                <w:rFonts w:asciiTheme="majorHAnsi" w:hAnsiTheme="majorHAnsi" w:cstheme="majorHAnsi"/>
                <w:sz w:val="20"/>
                <w:szCs w:val="20"/>
              </w:rPr>
              <w:t>B.54.</w:t>
            </w:r>
          </w:p>
        </w:tc>
        <w:tc>
          <w:tcPr>
            <w:tcW w:w="153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9B2C18" w14:textId="77777777" w:rsidR="00655A81" w:rsidRPr="00204A92" w:rsidRDefault="00655A81" w:rsidP="000C028C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04A92">
              <w:rPr>
                <w:rFonts w:asciiTheme="majorHAnsi" w:hAnsiTheme="majorHAnsi" w:cstheme="majorHAnsi"/>
                <w:sz w:val="20"/>
                <w:szCs w:val="20"/>
              </w:rPr>
              <w:t>LECZENIE CHORYCH NA OPORNEGO LUB NAWROTOWEGO SZPICZAKA PLAZMOCYTOWEGO (ICD10 C90.0)</w:t>
            </w:r>
          </w:p>
        </w:tc>
        <w:tc>
          <w:tcPr>
            <w:tcW w:w="1343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F84BF4" w14:textId="77777777" w:rsidR="00655A81" w:rsidRDefault="00655A81" w:rsidP="000C028C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04A92">
              <w:rPr>
                <w:rFonts w:asciiTheme="majorHAnsi" w:hAnsiTheme="majorHAnsi" w:cstheme="majorHAnsi"/>
                <w:sz w:val="20"/>
                <w:szCs w:val="20"/>
              </w:rPr>
              <w:t>III i kolejne linie leczenia</w:t>
            </w:r>
          </w:p>
          <w:p w14:paraId="58F75DC6" w14:textId="5386A9EE" w:rsidR="00F541FE" w:rsidRPr="002D03A4" w:rsidRDefault="00F541FE" w:rsidP="000C028C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2D03A4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(Choroba rzadka)</w:t>
            </w:r>
          </w:p>
        </w:tc>
      </w:tr>
      <w:tr w:rsidR="00655A81" w:rsidRPr="00FF6CD9" w14:paraId="165DE1A6" w14:textId="77777777" w:rsidTr="00476A3C">
        <w:trPr>
          <w:cantSplit/>
          <w:trHeight w:val="20"/>
        </w:trPr>
        <w:tc>
          <w:tcPr>
            <w:tcW w:w="21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CE46A5" w14:textId="77777777" w:rsidR="00655A81" w:rsidRPr="00204A92" w:rsidRDefault="00655A81" w:rsidP="000C028C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14</w:t>
            </w:r>
          </w:p>
        </w:tc>
        <w:tc>
          <w:tcPr>
            <w:tcW w:w="539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78EEF9" w14:textId="77777777" w:rsidR="00655A81" w:rsidRPr="00204A92" w:rsidRDefault="00655A81" w:rsidP="000C028C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204A9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Rydapt</w:t>
            </w:r>
          </w:p>
        </w:tc>
        <w:tc>
          <w:tcPr>
            <w:tcW w:w="662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74A7CB" w14:textId="77777777" w:rsidR="00655A81" w:rsidRPr="00204A92" w:rsidRDefault="00655A81" w:rsidP="000C028C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04A92">
              <w:rPr>
                <w:rFonts w:asciiTheme="majorHAnsi" w:hAnsiTheme="majorHAnsi" w:cstheme="majorHAnsi"/>
                <w:sz w:val="20"/>
                <w:szCs w:val="20"/>
              </w:rPr>
              <w:t>Midostauryna</w:t>
            </w:r>
          </w:p>
        </w:tc>
        <w:tc>
          <w:tcPr>
            <w:tcW w:w="712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55C85A" w14:textId="77777777" w:rsidR="00655A81" w:rsidRPr="00204A92" w:rsidRDefault="00655A81" w:rsidP="000C028C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04A92">
              <w:rPr>
                <w:rFonts w:asciiTheme="majorHAnsi" w:hAnsiTheme="majorHAnsi" w:cstheme="majorHAnsi"/>
                <w:sz w:val="20"/>
                <w:szCs w:val="20"/>
              </w:rPr>
              <w:t>B.114.</w:t>
            </w:r>
          </w:p>
        </w:tc>
        <w:tc>
          <w:tcPr>
            <w:tcW w:w="153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F3E19D" w14:textId="77777777" w:rsidR="00655A81" w:rsidRPr="00204A92" w:rsidRDefault="00655A81" w:rsidP="000C028C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04A92">
              <w:rPr>
                <w:rFonts w:asciiTheme="majorHAnsi" w:hAnsiTheme="majorHAnsi" w:cstheme="majorHAnsi"/>
                <w:sz w:val="20"/>
                <w:szCs w:val="20"/>
              </w:rPr>
              <w:t>LECZENIE CHORYCH NA OSTRĄ BIAŁACZKĘ SZPIKOWĄ (ICD-10 C 92.0)</w:t>
            </w:r>
          </w:p>
        </w:tc>
        <w:tc>
          <w:tcPr>
            <w:tcW w:w="1343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8D3379" w14:textId="77777777" w:rsidR="00476A3C" w:rsidRDefault="00655A81" w:rsidP="000C028C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04A92">
              <w:rPr>
                <w:rFonts w:asciiTheme="majorHAnsi" w:hAnsiTheme="majorHAnsi" w:cstheme="majorHAnsi"/>
                <w:sz w:val="20"/>
                <w:szCs w:val="20"/>
              </w:rPr>
              <w:t>I linia leczenia  (obecność mutacji genu FLT3)</w:t>
            </w:r>
            <w:r w:rsidR="00F541FE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  <w:p w14:paraId="0223115E" w14:textId="52A0814C" w:rsidR="00655A81" w:rsidRPr="002D03A4" w:rsidRDefault="00F541FE" w:rsidP="000C028C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2D03A4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(Choroba rzadka)</w:t>
            </w:r>
          </w:p>
        </w:tc>
      </w:tr>
      <w:tr w:rsidR="00655A81" w:rsidRPr="00FF6CD9" w14:paraId="583DE257" w14:textId="77777777" w:rsidTr="00476A3C">
        <w:trPr>
          <w:cantSplit/>
          <w:trHeight w:val="20"/>
        </w:trPr>
        <w:tc>
          <w:tcPr>
            <w:tcW w:w="21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A64E03" w14:textId="77777777" w:rsidR="00655A81" w:rsidRPr="00204A92" w:rsidRDefault="00655A81" w:rsidP="000C028C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15</w:t>
            </w:r>
          </w:p>
        </w:tc>
        <w:tc>
          <w:tcPr>
            <w:tcW w:w="539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0B961E" w14:textId="77777777" w:rsidR="00655A81" w:rsidRPr="00204A92" w:rsidRDefault="00655A81" w:rsidP="000C028C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204A9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Rydapt</w:t>
            </w:r>
          </w:p>
        </w:tc>
        <w:tc>
          <w:tcPr>
            <w:tcW w:w="662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8ACC3F" w14:textId="77777777" w:rsidR="00655A81" w:rsidRPr="00204A92" w:rsidRDefault="00655A81" w:rsidP="000C028C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04A92">
              <w:rPr>
                <w:rFonts w:asciiTheme="majorHAnsi" w:hAnsiTheme="majorHAnsi" w:cstheme="majorHAnsi"/>
                <w:sz w:val="20"/>
                <w:szCs w:val="20"/>
              </w:rPr>
              <w:t>Midostauryna</w:t>
            </w:r>
          </w:p>
        </w:tc>
        <w:tc>
          <w:tcPr>
            <w:tcW w:w="712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CA7470" w14:textId="77777777" w:rsidR="00655A81" w:rsidRPr="00204A92" w:rsidRDefault="00655A81" w:rsidP="000C028C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04A92">
              <w:rPr>
                <w:rFonts w:asciiTheme="majorHAnsi" w:hAnsiTheme="majorHAnsi" w:cstheme="majorHAnsi"/>
                <w:sz w:val="20"/>
                <w:szCs w:val="20"/>
              </w:rPr>
              <w:t>B.115.</w:t>
            </w:r>
          </w:p>
        </w:tc>
        <w:tc>
          <w:tcPr>
            <w:tcW w:w="153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E1C794" w14:textId="77777777" w:rsidR="00655A81" w:rsidRPr="00204A92" w:rsidRDefault="00655A81" w:rsidP="000C028C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04A92">
              <w:rPr>
                <w:rFonts w:asciiTheme="majorHAnsi" w:hAnsiTheme="majorHAnsi" w:cstheme="majorHAnsi"/>
                <w:sz w:val="20"/>
                <w:szCs w:val="20"/>
              </w:rPr>
              <w:t>LECZENIE AGRESYWNEJ MASTOCYTOZY UKŁADOWEJ, MASTOCYTOZY UKŁADOWEJ Z WSPÓŁISTNIEJĄCYM NOWOTWOREM UKŁADU KRWIOTWÓRCZEGO ORAZ BIAŁACZKI MASTOCYTARNEJ (ICD-10: C96.2, C94.3, D47.9)</w:t>
            </w:r>
          </w:p>
        </w:tc>
        <w:tc>
          <w:tcPr>
            <w:tcW w:w="1343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D05FA6" w14:textId="77777777" w:rsidR="00476A3C" w:rsidRDefault="00655A81" w:rsidP="000C028C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04A92">
              <w:rPr>
                <w:rFonts w:asciiTheme="majorHAnsi" w:hAnsiTheme="majorHAnsi" w:cstheme="majorHAnsi"/>
                <w:sz w:val="20"/>
                <w:szCs w:val="20"/>
              </w:rPr>
              <w:t>Nowy program lekowy, według wytycznych klinicznych najczęściej w tym wskazaniu wskazuje się kladrybinę, interferon, midostaurynę i polichemioterapię. Refundowane sa kladrybina polichemioterapia imatynibem</w:t>
            </w:r>
            <w:r w:rsidR="00F541FE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  <w:p w14:paraId="28B238E8" w14:textId="2DFC9441" w:rsidR="00655A81" w:rsidRPr="002D03A4" w:rsidRDefault="00F541FE" w:rsidP="000C028C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2D03A4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(Choroba rzadka)</w:t>
            </w:r>
          </w:p>
        </w:tc>
      </w:tr>
      <w:tr w:rsidR="00655A81" w:rsidRPr="005058F2" w14:paraId="54545AFD" w14:textId="77777777" w:rsidTr="00476A3C">
        <w:trPr>
          <w:cantSplit/>
          <w:trHeight w:val="20"/>
        </w:trPr>
        <w:tc>
          <w:tcPr>
            <w:tcW w:w="21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20F713" w14:textId="77777777" w:rsidR="00655A81" w:rsidRPr="00204A92" w:rsidRDefault="00655A81" w:rsidP="000C028C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16</w:t>
            </w:r>
          </w:p>
        </w:tc>
        <w:tc>
          <w:tcPr>
            <w:tcW w:w="53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B37B14" w14:textId="77777777" w:rsidR="00655A81" w:rsidRPr="00204A92" w:rsidRDefault="00655A81" w:rsidP="000C028C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204A9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Bavencio</w:t>
            </w:r>
          </w:p>
        </w:tc>
        <w:tc>
          <w:tcPr>
            <w:tcW w:w="66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858CAC" w14:textId="77777777" w:rsidR="00655A81" w:rsidRPr="00204A92" w:rsidRDefault="00655A81" w:rsidP="000C028C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04A92">
              <w:rPr>
                <w:rFonts w:asciiTheme="majorHAnsi" w:hAnsiTheme="majorHAnsi" w:cstheme="majorHAnsi"/>
                <w:sz w:val="20"/>
                <w:szCs w:val="20"/>
              </w:rPr>
              <w:t>Awelumab</w:t>
            </w:r>
          </w:p>
        </w:tc>
        <w:tc>
          <w:tcPr>
            <w:tcW w:w="712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729D97" w14:textId="77777777" w:rsidR="00655A81" w:rsidRPr="00204A92" w:rsidRDefault="00655A81" w:rsidP="000C028C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04A92">
              <w:rPr>
                <w:rFonts w:asciiTheme="majorHAnsi" w:hAnsiTheme="majorHAnsi" w:cstheme="majorHAnsi"/>
                <w:sz w:val="20"/>
                <w:szCs w:val="20"/>
              </w:rPr>
              <w:t>B.117.</w:t>
            </w:r>
          </w:p>
        </w:tc>
        <w:tc>
          <w:tcPr>
            <w:tcW w:w="153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149468" w14:textId="77777777" w:rsidR="00655A81" w:rsidRPr="00204A92" w:rsidRDefault="00655A81" w:rsidP="000C028C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04A92">
              <w:rPr>
                <w:rFonts w:asciiTheme="majorHAnsi" w:hAnsiTheme="majorHAnsi" w:cstheme="majorHAnsi"/>
                <w:sz w:val="20"/>
                <w:szCs w:val="20"/>
              </w:rPr>
              <w:t>LECZENIE RAKA Z KOMÓREK MERKLA AWELUMABEM (ICD-10 C44)</w:t>
            </w:r>
          </w:p>
        </w:tc>
        <w:tc>
          <w:tcPr>
            <w:tcW w:w="13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A07228" w14:textId="77777777" w:rsidR="00476A3C" w:rsidRDefault="00655A81" w:rsidP="000C028C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04A92">
              <w:rPr>
                <w:rFonts w:asciiTheme="majorHAnsi" w:hAnsiTheme="majorHAnsi" w:cstheme="majorHAnsi"/>
                <w:sz w:val="20"/>
                <w:szCs w:val="20"/>
              </w:rPr>
              <w:t>Kolejna nowa populacja leczenia raka skóry ( z komórek Merkla)</w:t>
            </w:r>
          </w:p>
          <w:p w14:paraId="468E18A5" w14:textId="41B40D5B" w:rsidR="00655A81" w:rsidRPr="00204A92" w:rsidRDefault="00476A3C" w:rsidP="000C028C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(</w:t>
            </w:r>
            <w:r w:rsidR="003F2888" w:rsidRPr="003F288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Choroba ultrarzadka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)</w:t>
            </w:r>
          </w:p>
        </w:tc>
      </w:tr>
      <w:tr w:rsidR="00655A81" w:rsidRPr="005058F2" w14:paraId="39AB3C34" w14:textId="77777777" w:rsidTr="00476A3C">
        <w:trPr>
          <w:cantSplit/>
          <w:trHeight w:val="20"/>
        </w:trPr>
        <w:tc>
          <w:tcPr>
            <w:tcW w:w="21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338F13" w14:textId="77777777" w:rsidR="00655A81" w:rsidRPr="00204A92" w:rsidRDefault="00655A81" w:rsidP="000C028C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17</w:t>
            </w:r>
          </w:p>
        </w:tc>
        <w:tc>
          <w:tcPr>
            <w:tcW w:w="53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04ACB6" w14:textId="77777777" w:rsidR="00655A81" w:rsidRPr="00204A92" w:rsidRDefault="00655A81" w:rsidP="000C028C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204A9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Lynparza</w:t>
            </w:r>
          </w:p>
        </w:tc>
        <w:tc>
          <w:tcPr>
            <w:tcW w:w="66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628FAB" w14:textId="77777777" w:rsidR="00655A81" w:rsidRPr="00204A92" w:rsidRDefault="00655A81" w:rsidP="000C028C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04A92">
              <w:rPr>
                <w:rFonts w:asciiTheme="majorHAnsi" w:hAnsiTheme="majorHAnsi" w:cstheme="majorHAnsi"/>
                <w:sz w:val="20"/>
                <w:szCs w:val="20"/>
              </w:rPr>
              <w:t>Olaparyb</w:t>
            </w:r>
          </w:p>
        </w:tc>
        <w:tc>
          <w:tcPr>
            <w:tcW w:w="712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2E6CE3" w14:textId="77777777" w:rsidR="00655A81" w:rsidRPr="00204A92" w:rsidRDefault="00655A81" w:rsidP="000C028C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04A92">
              <w:rPr>
                <w:rFonts w:asciiTheme="majorHAnsi" w:hAnsiTheme="majorHAnsi" w:cstheme="majorHAnsi"/>
                <w:sz w:val="20"/>
                <w:szCs w:val="20"/>
              </w:rPr>
              <w:t>B.50.</w:t>
            </w:r>
          </w:p>
        </w:tc>
        <w:tc>
          <w:tcPr>
            <w:tcW w:w="153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140B2C" w14:textId="77777777" w:rsidR="00655A81" w:rsidRPr="00204A92" w:rsidRDefault="00655A81" w:rsidP="000C028C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04A92">
              <w:rPr>
                <w:rFonts w:asciiTheme="majorHAnsi" w:hAnsiTheme="majorHAnsi" w:cstheme="majorHAnsi"/>
                <w:sz w:val="20"/>
                <w:szCs w:val="20"/>
              </w:rPr>
              <w:t>LECZENIE CHORYCH NA RAKA JAJNIKA, RAKA JAJOWODU LUB RAKA OTRZEWNEJ (ICD-10 C56, C57, C48)</w:t>
            </w:r>
          </w:p>
        </w:tc>
        <w:tc>
          <w:tcPr>
            <w:tcW w:w="13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FD4E22" w14:textId="2ADBB190" w:rsidR="00655A81" w:rsidRPr="00204A92" w:rsidRDefault="00655A81" w:rsidP="000C028C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04A92">
              <w:rPr>
                <w:rFonts w:asciiTheme="majorHAnsi" w:hAnsiTheme="majorHAnsi" w:cstheme="majorHAnsi"/>
                <w:sz w:val="20"/>
                <w:szCs w:val="20"/>
              </w:rPr>
              <w:t xml:space="preserve">I linia leczenia podtrzymującego </w:t>
            </w:r>
            <w:r w:rsidR="004C63DE">
              <w:rPr>
                <w:rFonts w:asciiTheme="majorHAnsi" w:hAnsiTheme="majorHAnsi" w:cstheme="majorHAnsi"/>
                <w:sz w:val="20"/>
                <w:szCs w:val="20"/>
              </w:rPr>
              <w:t xml:space="preserve">noworozpoznanego </w:t>
            </w:r>
            <w:r w:rsidRPr="00204A92">
              <w:rPr>
                <w:rFonts w:asciiTheme="majorHAnsi" w:hAnsiTheme="majorHAnsi" w:cstheme="majorHAnsi"/>
                <w:sz w:val="20"/>
                <w:szCs w:val="20"/>
              </w:rPr>
              <w:t xml:space="preserve">zaawansowanego raka jajnika, jajowodu lub pierwotnego raka otrzewnej BRCA1/BRCA2 </w:t>
            </w:r>
            <w:r w:rsidR="00476A3C" w:rsidRPr="00204A92">
              <w:rPr>
                <w:rFonts w:asciiTheme="majorHAnsi" w:hAnsiTheme="majorHAnsi" w:cstheme="majorHAnsi"/>
                <w:sz w:val="20"/>
                <w:szCs w:val="20"/>
              </w:rPr>
              <w:t>dodatniego</w:t>
            </w:r>
          </w:p>
        </w:tc>
      </w:tr>
      <w:tr w:rsidR="00655A81" w:rsidRPr="005058F2" w14:paraId="01E54C4E" w14:textId="77777777" w:rsidTr="00476A3C">
        <w:trPr>
          <w:cantSplit/>
          <w:trHeight w:val="20"/>
        </w:trPr>
        <w:tc>
          <w:tcPr>
            <w:tcW w:w="21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316629" w14:textId="77777777" w:rsidR="00655A81" w:rsidRPr="00204A92" w:rsidRDefault="00655A81" w:rsidP="000C028C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18</w:t>
            </w:r>
          </w:p>
        </w:tc>
        <w:tc>
          <w:tcPr>
            <w:tcW w:w="53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2939D6" w14:textId="77777777" w:rsidR="00655A81" w:rsidRPr="00204A92" w:rsidRDefault="00655A81" w:rsidP="000C028C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204A9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Avastin</w:t>
            </w:r>
          </w:p>
        </w:tc>
        <w:tc>
          <w:tcPr>
            <w:tcW w:w="66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9CCC32" w14:textId="77777777" w:rsidR="00655A81" w:rsidRPr="00204A92" w:rsidRDefault="00655A81" w:rsidP="000C028C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04A92">
              <w:rPr>
                <w:rFonts w:asciiTheme="majorHAnsi" w:hAnsiTheme="majorHAnsi" w:cstheme="majorHAnsi"/>
                <w:sz w:val="20"/>
                <w:szCs w:val="20"/>
              </w:rPr>
              <w:t>Bewacyzumab</w:t>
            </w:r>
          </w:p>
        </w:tc>
        <w:tc>
          <w:tcPr>
            <w:tcW w:w="712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523A9C" w14:textId="77777777" w:rsidR="00655A81" w:rsidRPr="00204A92" w:rsidRDefault="00655A81" w:rsidP="000C028C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04A92">
              <w:rPr>
                <w:rFonts w:asciiTheme="majorHAnsi" w:hAnsiTheme="majorHAnsi" w:cstheme="majorHAnsi"/>
                <w:sz w:val="20"/>
                <w:szCs w:val="20"/>
              </w:rPr>
              <w:t>B.116.</w:t>
            </w:r>
          </w:p>
        </w:tc>
        <w:tc>
          <w:tcPr>
            <w:tcW w:w="153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9F3F19" w14:textId="77777777" w:rsidR="00655A81" w:rsidRPr="00204A92" w:rsidRDefault="00655A81" w:rsidP="000C028C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04A92">
              <w:rPr>
                <w:rFonts w:asciiTheme="majorHAnsi" w:hAnsiTheme="majorHAnsi" w:cstheme="majorHAnsi"/>
                <w:sz w:val="20"/>
                <w:szCs w:val="20"/>
              </w:rPr>
              <w:t>LECZENIE CHORYCH NA ZAAWANSOWANEGO RAKA SZYJKI MACICY (ICD-10 C 53)</w:t>
            </w:r>
          </w:p>
        </w:tc>
        <w:tc>
          <w:tcPr>
            <w:tcW w:w="13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44866A" w14:textId="77777777" w:rsidR="00655A81" w:rsidRPr="00204A92" w:rsidRDefault="00655A81" w:rsidP="000C028C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04A92">
              <w:rPr>
                <w:rFonts w:asciiTheme="majorHAnsi" w:hAnsiTheme="majorHAnsi" w:cstheme="majorHAnsi"/>
                <w:sz w:val="20"/>
                <w:szCs w:val="20"/>
              </w:rPr>
              <w:t>I linia zaawansowanego raka szyjki macicy (brak wcześniejszego stosowania chemioterapii w stadium rozsiewu z wyjątkiem cisplatyny w skojarzeniu z radioterapią podczas wytrzewiania)</w:t>
            </w:r>
          </w:p>
        </w:tc>
      </w:tr>
      <w:tr w:rsidR="00655A81" w:rsidRPr="005058F2" w14:paraId="1A67C5D4" w14:textId="77777777" w:rsidTr="00476A3C">
        <w:trPr>
          <w:cantSplit/>
          <w:trHeight w:val="20"/>
        </w:trPr>
        <w:tc>
          <w:tcPr>
            <w:tcW w:w="21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ACFDDD" w14:textId="77777777" w:rsidR="00655A81" w:rsidRPr="00204A92" w:rsidRDefault="00655A81" w:rsidP="000C028C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19</w:t>
            </w:r>
          </w:p>
        </w:tc>
        <w:tc>
          <w:tcPr>
            <w:tcW w:w="53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93E39A" w14:textId="77777777" w:rsidR="00655A81" w:rsidRPr="00204A92" w:rsidRDefault="00655A81" w:rsidP="000C028C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204A9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Różne podmioty odpowiedzialne</w:t>
            </w:r>
          </w:p>
        </w:tc>
        <w:tc>
          <w:tcPr>
            <w:tcW w:w="66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8F4D08" w14:textId="77777777" w:rsidR="00655A81" w:rsidRPr="00204A92" w:rsidRDefault="00655A81" w:rsidP="000C028C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04A92">
              <w:rPr>
                <w:rFonts w:asciiTheme="majorHAnsi" w:hAnsiTheme="majorHAnsi" w:cstheme="majorHAnsi"/>
                <w:sz w:val="20"/>
                <w:szCs w:val="20"/>
              </w:rPr>
              <w:t>Kwas zolendronowy</w:t>
            </w:r>
          </w:p>
        </w:tc>
        <w:tc>
          <w:tcPr>
            <w:tcW w:w="712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8B0DAF" w14:textId="77777777" w:rsidR="00655A81" w:rsidRPr="00204A92" w:rsidRDefault="00655A81" w:rsidP="000C028C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C.68b</w:t>
            </w:r>
          </w:p>
        </w:tc>
        <w:tc>
          <w:tcPr>
            <w:tcW w:w="153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98F459" w14:textId="77777777" w:rsidR="00655A81" w:rsidRPr="00204A92" w:rsidRDefault="00655A81" w:rsidP="000C028C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04A92">
              <w:rPr>
                <w:rFonts w:asciiTheme="majorHAnsi" w:hAnsiTheme="majorHAnsi" w:cstheme="majorHAnsi"/>
                <w:sz w:val="20"/>
                <w:szCs w:val="20"/>
              </w:rPr>
              <w:t>Chemioterapia off-label</w:t>
            </w:r>
          </w:p>
        </w:tc>
        <w:tc>
          <w:tcPr>
            <w:tcW w:w="13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E2EB40" w14:textId="77777777" w:rsidR="00655A81" w:rsidRPr="00204A92" w:rsidRDefault="00655A81" w:rsidP="000C028C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04A92">
              <w:rPr>
                <w:rFonts w:asciiTheme="majorHAnsi" w:hAnsiTheme="majorHAnsi" w:cstheme="majorHAnsi"/>
                <w:sz w:val="20"/>
                <w:szCs w:val="20"/>
              </w:rPr>
              <w:t>Uzupełniające leczenie pooperacyjne kwasem zoledronowym chorych na raka piersi po menopauzie</w:t>
            </w:r>
          </w:p>
        </w:tc>
      </w:tr>
      <w:tr w:rsidR="00655A81" w:rsidRPr="005058F2" w14:paraId="1CC7CDD4" w14:textId="77777777" w:rsidTr="00476A3C">
        <w:trPr>
          <w:cantSplit/>
          <w:trHeight w:val="20"/>
        </w:trPr>
        <w:tc>
          <w:tcPr>
            <w:tcW w:w="21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1D05BF" w14:textId="77777777" w:rsidR="00655A81" w:rsidRPr="00204A92" w:rsidRDefault="00655A81" w:rsidP="000C028C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20</w:t>
            </w:r>
          </w:p>
        </w:tc>
        <w:tc>
          <w:tcPr>
            <w:tcW w:w="53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723EE9" w14:textId="77777777" w:rsidR="00655A81" w:rsidRPr="00204A92" w:rsidRDefault="00655A81" w:rsidP="000C028C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204A9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Cabometyx</w:t>
            </w:r>
          </w:p>
        </w:tc>
        <w:tc>
          <w:tcPr>
            <w:tcW w:w="66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E45845" w14:textId="77777777" w:rsidR="00655A81" w:rsidRPr="00204A92" w:rsidRDefault="00655A81" w:rsidP="000C028C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04A92">
              <w:rPr>
                <w:rFonts w:asciiTheme="majorHAnsi" w:hAnsiTheme="majorHAnsi" w:cstheme="majorHAnsi"/>
                <w:sz w:val="20"/>
                <w:szCs w:val="20"/>
              </w:rPr>
              <w:t>Kabozantynib</w:t>
            </w:r>
          </w:p>
        </w:tc>
        <w:tc>
          <w:tcPr>
            <w:tcW w:w="712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1B30ED" w14:textId="77777777" w:rsidR="00655A81" w:rsidRPr="00204A92" w:rsidRDefault="00655A81" w:rsidP="000C028C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04A92">
              <w:rPr>
                <w:rFonts w:asciiTheme="majorHAnsi" w:hAnsiTheme="majorHAnsi" w:cstheme="majorHAnsi"/>
                <w:sz w:val="20"/>
                <w:szCs w:val="20"/>
              </w:rPr>
              <w:t>B.5</w:t>
            </w:r>
          </w:p>
        </w:tc>
        <w:tc>
          <w:tcPr>
            <w:tcW w:w="153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30B01E" w14:textId="77777777" w:rsidR="00655A81" w:rsidRPr="00204A92" w:rsidRDefault="00655A81" w:rsidP="000C028C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04A92">
              <w:rPr>
                <w:rFonts w:asciiTheme="majorHAnsi" w:hAnsiTheme="majorHAnsi" w:cstheme="majorHAnsi"/>
                <w:sz w:val="20"/>
                <w:szCs w:val="20"/>
              </w:rPr>
              <w:t>LECZENIE RAKA WĄTROBOWOKOMÓRKOWEGO</w:t>
            </w:r>
          </w:p>
        </w:tc>
        <w:tc>
          <w:tcPr>
            <w:tcW w:w="13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08CB1A" w14:textId="77777777" w:rsidR="00476A3C" w:rsidRDefault="00655A81" w:rsidP="000C028C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04A92">
              <w:rPr>
                <w:rFonts w:asciiTheme="majorHAnsi" w:hAnsiTheme="majorHAnsi" w:cstheme="majorHAnsi"/>
                <w:sz w:val="20"/>
                <w:szCs w:val="20"/>
              </w:rPr>
              <w:t>II linia leczenia zaawansowanego raka wątrobowokomórkowego (brak alternatyw, leczenie BSC)</w:t>
            </w:r>
          </w:p>
          <w:p w14:paraId="2AE13555" w14:textId="337140FD" w:rsidR="00655A81" w:rsidRPr="00204A92" w:rsidRDefault="00476A3C" w:rsidP="000C028C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76A3C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(C</w:t>
            </w:r>
            <w:r w:rsidR="000F5439" w:rsidRPr="00476A3C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horoba</w:t>
            </w:r>
            <w:r w:rsidR="000F5439" w:rsidRPr="000F5439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rzadka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)</w:t>
            </w:r>
          </w:p>
        </w:tc>
      </w:tr>
      <w:tr w:rsidR="00655A81" w:rsidRPr="005058F2" w14:paraId="01D17DA7" w14:textId="77777777" w:rsidTr="00476A3C">
        <w:trPr>
          <w:cantSplit/>
          <w:trHeight w:val="20"/>
        </w:trPr>
        <w:tc>
          <w:tcPr>
            <w:tcW w:w="21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301096" w14:textId="77777777" w:rsidR="00655A81" w:rsidRPr="00204A92" w:rsidRDefault="00655A81" w:rsidP="000C028C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53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F92AC7" w14:textId="77777777" w:rsidR="00655A81" w:rsidRPr="00204A92" w:rsidRDefault="00655A81" w:rsidP="000C028C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204A9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Alunbrig</w:t>
            </w:r>
          </w:p>
        </w:tc>
        <w:tc>
          <w:tcPr>
            <w:tcW w:w="66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EAD76E" w14:textId="77777777" w:rsidR="00655A81" w:rsidRPr="00204A92" w:rsidRDefault="00655A81" w:rsidP="000C028C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204A92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brygatynib</w:t>
            </w:r>
          </w:p>
        </w:tc>
        <w:tc>
          <w:tcPr>
            <w:tcW w:w="71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576736" w14:textId="77777777" w:rsidR="00655A81" w:rsidRPr="00204A92" w:rsidRDefault="00655A81" w:rsidP="000C028C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04A92">
              <w:rPr>
                <w:rFonts w:asciiTheme="majorHAnsi" w:hAnsiTheme="majorHAnsi" w:cstheme="majorHAnsi"/>
                <w:sz w:val="20"/>
                <w:szCs w:val="20"/>
              </w:rPr>
              <w:t>B.6</w:t>
            </w:r>
          </w:p>
        </w:tc>
        <w:tc>
          <w:tcPr>
            <w:tcW w:w="153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1F4AB3" w14:textId="77777777" w:rsidR="00655A81" w:rsidRPr="00204A92" w:rsidRDefault="00655A81" w:rsidP="000C028C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04A92">
              <w:rPr>
                <w:rFonts w:asciiTheme="majorHAnsi" w:hAnsiTheme="majorHAnsi" w:cstheme="majorHAnsi"/>
                <w:sz w:val="20"/>
                <w:szCs w:val="20"/>
              </w:rPr>
              <w:t>LECZENIE NIEDROBNOKOMÓRKOWEGO LUB DROBNOKOMÓRKOWEGO RAKA PŁUCA (ICD-10 C 34)</w:t>
            </w:r>
          </w:p>
        </w:tc>
        <w:tc>
          <w:tcPr>
            <w:tcW w:w="13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8184D4" w14:textId="77777777" w:rsidR="00655A81" w:rsidRPr="00204A92" w:rsidRDefault="00655A81" w:rsidP="000C028C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04A92">
              <w:rPr>
                <w:rFonts w:asciiTheme="majorHAnsi" w:hAnsiTheme="majorHAnsi" w:cstheme="majorHAnsi"/>
                <w:sz w:val="20"/>
                <w:szCs w:val="20"/>
              </w:rPr>
              <w:t>I linia leczenia pacjentów z zaawansowanym niedrobnokomórkowym rakiem płuc</w:t>
            </w:r>
          </w:p>
        </w:tc>
      </w:tr>
      <w:tr w:rsidR="00655A81" w:rsidRPr="005058F2" w14:paraId="2586AB28" w14:textId="77777777" w:rsidTr="00476A3C">
        <w:trPr>
          <w:cantSplit/>
          <w:trHeight w:val="20"/>
        </w:trPr>
        <w:tc>
          <w:tcPr>
            <w:tcW w:w="21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CE31D4" w14:textId="77777777" w:rsidR="00655A81" w:rsidRPr="00204A92" w:rsidRDefault="00655A81" w:rsidP="000C028C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</w:rPr>
            </w:pPr>
            <w:r w:rsidRPr="00204A92">
              <w:rPr>
                <w:rFonts w:asciiTheme="majorHAnsi" w:hAnsiTheme="majorHAnsi" w:cstheme="majorHAnsi"/>
              </w:rPr>
              <w:t>2</w:t>
            </w:r>
            <w:r>
              <w:rPr>
                <w:rFonts w:asciiTheme="majorHAnsi" w:hAnsiTheme="majorHAnsi" w:cstheme="majorHAnsi"/>
              </w:rPr>
              <w:t>2</w:t>
            </w:r>
            <w:r w:rsidRPr="00204A92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53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5A7AC4" w14:textId="77777777" w:rsidR="00655A81" w:rsidRPr="00204A92" w:rsidRDefault="00655A81" w:rsidP="000C028C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</w:rPr>
            </w:pPr>
            <w:r w:rsidRPr="00204A9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Tecentriq</w:t>
            </w:r>
          </w:p>
        </w:tc>
        <w:tc>
          <w:tcPr>
            <w:tcW w:w="66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249F7F" w14:textId="77777777" w:rsidR="00655A81" w:rsidRPr="00204A92" w:rsidRDefault="00655A81" w:rsidP="000C028C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</w:rPr>
            </w:pPr>
            <w:r w:rsidRPr="00204A92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atezolizumab</w:t>
            </w:r>
          </w:p>
        </w:tc>
        <w:tc>
          <w:tcPr>
            <w:tcW w:w="71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07B35C" w14:textId="77777777" w:rsidR="00655A81" w:rsidRPr="00204A92" w:rsidRDefault="00655A81" w:rsidP="000C028C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</w:rPr>
            </w:pPr>
            <w:r w:rsidRPr="00204A92">
              <w:rPr>
                <w:rFonts w:asciiTheme="majorHAnsi" w:hAnsiTheme="majorHAnsi" w:cstheme="majorHAnsi"/>
                <w:sz w:val="20"/>
                <w:szCs w:val="20"/>
              </w:rPr>
              <w:t>B.6</w:t>
            </w:r>
          </w:p>
        </w:tc>
        <w:tc>
          <w:tcPr>
            <w:tcW w:w="153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78C3AA" w14:textId="77777777" w:rsidR="00655A81" w:rsidRPr="00204A92" w:rsidRDefault="00655A81" w:rsidP="000C028C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</w:rPr>
            </w:pPr>
            <w:r w:rsidRPr="00204A92">
              <w:rPr>
                <w:rFonts w:asciiTheme="majorHAnsi" w:hAnsiTheme="majorHAnsi" w:cstheme="majorHAnsi"/>
                <w:sz w:val="20"/>
                <w:szCs w:val="20"/>
              </w:rPr>
              <w:t>LECZENIE NIEDROBNOKOMÓRKOWEGO LUB DROBNOKOMÓRKOWEGO RAKA PŁUCA (ICD-10 C 34)</w:t>
            </w:r>
          </w:p>
        </w:tc>
        <w:tc>
          <w:tcPr>
            <w:tcW w:w="13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F71252" w14:textId="77777777" w:rsidR="00655A81" w:rsidRPr="00204A92" w:rsidRDefault="00655A81" w:rsidP="000C028C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</w:rPr>
            </w:pPr>
            <w:r w:rsidRPr="00204A92">
              <w:rPr>
                <w:rFonts w:asciiTheme="majorHAnsi" w:hAnsiTheme="majorHAnsi" w:cstheme="majorHAnsi"/>
                <w:sz w:val="20"/>
                <w:szCs w:val="20"/>
              </w:rPr>
              <w:t>I linia leczenia pacjentów z zaawansowanym drobnokomórkowym rakiem płuc</w:t>
            </w:r>
          </w:p>
        </w:tc>
      </w:tr>
      <w:tr w:rsidR="00655A81" w:rsidRPr="005058F2" w14:paraId="6A0BD026" w14:textId="77777777" w:rsidTr="00476A3C">
        <w:trPr>
          <w:cantSplit/>
          <w:trHeight w:val="20"/>
        </w:trPr>
        <w:tc>
          <w:tcPr>
            <w:tcW w:w="21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60EF6E" w14:textId="77777777" w:rsidR="00655A81" w:rsidRPr="00204A92" w:rsidRDefault="00655A81" w:rsidP="000C028C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  <w:r w:rsidRPr="00204A92">
              <w:rPr>
                <w:rFonts w:asciiTheme="majorHAnsi" w:hAnsiTheme="majorHAnsi" w:cstheme="majorHAnsi"/>
              </w:rPr>
              <w:t>3.</w:t>
            </w:r>
          </w:p>
        </w:tc>
        <w:tc>
          <w:tcPr>
            <w:tcW w:w="53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CE16E5" w14:textId="77777777" w:rsidR="00655A81" w:rsidRPr="00204A92" w:rsidRDefault="00655A81" w:rsidP="000C028C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</w:rPr>
            </w:pPr>
            <w:r w:rsidRPr="00204A9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Vizimpro</w:t>
            </w:r>
          </w:p>
        </w:tc>
        <w:tc>
          <w:tcPr>
            <w:tcW w:w="66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51110F" w14:textId="77777777" w:rsidR="00655A81" w:rsidRPr="00204A92" w:rsidRDefault="00655A81" w:rsidP="000C028C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</w:rPr>
            </w:pPr>
            <w:r w:rsidRPr="00204A92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dakomitynib</w:t>
            </w:r>
          </w:p>
        </w:tc>
        <w:tc>
          <w:tcPr>
            <w:tcW w:w="71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0812F7" w14:textId="77777777" w:rsidR="00655A81" w:rsidRPr="00204A92" w:rsidRDefault="00655A81" w:rsidP="000C028C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</w:rPr>
            </w:pPr>
            <w:r w:rsidRPr="00204A92">
              <w:rPr>
                <w:rFonts w:asciiTheme="majorHAnsi" w:hAnsiTheme="majorHAnsi" w:cstheme="majorHAnsi"/>
                <w:sz w:val="20"/>
                <w:szCs w:val="20"/>
              </w:rPr>
              <w:t>B.6</w:t>
            </w:r>
          </w:p>
        </w:tc>
        <w:tc>
          <w:tcPr>
            <w:tcW w:w="153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CC4F25" w14:textId="77777777" w:rsidR="00655A81" w:rsidRPr="00204A92" w:rsidRDefault="00655A81" w:rsidP="000C028C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</w:rPr>
            </w:pPr>
            <w:r w:rsidRPr="00204A92">
              <w:rPr>
                <w:rFonts w:asciiTheme="majorHAnsi" w:hAnsiTheme="majorHAnsi" w:cstheme="majorHAnsi"/>
                <w:sz w:val="20"/>
                <w:szCs w:val="20"/>
              </w:rPr>
              <w:t>LECZENIE NIEDROBNOKOMÓRKOWEGO LUB DROBNOKOMÓRKOWEGO RAKA PŁUCA (ICD-10 C 34)</w:t>
            </w:r>
          </w:p>
        </w:tc>
        <w:tc>
          <w:tcPr>
            <w:tcW w:w="13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0507DE" w14:textId="77777777" w:rsidR="00655A81" w:rsidRPr="00204A92" w:rsidRDefault="00655A81" w:rsidP="000C028C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</w:rPr>
            </w:pPr>
            <w:r w:rsidRPr="00204A92">
              <w:rPr>
                <w:rFonts w:asciiTheme="majorHAnsi" w:hAnsiTheme="majorHAnsi" w:cstheme="majorHAnsi"/>
                <w:sz w:val="20"/>
                <w:szCs w:val="20"/>
              </w:rPr>
              <w:t>I linia leczenia pacjentów z zaawansowanym niedrobnokomórkowym rakiem płuc</w:t>
            </w:r>
          </w:p>
        </w:tc>
      </w:tr>
      <w:tr w:rsidR="00655A81" w:rsidRPr="005058F2" w14:paraId="354B340F" w14:textId="77777777" w:rsidTr="00476A3C">
        <w:trPr>
          <w:cantSplit/>
          <w:trHeight w:val="20"/>
        </w:trPr>
        <w:tc>
          <w:tcPr>
            <w:tcW w:w="21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3D2F59" w14:textId="77777777" w:rsidR="00655A81" w:rsidRPr="00204A92" w:rsidRDefault="00655A81" w:rsidP="000C028C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  <w:r w:rsidRPr="00204A92">
              <w:rPr>
                <w:rFonts w:asciiTheme="majorHAnsi" w:hAnsiTheme="majorHAnsi" w:cstheme="majorHAnsi"/>
              </w:rPr>
              <w:t>4.</w:t>
            </w:r>
          </w:p>
        </w:tc>
        <w:tc>
          <w:tcPr>
            <w:tcW w:w="53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4E5899" w14:textId="77777777" w:rsidR="00655A81" w:rsidRPr="00204A92" w:rsidRDefault="00655A81" w:rsidP="000C028C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</w:rPr>
            </w:pPr>
            <w:r w:rsidRPr="00204A9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Lorviqua</w:t>
            </w:r>
          </w:p>
        </w:tc>
        <w:tc>
          <w:tcPr>
            <w:tcW w:w="66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A9DBAB" w14:textId="77777777" w:rsidR="00655A81" w:rsidRPr="00204A92" w:rsidRDefault="00655A81" w:rsidP="000C028C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</w:rPr>
            </w:pPr>
            <w:r w:rsidRPr="00204A92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lorlatynib</w:t>
            </w:r>
          </w:p>
        </w:tc>
        <w:tc>
          <w:tcPr>
            <w:tcW w:w="71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5D1326" w14:textId="77777777" w:rsidR="00655A81" w:rsidRPr="00204A92" w:rsidRDefault="00655A81" w:rsidP="000C028C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</w:rPr>
            </w:pPr>
            <w:r w:rsidRPr="00204A92">
              <w:rPr>
                <w:rFonts w:asciiTheme="majorHAnsi" w:hAnsiTheme="majorHAnsi" w:cstheme="majorHAnsi"/>
                <w:sz w:val="20"/>
                <w:szCs w:val="20"/>
              </w:rPr>
              <w:t>B.6</w:t>
            </w:r>
          </w:p>
        </w:tc>
        <w:tc>
          <w:tcPr>
            <w:tcW w:w="153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B48573" w14:textId="77777777" w:rsidR="00655A81" w:rsidRPr="00204A92" w:rsidRDefault="00655A81" w:rsidP="000C028C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</w:rPr>
            </w:pPr>
            <w:r w:rsidRPr="00204A92">
              <w:rPr>
                <w:rFonts w:asciiTheme="majorHAnsi" w:hAnsiTheme="majorHAnsi" w:cstheme="majorHAnsi"/>
                <w:sz w:val="20"/>
                <w:szCs w:val="20"/>
              </w:rPr>
              <w:t>LECZENIE NIEDROBNOKOMÓRKOWEGO LUB DROBNOKOMÓRKOWEGO RAKA PŁUCA (ICD-10 C 34)</w:t>
            </w:r>
          </w:p>
        </w:tc>
        <w:tc>
          <w:tcPr>
            <w:tcW w:w="13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707527" w14:textId="77777777" w:rsidR="00655A81" w:rsidRPr="00204A92" w:rsidRDefault="00655A81" w:rsidP="000C028C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</w:rPr>
            </w:pPr>
            <w:r w:rsidRPr="00204A92">
              <w:rPr>
                <w:rFonts w:asciiTheme="majorHAnsi" w:hAnsiTheme="majorHAnsi" w:cstheme="majorHAnsi"/>
                <w:sz w:val="20"/>
                <w:szCs w:val="20"/>
              </w:rPr>
              <w:t>II linia leczenia pacjentów z zaawansowanym niedrobnokomórkowym rakiem płuc</w:t>
            </w:r>
          </w:p>
        </w:tc>
      </w:tr>
      <w:tr w:rsidR="00655A81" w:rsidRPr="005058F2" w14:paraId="49FAD962" w14:textId="77777777" w:rsidTr="00476A3C">
        <w:trPr>
          <w:cantSplit/>
          <w:trHeight w:val="20"/>
        </w:trPr>
        <w:tc>
          <w:tcPr>
            <w:tcW w:w="21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18E397" w14:textId="77777777" w:rsidR="00655A81" w:rsidRPr="00204A92" w:rsidRDefault="00655A81" w:rsidP="000C028C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  <w:r w:rsidRPr="00204A92">
              <w:rPr>
                <w:rFonts w:asciiTheme="majorHAnsi" w:hAnsiTheme="majorHAnsi" w:cstheme="majorHAnsi"/>
              </w:rPr>
              <w:t>5.</w:t>
            </w:r>
          </w:p>
        </w:tc>
        <w:tc>
          <w:tcPr>
            <w:tcW w:w="53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DFDDEA" w14:textId="77777777" w:rsidR="00655A81" w:rsidRPr="00204A92" w:rsidRDefault="00655A81" w:rsidP="000C028C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</w:rPr>
            </w:pPr>
            <w:r w:rsidRPr="00204A9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Nexavar</w:t>
            </w:r>
          </w:p>
        </w:tc>
        <w:tc>
          <w:tcPr>
            <w:tcW w:w="66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512D7A" w14:textId="77777777" w:rsidR="00655A81" w:rsidRPr="00204A92" w:rsidRDefault="00655A81" w:rsidP="000C028C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</w:rPr>
            </w:pPr>
            <w:r w:rsidRPr="00204A92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sorafenib</w:t>
            </w:r>
          </w:p>
        </w:tc>
        <w:tc>
          <w:tcPr>
            <w:tcW w:w="71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4A887F" w14:textId="77777777" w:rsidR="00655A81" w:rsidRPr="00204A92" w:rsidRDefault="00655A81" w:rsidP="000C028C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</w:rPr>
            </w:pPr>
            <w:r w:rsidRPr="00204A92">
              <w:rPr>
                <w:rFonts w:asciiTheme="majorHAnsi" w:hAnsiTheme="majorHAnsi" w:cstheme="majorHAnsi"/>
                <w:sz w:val="20"/>
                <w:szCs w:val="20"/>
              </w:rPr>
              <w:t>B.119</w:t>
            </w:r>
          </w:p>
        </w:tc>
        <w:tc>
          <w:tcPr>
            <w:tcW w:w="153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634EA0" w14:textId="77777777" w:rsidR="00655A81" w:rsidRPr="00204A92" w:rsidRDefault="00655A81" w:rsidP="000C028C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</w:rPr>
            </w:pPr>
            <w:r w:rsidRPr="00204A92">
              <w:rPr>
                <w:rFonts w:asciiTheme="majorHAnsi" w:hAnsiTheme="majorHAnsi" w:cstheme="majorHAnsi"/>
                <w:sz w:val="20"/>
                <w:szCs w:val="20"/>
              </w:rPr>
              <w:t>LECZENIE PACJENTÓW Z POSTĘPUJĄCYM, MIEJSCOWO ZAAWANSOWANYM LUB Z PRZERZUTAMI, ZRÓŻNICOWANYM (BRODAWKOWATYM/PĘCHERZYKOWATYM/OKSYFILNYM Z KOMÓREK HURTLE’A) RAKIEM TARCZYCY, OPORNYM NA LECZENIE JODEM RADIOAKTYWNYM (ICD-10 C73)</w:t>
            </w:r>
          </w:p>
        </w:tc>
        <w:tc>
          <w:tcPr>
            <w:tcW w:w="13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195ED6" w14:textId="77777777" w:rsidR="00655A81" w:rsidRDefault="00655A81" w:rsidP="000C028C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04A92">
              <w:rPr>
                <w:rFonts w:asciiTheme="majorHAnsi" w:hAnsiTheme="majorHAnsi" w:cstheme="majorHAnsi"/>
                <w:sz w:val="20"/>
                <w:szCs w:val="20"/>
              </w:rPr>
              <w:t>II linia leczenia - terapia po niepowodzeniu terapii jodem radioaktywnym</w:t>
            </w:r>
          </w:p>
          <w:p w14:paraId="4CCC0579" w14:textId="4BDF2EC1" w:rsidR="000F5439" w:rsidRPr="000F5439" w:rsidRDefault="000F5439" w:rsidP="000C028C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F5439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(Choroba rzadka)</w:t>
            </w:r>
          </w:p>
        </w:tc>
      </w:tr>
      <w:tr w:rsidR="00655A81" w:rsidRPr="005058F2" w14:paraId="24FF6939" w14:textId="77777777" w:rsidTr="00476A3C">
        <w:trPr>
          <w:cantSplit/>
          <w:trHeight w:val="20"/>
        </w:trPr>
        <w:tc>
          <w:tcPr>
            <w:tcW w:w="21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726A0E" w14:textId="77777777" w:rsidR="00655A81" w:rsidRPr="00204A92" w:rsidRDefault="00655A81" w:rsidP="000C028C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lastRenderedPageBreak/>
              <w:t>26</w:t>
            </w:r>
            <w:r w:rsidRPr="00204A92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53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5B72AD" w14:textId="77777777" w:rsidR="00655A81" w:rsidRPr="00204A92" w:rsidRDefault="00655A81" w:rsidP="000C028C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</w:rPr>
            </w:pPr>
            <w:r w:rsidRPr="00204A9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Opdivo + Yervoy</w:t>
            </w:r>
          </w:p>
        </w:tc>
        <w:tc>
          <w:tcPr>
            <w:tcW w:w="66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4B3DA6" w14:textId="77777777" w:rsidR="00655A81" w:rsidRPr="00204A92" w:rsidRDefault="00655A81" w:rsidP="000C028C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</w:rPr>
            </w:pPr>
            <w:r w:rsidRPr="00204A92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niwolumab + ipilimumab</w:t>
            </w:r>
          </w:p>
        </w:tc>
        <w:tc>
          <w:tcPr>
            <w:tcW w:w="71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88EB3C" w14:textId="77777777" w:rsidR="00655A81" w:rsidRPr="00204A92" w:rsidRDefault="00655A81" w:rsidP="000C028C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</w:rPr>
            </w:pPr>
            <w:r w:rsidRPr="00204A92">
              <w:rPr>
                <w:rFonts w:asciiTheme="majorHAnsi" w:hAnsiTheme="majorHAnsi" w:cstheme="majorHAnsi"/>
                <w:sz w:val="20"/>
                <w:szCs w:val="20"/>
              </w:rPr>
              <w:t>B.59.</w:t>
            </w:r>
          </w:p>
        </w:tc>
        <w:tc>
          <w:tcPr>
            <w:tcW w:w="153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B54626" w14:textId="77777777" w:rsidR="00655A81" w:rsidRPr="00204A92" w:rsidRDefault="00655A81" w:rsidP="000C028C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</w:rPr>
            </w:pPr>
            <w:r w:rsidRPr="00204A92">
              <w:rPr>
                <w:rFonts w:asciiTheme="majorHAnsi" w:hAnsiTheme="majorHAnsi" w:cstheme="majorHAnsi"/>
                <w:sz w:val="20"/>
                <w:szCs w:val="20"/>
              </w:rPr>
              <w:t>LECZENIE CZERNIAKA SKÓRY LUB BŁON ŚLUZOWYCH (ICD-10 C43)</w:t>
            </w:r>
          </w:p>
        </w:tc>
        <w:tc>
          <w:tcPr>
            <w:tcW w:w="13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50E21D" w14:textId="77777777" w:rsidR="00655A81" w:rsidRPr="00204A92" w:rsidRDefault="00655A81" w:rsidP="000C028C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</w:rPr>
            </w:pPr>
            <w:r w:rsidRPr="00204A92">
              <w:rPr>
                <w:rFonts w:asciiTheme="majorHAnsi" w:hAnsiTheme="majorHAnsi" w:cstheme="majorHAnsi"/>
                <w:sz w:val="20"/>
                <w:szCs w:val="20"/>
              </w:rPr>
              <w:t>I linia leczenia zaawansowanego czerniaka skóry i błon śluzowych uwzględniająca usunięcie restrykcji dotyczącej oznaczenia poziomu PDL1</w:t>
            </w:r>
          </w:p>
        </w:tc>
      </w:tr>
      <w:tr w:rsidR="00655A81" w:rsidRPr="005058F2" w14:paraId="07D4A333" w14:textId="77777777" w:rsidTr="00476A3C">
        <w:trPr>
          <w:cantSplit/>
          <w:trHeight w:val="20"/>
        </w:trPr>
        <w:tc>
          <w:tcPr>
            <w:tcW w:w="21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747EC1" w14:textId="77777777" w:rsidR="00655A81" w:rsidRPr="00204A92" w:rsidRDefault="00655A81" w:rsidP="000C028C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53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2FA428" w14:textId="77777777" w:rsidR="00655A81" w:rsidRPr="00204A92" w:rsidRDefault="00655A81" w:rsidP="000C028C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204A9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Kymriah</w:t>
            </w:r>
          </w:p>
        </w:tc>
        <w:tc>
          <w:tcPr>
            <w:tcW w:w="66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B957B0" w14:textId="77777777" w:rsidR="00655A81" w:rsidRPr="00204A92" w:rsidRDefault="00655A81" w:rsidP="000C028C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204A92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tisagenlecleucelum</w:t>
            </w:r>
          </w:p>
        </w:tc>
        <w:tc>
          <w:tcPr>
            <w:tcW w:w="71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65EDE1" w14:textId="77777777" w:rsidR="00655A81" w:rsidRPr="00204A92" w:rsidRDefault="00655A81" w:rsidP="000C028C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04A92">
              <w:rPr>
                <w:rFonts w:asciiTheme="majorHAnsi" w:hAnsiTheme="majorHAnsi" w:cstheme="majorHAnsi"/>
                <w:sz w:val="20"/>
                <w:szCs w:val="20"/>
              </w:rPr>
              <w:t>B.65.</w:t>
            </w:r>
          </w:p>
        </w:tc>
        <w:tc>
          <w:tcPr>
            <w:tcW w:w="153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639CCB" w14:textId="77777777" w:rsidR="00655A81" w:rsidRPr="00204A92" w:rsidRDefault="00655A81" w:rsidP="000C028C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04A92">
              <w:rPr>
                <w:rFonts w:asciiTheme="majorHAnsi" w:hAnsiTheme="majorHAnsi" w:cstheme="majorHAnsi"/>
                <w:sz w:val="20"/>
                <w:szCs w:val="20"/>
              </w:rPr>
              <w:t>LECZENIE CHORYCH NA OSTRĄ BIAŁACZKĘ LIMFOBLASTYCZNĄ (ICD-10 C91.0)</w:t>
            </w:r>
          </w:p>
        </w:tc>
        <w:tc>
          <w:tcPr>
            <w:tcW w:w="13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2D93D" w14:textId="345D5663" w:rsidR="00655A81" w:rsidRPr="00204A92" w:rsidRDefault="00655A81" w:rsidP="000C028C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04A92">
              <w:rPr>
                <w:rFonts w:asciiTheme="majorHAnsi" w:hAnsiTheme="majorHAnsi" w:cstheme="majorHAnsi"/>
                <w:sz w:val="20"/>
                <w:szCs w:val="20"/>
              </w:rPr>
              <w:t>Terapia pacjentów w wieku do 25 lat z nawrotową lub oporną ostrą białaczką limfoblastyczną (ALL) z komórek B (pierwsza refundowana terapia CAR-T)</w:t>
            </w:r>
            <w:r w:rsidR="00F541FE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F541FE" w:rsidRPr="002D03A4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(Choroba rzadka)</w:t>
            </w:r>
          </w:p>
        </w:tc>
      </w:tr>
      <w:tr w:rsidR="00655A81" w:rsidRPr="005058F2" w14:paraId="08B7FCD3" w14:textId="77777777" w:rsidTr="00476A3C">
        <w:trPr>
          <w:cantSplit/>
          <w:trHeight w:val="20"/>
        </w:trPr>
        <w:tc>
          <w:tcPr>
            <w:tcW w:w="21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858B30" w14:textId="654DE5B5" w:rsidR="00655A81" w:rsidRPr="00204A92" w:rsidRDefault="00655A81" w:rsidP="000C028C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  <w:r w:rsidR="007A21D4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53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3951A2" w14:textId="77777777" w:rsidR="00655A81" w:rsidRPr="00204A92" w:rsidRDefault="00655A81" w:rsidP="000C028C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204A9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Venclyxto</w:t>
            </w:r>
          </w:p>
        </w:tc>
        <w:tc>
          <w:tcPr>
            <w:tcW w:w="66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FD793B" w14:textId="77777777" w:rsidR="00655A81" w:rsidRPr="00204A92" w:rsidRDefault="00655A81" w:rsidP="000C028C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204A92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wenetoklaks</w:t>
            </w:r>
          </w:p>
        </w:tc>
        <w:tc>
          <w:tcPr>
            <w:tcW w:w="71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20D448" w14:textId="77777777" w:rsidR="00655A81" w:rsidRPr="00204A92" w:rsidRDefault="00655A81" w:rsidP="000C028C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04A92">
              <w:rPr>
                <w:rFonts w:asciiTheme="majorHAnsi" w:hAnsiTheme="majorHAnsi" w:cstheme="majorHAnsi"/>
                <w:sz w:val="20"/>
                <w:szCs w:val="20"/>
              </w:rPr>
              <w:t>B.103</w:t>
            </w:r>
          </w:p>
        </w:tc>
        <w:tc>
          <w:tcPr>
            <w:tcW w:w="153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7C8DC5" w14:textId="77777777" w:rsidR="00655A81" w:rsidRPr="00204A92" w:rsidRDefault="00655A81" w:rsidP="000C028C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04A92">
              <w:rPr>
                <w:rFonts w:asciiTheme="majorHAnsi" w:hAnsiTheme="majorHAnsi" w:cstheme="majorHAnsi"/>
                <w:sz w:val="20"/>
                <w:szCs w:val="20"/>
              </w:rPr>
              <w:t>LECZENIE CHORYCH NA PRZEWLEKŁĄ BIAŁACZKĘ LIMFOCYTOWĄ WENETOKLAKSE</w:t>
            </w:r>
            <w:r w:rsidRPr="00204A92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M (ICD 10: C.91.1)</w:t>
            </w:r>
          </w:p>
        </w:tc>
        <w:tc>
          <w:tcPr>
            <w:tcW w:w="13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D1E447" w14:textId="77777777" w:rsidR="00476A3C" w:rsidRDefault="00655A81" w:rsidP="000C028C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B2D4F">
              <w:rPr>
                <w:rFonts w:asciiTheme="majorHAnsi" w:hAnsiTheme="majorHAnsi" w:cstheme="majorHAnsi"/>
                <w:sz w:val="20"/>
                <w:szCs w:val="20"/>
              </w:rPr>
              <w:t xml:space="preserve">Umożliwienie terapii wenetoklaksem w skojarzeniu z rytuksymabem szerszej populacji chorych na przewlekła białaczkę limfocytową </w:t>
            </w:r>
          </w:p>
          <w:p w14:paraId="3C57A093" w14:textId="1AD6F717" w:rsidR="00655A81" w:rsidRPr="002D03A4" w:rsidRDefault="00655A81" w:rsidP="000C028C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2D03A4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(Choroba rzadka)</w:t>
            </w:r>
          </w:p>
        </w:tc>
      </w:tr>
      <w:tr w:rsidR="00655A81" w:rsidRPr="005058F2" w14:paraId="19CD8F2E" w14:textId="77777777" w:rsidTr="00476A3C">
        <w:trPr>
          <w:cantSplit/>
          <w:trHeight w:val="20"/>
        </w:trPr>
        <w:tc>
          <w:tcPr>
            <w:tcW w:w="21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6AE0D4" w14:textId="04665816" w:rsidR="00655A81" w:rsidRPr="00204A92" w:rsidRDefault="00655A81" w:rsidP="000C028C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  <w:r w:rsidR="007A21D4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53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3FE501" w14:textId="77777777" w:rsidR="00655A81" w:rsidRPr="00204A92" w:rsidRDefault="00655A81" w:rsidP="000C028C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204A9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Venclyxto</w:t>
            </w:r>
          </w:p>
        </w:tc>
        <w:tc>
          <w:tcPr>
            <w:tcW w:w="66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4135D8" w14:textId="77777777" w:rsidR="00655A81" w:rsidRPr="00204A92" w:rsidRDefault="00655A81" w:rsidP="000C028C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204A92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wenetoklaks</w:t>
            </w:r>
          </w:p>
        </w:tc>
        <w:tc>
          <w:tcPr>
            <w:tcW w:w="71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BBA18B" w14:textId="77777777" w:rsidR="00655A81" w:rsidRPr="00204A92" w:rsidRDefault="00655A81" w:rsidP="000C028C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04A92">
              <w:rPr>
                <w:rFonts w:asciiTheme="majorHAnsi" w:hAnsiTheme="majorHAnsi" w:cstheme="majorHAnsi"/>
                <w:sz w:val="20"/>
                <w:szCs w:val="20"/>
              </w:rPr>
              <w:t>B.103</w:t>
            </w:r>
          </w:p>
        </w:tc>
        <w:tc>
          <w:tcPr>
            <w:tcW w:w="153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3137EC" w14:textId="77777777" w:rsidR="00655A81" w:rsidRPr="00204A92" w:rsidRDefault="00655A81" w:rsidP="000C028C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04A92">
              <w:rPr>
                <w:rFonts w:asciiTheme="majorHAnsi" w:hAnsiTheme="majorHAnsi" w:cstheme="majorHAnsi"/>
                <w:sz w:val="20"/>
                <w:szCs w:val="20"/>
              </w:rPr>
              <w:t>LECZENIE CHORYCH NA PRZEWLEKŁĄ BIAŁACZKĘ LIMFOCYTOWĄ WENETOKLAKSEM (ICD 10: C.91.1)</w:t>
            </w:r>
          </w:p>
        </w:tc>
        <w:tc>
          <w:tcPr>
            <w:tcW w:w="13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D84863" w14:textId="77777777" w:rsidR="004C63DE" w:rsidRDefault="00655A81" w:rsidP="000C028C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B2D4F">
              <w:rPr>
                <w:rFonts w:asciiTheme="majorHAnsi" w:hAnsiTheme="majorHAnsi" w:cstheme="majorHAnsi"/>
                <w:sz w:val="20"/>
                <w:szCs w:val="20"/>
              </w:rPr>
              <w:t>Leczenie chorych na przewlekłą białaczkę limfocytową w I linii wenetoklaksem w skojarzeniu z obinutuzumabem</w:t>
            </w:r>
          </w:p>
          <w:p w14:paraId="363B3E30" w14:textId="715DEB82" w:rsidR="00655A81" w:rsidRPr="002D03A4" w:rsidRDefault="00655A81" w:rsidP="000C028C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2D03A4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(Choroba rzadka)</w:t>
            </w:r>
          </w:p>
        </w:tc>
      </w:tr>
      <w:tr w:rsidR="00655A81" w:rsidRPr="005058F2" w14:paraId="3B0BEEE7" w14:textId="77777777" w:rsidTr="00476A3C">
        <w:trPr>
          <w:cantSplit/>
          <w:trHeight w:val="20"/>
        </w:trPr>
        <w:tc>
          <w:tcPr>
            <w:tcW w:w="21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FAA615" w14:textId="77777777" w:rsidR="00655A81" w:rsidRPr="00204A92" w:rsidRDefault="00655A81" w:rsidP="000C028C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  <w:r w:rsidRPr="00204A92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53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C273AF" w14:textId="77777777" w:rsidR="00655A81" w:rsidRPr="00204A92" w:rsidRDefault="00655A81" w:rsidP="000C028C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</w:rPr>
            </w:pPr>
            <w:r w:rsidRPr="00204A92">
              <w:rPr>
                <w:rFonts w:asciiTheme="majorHAnsi" w:hAnsiTheme="majorHAnsi" w:cstheme="majorHAnsi"/>
                <w:b/>
                <w:bCs/>
                <w:sz w:val="20"/>
                <w:szCs w:val="20"/>
                <w:shd w:val="clear" w:color="auto" w:fill="FFFFFF"/>
              </w:rPr>
              <w:t>Libtayo</w:t>
            </w:r>
          </w:p>
        </w:tc>
        <w:tc>
          <w:tcPr>
            <w:tcW w:w="66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DCC463" w14:textId="77777777" w:rsidR="00655A81" w:rsidRPr="00204A92" w:rsidRDefault="00655A81" w:rsidP="000C028C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</w:rPr>
            </w:pPr>
            <w:r w:rsidRPr="00204A92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cemiplimab</w:t>
            </w:r>
          </w:p>
        </w:tc>
        <w:tc>
          <w:tcPr>
            <w:tcW w:w="71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66CC34" w14:textId="77777777" w:rsidR="00655A81" w:rsidRPr="00204A92" w:rsidRDefault="00655A81" w:rsidP="000C028C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</w:rPr>
            </w:pPr>
            <w:r w:rsidRPr="00204A92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B.125.</w:t>
            </w:r>
          </w:p>
        </w:tc>
        <w:tc>
          <w:tcPr>
            <w:tcW w:w="153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B4B03E" w14:textId="77777777" w:rsidR="00655A81" w:rsidRPr="00204A92" w:rsidRDefault="00655A81" w:rsidP="000C028C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</w:rPr>
            </w:pPr>
            <w:r w:rsidRPr="00204A92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LECZENIE CHORYCH NA ZAAWANSOWANEGO RAKA KOLCZYSTOKOMÓRKOWEGO SKÓRY CEMIPLIMABEM (ICD-10: C44.12, C44.22, C44.32, C44.42, C44.52, C44.62, C44.72, C44.82, C44.92)</w:t>
            </w:r>
          </w:p>
        </w:tc>
        <w:tc>
          <w:tcPr>
            <w:tcW w:w="13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277E1B" w14:textId="77777777" w:rsidR="004C63DE" w:rsidRDefault="00655A81" w:rsidP="000C028C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204A92">
              <w:rPr>
                <w:rFonts w:asciiTheme="majorHAnsi" w:hAnsiTheme="majorHAnsi" w:cstheme="majorHAnsi"/>
                <w:sz w:val="20"/>
                <w:szCs w:val="20"/>
              </w:rPr>
              <w:t xml:space="preserve">Nowa populacja chorych w terapii leczenia nowotworów skóry obok czerniaka, raka podstawnokomórkowego oraz raka z komórek </w:t>
            </w:r>
            <w:r w:rsidRPr="00FB2D4F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 xml:space="preserve">Merkla </w:t>
            </w:r>
          </w:p>
          <w:p w14:paraId="51DA340E" w14:textId="2288F4E3" w:rsidR="00655A81" w:rsidRPr="002D03A4" w:rsidRDefault="00655A81" w:rsidP="000C028C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2D03A4">
              <w:rPr>
                <w:rFonts w:asciiTheme="majorHAnsi" w:hAnsiTheme="majorHAnsi" w:cstheme="majorHAnsi"/>
                <w:b/>
                <w:bCs/>
                <w:sz w:val="20"/>
                <w:szCs w:val="20"/>
                <w:shd w:val="clear" w:color="auto" w:fill="FFFFFF"/>
              </w:rPr>
              <w:t>(Choroba rzadka)</w:t>
            </w:r>
          </w:p>
        </w:tc>
      </w:tr>
    </w:tbl>
    <w:p w14:paraId="4E512BB9" w14:textId="428F3661" w:rsidR="00321CCE" w:rsidRDefault="00321CCE"/>
    <w:p w14:paraId="0B25FC5C" w14:textId="77777777" w:rsidR="00321CCE" w:rsidRDefault="00321CCE">
      <w:pPr>
        <w:suppressAutoHyphens w:val="0"/>
      </w:pPr>
      <w:r>
        <w:br w:type="page"/>
      </w:r>
    </w:p>
    <w:p w14:paraId="3E78FD03" w14:textId="77777777" w:rsidR="002D03A4" w:rsidRDefault="002D03A4"/>
    <w:tbl>
      <w:tblPr>
        <w:tblW w:w="47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left w:w="10" w:type="dxa"/>
          <w:bottom w:w="113" w:type="dxa"/>
          <w:right w:w="10" w:type="dxa"/>
        </w:tblCellMar>
        <w:tblLook w:val="0000" w:firstRow="0" w:lastRow="0" w:firstColumn="0" w:lastColumn="0" w:noHBand="0" w:noVBand="0"/>
      </w:tblPr>
      <w:tblGrid>
        <w:gridCol w:w="559"/>
        <w:gridCol w:w="1421"/>
        <w:gridCol w:w="1745"/>
        <w:gridCol w:w="1877"/>
        <w:gridCol w:w="4038"/>
        <w:gridCol w:w="3540"/>
      </w:tblGrid>
      <w:tr w:rsidR="00655A81" w:rsidRPr="005058F2" w14:paraId="43A4A2F8" w14:textId="77777777" w:rsidTr="00476A3C">
        <w:trPr>
          <w:cantSplit/>
          <w:trHeight w:val="20"/>
        </w:trPr>
        <w:tc>
          <w:tcPr>
            <w:tcW w:w="5000" w:type="pct"/>
            <w:gridSpan w:val="6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D8EA62" w14:textId="77777777" w:rsidR="00655A81" w:rsidRPr="00204A92" w:rsidRDefault="00655A81" w:rsidP="000C028C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204A92">
              <w:rPr>
                <w:rFonts w:asciiTheme="majorHAnsi" w:hAnsiTheme="majorHAnsi" w:cstheme="majorHAnsi"/>
                <w:b/>
                <w:bCs/>
              </w:rPr>
              <w:t>Nowe wskazania nieonkologiczne</w:t>
            </w:r>
          </w:p>
        </w:tc>
      </w:tr>
      <w:tr w:rsidR="00655A81" w:rsidRPr="005058F2" w14:paraId="583D13D7" w14:textId="77777777" w:rsidTr="00476A3C">
        <w:trPr>
          <w:cantSplit/>
          <w:trHeight w:val="20"/>
        </w:trPr>
        <w:tc>
          <w:tcPr>
            <w:tcW w:w="212" w:type="pct"/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0CD71E" w14:textId="77777777" w:rsidR="00655A81" w:rsidRPr="00204A92" w:rsidRDefault="00655A81" w:rsidP="000C028C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</w:rPr>
            </w:pPr>
            <w:r w:rsidRPr="00204A9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539" w:type="pct"/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A55743" w14:textId="77777777" w:rsidR="00655A81" w:rsidRPr="00204A92" w:rsidRDefault="00655A81" w:rsidP="000C028C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</w:rPr>
            </w:pPr>
            <w:r w:rsidRPr="00204A9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Nazwa leku</w:t>
            </w:r>
          </w:p>
        </w:tc>
        <w:tc>
          <w:tcPr>
            <w:tcW w:w="662" w:type="pct"/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119C79" w14:textId="77777777" w:rsidR="00655A81" w:rsidRPr="00204A92" w:rsidRDefault="00655A81" w:rsidP="000C028C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</w:rPr>
            </w:pPr>
            <w:r w:rsidRPr="00204A9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Substancja czynna</w:t>
            </w:r>
          </w:p>
        </w:tc>
        <w:tc>
          <w:tcPr>
            <w:tcW w:w="712" w:type="pct"/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ACC6F7" w14:textId="77777777" w:rsidR="00655A81" w:rsidRPr="00204A92" w:rsidRDefault="00655A81" w:rsidP="000C028C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</w:rPr>
            </w:pPr>
            <w:r w:rsidRPr="00204A9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Numer programu lekowego/załącznika chemioterapii</w:t>
            </w:r>
          </w:p>
        </w:tc>
        <w:tc>
          <w:tcPr>
            <w:tcW w:w="1532" w:type="pct"/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59D90F" w14:textId="77777777" w:rsidR="00655A81" w:rsidRDefault="00655A81" w:rsidP="000C028C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204A9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Nazwa programu lekowego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r w:rsidRPr="00204A9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/ </w:t>
            </w:r>
          </w:p>
          <w:p w14:paraId="49E8DA82" w14:textId="77777777" w:rsidR="00655A81" w:rsidRPr="00204A92" w:rsidRDefault="00655A81" w:rsidP="000C028C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</w:rPr>
            </w:pPr>
            <w:r w:rsidRPr="00204A9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Załącznika chemioterapii</w:t>
            </w:r>
          </w:p>
        </w:tc>
        <w:tc>
          <w:tcPr>
            <w:tcW w:w="1343" w:type="pct"/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1380B3" w14:textId="77777777" w:rsidR="00655A81" w:rsidRPr="00204A92" w:rsidRDefault="00655A81" w:rsidP="000C028C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</w:rPr>
            </w:pPr>
            <w:r w:rsidRPr="00204A9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Doprecyzowanie wskazania</w:t>
            </w:r>
          </w:p>
        </w:tc>
      </w:tr>
      <w:tr w:rsidR="00655A81" w:rsidRPr="005058F2" w14:paraId="74A30B0F" w14:textId="77777777" w:rsidTr="00476A3C">
        <w:trPr>
          <w:cantSplit/>
          <w:trHeight w:val="20"/>
        </w:trPr>
        <w:tc>
          <w:tcPr>
            <w:tcW w:w="21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2EFD84" w14:textId="77777777" w:rsidR="00655A81" w:rsidRPr="00D1058B" w:rsidRDefault="00655A81" w:rsidP="000C028C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539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C085B3" w14:textId="77777777" w:rsidR="00655A81" w:rsidRPr="00D1058B" w:rsidRDefault="00655A81" w:rsidP="000C028C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  <w:shd w:val="clear" w:color="auto" w:fill="FFFFFF"/>
              </w:rPr>
            </w:pPr>
            <w:r w:rsidRPr="00D1058B">
              <w:rPr>
                <w:rFonts w:asciiTheme="majorHAnsi" w:hAnsiTheme="majorHAnsi" w:cstheme="majorHAnsi"/>
                <w:b/>
                <w:bCs/>
                <w:sz w:val="20"/>
                <w:szCs w:val="20"/>
                <w:shd w:val="clear" w:color="auto" w:fill="FFFFFF"/>
              </w:rPr>
              <w:t>Lemtrada</w:t>
            </w:r>
          </w:p>
        </w:tc>
        <w:tc>
          <w:tcPr>
            <w:tcW w:w="662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D5E836" w14:textId="77777777" w:rsidR="00655A81" w:rsidRPr="00D1058B" w:rsidRDefault="00655A81" w:rsidP="000C028C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D1058B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Alemtuzumab</w:t>
            </w:r>
          </w:p>
        </w:tc>
        <w:tc>
          <w:tcPr>
            <w:tcW w:w="712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3A44B1" w14:textId="77777777" w:rsidR="00655A81" w:rsidRPr="00D1058B" w:rsidRDefault="00655A81" w:rsidP="000C028C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D1058B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B.46.</w:t>
            </w:r>
          </w:p>
        </w:tc>
        <w:tc>
          <w:tcPr>
            <w:tcW w:w="1532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6A3BDA" w14:textId="77777777" w:rsidR="00655A81" w:rsidRPr="00D1058B" w:rsidRDefault="00655A81" w:rsidP="000C028C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D1058B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LECZENIE STWARDNIENIA ROZSIANEGO PO NIEPOWODZENIU TERAPII LEKAMI PIERWSZEGO RZUTU LUB SZYBKO ROZWIJAJĄCEJ SIĘ CIĘŻKIEJ POSTACI STWARDNIENIA ROZSIANEGO LUB PIERWOTNIE POSTĘPUJĄCEJ POSTACI STWARDNIENIA ROZSIANEGO (ICD-10 G 35)</w:t>
            </w:r>
          </w:p>
        </w:tc>
        <w:tc>
          <w:tcPr>
            <w:tcW w:w="13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86F649" w14:textId="77777777" w:rsidR="00655A81" w:rsidRPr="00D1058B" w:rsidRDefault="00655A81" w:rsidP="000C028C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D1058B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W leczeniu II linii pacjentów z rzutowo-remisyjną postacią stwardnienia rozsianego</w:t>
            </w:r>
          </w:p>
        </w:tc>
      </w:tr>
      <w:tr w:rsidR="00655A81" w:rsidRPr="005058F2" w14:paraId="523C06ED" w14:textId="77777777" w:rsidTr="00476A3C">
        <w:trPr>
          <w:cantSplit/>
          <w:trHeight w:val="20"/>
        </w:trPr>
        <w:tc>
          <w:tcPr>
            <w:tcW w:w="21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EC35A9" w14:textId="77777777" w:rsidR="00655A81" w:rsidRPr="00D1058B" w:rsidRDefault="00655A81" w:rsidP="000C028C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539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D36DEF" w14:textId="77777777" w:rsidR="00655A81" w:rsidRPr="00D1058B" w:rsidRDefault="00655A81" w:rsidP="000C028C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  <w:shd w:val="clear" w:color="auto" w:fill="FFFFFF"/>
              </w:rPr>
            </w:pPr>
            <w:r w:rsidRPr="00D1058B">
              <w:rPr>
                <w:rFonts w:asciiTheme="majorHAnsi" w:hAnsiTheme="majorHAnsi" w:cstheme="majorHAnsi"/>
                <w:b/>
                <w:bCs/>
                <w:sz w:val="20"/>
                <w:szCs w:val="20"/>
                <w:shd w:val="clear" w:color="auto" w:fill="FFFFFF"/>
              </w:rPr>
              <w:t>Ketosteril</w:t>
            </w:r>
          </w:p>
        </w:tc>
        <w:tc>
          <w:tcPr>
            <w:tcW w:w="662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2D45FD" w14:textId="77777777" w:rsidR="00655A81" w:rsidRPr="00D1058B" w:rsidRDefault="00655A81" w:rsidP="000C028C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D1058B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Ketoanalogi aminokwasów</w:t>
            </w:r>
          </w:p>
        </w:tc>
        <w:tc>
          <w:tcPr>
            <w:tcW w:w="712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E2BE6C" w14:textId="77777777" w:rsidR="00655A81" w:rsidRPr="00D1058B" w:rsidRDefault="00655A81" w:rsidP="000C028C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D1058B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B.113.</w:t>
            </w:r>
          </w:p>
        </w:tc>
        <w:tc>
          <w:tcPr>
            <w:tcW w:w="1532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B001F6" w14:textId="77777777" w:rsidR="00655A81" w:rsidRPr="00D1058B" w:rsidRDefault="00655A81" w:rsidP="000C028C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D1058B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LECZENIE PACJENTÓW Z CHOROBAMI NEREK (ICD-10 N18)</w:t>
            </w:r>
          </w:p>
        </w:tc>
        <w:tc>
          <w:tcPr>
            <w:tcW w:w="13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62162C" w14:textId="77777777" w:rsidR="00476A3C" w:rsidRDefault="00655A81" w:rsidP="000C028C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D1058B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Przewlekła choroba nerek z następstwami nieprawidłowego lub niewystarczającego metabolizmu białek w stadium 4 lub 5 wg klasyfikacji KDIGO</w:t>
            </w:r>
            <w:r w:rsidR="007A21D4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72481434" w14:textId="1129B71A" w:rsidR="00655A81" w:rsidRPr="00D1058B" w:rsidRDefault="007A21D4" w:rsidP="000C028C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476A3C">
              <w:rPr>
                <w:rFonts w:asciiTheme="majorHAnsi" w:hAnsiTheme="majorHAnsi" w:cstheme="majorHAnsi"/>
                <w:b/>
                <w:bCs/>
                <w:sz w:val="20"/>
                <w:szCs w:val="20"/>
                <w:shd w:val="clear" w:color="auto" w:fill="FFFFFF"/>
              </w:rPr>
              <w:t>(</w:t>
            </w:r>
            <w:r w:rsidR="003F2888" w:rsidRPr="00476A3C">
              <w:rPr>
                <w:rFonts w:asciiTheme="majorHAnsi" w:hAnsiTheme="majorHAnsi" w:cstheme="majorHAnsi"/>
                <w:b/>
                <w:bCs/>
                <w:sz w:val="20"/>
                <w:szCs w:val="20"/>
                <w:shd w:val="clear" w:color="auto" w:fill="FFFFFF"/>
              </w:rPr>
              <w:t>C</w:t>
            </w:r>
            <w:r w:rsidRPr="007A21D4">
              <w:rPr>
                <w:rFonts w:asciiTheme="majorHAnsi" w:hAnsiTheme="majorHAnsi" w:cstheme="majorHAnsi"/>
                <w:b/>
                <w:bCs/>
                <w:sz w:val="20"/>
                <w:szCs w:val="20"/>
                <w:shd w:val="clear" w:color="auto" w:fill="FFFFFF"/>
              </w:rPr>
              <w:t>horoba rzadka</w:t>
            </w:r>
            <w:r w:rsidRPr="002D03A4">
              <w:rPr>
                <w:rFonts w:asciiTheme="majorHAnsi" w:hAnsiTheme="majorHAnsi" w:cstheme="majorHAnsi"/>
                <w:b/>
                <w:bCs/>
                <w:sz w:val="20"/>
                <w:szCs w:val="20"/>
                <w:shd w:val="clear" w:color="auto" w:fill="FFFFFF"/>
              </w:rPr>
              <w:t>)</w:t>
            </w:r>
          </w:p>
        </w:tc>
      </w:tr>
      <w:tr w:rsidR="002852FE" w:rsidRPr="005058F2" w14:paraId="6CCCEA36" w14:textId="77777777" w:rsidTr="00476A3C">
        <w:trPr>
          <w:cantSplit/>
          <w:trHeight w:val="20"/>
        </w:trPr>
        <w:tc>
          <w:tcPr>
            <w:tcW w:w="21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8949F3" w14:textId="12A98617" w:rsidR="002852FE" w:rsidRDefault="002852FE" w:rsidP="002852F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539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E6AA40" w14:textId="5324EBE9" w:rsidR="002852FE" w:rsidRPr="00D1058B" w:rsidRDefault="002852FE" w:rsidP="002852F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  <w:shd w:val="clear" w:color="auto" w:fill="FFFFFF"/>
              </w:rPr>
            </w:pPr>
            <w:r w:rsidRPr="002852FE">
              <w:rPr>
                <w:rFonts w:asciiTheme="majorHAnsi" w:hAnsiTheme="majorHAnsi" w:cstheme="majorHAnsi"/>
                <w:b/>
                <w:bCs/>
                <w:sz w:val="20"/>
                <w:szCs w:val="20"/>
                <w:shd w:val="clear" w:color="auto" w:fill="FFFFFF"/>
              </w:rPr>
              <w:t>Cimzia</w:t>
            </w:r>
          </w:p>
        </w:tc>
        <w:tc>
          <w:tcPr>
            <w:tcW w:w="662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1E0ADA" w14:textId="3E93A186" w:rsidR="002852FE" w:rsidRPr="00D1058B" w:rsidRDefault="002852FE" w:rsidP="002852F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2852FE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Certolizumabum pegol</w:t>
            </w:r>
          </w:p>
        </w:tc>
        <w:tc>
          <w:tcPr>
            <w:tcW w:w="712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93307A" w14:textId="0AD21612" w:rsidR="002852FE" w:rsidRPr="00D1058B" w:rsidRDefault="002852FE" w:rsidP="002852F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2852FE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B.47.</w:t>
            </w:r>
          </w:p>
        </w:tc>
        <w:tc>
          <w:tcPr>
            <w:tcW w:w="153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B785B8" w14:textId="3BCEE272" w:rsidR="002852FE" w:rsidRPr="00D1058B" w:rsidRDefault="002852FE" w:rsidP="002852F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2852FE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LECZENIE UMIARKOWANEJ I CIĘŻKIEJ POSTACI ŁUSZCZYCY PLACKOWATEJ (ICD-10 L 40.0)</w:t>
            </w:r>
          </w:p>
        </w:tc>
        <w:tc>
          <w:tcPr>
            <w:tcW w:w="13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91D608" w14:textId="3B1A8937" w:rsidR="002852FE" w:rsidRPr="00D1058B" w:rsidRDefault="002852FE" w:rsidP="002852F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I</w:t>
            </w:r>
            <w:r w:rsidRPr="002852FE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nhibitor czynnika martwicy nowotworów alfa (TNFα)</w:t>
            </w:r>
          </w:p>
        </w:tc>
      </w:tr>
      <w:tr w:rsidR="002852FE" w:rsidRPr="005058F2" w14:paraId="27622696" w14:textId="77777777" w:rsidTr="00476A3C">
        <w:trPr>
          <w:cantSplit/>
          <w:trHeight w:val="20"/>
        </w:trPr>
        <w:tc>
          <w:tcPr>
            <w:tcW w:w="21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1820D2" w14:textId="0C89DA6E" w:rsidR="002852FE" w:rsidRDefault="002852FE" w:rsidP="002852F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539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AFFB0C" w14:textId="7D8300F6" w:rsidR="002852FE" w:rsidRPr="00D1058B" w:rsidRDefault="002852FE" w:rsidP="002852F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  <w:shd w:val="clear" w:color="auto" w:fill="FFFFFF"/>
              </w:rPr>
            </w:pPr>
            <w:r w:rsidRPr="002852FE">
              <w:rPr>
                <w:rFonts w:asciiTheme="majorHAnsi" w:hAnsiTheme="majorHAnsi" w:cstheme="majorHAnsi"/>
                <w:b/>
                <w:bCs/>
                <w:sz w:val="20"/>
                <w:szCs w:val="20"/>
                <w:shd w:val="clear" w:color="auto" w:fill="FFFFFF"/>
              </w:rPr>
              <w:t>Taltz</w:t>
            </w:r>
          </w:p>
        </w:tc>
        <w:tc>
          <w:tcPr>
            <w:tcW w:w="662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3EBE44" w14:textId="4E90A505" w:rsidR="002852FE" w:rsidRPr="00D1058B" w:rsidRDefault="002852FE" w:rsidP="002852F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2852FE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Ixekizumabum</w:t>
            </w:r>
          </w:p>
        </w:tc>
        <w:tc>
          <w:tcPr>
            <w:tcW w:w="712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163EC6" w14:textId="34B1EDB4" w:rsidR="002852FE" w:rsidRPr="00D1058B" w:rsidRDefault="002852FE" w:rsidP="002852F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2852FE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B.35.</w:t>
            </w:r>
          </w:p>
        </w:tc>
        <w:tc>
          <w:tcPr>
            <w:tcW w:w="153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7311E9" w14:textId="27EC70D9" w:rsidR="002852FE" w:rsidRPr="00D1058B" w:rsidRDefault="002852FE" w:rsidP="002852F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2852FE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LECZENIE AKTYWNEJ POSTACI ŁUSZCZYCOWEGO ZAPALENIA STAWÓW (ŁZS) (ICD-10 L 40.5, M 07.1, M 07.2, M 07.3)</w:t>
            </w:r>
          </w:p>
        </w:tc>
        <w:tc>
          <w:tcPr>
            <w:tcW w:w="13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830BA1" w14:textId="3A0159B4" w:rsidR="002852FE" w:rsidRPr="00D1058B" w:rsidRDefault="002852FE" w:rsidP="002852F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2852FE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inhibitor interleukiny</w:t>
            </w:r>
          </w:p>
        </w:tc>
      </w:tr>
      <w:tr w:rsidR="002852FE" w:rsidRPr="005058F2" w14:paraId="6FBE0C29" w14:textId="77777777" w:rsidTr="00476A3C">
        <w:trPr>
          <w:cantSplit/>
          <w:trHeight w:val="20"/>
        </w:trPr>
        <w:tc>
          <w:tcPr>
            <w:tcW w:w="21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E077CC" w14:textId="1F8D58AC" w:rsidR="002852FE" w:rsidRDefault="002852FE" w:rsidP="002852F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539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60A095" w14:textId="062116D9" w:rsidR="002852FE" w:rsidRPr="00D1058B" w:rsidRDefault="002852FE" w:rsidP="002852F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  <w:shd w:val="clear" w:color="auto" w:fill="FFFFFF"/>
              </w:rPr>
            </w:pPr>
            <w:r w:rsidRPr="002852FE">
              <w:rPr>
                <w:rFonts w:asciiTheme="majorHAnsi" w:hAnsiTheme="majorHAnsi" w:cstheme="majorHAnsi"/>
                <w:b/>
                <w:bCs/>
                <w:sz w:val="20"/>
                <w:szCs w:val="20"/>
                <w:shd w:val="clear" w:color="auto" w:fill="FFFFFF"/>
              </w:rPr>
              <w:t>Uptravi</w:t>
            </w:r>
          </w:p>
        </w:tc>
        <w:tc>
          <w:tcPr>
            <w:tcW w:w="662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FD4072" w14:textId="3E76333C" w:rsidR="002852FE" w:rsidRPr="00D1058B" w:rsidRDefault="002852FE" w:rsidP="002852F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2852FE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seleksypag</w:t>
            </w:r>
          </w:p>
        </w:tc>
        <w:tc>
          <w:tcPr>
            <w:tcW w:w="712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9E1C25" w14:textId="57986BAC" w:rsidR="002852FE" w:rsidRPr="00D1058B" w:rsidRDefault="002852FE" w:rsidP="002852F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2852FE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B.31</w:t>
            </w:r>
          </w:p>
        </w:tc>
        <w:tc>
          <w:tcPr>
            <w:tcW w:w="153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AAA344" w14:textId="571921D7" w:rsidR="002852FE" w:rsidRPr="00D1058B" w:rsidRDefault="002852FE" w:rsidP="002852F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2852FE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LECZENIE TĘTNICZEGO NADCIŚNIENIA PŁUCNEGO (TNP) (ICD-10 I27, I27.0)</w:t>
            </w:r>
          </w:p>
        </w:tc>
        <w:tc>
          <w:tcPr>
            <w:tcW w:w="13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4629CB" w14:textId="761EB242" w:rsidR="002852FE" w:rsidRPr="00D1058B" w:rsidRDefault="002852FE" w:rsidP="002852F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W</w:t>
            </w:r>
            <w:r w:rsidRPr="002852FE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 xml:space="preserve"> połączeniu z inhibitorem PDE-5 oraz antagonistami receptorów endotelinowych w przypadku III klasy czynnościowej jeśli dotychczasowe leczenie jednym ze schematów lekowych przewidzianych do stosowania w terapii skojarzonej okazało się nieskuteczne lub źle tolerowane</w:t>
            </w:r>
            <w:r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 xml:space="preserve"> (dorośli)</w:t>
            </w:r>
          </w:p>
        </w:tc>
      </w:tr>
      <w:tr w:rsidR="002852FE" w:rsidRPr="005058F2" w14:paraId="0602B212" w14:textId="77777777" w:rsidTr="00476A3C">
        <w:trPr>
          <w:cantSplit/>
          <w:trHeight w:val="20"/>
        </w:trPr>
        <w:tc>
          <w:tcPr>
            <w:tcW w:w="21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E28BA3" w14:textId="5BFE8B7A" w:rsidR="002852FE" w:rsidRPr="00D1058B" w:rsidRDefault="002852FE" w:rsidP="002852F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lastRenderedPageBreak/>
              <w:t>6</w:t>
            </w:r>
          </w:p>
        </w:tc>
        <w:tc>
          <w:tcPr>
            <w:tcW w:w="53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13C861" w14:textId="77777777" w:rsidR="002852FE" w:rsidRPr="00D1058B" w:rsidRDefault="002852FE" w:rsidP="002852F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  <w:shd w:val="clear" w:color="auto" w:fill="FFFFFF"/>
              </w:rPr>
            </w:pPr>
            <w:r w:rsidRPr="00D1058B">
              <w:rPr>
                <w:rFonts w:asciiTheme="majorHAnsi" w:hAnsiTheme="majorHAnsi" w:cstheme="majorHAnsi"/>
                <w:b/>
                <w:bCs/>
                <w:sz w:val="20"/>
                <w:szCs w:val="20"/>
                <w:shd w:val="clear" w:color="auto" w:fill="FFFFFF"/>
              </w:rPr>
              <w:t>Vosevi</w:t>
            </w:r>
          </w:p>
        </w:tc>
        <w:tc>
          <w:tcPr>
            <w:tcW w:w="66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FAF4BF" w14:textId="77777777" w:rsidR="002852FE" w:rsidRPr="00D1058B" w:rsidRDefault="002852FE" w:rsidP="002852F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D1058B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Sofosbuvir, Velpatasivir, Voxilaprevir</w:t>
            </w:r>
          </w:p>
        </w:tc>
        <w:tc>
          <w:tcPr>
            <w:tcW w:w="712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8C367A" w14:textId="77777777" w:rsidR="002852FE" w:rsidRPr="00D1058B" w:rsidRDefault="002852FE" w:rsidP="002852F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D1058B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 xml:space="preserve">B.71. </w:t>
            </w:r>
          </w:p>
        </w:tc>
        <w:tc>
          <w:tcPr>
            <w:tcW w:w="153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12C029" w14:textId="77777777" w:rsidR="002852FE" w:rsidRPr="00D1058B" w:rsidRDefault="002852FE" w:rsidP="002852F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D1058B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LECZENIE PRZEWLEKŁEGO WIRUSOWEGO ZAPALENIA WĄTROBY TYPU C TERAPIĄ BEZINTERFERONOWĄ (ICD-10 B 18.2)</w:t>
            </w:r>
          </w:p>
        </w:tc>
        <w:tc>
          <w:tcPr>
            <w:tcW w:w="13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62B692" w14:textId="77777777" w:rsidR="002852FE" w:rsidRPr="00D1058B" w:rsidRDefault="002852FE" w:rsidP="002852F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</w:p>
        </w:tc>
      </w:tr>
      <w:tr w:rsidR="002852FE" w:rsidRPr="005058F2" w14:paraId="50E180B2" w14:textId="77777777" w:rsidTr="00476A3C">
        <w:trPr>
          <w:cantSplit/>
          <w:trHeight w:val="20"/>
        </w:trPr>
        <w:tc>
          <w:tcPr>
            <w:tcW w:w="21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760467" w14:textId="4F39BFBB" w:rsidR="002852FE" w:rsidRPr="00204A92" w:rsidRDefault="002852FE" w:rsidP="002852F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53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93AF2C" w14:textId="77777777" w:rsidR="002852FE" w:rsidRPr="00204A92" w:rsidRDefault="002852FE" w:rsidP="002852F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</w:rPr>
            </w:pPr>
            <w:r w:rsidRPr="00204A92">
              <w:rPr>
                <w:rFonts w:asciiTheme="majorHAnsi" w:hAnsiTheme="majorHAnsi" w:cstheme="majorHAnsi"/>
                <w:b/>
                <w:bCs/>
                <w:noProof/>
                <w:sz w:val="20"/>
                <w:szCs w:val="20"/>
              </w:rPr>
              <w:t>Signifor</w:t>
            </w:r>
          </w:p>
        </w:tc>
        <w:tc>
          <w:tcPr>
            <w:tcW w:w="66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B3F6F6" w14:textId="77777777" w:rsidR="002852FE" w:rsidRPr="00204A92" w:rsidRDefault="002852FE" w:rsidP="002852F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</w:rPr>
            </w:pPr>
            <w:r w:rsidRPr="00204A92">
              <w:rPr>
                <w:rFonts w:asciiTheme="majorHAnsi" w:hAnsiTheme="majorHAnsi" w:cstheme="majorHAnsi"/>
                <w:i/>
                <w:iCs/>
                <w:noProof/>
                <w:sz w:val="20"/>
                <w:szCs w:val="20"/>
              </w:rPr>
              <w:t>pasyreotyd</w:t>
            </w:r>
          </w:p>
        </w:tc>
        <w:tc>
          <w:tcPr>
            <w:tcW w:w="71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161C3F" w14:textId="77777777" w:rsidR="002852FE" w:rsidRPr="00204A92" w:rsidRDefault="002852FE" w:rsidP="002852F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</w:rPr>
            </w:pPr>
            <w:r w:rsidRPr="00204A92">
              <w:rPr>
                <w:rFonts w:asciiTheme="majorHAnsi" w:hAnsiTheme="majorHAnsi" w:cstheme="majorHAnsi"/>
                <w:sz w:val="20"/>
                <w:szCs w:val="20"/>
              </w:rPr>
              <w:t>B.118</w:t>
            </w:r>
          </w:p>
        </w:tc>
        <w:tc>
          <w:tcPr>
            <w:tcW w:w="153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4697C6" w14:textId="77777777" w:rsidR="002852FE" w:rsidRPr="00204A92" w:rsidRDefault="002852FE" w:rsidP="002852F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</w:rPr>
            </w:pPr>
            <w:r w:rsidRPr="00204A92">
              <w:rPr>
                <w:rFonts w:asciiTheme="majorHAnsi" w:hAnsiTheme="majorHAnsi" w:cstheme="majorHAnsi"/>
                <w:noProof/>
                <w:sz w:val="20"/>
                <w:szCs w:val="20"/>
              </w:rPr>
              <w:t>LECZENIE CHOROBY CUSHINGA (ICD-10 E24.0)</w:t>
            </w:r>
          </w:p>
        </w:tc>
        <w:tc>
          <w:tcPr>
            <w:tcW w:w="13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2D5C15" w14:textId="1E294292" w:rsidR="00476A3C" w:rsidRDefault="002852FE" w:rsidP="002852FE">
            <w:pPr>
              <w:spacing w:before="60" w:after="60" w:line="240" w:lineRule="auto"/>
              <w:jc w:val="center"/>
              <w:rPr>
                <w:rFonts w:asciiTheme="majorHAnsi" w:eastAsia="SimSun" w:hAnsiTheme="majorHAnsi" w:cstheme="majorHAnsi"/>
                <w:bCs/>
                <w:kern w:val="1"/>
                <w:sz w:val="20"/>
                <w:szCs w:val="20"/>
                <w:lang w:eastAsia="pl-PL"/>
              </w:rPr>
            </w:pPr>
            <w:r w:rsidRPr="00204A92">
              <w:rPr>
                <w:rFonts w:asciiTheme="majorHAnsi" w:eastAsia="SimSun" w:hAnsiTheme="majorHAnsi" w:cstheme="majorHAnsi"/>
                <w:bCs/>
                <w:kern w:val="1"/>
                <w:sz w:val="20"/>
                <w:szCs w:val="20"/>
                <w:lang w:eastAsia="pl-PL"/>
              </w:rPr>
              <w:t>Leczenie dorosłych pacjentów, u których wykonanie zabiegu operacyjnego guza przysadki nie jest możliwe lub zakończyło się niepowodzeniem</w:t>
            </w:r>
          </w:p>
          <w:p w14:paraId="7F393635" w14:textId="662F571A" w:rsidR="002852FE" w:rsidRPr="00204A92" w:rsidRDefault="000F5439" w:rsidP="002852F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</w:rPr>
            </w:pPr>
            <w:r w:rsidRPr="00476A3C">
              <w:rPr>
                <w:rFonts w:asciiTheme="majorHAnsi" w:eastAsia="SimSun" w:hAnsiTheme="majorHAnsi" w:cstheme="majorHAnsi"/>
                <w:b/>
                <w:kern w:val="1"/>
                <w:sz w:val="20"/>
                <w:szCs w:val="20"/>
                <w:lang w:eastAsia="pl-PL"/>
              </w:rPr>
              <w:t>(Choroba</w:t>
            </w:r>
            <w:r w:rsidRPr="000F5439">
              <w:rPr>
                <w:rFonts w:asciiTheme="majorHAnsi" w:eastAsia="SimSun" w:hAnsiTheme="majorHAnsi" w:cstheme="majorHAnsi"/>
                <w:b/>
                <w:kern w:val="1"/>
                <w:sz w:val="20"/>
                <w:szCs w:val="20"/>
                <w:lang w:eastAsia="pl-PL"/>
              </w:rPr>
              <w:t xml:space="preserve"> rzadka</w:t>
            </w:r>
            <w:r w:rsidRPr="002D03A4">
              <w:rPr>
                <w:rFonts w:asciiTheme="majorHAnsi" w:eastAsia="SimSun" w:hAnsiTheme="majorHAnsi" w:cstheme="majorHAnsi"/>
                <w:b/>
                <w:kern w:val="1"/>
                <w:sz w:val="20"/>
                <w:szCs w:val="20"/>
                <w:lang w:eastAsia="pl-PL"/>
              </w:rPr>
              <w:t>)</w:t>
            </w:r>
          </w:p>
        </w:tc>
      </w:tr>
      <w:tr w:rsidR="002852FE" w:rsidRPr="005058F2" w14:paraId="4F940A12" w14:textId="77777777" w:rsidTr="00476A3C">
        <w:trPr>
          <w:cantSplit/>
          <w:trHeight w:val="20"/>
        </w:trPr>
        <w:tc>
          <w:tcPr>
            <w:tcW w:w="21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1306CD" w14:textId="757D3ECC" w:rsidR="002852FE" w:rsidRPr="00204A92" w:rsidRDefault="002852FE" w:rsidP="002852F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53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F8D404" w14:textId="77777777" w:rsidR="002852FE" w:rsidRPr="00204A92" w:rsidRDefault="002852FE" w:rsidP="002852F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</w:rPr>
            </w:pPr>
            <w:r w:rsidRPr="00204A9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Idelvion</w:t>
            </w:r>
          </w:p>
        </w:tc>
        <w:tc>
          <w:tcPr>
            <w:tcW w:w="66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EA8CDF" w14:textId="77777777" w:rsidR="002852FE" w:rsidRPr="00204A92" w:rsidRDefault="002852FE" w:rsidP="002852F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</w:rPr>
            </w:pPr>
            <w:r w:rsidRPr="00204A92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albutrepenonakog alfa</w:t>
            </w:r>
          </w:p>
        </w:tc>
        <w:tc>
          <w:tcPr>
            <w:tcW w:w="71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2B24AB" w14:textId="77777777" w:rsidR="002852FE" w:rsidRPr="00204A92" w:rsidRDefault="002852FE" w:rsidP="002852F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</w:rPr>
            </w:pPr>
            <w:r w:rsidRPr="00204A92">
              <w:rPr>
                <w:rFonts w:asciiTheme="majorHAnsi" w:hAnsiTheme="majorHAnsi" w:cstheme="majorHAnsi"/>
                <w:sz w:val="20"/>
                <w:szCs w:val="20"/>
              </w:rPr>
              <w:t>B.15.</w:t>
            </w:r>
          </w:p>
        </w:tc>
        <w:tc>
          <w:tcPr>
            <w:tcW w:w="153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2AB645" w14:textId="77777777" w:rsidR="002852FE" w:rsidRPr="00204A92" w:rsidRDefault="002852FE" w:rsidP="002852F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</w:rPr>
            </w:pPr>
            <w:r w:rsidRPr="00204A92">
              <w:rPr>
                <w:rFonts w:asciiTheme="majorHAnsi" w:hAnsiTheme="majorHAnsi" w:cstheme="majorHAnsi"/>
                <w:sz w:val="20"/>
                <w:szCs w:val="20"/>
              </w:rPr>
              <w:t>ZAPOBIEGANIE KRWAWIENIOM U DZIECI Z HEMOFILIĄ A I B (ICD-10 D 66, D 67)</w:t>
            </w:r>
          </w:p>
        </w:tc>
        <w:tc>
          <w:tcPr>
            <w:tcW w:w="13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629426" w14:textId="20CBEDED" w:rsidR="00476A3C" w:rsidRDefault="002852FE" w:rsidP="002852F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04A92">
              <w:rPr>
                <w:rFonts w:asciiTheme="majorHAnsi" w:hAnsiTheme="majorHAnsi" w:cstheme="majorHAnsi"/>
                <w:sz w:val="20"/>
                <w:szCs w:val="20"/>
              </w:rPr>
              <w:t xml:space="preserve">Pierwotna i wtórna profilaktyka krwawień u dzieci, chorych na </w:t>
            </w:r>
            <w:r w:rsidR="00476A3C">
              <w:rPr>
                <w:rFonts w:asciiTheme="majorHAnsi" w:hAnsiTheme="majorHAnsi" w:cstheme="majorHAnsi"/>
                <w:sz w:val="20"/>
                <w:szCs w:val="20"/>
              </w:rPr>
              <w:br/>
            </w:r>
            <w:r w:rsidRPr="00204A92">
              <w:rPr>
                <w:rFonts w:asciiTheme="majorHAnsi" w:hAnsiTheme="majorHAnsi" w:cstheme="majorHAnsi"/>
                <w:sz w:val="20"/>
                <w:szCs w:val="20"/>
              </w:rPr>
              <w:t>hemofilię B</w:t>
            </w:r>
            <w:r w:rsidR="00F541FE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  <w:p w14:paraId="7A9F6289" w14:textId="2FEB8BE5" w:rsidR="002852FE" w:rsidRPr="00204A92" w:rsidRDefault="00F541FE" w:rsidP="002852F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</w:rPr>
            </w:pPr>
            <w:r w:rsidRPr="00476A3C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(</w:t>
            </w:r>
            <w:r w:rsidR="000F5439" w:rsidRPr="00476A3C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C</w:t>
            </w:r>
            <w:r w:rsidRPr="00476A3C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horoba</w:t>
            </w:r>
            <w:r w:rsidRPr="000F5439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rzadka</w:t>
            </w:r>
            <w:r w:rsidRPr="002D03A4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)</w:t>
            </w:r>
          </w:p>
        </w:tc>
      </w:tr>
      <w:tr w:rsidR="002852FE" w:rsidRPr="005058F2" w14:paraId="7D18694D" w14:textId="77777777" w:rsidTr="00476A3C">
        <w:trPr>
          <w:cantSplit/>
          <w:trHeight w:val="20"/>
        </w:trPr>
        <w:tc>
          <w:tcPr>
            <w:tcW w:w="21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532861" w14:textId="60DF1E74" w:rsidR="002852FE" w:rsidRPr="00204A92" w:rsidRDefault="002852FE" w:rsidP="002852F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53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411B41" w14:textId="77777777" w:rsidR="002852FE" w:rsidRPr="00204A92" w:rsidRDefault="002852FE" w:rsidP="002852F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</w:rPr>
            </w:pPr>
            <w:r w:rsidRPr="00204A9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Ozurdex</w:t>
            </w:r>
          </w:p>
        </w:tc>
        <w:tc>
          <w:tcPr>
            <w:tcW w:w="66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BF7CEF" w14:textId="77777777" w:rsidR="002852FE" w:rsidRPr="00204A92" w:rsidRDefault="002852FE" w:rsidP="002852F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</w:rPr>
            </w:pPr>
            <w:r w:rsidRPr="00204A92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deksametazon w postaci implantu doszklistkowego</w:t>
            </w:r>
          </w:p>
        </w:tc>
        <w:tc>
          <w:tcPr>
            <w:tcW w:w="71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289B18" w14:textId="77777777" w:rsidR="002852FE" w:rsidRPr="00204A92" w:rsidRDefault="002852FE" w:rsidP="002852F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</w:rPr>
            </w:pPr>
            <w:r w:rsidRPr="00204A92">
              <w:rPr>
                <w:rFonts w:asciiTheme="majorHAnsi" w:hAnsiTheme="majorHAnsi" w:cstheme="majorHAnsi"/>
                <w:sz w:val="20"/>
                <w:szCs w:val="20"/>
              </w:rPr>
              <w:t>B.120</w:t>
            </w:r>
          </w:p>
        </w:tc>
        <w:tc>
          <w:tcPr>
            <w:tcW w:w="153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D29905" w14:textId="77777777" w:rsidR="002852FE" w:rsidRPr="000C1192" w:rsidRDefault="002852FE" w:rsidP="002852F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04A92">
              <w:rPr>
                <w:rFonts w:asciiTheme="majorHAnsi" w:hAnsiTheme="majorHAnsi" w:cstheme="majorHAnsi"/>
                <w:sz w:val="20"/>
                <w:szCs w:val="20"/>
              </w:rPr>
              <w:t>LECZENIE PACJENTÓW Z CUKRZYCOWYM OBRZĘKIEM PLAMKI (DME) (ICD-10 H 36.0)</w:t>
            </w:r>
          </w:p>
        </w:tc>
        <w:tc>
          <w:tcPr>
            <w:tcW w:w="13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454296" w14:textId="77777777" w:rsidR="002852FE" w:rsidRPr="00204A92" w:rsidRDefault="002852FE" w:rsidP="002852F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</w:rPr>
            </w:pPr>
            <w:r w:rsidRPr="00204A92">
              <w:rPr>
                <w:rFonts w:asciiTheme="majorHAnsi" w:hAnsiTheme="majorHAnsi" w:cstheme="majorHAnsi"/>
                <w:sz w:val="20"/>
                <w:szCs w:val="20"/>
              </w:rPr>
              <w:t>III linia leczenia</w:t>
            </w:r>
          </w:p>
        </w:tc>
      </w:tr>
      <w:tr w:rsidR="002852FE" w:rsidRPr="005058F2" w14:paraId="362104C2" w14:textId="77777777" w:rsidTr="00476A3C">
        <w:trPr>
          <w:cantSplit/>
          <w:trHeight w:val="20"/>
        </w:trPr>
        <w:tc>
          <w:tcPr>
            <w:tcW w:w="21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8CB612" w14:textId="20327E98" w:rsidR="002852FE" w:rsidRPr="00204A92" w:rsidRDefault="002852FE" w:rsidP="002852F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53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319733" w14:textId="77777777" w:rsidR="002852FE" w:rsidRPr="00204A92" w:rsidRDefault="002852FE" w:rsidP="002852F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</w:rPr>
            </w:pPr>
            <w:r w:rsidRPr="00204A9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Eylea</w:t>
            </w:r>
          </w:p>
        </w:tc>
        <w:tc>
          <w:tcPr>
            <w:tcW w:w="66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823E04" w14:textId="77777777" w:rsidR="002852FE" w:rsidRPr="00204A92" w:rsidRDefault="002852FE" w:rsidP="002852F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</w:rPr>
            </w:pPr>
            <w:r w:rsidRPr="00204A92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aflibercept</w:t>
            </w:r>
          </w:p>
        </w:tc>
        <w:tc>
          <w:tcPr>
            <w:tcW w:w="71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920C06" w14:textId="77777777" w:rsidR="002852FE" w:rsidRPr="00204A92" w:rsidRDefault="002852FE" w:rsidP="002852F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</w:rPr>
            </w:pPr>
            <w:r w:rsidRPr="00204A92">
              <w:rPr>
                <w:rFonts w:asciiTheme="majorHAnsi" w:hAnsiTheme="majorHAnsi" w:cstheme="majorHAnsi"/>
                <w:sz w:val="20"/>
                <w:szCs w:val="20"/>
              </w:rPr>
              <w:t>B.120</w:t>
            </w:r>
          </w:p>
        </w:tc>
        <w:tc>
          <w:tcPr>
            <w:tcW w:w="153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E42396" w14:textId="77777777" w:rsidR="002852FE" w:rsidRPr="000C1192" w:rsidRDefault="002852FE" w:rsidP="002852F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04A92">
              <w:rPr>
                <w:rFonts w:asciiTheme="majorHAnsi" w:hAnsiTheme="majorHAnsi" w:cstheme="majorHAnsi"/>
                <w:sz w:val="20"/>
                <w:szCs w:val="20"/>
              </w:rPr>
              <w:t>LECZENIE PACJENTÓW Z CUKRZYCOWYM OBRZĘKIEM PLAMKI (DME) (ICD-10 H 36.0)</w:t>
            </w:r>
          </w:p>
        </w:tc>
        <w:tc>
          <w:tcPr>
            <w:tcW w:w="13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36106C" w14:textId="77777777" w:rsidR="002852FE" w:rsidRPr="00204A92" w:rsidRDefault="002852FE" w:rsidP="002852F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</w:rPr>
            </w:pPr>
            <w:r w:rsidRPr="00204A92">
              <w:rPr>
                <w:rFonts w:asciiTheme="majorHAnsi" w:hAnsiTheme="majorHAnsi" w:cstheme="majorHAnsi"/>
                <w:sz w:val="20"/>
                <w:szCs w:val="20"/>
              </w:rPr>
              <w:t>II linia leczenia lub kontynuacja aktualnej terapii</w:t>
            </w:r>
          </w:p>
        </w:tc>
      </w:tr>
      <w:tr w:rsidR="002852FE" w:rsidRPr="005058F2" w14:paraId="68FB2771" w14:textId="77777777" w:rsidTr="00476A3C">
        <w:trPr>
          <w:cantSplit/>
          <w:trHeight w:val="20"/>
        </w:trPr>
        <w:tc>
          <w:tcPr>
            <w:tcW w:w="21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C05454" w14:textId="4E10A478" w:rsidR="002852FE" w:rsidRPr="00204A92" w:rsidRDefault="002852FE" w:rsidP="002852F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53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6FE9CB" w14:textId="77777777" w:rsidR="002852FE" w:rsidRPr="00204A92" w:rsidRDefault="002852FE" w:rsidP="002852F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</w:rPr>
            </w:pPr>
            <w:r w:rsidRPr="00204A9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różne nazwy handlowe (Avastin, Mvasi, Zirabev)</w:t>
            </w:r>
          </w:p>
        </w:tc>
        <w:tc>
          <w:tcPr>
            <w:tcW w:w="66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68CAF7" w14:textId="77777777" w:rsidR="002852FE" w:rsidRPr="00204A92" w:rsidRDefault="002852FE" w:rsidP="002852F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</w:rPr>
            </w:pPr>
            <w:r w:rsidRPr="00204A92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bewacyzumab</w:t>
            </w:r>
          </w:p>
        </w:tc>
        <w:tc>
          <w:tcPr>
            <w:tcW w:w="71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3F44BE" w14:textId="77777777" w:rsidR="002852FE" w:rsidRPr="00204A92" w:rsidRDefault="002852FE" w:rsidP="002852F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</w:rPr>
            </w:pPr>
            <w:r w:rsidRPr="00204A92">
              <w:rPr>
                <w:rFonts w:asciiTheme="majorHAnsi" w:hAnsiTheme="majorHAnsi" w:cstheme="majorHAnsi"/>
                <w:sz w:val="20"/>
                <w:szCs w:val="20"/>
              </w:rPr>
              <w:t>B.120</w:t>
            </w:r>
          </w:p>
        </w:tc>
        <w:tc>
          <w:tcPr>
            <w:tcW w:w="153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3CECC9" w14:textId="77777777" w:rsidR="002852FE" w:rsidRPr="000C1192" w:rsidRDefault="002852FE" w:rsidP="002852F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04A92">
              <w:rPr>
                <w:rFonts w:asciiTheme="majorHAnsi" w:hAnsiTheme="majorHAnsi" w:cstheme="majorHAnsi"/>
                <w:sz w:val="20"/>
                <w:szCs w:val="20"/>
              </w:rPr>
              <w:t>LECZENIE PACJENTÓW Z CUKRZYCOWYM OBRZĘKIEM PLAMKI (DME) (ICD-10 H 36.0)</w:t>
            </w:r>
          </w:p>
        </w:tc>
        <w:tc>
          <w:tcPr>
            <w:tcW w:w="13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54CAF6" w14:textId="77777777" w:rsidR="002852FE" w:rsidRPr="00204A92" w:rsidRDefault="002852FE" w:rsidP="002852F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</w:rPr>
            </w:pPr>
            <w:r w:rsidRPr="00204A92">
              <w:rPr>
                <w:rFonts w:asciiTheme="majorHAnsi" w:hAnsiTheme="majorHAnsi" w:cstheme="majorHAnsi"/>
                <w:sz w:val="20"/>
                <w:szCs w:val="20"/>
              </w:rPr>
              <w:t>I linia leczenia lub kontynuacja aktualnej terapii</w:t>
            </w:r>
          </w:p>
        </w:tc>
      </w:tr>
      <w:tr w:rsidR="002852FE" w:rsidRPr="005058F2" w14:paraId="3B87B14C" w14:textId="77777777" w:rsidTr="00476A3C">
        <w:trPr>
          <w:cantSplit/>
          <w:trHeight w:val="20"/>
        </w:trPr>
        <w:tc>
          <w:tcPr>
            <w:tcW w:w="21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24FF6F" w14:textId="7BF937A0" w:rsidR="002852FE" w:rsidRPr="00204A92" w:rsidRDefault="002852FE" w:rsidP="002852F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53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67EF95" w14:textId="77777777" w:rsidR="002852FE" w:rsidRPr="00204A92" w:rsidRDefault="002852FE" w:rsidP="002852F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204A9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Lucentis</w:t>
            </w:r>
          </w:p>
        </w:tc>
        <w:tc>
          <w:tcPr>
            <w:tcW w:w="66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5F120E" w14:textId="77777777" w:rsidR="002852FE" w:rsidRPr="00204A92" w:rsidRDefault="002852FE" w:rsidP="002852F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204A92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ranibizumab</w:t>
            </w:r>
          </w:p>
        </w:tc>
        <w:tc>
          <w:tcPr>
            <w:tcW w:w="71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445E49" w14:textId="77777777" w:rsidR="002852FE" w:rsidRPr="00204A92" w:rsidRDefault="002852FE" w:rsidP="002852F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04A92">
              <w:rPr>
                <w:rFonts w:asciiTheme="majorHAnsi" w:hAnsiTheme="majorHAnsi" w:cstheme="majorHAnsi"/>
                <w:sz w:val="20"/>
                <w:szCs w:val="20"/>
              </w:rPr>
              <w:t>B.120.</w:t>
            </w:r>
          </w:p>
        </w:tc>
        <w:tc>
          <w:tcPr>
            <w:tcW w:w="153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E1B6AA" w14:textId="77777777" w:rsidR="002852FE" w:rsidRPr="00204A92" w:rsidRDefault="002852FE" w:rsidP="002852F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04A92">
              <w:rPr>
                <w:rFonts w:asciiTheme="majorHAnsi" w:hAnsiTheme="majorHAnsi" w:cstheme="majorHAnsi"/>
                <w:sz w:val="20"/>
                <w:szCs w:val="20"/>
              </w:rPr>
              <w:t>LECZENIE CHORYCH NA CUKRZYCOWY OBRZĘK PLAMKI (DME) (ICD-10 H 36.0)</w:t>
            </w:r>
          </w:p>
        </w:tc>
        <w:tc>
          <w:tcPr>
            <w:tcW w:w="13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296EAC" w14:textId="77777777" w:rsidR="002852FE" w:rsidRPr="00204A92" w:rsidRDefault="002852FE" w:rsidP="002852F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04A92">
              <w:rPr>
                <w:rFonts w:asciiTheme="majorHAnsi" w:hAnsiTheme="majorHAnsi" w:cstheme="majorHAnsi"/>
                <w:sz w:val="20"/>
                <w:szCs w:val="20"/>
              </w:rPr>
              <w:t xml:space="preserve">II linia leczenia – kolejna opcja terapeutyczna </w:t>
            </w:r>
            <w:r w:rsidRPr="00204A92">
              <w:rPr>
                <w:rFonts w:asciiTheme="majorHAnsi" w:hAnsiTheme="majorHAnsi" w:cstheme="majorHAnsi"/>
                <w:sz w:val="20"/>
                <w:szCs w:val="20"/>
              </w:rPr>
              <w:br/>
              <w:t xml:space="preserve">w programie leczenia cukrzycowego obrzęku plamki obok refundowanego już w II linii afliberceptu </w:t>
            </w:r>
          </w:p>
        </w:tc>
      </w:tr>
      <w:tr w:rsidR="002852FE" w:rsidRPr="005058F2" w14:paraId="15FE4B89" w14:textId="77777777" w:rsidTr="00476A3C">
        <w:trPr>
          <w:cantSplit/>
          <w:trHeight w:val="20"/>
        </w:trPr>
        <w:tc>
          <w:tcPr>
            <w:tcW w:w="21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A99144" w14:textId="537DD728" w:rsidR="002852FE" w:rsidRPr="00204A92" w:rsidRDefault="002852FE" w:rsidP="002852F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53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36C3AF" w14:textId="77777777" w:rsidR="002852FE" w:rsidRPr="00204A92" w:rsidRDefault="002852FE" w:rsidP="002852F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</w:rPr>
            </w:pPr>
            <w:r w:rsidRPr="00204A9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Takhzyro</w:t>
            </w:r>
          </w:p>
        </w:tc>
        <w:tc>
          <w:tcPr>
            <w:tcW w:w="66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FDCC37" w14:textId="77777777" w:rsidR="002852FE" w:rsidRPr="00204A92" w:rsidRDefault="002852FE" w:rsidP="002852F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</w:rPr>
            </w:pPr>
            <w:r w:rsidRPr="00204A92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lanadelumab</w:t>
            </w:r>
          </w:p>
        </w:tc>
        <w:tc>
          <w:tcPr>
            <w:tcW w:w="71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904A4C" w14:textId="77777777" w:rsidR="002852FE" w:rsidRPr="00204A92" w:rsidRDefault="002852FE" w:rsidP="002852F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</w:rPr>
            </w:pPr>
            <w:r w:rsidRPr="00204A92">
              <w:rPr>
                <w:rFonts w:asciiTheme="majorHAnsi" w:hAnsiTheme="majorHAnsi" w:cstheme="majorHAnsi"/>
                <w:sz w:val="20"/>
                <w:szCs w:val="20"/>
              </w:rPr>
              <w:t>B.122.</w:t>
            </w:r>
          </w:p>
        </w:tc>
        <w:tc>
          <w:tcPr>
            <w:tcW w:w="153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7F2A2A" w14:textId="77777777" w:rsidR="002852FE" w:rsidRPr="00204A92" w:rsidRDefault="002852FE" w:rsidP="002852F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</w:rPr>
            </w:pPr>
            <w:r w:rsidRPr="00204A92">
              <w:rPr>
                <w:rFonts w:asciiTheme="majorHAnsi" w:hAnsiTheme="majorHAnsi" w:cstheme="majorHAnsi"/>
                <w:sz w:val="20"/>
                <w:szCs w:val="20"/>
              </w:rPr>
              <w:t>LECZENIE ZAPOBIEGAWCZE CHORYCH Z NAWRACAJĄCYMI NAPADAMI DZIEDZICZNEGO OBRZĘKU NACZYNIORUCHOWEGO</w:t>
            </w:r>
            <w:r w:rsidRPr="00204A92">
              <w:rPr>
                <w:rFonts w:asciiTheme="majorHAnsi" w:hAnsiTheme="majorHAnsi" w:cstheme="majorHAnsi"/>
                <w:sz w:val="20"/>
                <w:szCs w:val="20"/>
              </w:rPr>
              <w:br/>
              <w:t>O CIĘŻKIM PRZEBIEGU (ICD-10: D 84.1)</w:t>
            </w:r>
          </w:p>
        </w:tc>
        <w:tc>
          <w:tcPr>
            <w:tcW w:w="13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698BEB" w14:textId="77777777" w:rsidR="00476A3C" w:rsidRDefault="002852FE" w:rsidP="002852F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04A92">
              <w:rPr>
                <w:rFonts w:asciiTheme="majorHAnsi" w:hAnsiTheme="majorHAnsi" w:cstheme="majorHAnsi"/>
                <w:sz w:val="20"/>
                <w:szCs w:val="20"/>
              </w:rPr>
              <w:t>Terapia pacjentów w ramach profilaktyki nawracających napadów dziedzicznego obrzęku naczynioruchowego (typu I lub II) u pacjentów w wieku 12 lat i starszych</w:t>
            </w:r>
          </w:p>
          <w:p w14:paraId="78815DF4" w14:textId="46E8BB62" w:rsidR="002852FE" w:rsidRPr="00204A92" w:rsidRDefault="002852FE" w:rsidP="002852F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</w:rPr>
            </w:pPr>
            <w:r w:rsidRPr="00204A92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476A3C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(</w:t>
            </w:r>
            <w:r w:rsidR="004C63DE" w:rsidRPr="00476A3C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C</w:t>
            </w:r>
            <w:r w:rsidRPr="007A21D4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horoba ultrarzadk</w:t>
            </w:r>
            <w:r w:rsidRPr="002D03A4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a)</w:t>
            </w:r>
          </w:p>
        </w:tc>
      </w:tr>
      <w:tr w:rsidR="002852FE" w:rsidRPr="005058F2" w14:paraId="28D52FD0" w14:textId="77777777" w:rsidTr="00476A3C">
        <w:trPr>
          <w:cantSplit/>
          <w:trHeight w:val="20"/>
        </w:trPr>
        <w:tc>
          <w:tcPr>
            <w:tcW w:w="21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A47DD7" w14:textId="1C4CEC85" w:rsidR="002852FE" w:rsidRPr="00204A92" w:rsidRDefault="002852FE" w:rsidP="002852F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lastRenderedPageBreak/>
              <w:t>14</w:t>
            </w:r>
          </w:p>
        </w:tc>
        <w:tc>
          <w:tcPr>
            <w:tcW w:w="53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7C8E59" w14:textId="77777777" w:rsidR="002852FE" w:rsidRPr="00204A92" w:rsidRDefault="002852FE" w:rsidP="002852F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</w:rPr>
            </w:pPr>
            <w:r w:rsidRPr="00204A9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Cystagon</w:t>
            </w:r>
          </w:p>
        </w:tc>
        <w:tc>
          <w:tcPr>
            <w:tcW w:w="66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6DE617" w14:textId="77777777" w:rsidR="002852FE" w:rsidRPr="00204A92" w:rsidRDefault="002852FE" w:rsidP="002852F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</w:rPr>
            </w:pPr>
            <w:r w:rsidRPr="00204A92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cysteamina</w:t>
            </w:r>
          </w:p>
        </w:tc>
        <w:tc>
          <w:tcPr>
            <w:tcW w:w="71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20E090" w14:textId="77777777" w:rsidR="002852FE" w:rsidRPr="00204A92" w:rsidRDefault="002852FE" w:rsidP="002852F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</w:rPr>
            </w:pPr>
            <w:r w:rsidRPr="00204A92">
              <w:rPr>
                <w:rFonts w:asciiTheme="majorHAnsi" w:hAnsiTheme="majorHAnsi" w:cstheme="majorHAnsi"/>
                <w:sz w:val="20"/>
                <w:szCs w:val="20"/>
              </w:rPr>
              <w:t>B.61.</w:t>
            </w:r>
          </w:p>
        </w:tc>
        <w:tc>
          <w:tcPr>
            <w:tcW w:w="153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53D6D7" w14:textId="77777777" w:rsidR="002852FE" w:rsidRPr="00204A92" w:rsidRDefault="002852FE" w:rsidP="002852F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</w:rPr>
            </w:pPr>
            <w:r w:rsidRPr="00204A92">
              <w:rPr>
                <w:rFonts w:asciiTheme="majorHAnsi" w:hAnsiTheme="majorHAnsi" w:cstheme="majorHAnsi"/>
                <w:sz w:val="20"/>
                <w:szCs w:val="20"/>
              </w:rPr>
              <w:t>LECZENIE CHORYCH NA WCZESNODZIECIĘCĄ POSTAĆ CYSTYNOZY NEFROPATYCZNEJ (ICD-10 E 72.0)</w:t>
            </w:r>
          </w:p>
        </w:tc>
        <w:tc>
          <w:tcPr>
            <w:tcW w:w="13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65F0D6" w14:textId="77777777" w:rsidR="002852FE" w:rsidRPr="007A21D4" w:rsidRDefault="002852FE" w:rsidP="002852F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7A21D4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Choroba ultrarzadka</w:t>
            </w:r>
          </w:p>
        </w:tc>
      </w:tr>
      <w:tr w:rsidR="002852FE" w:rsidRPr="005058F2" w14:paraId="440B8D05" w14:textId="77777777" w:rsidTr="00476A3C">
        <w:trPr>
          <w:cantSplit/>
          <w:trHeight w:val="20"/>
        </w:trPr>
        <w:tc>
          <w:tcPr>
            <w:tcW w:w="21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9811F6" w14:textId="6919320A" w:rsidR="002852FE" w:rsidRPr="00204A92" w:rsidRDefault="002852FE" w:rsidP="002852F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53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F5C437" w14:textId="77777777" w:rsidR="002852FE" w:rsidRPr="00204A92" w:rsidRDefault="002852FE" w:rsidP="002852F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</w:rPr>
            </w:pPr>
            <w:r w:rsidRPr="00204A9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Cuprior</w:t>
            </w:r>
          </w:p>
        </w:tc>
        <w:tc>
          <w:tcPr>
            <w:tcW w:w="66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752E26" w14:textId="77777777" w:rsidR="002852FE" w:rsidRPr="00204A92" w:rsidRDefault="002852FE" w:rsidP="002852F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</w:rPr>
            </w:pPr>
            <w:r w:rsidRPr="00204A92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trientyna</w:t>
            </w:r>
          </w:p>
        </w:tc>
        <w:tc>
          <w:tcPr>
            <w:tcW w:w="71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83C2C" w14:textId="77777777" w:rsidR="002852FE" w:rsidRPr="00204A92" w:rsidRDefault="002852FE" w:rsidP="002852F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</w:rPr>
            </w:pPr>
            <w:r w:rsidRPr="00204A92">
              <w:rPr>
                <w:rFonts w:asciiTheme="majorHAnsi" w:hAnsiTheme="majorHAnsi" w:cstheme="majorHAnsi"/>
                <w:sz w:val="20"/>
                <w:szCs w:val="20"/>
              </w:rPr>
              <w:t>B.123.</w:t>
            </w:r>
          </w:p>
        </w:tc>
        <w:tc>
          <w:tcPr>
            <w:tcW w:w="153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9520E" w14:textId="77777777" w:rsidR="002852FE" w:rsidRPr="00204A92" w:rsidRDefault="002852FE" w:rsidP="002852F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</w:rPr>
            </w:pPr>
            <w:r w:rsidRPr="00204A92">
              <w:rPr>
                <w:rFonts w:asciiTheme="majorHAnsi" w:hAnsiTheme="majorHAnsi" w:cstheme="majorHAnsi"/>
                <w:sz w:val="20"/>
                <w:szCs w:val="20"/>
              </w:rPr>
              <w:t>LECZENIE PACJENTÓW Z CHOROBĄ WILSONA (ICD-10: E83.0)</w:t>
            </w:r>
          </w:p>
        </w:tc>
        <w:tc>
          <w:tcPr>
            <w:tcW w:w="13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A040F" w14:textId="77777777" w:rsidR="00476A3C" w:rsidRDefault="002852FE" w:rsidP="002852F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04A92">
              <w:rPr>
                <w:rFonts w:asciiTheme="majorHAnsi" w:hAnsiTheme="majorHAnsi" w:cstheme="majorHAnsi"/>
                <w:sz w:val="20"/>
                <w:szCs w:val="20"/>
              </w:rPr>
              <w:t xml:space="preserve">Terapia choroby Wilsona po stwierdzonej nietolerancji leczenia D-penicylaminą i siarczanem cynku u pacjentów powyżej 5 roku życia </w:t>
            </w:r>
          </w:p>
          <w:p w14:paraId="77BDB667" w14:textId="4A735CC0" w:rsidR="002852FE" w:rsidRPr="00204A92" w:rsidRDefault="002852FE" w:rsidP="002852F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</w:rPr>
            </w:pPr>
            <w:r w:rsidRPr="00476A3C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(C</w:t>
            </w:r>
            <w:r w:rsidRPr="007A21D4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horoba </w:t>
            </w:r>
            <w:r w:rsidRPr="002D03A4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ultrarzadka)</w:t>
            </w:r>
          </w:p>
        </w:tc>
      </w:tr>
      <w:tr w:rsidR="002852FE" w:rsidRPr="005058F2" w14:paraId="68AE3537" w14:textId="77777777" w:rsidTr="00476A3C">
        <w:trPr>
          <w:cantSplit/>
          <w:trHeight w:val="20"/>
        </w:trPr>
        <w:tc>
          <w:tcPr>
            <w:tcW w:w="21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2DDF8C" w14:textId="00038AB1" w:rsidR="002852FE" w:rsidRPr="00204A92" w:rsidRDefault="002852FE" w:rsidP="002852F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53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E5B276" w14:textId="77777777" w:rsidR="002852FE" w:rsidRPr="00204A92" w:rsidRDefault="002852FE" w:rsidP="002852F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</w:rPr>
            </w:pPr>
            <w:r w:rsidRPr="00204A92">
              <w:rPr>
                <w:rFonts w:asciiTheme="majorHAnsi" w:hAnsiTheme="majorHAnsi" w:cstheme="majorHAnsi"/>
                <w:b/>
                <w:bCs/>
                <w:noProof/>
                <w:sz w:val="20"/>
                <w:szCs w:val="20"/>
              </w:rPr>
              <w:t>Firdapse</w:t>
            </w:r>
          </w:p>
        </w:tc>
        <w:tc>
          <w:tcPr>
            <w:tcW w:w="66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FC1FFA" w14:textId="77777777" w:rsidR="002852FE" w:rsidRPr="00204A92" w:rsidRDefault="002852FE" w:rsidP="002852F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</w:rPr>
            </w:pPr>
            <w:r w:rsidRPr="00204A92">
              <w:rPr>
                <w:rFonts w:asciiTheme="majorHAnsi" w:hAnsiTheme="majorHAnsi" w:cstheme="majorHAnsi"/>
                <w:i/>
                <w:iCs/>
                <w:noProof/>
                <w:sz w:val="20"/>
                <w:szCs w:val="20"/>
              </w:rPr>
              <w:t>amifampridyna</w:t>
            </w:r>
          </w:p>
        </w:tc>
        <w:tc>
          <w:tcPr>
            <w:tcW w:w="71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637BC3" w14:textId="77777777" w:rsidR="002852FE" w:rsidRPr="00204A92" w:rsidRDefault="002852FE" w:rsidP="002852F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</w:rPr>
            </w:pPr>
            <w:r w:rsidRPr="00204A92">
              <w:rPr>
                <w:rFonts w:asciiTheme="majorHAnsi" w:hAnsiTheme="majorHAnsi" w:cstheme="majorHAnsi"/>
                <w:noProof/>
                <w:sz w:val="20"/>
                <w:szCs w:val="20"/>
              </w:rPr>
              <w:t>B.121</w:t>
            </w:r>
          </w:p>
        </w:tc>
        <w:tc>
          <w:tcPr>
            <w:tcW w:w="153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8F9552" w14:textId="77777777" w:rsidR="002852FE" w:rsidRPr="00204A92" w:rsidRDefault="002852FE" w:rsidP="002852F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</w:rPr>
            </w:pPr>
            <w:r w:rsidRPr="00204A92">
              <w:rPr>
                <w:rFonts w:asciiTheme="majorHAnsi" w:hAnsiTheme="majorHAnsi" w:cstheme="majorHAnsi"/>
                <w:noProof/>
                <w:sz w:val="20"/>
                <w:szCs w:val="20"/>
              </w:rPr>
              <w:t>LECZENIE AMIFAMPRYDYNĄ PACJENTÓW Z ZESPOŁEM MIASTENICZNYM LAMBERTA-EATONA (ICD-10: G73.1)</w:t>
            </w:r>
          </w:p>
        </w:tc>
        <w:tc>
          <w:tcPr>
            <w:tcW w:w="13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7BFF5C" w14:textId="77777777" w:rsidR="00476A3C" w:rsidRDefault="002852FE" w:rsidP="002852FE">
            <w:pPr>
              <w:spacing w:before="60" w:after="60"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204A92">
              <w:rPr>
                <w:rFonts w:ascii="Calibri Light" w:hAnsi="Calibri Light" w:cs="Calibri Light"/>
                <w:sz w:val="20"/>
                <w:szCs w:val="20"/>
              </w:rPr>
              <w:t xml:space="preserve">Terapia dorosłych pacjentów z zespołem miastenicznym Lamberta-Eatona (LEMS), u których przeprowadzono komplet badań diagnostycznych świadczących o przeprowadzeniu diagnostyki różnicowej i </w:t>
            </w:r>
            <w:r w:rsidRPr="00FB2D4F">
              <w:rPr>
                <w:rFonts w:ascii="Calibri Light" w:hAnsi="Calibri Light" w:cs="Calibri Light"/>
                <w:sz w:val="20"/>
                <w:szCs w:val="20"/>
              </w:rPr>
              <w:t xml:space="preserve">dokumentujących rozpoznanie. </w:t>
            </w:r>
          </w:p>
          <w:p w14:paraId="6B604E71" w14:textId="693A8E8F" w:rsidR="002852FE" w:rsidRPr="00204A92" w:rsidRDefault="002852FE" w:rsidP="002852F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</w:rPr>
            </w:pPr>
            <w:r w:rsidRPr="00476A3C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(C</w:t>
            </w:r>
            <w:r w:rsidRPr="007A21D4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horoba </w:t>
            </w:r>
            <w:r w:rsidRPr="002D03A4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ultrarzadka)</w:t>
            </w:r>
          </w:p>
        </w:tc>
      </w:tr>
      <w:tr w:rsidR="002852FE" w:rsidRPr="005058F2" w14:paraId="00616D8E" w14:textId="77777777" w:rsidTr="00476A3C">
        <w:trPr>
          <w:cantSplit/>
          <w:trHeight w:val="20"/>
        </w:trPr>
        <w:tc>
          <w:tcPr>
            <w:tcW w:w="21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3C7C08" w14:textId="5D67B70C" w:rsidR="002852FE" w:rsidRPr="00204A92" w:rsidRDefault="002852FE" w:rsidP="002852F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53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F452D" w14:textId="77777777" w:rsidR="002852FE" w:rsidRPr="00204A92" w:rsidRDefault="002852FE" w:rsidP="002852F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</w:rPr>
            </w:pPr>
            <w:r w:rsidRPr="00204A9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Jinarc</w:t>
            </w:r>
          </w:p>
        </w:tc>
        <w:tc>
          <w:tcPr>
            <w:tcW w:w="66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BDBC5E" w14:textId="77777777" w:rsidR="002852FE" w:rsidRPr="00204A92" w:rsidRDefault="002852FE" w:rsidP="002852F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</w:rPr>
            </w:pPr>
            <w:r w:rsidRPr="00204A92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tolwaptan</w:t>
            </w:r>
          </w:p>
        </w:tc>
        <w:tc>
          <w:tcPr>
            <w:tcW w:w="71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F04715" w14:textId="77777777" w:rsidR="002852FE" w:rsidRPr="00204A92" w:rsidRDefault="002852FE" w:rsidP="002852F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</w:rPr>
            </w:pPr>
            <w:r w:rsidRPr="00204A92">
              <w:rPr>
                <w:rFonts w:asciiTheme="majorHAnsi" w:hAnsiTheme="majorHAnsi" w:cstheme="majorHAnsi"/>
                <w:sz w:val="20"/>
                <w:szCs w:val="20"/>
              </w:rPr>
              <w:t>B.126</w:t>
            </w:r>
          </w:p>
        </w:tc>
        <w:tc>
          <w:tcPr>
            <w:tcW w:w="153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E39771" w14:textId="77777777" w:rsidR="002852FE" w:rsidRPr="00204A92" w:rsidRDefault="002852FE" w:rsidP="002852F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</w:rPr>
            </w:pPr>
            <w:r w:rsidRPr="00204A92">
              <w:rPr>
                <w:rFonts w:asciiTheme="majorHAnsi" w:hAnsiTheme="majorHAnsi" w:cstheme="majorHAnsi"/>
                <w:sz w:val="20"/>
                <w:szCs w:val="20"/>
              </w:rPr>
              <w:t xml:space="preserve">LECZENIE PACJENTÓW Z AUTOSOMALNIE DOMINUJĄCĄ POSTACIĄ ZWYRODNIENIA WIELOTORBIELOWATEGO NEREK </w:t>
            </w:r>
            <w:r w:rsidRPr="00204A92">
              <w:rPr>
                <w:rFonts w:asciiTheme="majorHAnsi" w:hAnsiTheme="majorHAnsi" w:cstheme="majorHAnsi"/>
                <w:sz w:val="20"/>
                <w:szCs w:val="20"/>
              </w:rPr>
              <w:br/>
              <w:t>(ICD-10 Q 61.2)</w:t>
            </w:r>
          </w:p>
        </w:tc>
        <w:tc>
          <w:tcPr>
            <w:tcW w:w="13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C3217E" w14:textId="77777777" w:rsidR="00476A3C" w:rsidRDefault="002852FE" w:rsidP="002852F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04A92">
              <w:rPr>
                <w:rFonts w:asciiTheme="majorHAnsi" w:hAnsiTheme="majorHAnsi" w:cstheme="majorHAnsi"/>
                <w:sz w:val="20"/>
                <w:szCs w:val="20"/>
              </w:rPr>
              <w:t xml:space="preserve">Spowolnienie powstawania torbieli i progresji upośledzenia czynności nerek w autosomalnie dominującej postaci zwyrodnienia wielotorbielowatego nerek u dorosłych z przewlekłą chorobą nerek w stadium 2. lub 3. w momencie rozpoczęcia leczenia, którzy wykazują szybki postęp choroby </w:t>
            </w:r>
          </w:p>
          <w:p w14:paraId="1735A757" w14:textId="5E00261D" w:rsidR="002852FE" w:rsidRPr="00204A92" w:rsidRDefault="002852FE" w:rsidP="002852F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</w:rPr>
            </w:pPr>
            <w:r w:rsidRPr="00476A3C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(C</w:t>
            </w:r>
            <w:r w:rsidRPr="007A21D4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horoba rzadka</w:t>
            </w:r>
            <w:r w:rsidRPr="00FB2D4F">
              <w:rPr>
                <w:rFonts w:asciiTheme="majorHAnsi" w:hAnsiTheme="majorHAnsi" w:cstheme="majorHAnsi"/>
                <w:sz w:val="20"/>
                <w:szCs w:val="20"/>
              </w:rPr>
              <w:t>)</w:t>
            </w:r>
          </w:p>
        </w:tc>
      </w:tr>
      <w:tr w:rsidR="002852FE" w:rsidRPr="005058F2" w14:paraId="38A6085D" w14:textId="77777777" w:rsidTr="00476A3C">
        <w:trPr>
          <w:cantSplit/>
          <w:trHeight w:val="20"/>
        </w:trPr>
        <w:tc>
          <w:tcPr>
            <w:tcW w:w="21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B495DC" w14:textId="1E0527B2" w:rsidR="002852FE" w:rsidRPr="00204A92" w:rsidRDefault="002852FE" w:rsidP="002852F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53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E5F863" w14:textId="77777777" w:rsidR="002852FE" w:rsidRPr="00204A92" w:rsidRDefault="002852FE" w:rsidP="002852F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</w:rPr>
            </w:pPr>
            <w:r w:rsidRPr="00204A92">
              <w:rPr>
                <w:rFonts w:asciiTheme="majorHAnsi" w:hAnsiTheme="majorHAnsi" w:cstheme="majorHAnsi"/>
                <w:b/>
                <w:bCs/>
                <w:noProof/>
                <w:sz w:val="20"/>
                <w:szCs w:val="20"/>
              </w:rPr>
              <w:t xml:space="preserve">Beovu </w:t>
            </w:r>
          </w:p>
        </w:tc>
        <w:tc>
          <w:tcPr>
            <w:tcW w:w="66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769933" w14:textId="77777777" w:rsidR="002852FE" w:rsidRPr="00204A92" w:rsidRDefault="002852FE" w:rsidP="002852F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</w:rPr>
            </w:pPr>
            <w:r w:rsidRPr="00204A92">
              <w:rPr>
                <w:rFonts w:asciiTheme="majorHAnsi" w:hAnsiTheme="majorHAnsi" w:cstheme="majorHAnsi"/>
                <w:i/>
                <w:iCs/>
                <w:noProof/>
                <w:sz w:val="20"/>
                <w:szCs w:val="20"/>
              </w:rPr>
              <w:t>brolicizu</w:t>
            </w:r>
            <w:r w:rsidRPr="00204A92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mab</w:t>
            </w:r>
          </w:p>
        </w:tc>
        <w:tc>
          <w:tcPr>
            <w:tcW w:w="71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E00BF4" w14:textId="77777777" w:rsidR="002852FE" w:rsidRPr="00204A92" w:rsidRDefault="002852FE" w:rsidP="002852F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</w:rPr>
            </w:pPr>
            <w:r w:rsidRPr="00204A92">
              <w:rPr>
                <w:rFonts w:asciiTheme="majorHAnsi" w:hAnsiTheme="majorHAnsi" w:cstheme="majorHAnsi"/>
                <w:sz w:val="20"/>
                <w:szCs w:val="20"/>
              </w:rPr>
              <w:t>B.70.</w:t>
            </w:r>
          </w:p>
        </w:tc>
        <w:tc>
          <w:tcPr>
            <w:tcW w:w="153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373BA0" w14:textId="77777777" w:rsidR="002852FE" w:rsidRPr="00204A92" w:rsidRDefault="002852FE" w:rsidP="002852F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</w:rPr>
            </w:pPr>
            <w:r w:rsidRPr="00204A92">
              <w:rPr>
                <w:rFonts w:ascii="Calibri Light" w:hAnsi="Calibri Light" w:cs="Calibri Light"/>
                <w:sz w:val="20"/>
                <w:szCs w:val="20"/>
              </w:rPr>
              <w:t>LECZENIE PACJENTÓW Z NEOWASKULARNĄ (WYSIĘKOWĄ) POSTACIĄ ZWYRODNIENIA PLAMKI ZWIĄZANEGO Z WIEKIEM (AMD) (ICD-10 H35.3)</w:t>
            </w:r>
          </w:p>
        </w:tc>
        <w:tc>
          <w:tcPr>
            <w:tcW w:w="13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F73481" w14:textId="77777777" w:rsidR="002852FE" w:rsidRPr="00204A92" w:rsidRDefault="002852FE" w:rsidP="002852F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</w:rPr>
            </w:pPr>
            <w:r w:rsidRPr="00204A92">
              <w:rPr>
                <w:rFonts w:asciiTheme="majorHAnsi" w:hAnsiTheme="majorHAnsi" w:cstheme="majorHAnsi"/>
                <w:sz w:val="20"/>
                <w:szCs w:val="20"/>
              </w:rPr>
              <w:t>Objęcie refundacją w programie kolejnej substancji czynnej z grupy leków anty-VEGF, tj. brolucizumabu</w:t>
            </w:r>
          </w:p>
        </w:tc>
      </w:tr>
      <w:tr w:rsidR="002852FE" w:rsidRPr="005058F2" w14:paraId="7D7AAB2F" w14:textId="77777777" w:rsidTr="00476A3C">
        <w:trPr>
          <w:cantSplit/>
          <w:trHeight w:val="20"/>
        </w:trPr>
        <w:tc>
          <w:tcPr>
            <w:tcW w:w="21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9BA6E9" w14:textId="4D14579C" w:rsidR="002852FE" w:rsidRPr="00204A92" w:rsidRDefault="002852FE" w:rsidP="002852F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lastRenderedPageBreak/>
              <w:t>19</w:t>
            </w:r>
          </w:p>
        </w:tc>
        <w:tc>
          <w:tcPr>
            <w:tcW w:w="53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5F0B4A" w14:textId="77777777" w:rsidR="002852FE" w:rsidRPr="00204A92" w:rsidRDefault="002852FE" w:rsidP="002852F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</w:rPr>
            </w:pPr>
            <w:r w:rsidRPr="00204A9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Revolade</w:t>
            </w:r>
          </w:p>
        </w:tc>
        <w:tc>
          <w:tcPr>
            <w:tcW w:w="66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40FD22" w14:textId="77777777" w:rsidR="002852FE" w:rsidRPr="00204A92" w:rsidRDefault="002852FE" w:rsidP="002852F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</w:rPr>
            </w:pPr>
            <w:r w:rsidRPr="00204A92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eltrombopag</w:t>
            </w:r>
          </w:p>
        </w:tc>
        <w:tc>
          <w:tcPr>
            <w:tcW w:w="71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3BE6E1" w14:textId="77777777" w:rsidR="002852FE" w:rsidRPr="00204A92" w:rsidRDefault="002852FE" w:rsidP="002852F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</w:rPr>
            </w:pPr>
            <w:r w:rsidRPr="00204A92">
              <w:rPr>
                <w:rFonts w:asciiTheme="majorHAnsi" w:hAnsiTheme="majorHAnsi" w:cstheme="majorHAnsi"/>
                <w:sz w:val="20"/>
                <w:szCs w:val="20"/>
              </w:rPr>
              <w:t>B.97.</w:t>
            </w:r>
          </w:p>
        </w:tc>
        <w:tc>
          <w:tcPr>
            <w:tcW w:w="153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15244D" w14:textId="77777777" w:rsidR="002852FE" w:rsidRPr="00204A92" w:rsidRDefault="002852FE" w:rsidP="002852F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</w:rPr>
            </w:pPr>
            <w:r w:rsidRPr="00204A92">
              <w:rPr>
                <w:rFonts w:asciiTheme="majorHAnsi" w:hAnsiTheme="majorHAnsi" w:cstheme="majorHAnsi"/>
                <w:sz w:val="20"/>
                <w:szCs w:val="20"/>
              </w:rPr>
              <w:t>LECZENIE DOROSŁYCH CHORYCH NA PIERWOTNĄ MAŁOPŁYTKOWOŚĆ IMMUNOLOGICZNĄ (ICD-10: D69.3)</w:t>
            </w:r>
          </w:p>
        </w:tc>
        <w:tc>
          <w:tcPr>
            <w:tcW w:w="13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A5C8D8" w14:textId="77777777" w:rsidR="004C63DE" w:rsidRDefault="002852FE" w:rsidP="002852F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04A92">
              <w:rPr>
                <w:rFonts w:asciiTheme="majorHAnsi" w:hAnsiTheme="majorHAnsi" w:cstheme="majorHAnsi"/>
                <w:sz w:val="20"/>
                <w:szCs w:val="20"/>
              </w:rPr>
              <w:t xml:space="preserve">Przeciwskazania do wykonania splenektomii w ocenie lokalnego zespołu ekspertów obejmującego hematologa, chirurga i </w:t>
            </w:r>
            <w:r w:rsidRPr="00FB2D4F">
              <w:rPr>
                <w:rFonts w:asciiTheme="majorHAnsi" w:hAnsiTheme="majorHAnsi" w:cstheme="majorHAnsi"/>
                <w:sz w:val="20"/>
                <w:szCs w:val="20"/>
              </w:rPr>
              <w:t xml:space="preserve">anestezjologa w ośrodku prowadzącym leczenie </w:t>
            </w:r>
          </w:p>
          <w:p w14:paraId="4E1E5A4A" w14:textId="1F6D2EB6" w:rsidR="002852FE" w:rsidRPr="00204A92" w:rsidRDefault="002852FE" w:rsidP="002852F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</w:rPr>
            </w:pPr>
            <w:r w:rsidRPr="00476A3C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(Ch</w:t>
            </w:r>
            <w:r w:rsidRPr="004C63DE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oroba rzadka</w:t>
            </w:r>
            <w:r w:rsidRPr="002D03A4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)</w:t>
            </w:r>
          </w:p>
        </w:tc>
      </w:tr>
      <w:tr w:rsidR="002852FE" w:rsidRPr="005058F2" w14:paraId="650834CC" w14:textId="77777777" w:rsidTr="00476A3C">
        <w:trPr>
          <w:cantSplit/>
          <w:trHeight w:val="20"/>
        </w:trPr>
        <w:tc>
          <w:tcPr>
            <w:tcW w:w="21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063643" w14:textId="48D402E0" w:rsidR="002852FE" w:rsidRPr="00204A92" w:rsidRDefault="002852FE" w:rsidP="002852F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53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5CA2DA" w14:textId="77777777" w:rsidR="002852FE" w:rsidRPr="00204A92" w:rsidRDefault="002852FE" w:rsidP="002852F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204A9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Revolade</w:t>
            </w:r>
          </w:p>
        </w:tc>
        <w:tc>
          <w:tcPr>
            <w:tcW w:w="66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037FF" w14:textId="77777777" w:rsidR="002852FE" w:rsidRPr="00204A92" w:rsidRDefault="002852FE" w:rsidP="002852F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204A92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eltrombopag</w:t>
            </w:r>
          </w:p>
        </w:tc>
        <w:tc>
          <w:tcPr>
            <w:tcW w:w="71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D11152" w14:textId="77777777" w:rsidR="002852FE" w:rsidRPr="00204A92" w:rsidRDefault="002852FE" w:rsidP="002852F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04A92">
              <w:rPr>
                <w:rFonts w:asciiTheme="majorHAnsi" w:hAnsiTheme="majorHAnsi" w:cstheme="majorHAnsi"/>
                <w:sz w:val="20"/>
                <w:szCs w:val="20"/>
              </w:rPr>
              <w:t>B.127.</w:t>
            </w:r>
          </w:p>
        </w:tc>
        <w:tc>
          <w:tcPr>
            <w:tcW w:w="153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924EE8" w14:textId="77777777" w:rsidR="002852FE" w:rsidRPr="00204A92" w:rsidRDefault="002852FE" w:rsidP="002852F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04A92">
              <w:rPr>
                <w:rFonts w:asciiTheme="majorHAnsi" w:hAnsiTheme="majorHAnsi" w:cstheme="majorHAnsi"/>
                <w:sz w:val="20"/>
                <w:szCs w:val="20"/>
              </w:rPr>
              <w:t>LECZENIE DOROSŁYCH CHORYCH NA CIĘŻKĄ ANEMIĘ APLASTYCZNĄ (ICD-10 D61)</w:t>
            </w:r>
          </w:p>
        </w:tc>
        <w:tc>
          <w:tcPr>
            <w:tcW w:w="13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A8085F" w14:textId="77777777" w:rsidR="004C63DE" w:rsidRDefault="002852FE" w:rsidP="002852F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04A92">
              <w:rPr>
                <w:rFonts w:asciiTheme="majorHAnsi" w:hAnsiTheme="majorHAnsi" w:cstheme="majorHAnsi"/>
                <w:sz w:val="20"/>
                <w:szCs w:val="20"/>
              </w:rPr>
              <w:t xml:space="preserve">Terapia dorosłych pacjentów z rozpoznaną nabytą ciężką niedokrwistością </w:t>
            </w:r>
            <w:r w:rsidRPr="00FB2D4F">
              <w:rPr>
                <w:rFonts w:asciiTheme="majorHAnsi" w:hAnsiTheme="majorHAnsi" w:cstheme="majorHAnsi"/>
                <w:sz w:val="20"/>
                <w:szCs w:val="20"/>
              </w:rPr>
              <w:t xml:space="preserve">aplastyczną </w:t>
            </w:r>
          </w:p>
          <w:p w14:paraId="61E9E522" w14:textId="0516E050" w:rsidR="002852FE" w:rsidRPr="00204A92" w:rsidRDefault="002852FE" w:rsidP="002852F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76A3C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(C</w:t>
            </w:r>
            <w:r w:rsidRPr="007A21D4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horoba rzadk</w:t>
            </w:r>
            <w:r w:rsidRPr="002D03A4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a)</w:t>
            </w:r>
          </w:p>
        </w:tc>
      </w:tr>
      <w:tr w:rsidR="002852FE" w:rsidRPr="005058F2" w14:paraId="5BE7C022" w14:textId="77777777" w:rsidTr="00476A3C">
        <w:trPr>
          <w:cantSplit/>
          <w:trHeight w:val="20"/>
        </w:trPr>
        <w:tc>
          <w:tcPr>
            <w:tcW w:w="21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DE6216" w14:textId="117E5840" w:rsidR="002852FE" w:rsidRPr="00204A92" w:rsidRDefault="002852FE" w:rsidP="002852F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53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658FA8" w14:textId="77777777" w:rsidR="002852FE" w:rsidRPr="00204A92" w:rsidRDefault="002852FE" w:rsidP="002852F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204A9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ReFacto AF</w:t>
            </w:r>
          </w:p>
        </w:tc>
        <w:tc>
          <w:tcPr>
            <w:tcW w:w="66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44D334" w14:textId="77777777" w:rsidR="002852FE" w:rsidRPr="00204A92" w:rsidRDefault="002852FE" w:rsidP="002852F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204A92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moroktokog alfa</w:t>
            </w:r>
          </w:p>
        </w:tc>
        <w:tc>
          <w:tcPr>
            <w:tcW w:w="71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67746B" w14:textId="77777777" w:rsidR="002852FE" w:rsidRPr="00204A92" w:rsidRDefault="002852FE" w:rsidP="002852F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04A92">
              <w:rPr>
                <w:rFonts w:asciiTheme="majorHAnsi" w:hAnsiTheme="majorHAnsi" w:cstheme="majorHAnsi"/>
                <w:sz w:val="20"/>
                <w:szCs w:val="20"/>
              </w:rPr>
              <w:t>B.15.</w:t>
            </w:r>
          </w:p>
        </w:tc>
        <w:tc>
          <w:tcPr>
            <w:tcW w:w="153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E9F088" w14:textId="77777777" w:rsidR="002852FE" w:rsidRPr="00204A92" w:rsidRDefault="002852FE" w:rsidP="002852F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04A92">
              <w:rPr>
                <w:rFonts w:asciiTheme="majorHAnsi" w:hAnsiTheme="majorHAnsi" w:cstheme="majorHAnsi"/>
                <w:sz w:val="20"/>
                <w:szCs w:val="20"/>
              </w:rPr>
              <w:t>ZAPOBIEGANIE KRWAWIENIOM U DZIECI Z HEMOFILIĄ A I B (ICD-10 D 66, D 67)</w:t>
            </w:r>
          </w:p>
        </w:tc>
        <w:tc>
          <w:tcPr>
            <w:tcW w:w="13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BD6C11" w14:textId="77777777" w:rsidR="002852FE" w:rsidRPr="00204A92" w:rsidRDefault="002852FE" w:rsidP="002852F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04A92">
              <w:rPr>
                <w:rFonts w:asciiTheme="majorHAnsi" w:hAnsiTheme="majorHAnsi" w:cstheme="majorHAnsi"/>
                <w:sz w:val="20"/>
                <w:szCs w:val="20"/>
              </w:rPr>
              <w:t xml:space="preserve">Pierwotna i wtórna profilaktyka krwawień u dzieci chorych na hemofilię A </w:t>
            </w:r>
            <w:r w:rsidRPr="002D03A4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(Choroba rzadka)</w:t>
            </w:r>
          </w:p>
        </w:tc>
      </w:tr>
      <w:tr w:rsidR="002852FE" w:rsidRPr="005058F2" w14:paraId="3B2ED2C2" w14:textId="77777777" w:rsidTr="00476A3C">
        <w:trPr>
          <w:cantSplit/>
          <w:trHeight w:val="20"/>
        </w:trPr>
        <w:tc>
          <w:tcPr>
            <w:tcW w:w="21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C2D135" w14:textId="6C714ADA" w:rsidR="002852FE" w:rsidRPr="00204A92" w:rsidRDefault="002852FE" w:rsidP="002852F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53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E0DDEF" w14:textId="77777777" w:rsidR="002852FE" w:rsidRPr="00204A92" w:rsidRDefault="002852FE" w:rsidP="002852F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204A9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Dupixent</w:t>
            </w:r>
          </w:p>
        </w:tc>
        <w:tc>
          <w:tcPr>
            <w:tcW w:w="66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AEE114" w14:textId="77777777" w:rsidR="002852FE" w:rsidRPr="00204A92" w:rsidRDefault="002852FE" w:rsidP="002852F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204A92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dupilumab</w:t>
            </w:r>
          </w:p>
        </w:tc>
        <w:tc>
          <w:tcPr>
            <w:tcW w:w="71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FDB280" w14:textId="77777777" w:rsidR="002852FE" w:rsidRPr="00204A92" w:rsidRDefault="002852FE" w:rsidP="002852F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04A92">
              <w:rPr>
                <w:rFonts w:asciiTheme="majorHAnsi" w:hAnsiTheme="majorHAnsi" w:cstheme="majorHAnsi"/>
                <w:sz w:val="20"/>
                <w:szCs w:val="20"/>
              </w:rPr>
              <w:t>B.124.</w:t>
            </w:r>
          </w:p>
        </w:tc>
        <w:tc>
          <w:tcPr>
            <w:tcW w:w="153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5CA9D" w14:textId="77777777" w:rsidR="002852FE" w:rsidRPr="00204A92" w:rsidRDefault="002852FE" w:rsidP="002852F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04A92">
              <w:rPr>
                <w:rFonts w:asciiTheme="majorHAnsi" w:hAnsiTheme="majorHAnsi" w:cstheme="majorHAnsi"/>
                <w:sz w:val="20"/>
                <w:szCs w:val="20"/>
              </w:rPr>
              <w:t>LECZENIE CHORYCH Z CIĘŻKĄ POSTACIĄ ATOPOWEGO ZAPALENIA SKÓRY (ICD-10: L20)</w:t>
            </w:r>
          </w:p>
        </w:tc>
        <w:tc>
          <w:tcPr>
            <w:tcW w:w="13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2ADB60" w14:textId="77777777" w:rsidR="002852FE" w:rsidRPr="00204A92" w:rsidRDefault="002852FE" w:rsidP="002852F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04A92">
              <w:rPr>
                <w:rFonts w:asciiTheme="majorHAnsi" w:hAnsiTheme="majorHAnsi" w:cstheme="majorHAnsi"/>
                <w:sz w:val="20"/>
                <w:szCs w:val="20"/>
              </w:rPr>
              <w:t>Leczenie pacjentów z ciężką postacią atopowego zapalenia skóry w wieku powyżej 18. roku życia</w:t>
            </w:r>
          </w:p>
        </w:tc>
      </w:tr>
      <w:tr w:rsidR="002852FE" w:rsidRPr="005058F2" w14:paraId="5FE5DB30" w14:textId="77777777" w:rsidTr="00476A3C">
        <w:trPr>
          <w:cantSplit/>
          <w:trHeight w:val="20"/>
        </w:trPr>
        <w:tc>
          <w:tcPr>
            <w:tcW w:w="21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583100" w14:textId="561CECDF" w:rsidR="002852FE" w:rsidRPr="00204A92" w:rsidRDefault="002852FE" w:rsidP="002852F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53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5C7C47" w14:textId="77777777" w:rsidR="002852FE" w:rsidRPr="00204A92" w:rsidRDefault="002852FE" w:rsidP="002852F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204A9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Ilumetri</w:t>
            </w:r>
          </w:p>
        </w:tc>
        <w:tc>
          <w:tcPr>
            <w:tcW w:w="66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18A13C" w14:textId="77777777" w:rsidR="002852FE" w:rsidRPr="00204A92" w:rsidRDefault="002852FE" w:rsidP="002852F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204A92">
              <w:rPr>
                <w:rFonts w:asciiTheme="majorHAnsi" w:hAnsiTheme="majorHAnsi" w:cstheme="majorHAnsi"/>
                <w:i/>
                <w:iCs/>
                <w:sz w:val="20"/>
                <w:szCs w:val="20"/>
                <w:lang w:eastAsia="pl-PL"/>
              </w:rPr>
              <w:t>tyldrakizumab</w:t>
            </w:r>
          </w:p>
        </w:tc>
        <w:tc>
          <w:tcPr>
            <w:tcW w:w="71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EE54CA" w14:textId="77777777" w:rsidR="002852FE" w:rsidRPr="00204A92" w:rsidRDefault="002852FE" w:rsidP="002852F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04A92">
              <w:rPr>
                <w:rFonts w:asciiTheme="majorHAnsi" w:hAnsiTheme="majorHAnsi" w:cstheme="majorHAnsi"/>
                <w:sz w:val="20"/>
                <w:szCs w:val="20"/>
              </w:rPr>
              <w:t>B.47</w:t>
            </w:r>
          </w:p>
        </w:tc>
        <w:tc>
          <w:tcPr>
            <w:tcW w:w="153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3782A2" w14:textId="77777777" w:rsidR="002852FE" w:rsidRPr="00204A92" w:rsidRDefault="002852FE" w:rsidP="002852F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04A92">
              <w:rPr>
                <w:rFonts w:asciiTheme="majorHAnsi" w:hAnsiTheme="majorHAnsi" w:cstheme="majorHAnsi"/>
                <w:sz w:val="20"/>
                <w:szCs w:val="20"/>
              </w:rPr>
              <w:t>LECZENIE UMIARKOWANEJ I CIĘŻKIEJ POSTACI ŁUSZCZYCY PLACKOWATEJ (ICD-10 L 40.0)</w:t>
            </w:r>
          </w:p>
        </w:tc>
        <w:tc>
          <w:tcPr>
            <w:tcW w:w="13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9B2BA2" w14:textId="77777777" w:rsidR="002852FE" w:rsidRPr="00204A92" w:rsidRDefault="002852FE" w:rsidP="002852F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04A92">
              <w:rPr>
                <w:rFonts w:asciiTheme="majorHAnsi" w:hAnsiTheme="majorHAnsi" w:cstheme="majorHAnsi"/>
                <w:sz w:val="20"/>
                <w:szCs w:val="20"/>
              </w:rPr>
              <w:t>Pierwszy z grupy inhibitorów interleukiny dostępny dla pacjentów z umiarkowaną postacią choroby</w:t>
            </w:r>
          </w:p>
        </w:tc>
      </w:tr>
      <w:tr w:rsidR="002852FE" w:rsidRPr="005058F2" w14:paraId="6AE96CB4" w14:textId="77777777" w:rsidTr="00476A3C">
        <w:trPr>
          <w:cantSplit/>
          <w:trHeight w:val="20"/>
        </w:trPr>
        <w:tc>
          <w:tcPr>
            <w:tcW w:w="21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16AB83" w14:textId="66CE5CCB" w:rsidR="002852FE" w:rsidRPr="00204A92" w:rsidRDefault="002852FE" w:rsidP="002852F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53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BE89B8" w14:textId="77777777" w:rsidR="002852FE" w:rsidRPr="00204A92" w:rsidRDefault="002852FE" w:rsidP="002852F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204A92">
              <w:rPr>
                <w:rFonts w:asciiTheme="majorHAnsi" w:hAnsiTheme="majorHAnsi" w:cstheme="majorHAnsi"/>
                <w:b/>
                <w:bCs/>
                <w:sz w:val="20"/>
                <w:szCs w:val="20"/>
                <w:shd w:val="clear" w:color="auto" w:fill="FFFFFF"/>
              </w:rPr>
              <w:t>Quinsair</w:t>
            </w:r>
          </w:p>
        </w:tc>
        <w:tc>
          <w:tcPr>
            <w:tcW w:w="66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B63C79" w14:textId="77777777" w:rsidR="002852FE" w:rsidRPr="00204A92" w:rsidRDefault="002852FE" w:rsidP="002852F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204A92">
              <w:rPr>
                <w:rFonts w:asciiTheme="majorHAnsi" w:hAnsiTheme="majorHAnsi" w:cstheme="majorHAnsi"/>
                <w:i/>
                <w:iCs/>
                <w:sz w:val="20"/>
                <w:szCs w:val="20"/>
                <w:shd w:val="clear" w:color="auto" w:fill="FFFFFF"/>
              </w:rPr>
              <w:t>lewofloksacyna</w:t>
            </w:r>
          </w:p>
        </w:tc>
        <w:tc>
          <w:tcPr>
            <w:tcW w:w="71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3AC5A0" w14:textId="77777777" w:rsidR="002852FE" w:rsidRPr="00204A92" w:rsidRDefault="002852FE" w:rsidP="002852F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04A92">
              <w:rPr>
                <w:rFonts w:asciiTheme="majorHAnsi" w:hAnsiTheme="majorHAnsi" w:cstheme="majorHAnsi"/>
                <w:sz w:val="20"/>
                <w:szCs w:val="20"/>
              </w:rPr>
              <w:t>B.27</w:t>
            </w:r>
          </w:p>
        </w:tc>
        <w:tc>
          <w:tcPr>
            <w:tcW w:w="153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BC5288" w14:textId="77777777" w:rsidR="002852FE" w:rsidRPr="00204A92" w:rsidRDefault="002852FE" w:rsidP="002852F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04A92">
              <w:rPr>
                <w:rFonts w:asciiTheme="majorHAnsi" w:hAnsiTheme="majorHAnsi" w:cstheme="majorHAnsi"/>
                <w:sz w:val="20"/>
                <w:szCs w:val="20"/>
              </w:rPr>
              <w:t>LECZENIE PRZEWLEKŁYCH ZAKAŻEŃ PŁUC U PACJENTÓW Z MUKOWISCYDOZĄ (ICD-10: E84)</w:t>
            </w:r>
          </w:p>
        </w:tc>
        <w:tc>
          <w:tcPr>
            <w:tcW w:w="13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FA5524" w14:textId="77777777" w:rsidR="004C63DE" w:rsidRDefault="002852FE" w:rsidP="002852F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04A92">
              <w:rPr>
                <w:rFonts w:asciiTheme="majorHAnsi" w:hAnsiTheme="majorHAnsi" w:cstheme="majorHAnsi"/>
                <w:sz w:val="20"/>
                <w:szCs w:val="20"/>
              </w:rPr>
              <w:t xml:space="preserve">Nowy antybiotyk (lewofloksacyna) dostępny dla pacjentów z mukowiscydozą – III linia leczenia (nietolerancja lub brak poprawy lub stabilizacji klinicznej po stosowaniu kolistyny wziewnej lub tobramycyny wziewnej) </w:t>
            </w:r>
          </w:p>
          <w:p w14:paraId="4AB70937" w14:textId="1E55FDE7" w:rsidR="002852FE" w:rsidRPr="002D03A4" w:rsidRDefault="002852FE" w:rsidP="002852F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2D03A4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(Choroba rzadka)</w:t>
            </w:r>
          </w:p>
        </w:tc>
      </w:tr>
    </w:tbl>
    <w:p w14:paraId="639BACD6" w14:textId="08211051" w:rsidR="002D03A4" w:rsidRDefault="002D03A4"/>
    <w:p w14:paraId="777BB68F" w14:textId="77777777" w:rsidR="002D03A4" w:rsidRDefault="002D03A4">
      <w:pPr>
        <w:suppressAutoHyphens w:val="0"/>
      </w:pPr>
      <w:r>
        <w:br w:type="page"/>
      </w:r>
    </w:p>
    <w:p w14:paraId="20D0DFA9" w14:textId="77777777" w:rsidR="002D03A4" w:rsidRDefault="002D03A4"/>
    <w:tbl>
      <w:tblPr>
        <w:tblW w:w="47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left w:w="10" w:type="dxa"/>
          <w:bottom w:w="113" w:type="dxa"/>
          <w:right w:w="10" w:type="dxa"/>
        </w:tblCellMar>
        <w:tblLook w:val="0000" w:firstRow="0" w:lastRow="0" w:firstColumn="0" w:lastColumn="0" w:noHBand="0" w:noVBand="0"/>
      </w:tblPr>
      <w:tblGrid>
        <w:gridCol w:w="558"/>
        <w:gridCol w:w="1421"/>
        <w:gridCol w:w="3622"/>
        <w:gridCol w:w="7579"/>
      </w:tblGrid>
      <w:tr w:rsidR="002852FE" w:rsidRPr="005058F2" w14:paraId="3D9328BA" w14:textId="77777777" w:rsidTr="00476A3C">
        <w:trPr>
          <w:cantSplit/>
          <w:trHeight w:val="20"/>
        </w:trPr>
        <w:tc>
          <w:tcPr>
            <w:tcW w:w="5000" w:type="pct"/>
            <w:gridSpan w:val="4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FC1A8C" w14:textId="77777777" w:rsidR="002852FE" w:rsidRPr="00204A92" w:rsidRDefault="002852FE" w:rsidP="002852F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</w:rPr>
            </w:pPr>
            <w:r w:rsidRPr="00204A92">
              <w:rPr>
                <w:rFonts w:asciiTheme="majorHAnsi" w:hAnsiTheme="majorHAnsi" w:cstheme="majorHAnsi"/>
                <w:b/>
                <w:bCs/>
              </w:rPr>
              <w:t>Zmiany w programach lekowych i chemioterapii</w:t>
            </w:r>
          </w:p>
        </w:tc>
      </w:tr>
      <w:tr w:rsidR="002852FE" w:rsidRPr="005058F2" w14:paraId="67815224" w14:textId="77777777" w:rsidTr="00476A3C">
        <w:trPr>
          <w:cantSplit/>
          <w:trHeight w:val="20"/>
        </w:trPr>
        <w:tc>
          <w:tcPr>
            <w:tcW w:w="212" w:type="pct"/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8E466E" w14:textId="77777777" w:rsidR="002852FE" w:rsidRPr="00204A92" w:rsidRDefault="002852FE" w:rsidP="002852F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</w:rPr>
            </w:pPr>
            <w:r w:rsidRPr="00204A9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539" w:type="pct"/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30C226" w14:textId="77777777" w:rsidR="002852FE" w:rsidRPr="00204A92" w:rsidRDefault="002852FE" w:rsidP="002852F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</w:rPr>
            </w:pPr>
            <w:r w:rsidRPr="00204A9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Numer programu lekowego lub numeru załącznika</w:t>
            </w:r>
          </w:p>
        </w:tc>
        <w:tc>
          <w:tcPr>
            <w:tcW w:w="1374" w:type="pct"/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9523FE" w14:textId="77777777" w:rsidR="002852FE" w:rsidRPr="00204A92" w:rsidRDefault="002852FE" w:rsidP="002852F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</w:rPr>
            </w:pPr>
            <w:r w:rsidRPr="00204A9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Nazwa programu lekowego lub załącznika chemioterapii</w:t>
            </w:r>
          </w:p>
        </w:tc>
        <w:tc>
          <w:tcPr>
            <w:tcW w:w="2875" w:type="pct"/>
            <w:shd w:val="clear" w:color="auto" w:fill="A7E8FF"/>
            <w:vAlign w:val="center"/>
          </w:tcPr>
          <w:p w14:paraId="4392883D" w14:textId="77777777" w:rsidR="002852FE" w:rsidRPr="00204A92" w:rsidRDefault="002852FE" w:rsidP="002852F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</w:rPr>
            </w:pPr>
            <w:r w:rsidRPr="00204A9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Krótki opis zmian dokonanych w obrębie programu lekowego / załącznika chemioterapii</w:t>
            </w:r>
          </w:p>
        </w:tc>
      </w:tr>
      <w:tr w:rsidR="002852FE" w:rsidRPr="005058F2" w14:paraId="12CD8AC9" w14:textId="77777777" w:rsidTr="00476A3C">
        <w:trPr>
          <w:cantSplit/>
          <w:trHeight w:val="1849"/>
        </w:trPr>
        <w:tc>
          <w:tcPr>
            <w:tcW w:w="21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3921F1" w14:textId="77777777" w:rsidR="002852FE" w:rsidRPr="00204A92" w:rsidRDefault="002852FE" w:rsidP="002852F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</w:rPr>
            </w:pPr>
            <w:r w:rsidRPr="00204A92">
              <w:rPr>
                <w:rFonts w:asciiTheme="majorHAnsi" w:hAnsiTheme="majorHAnsi" w:cstheme="majorHAnsi"/>
              </w:rPr>
              <w:t>1.</w:t>
            </w:r>
          </w:p>
        </w:tc>
        <w:tc>
          <w:tcPr>
            <w:tcW w:w="53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D805DA" w14:textId="77777777" w:rsidR="002852FE" w:rsidRPr="00204A92" w:rsidRDefault="002852FE" w:rsidP="002852F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204A9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B.9</w:t>
            </w:r>
            <w:r w:rsidRPr="00204A92">
              <w:rPr>
                <w:rFonts w:asciiTheme="majorHAnsi" w:hAnsiTheme="majorHAnsi" w:cstheme="majorHAnsi"/>
                <w:sz w:val="20"/>
                <w:szCs w:val="20"/>
              </w:rPr>
              <w:t xml:space="preserve">. </w:t>
            </w:r>
          </w:p>
        </w:tc>
        <w:tc>
          <w:tcPr>
            <w:tcW w:w="137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6533DF" w14:textId="77777777" w:rsidR="002852FE" w:rsidRPr="00204A92" w:rsidRDefault="002852FE" w:rsidP="002852F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204A92">
              <w:rPr>
                <w:rFonts w:asciiTheme="majorHAnsi" w:hAnsiTheme="majorHAnsi" w:cstheme="majorHAnsi"/>
                <w:sz w:val="20"/>
                <w:szCs w:val="20"/>
              </w:rPr>
              <w:t>LECZENIE CHORYCH NA RAKA PIERSI (ICD-10 C50)</w:t>
            </w:r>
          </w:p>
        </w:tc>
        <w:tc>
          <w:tcPr>
            <w:tcW w:w="2875" w:type="pct"/>
            <w:shd w:val="clear" w:color="auto" w:fill="auto"/>
            <w:vAlign w:val="center"/>
          </w:tcPr>
          <w:p w14:paraId="1483A3EB" w14:textId="77777777" w:rsidR="002852FE" w:rsidRPr="00204A92" w:rsidRDefault="002852FE" w:rsidP="002852FE">
            <w:pPr>
              <w:pStyle w:val="Akapitzlist"/>
              <w:numPr>
                <w:ilvl w:val="0"/>
                <w:numId w:val="6"/>
              </w:num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04A92">
              <w:rPr>
                <w:rFonts w:asciiTheme="majorHAnsi" w:hAnsiTheme="majorHAnsi" w:cstheme="majorHAnsi"/>
                <w:sz w:val="20"/>
                <w:szCs w:val="20"/>
              </w:rPr>
              <w:t>Usunięcie zapisu przy kryteriach kwalifikacji do przerzutowego HER2-dodatniego raka piersi odnośnie nieobecności przerzutów do OUN,</w:t>
            </w:r>
          </w:p>
          <w:p w14:paraId="193420CD" w14:textId="77777777" w:rsidR="002852FE" w:rsidRPr="00204A92" w:rsidRDefault="002852FE" w:rsidP="002852FE">
            <w:pPr>
              <w:pStyle w:val="Akapitzlist"/>
              <w:numPr>
                <w:ilvl w:val="0"/>
                <w:numId w:val="6"/>
              </w:num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04A92">
              <w:rPr>
                <w:rFonts w:asciiTheme="majorHAnsi" w:hAnsiTheme="majorHAnsi" w:cstheme="majorHAnsi"/>
                <w:sz w:val="20"/>
                <w:szCs w:val="20"/>
              </w:rPr>
              <w:t>Usunięcie zapisu przy kryteriach kwalifikacji do wczesnego HER2-dodatniego raka piersi odnośnie obecności zmian chorobowych umożliwiających ocenę odpowiedzi według systemu RECIST 1.1</w:t>
            </w:r>
          </w:p>
          <w:p w14:paraId="7FDB1550" w14:textId="77777777" w:rsidR="002852FE" w:rsidRPr="000C1192" w:rsidRDefault="002852FE" w:rsidP="002852FE">
            <w:pPr>
              <w:pStyle w:val="Akapitzlist"/>
              <w:numPr>
                <w:ilvl w:val="0"/>
                <w:numId w:val="6"/>
              </w:num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04A92">
              <w:rPr>
                <w:rFonts w:asciiTheme="majorHAnsi" w:hAnsiTheme="majorHAnsi" w:cstheme="majorHAnsi"/>
                <w:sz w:val="20"/>
                <w:szCs w:val="20"/>
              </w:rPr>
              <w:t>Doprecyzowanie zapisu odnośnie leczenia przerzutowego HER2-dodatniego raka piersi w zakresie trastuzumabu emtanzyna i lapatynibu z kapecytabiną</w:t>
            </w:r>
          </w:p>
        </w:tc>
      </w:tr>
      <w:tr w:rsidR="00F44F91" w:rsidRPr="005058F2" w14:paraId="7161827F" w14:textId="77777777" w:rsidTr="00476A3C">
        <w:trPr>
          <w:cantSplit/>
          <w:trHeight w:val="20"/>
        </w:trPr>
        <w:tc>
          <w:tcPr>
            <w:tcW w:w="21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C2CEC2" w14:textId="1C19EB8D" w:rsidR="00F44F91" w:rsidRPr="00204A92" w:rsidRDefault="00FC4FA1" w:rsidP="002852F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2.</w:t>
            </w:r>
          </w:p>
        </w:tc>
        <w:tc>
          <w:tcPr>
            <w:tcW w:w="53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82C396" w14:textId="01F0A45D" w:rsidR="00F44F91" w:rsidRPr="00FB237C" w:rsidRDefault="00F44F91" w:rsidP="002852F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B.15.</w:t>
            </w:r>
          </w:p>
        </w:tc>
        <w:tc>
          <w:tcPr>
            <w:tcW w:w="137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964CE6" w14:textId="3B520672" w:rsidR="00F44F91" w:rsidRPr="00FB237C" w:rsidRDefault="00F44F91" w:rsidP="002852F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44F91">
              <w:rPr>
                <w:rFonts w:asciiTheme="majorHAnsi" w:hAnsiTheme="majorHAnsi" w:cstheme="majorHAnsi"/>
                <w:sz w:val="20"/>
                <w:szCs w:val="20"/>
              </w:rPr>
              <w:t>ZAPOBIEGANIE KRWAWIENIOM U DZIECI Z HEMOFILIĄ A I B (ICD-10 D 66, D 67)</w:t>
            </w:r>
          </w:p>
        </w:tc>
        <w:tc>
          <w:tcPr>
            <w:tcW w:w="2875" w:type="pct"/>
            <w:shd w:val="clear" w:color="auto" w:fill="auto"/>
            <w:vAlign w:val="center"/>
          </w:tcPr>
          <w:p w14:paraId="6CA0B82B" w14:textId="77777777" w:rsidR="00F44F91" w:rsidRDefault="00F44F91" w:rsidP="00F44F91">
            <w:pPr>
              <w:pStyle w:val="Akapitzlist"/>
              <w:numPr>
                <w:ilvl w:val="0"/>
                <w:numId w:val="6"/>
              </w:num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44F91">
              <w:rPr>
                <w:rFonts w:asciiTheme="majorHAnsi" w:hAnsiTheme="majorHAnsi" w:cstheme="majorHAnsi"/>
                <w:sz w:val="20"/>
                <w:szCs w:val="20"/>
              </w:rPr>
              <w:t>ujednolicenie programu lekowego dotycząc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ego</w:t>
            </w:r>
            <w:r w:rsidRPr="00F44F91">
              <w:rPr>
                <w:rFonts w:asciiTheme="majorHAnsi" w:hAnsiTheme="majorHAnsi" w:cstheme="majorHAnsi"/>
                <w:sz w:val="20"/>
                <w:szCs w:val="20"/>
              </w:rPr>
              <w:t xml:space="preserve"> profilaktyki hemofilii u dzieci, który powstał poprzez połączenie programów lekowych B.15 i B.94. </w:t>
            </w:r>
          </w:p>
          <w:p w14:paraId="3C10F3B0" w14:textId="0BEBADEC" w:rsidR="00F44F91" w:rsidRPr="00F44F91" w:rsidRDefault="00F44F91" w:rsidP="00F44F91">
            <w:pPr>
              <w:pStyle w:val="Akapitzlist"/>
              <w:numPr>
                <w:ilvl w:val="0"/>
                <w:numId w:val="6"/>
              </w:num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w</w:t>
            </w:r>
            <w:r w:rsidRPr="00F44F91">
              <w:rPr>
                <w:rFonts w:asciiTheme="majorHAnsi" w:hAnsiTheme="majorHAnsi" w:cstheme="majorHAnsi"/>
                <w:sz w:val="20"/>
                <w:szCs w:val="20"/>
              </w:rPr>
              <w:t xml:space="preserve"> wyniku połączenia tych dwóch programów czynniki rekombinowane o przedłużonym działaniu uzyskały możliwość stosowania ich w przypadku populacji dzieci objętych leczeniem w ramach profilaktyki pierwotnej i wtórnej krwawień, tzn. u dzieci, u których do tej pory stosowane były ludzkie czynniki krzepnięcia, a nie tylko tak jak to było przed styczniem 2021 r., gdzie miały tylko możliwość zastosowania u dzieci nowozdiagnozowanych wcześniej nie leczonych czynnikami osoczopochodnymi</w:t>
            </w:r>
          </w:p>
        </w:tc>
      </w:tr>
      <w:tr w:rsidR="00F44F91" w:rsidRPr="005058F2" w14:paraId="598EE35D" w14:textId="77777777" w:rsidTr="00476A3C">
        <w:trPr>
          <w:cantSplit/>
          <w:trHeight w:val="20"/>
        </w:trPr>
        <w:tc>
          <w:tcPr>
            <w:tcW w:w="21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9378CC" w14:textId="03CDAB30" w:rsidR="00F44F91" w:rsidRPr="00204A92" w:rsidRDefault="00FC4FA1" w:rsidP="002852F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3.</w:t>
            </w:r>
          </w:p>
        </w:tc>
        <w:tc>
          <w:tcPr>
            <w:tcW w:w="53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8E1A21" w14:textId="7227ACC9" w:rsidR="00F44F91" w:rsidRPr="00FB237C" w:rsidRDefault="00F44F91" w:rsidP="002852F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44F91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B.33.</w:t>
            </w:r>
          </w:p>
        </w:tc>
        <w:tc>
          <w:tcPr>
            <w:tcW w:w="137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8D2CAB" w14:textId="0E418191" w:rsidR="00F44F91" w:rsidRPr="00FB237C" w:rsidRDefault="00F44F91" w:rsidP="002852F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44F91">
              <w:rPr>
                <w:rFonts w:asciiTheme="majorHAnsi" w:hAnsiTheme="majorHAnsi" w:cstheme="majorHAnsi"/>
                <w:sz w:val="20"/>
                <w:szCs w:val="20"/>
              </w:rPr>
              <w:t>LECZENIE AKTYWNEJ POSTACI REUMATOIDALNEGO ZAPALENIA STAWÓW I MŁODZIEŃCZEGO IDIOPATYCZNEGO ZAPALENIA STAWÓW (ICD-10: M05, M06, M08)</w:t>
            </w:r>
          </w:p>
        </w:tc>
        <w:tc>
          <w:tcPr>
            <w:tcW w:w="2875" w:type="pct"/>
            <w:vMerge w:val="restart"/>
            <w:shd w:val="clear" w:color="auto" w:fill="auto"/>
            <w:vAlign w:val="center"/>
          </w:tcPr>
          <w:p w14:paraId="48F77D4E" w14:textId="371428BA" w:rsidR="00F44F91" w:rsidRPr="00F44F91" w:rsidRDefault="00F44F91" w:rsidP="00F44F91">
            <w:pPr>
              <w:pStyle w:val="Akapitzlist"/>
              <w:numPr>
                <w:ilvl w:val="0"/>
                <w:numId w:val="6"/>
              </w:numPr>
              <w:spacing w:before="60" w:after="60" w:line="240" w:lineRule="auto"/>
              <w:jc w:val="center"/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</w:t>
            </w:r>
            <w:r w:rsidRPr="00F44F91">
              <w:rPr>
                <w:rFonts w:asciiTheme="majorHAnsi" w:hAnsiTheme="majorHAnsi" w:cstheme="majorHAnsi"/>
                <w:sz w:val="20"/>
                <w:szCs w:val="20"/>
              </w:rPr>
              <w:t xml:space="preserve">ajważniejsze zmiany to zniesienie ograniczeń czasu leczenia i uzależnienie czasu leczenia od efektu terapii i decyzji lekarza i pacjenta. Zmiany ujednoliciły niespójne zapisy, jak również zmniejszyły ciężar administracyjny dla lekarzy prowadzących </w:t>
            </w:r>
            <w:r w:rsidRPr="00F44F91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terapię. Zapisy powyższych programów zostały dostosowane do rekomendacji i aktualnej wiedzy medycznej.</w:t>
            </w:r>
          </w:p>
        </w:tc>
      </w:tr>
      <w:tr w:rsidR="00F44F91" w:rsidRPr="005058F2" w14:paraId="22274D0F" w14:textId="77777777" w:rsidTr="00476A3C">
        <w:trPr>
          <w:cantSplit/>
          <w:trHeight w:val="20"/>
        </w:trPr>
        <w:tc>
          <w:tcPr>
            <w:tcW w:w="21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8A9CE1" w14:textId="72B31B85" w:rsidR="00F44F91" w:rsidRPr="00204A92" w:rsidRDefault="00FC4FA1" w:rsidP="002852F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lastRenderedPageBreak/>
              <w:t>4.</w:t>
            </w:r>
          </w:p>
        </w:tc>
        <w:tc>
          <w:tcPr>
            <w:tcW w:w="53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B13CAD" w14:textId="2B8FAF95" w:rsidR="00F44F91" w:rsidRPr="00FB237C" w:rsidRDefault="00F44F91" w:rsidP="002852F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44F91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B.35.</w:t>
            </w:r>
          </w:p>
        </w:tc>
        <w:tc>
          <w:tcPr>
            <w:tcW w:w="137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71A9FD" w14:textId="59F5461B" w:rsidR="00F44F91" w:rsidRPr="00FB237C" w:rsidRDefault="00F44F91" w:rsidP="002852F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44F91">
              <w:rPr>
                <w:rFonts w:asciiTheme="majorHAnsi" w:hAnsiTheme="majorHAnsi" w:cstheme="majorHAnsi"/>
                <w:sz w:val="20"/>
                <w:szCs w:val="20"/>
              </w:rPr>
              <w:t>LECZENIE AKTYWNEJ POSTACI ŁUSZCZYCOWEGO ZAPALENIA STAWÓW (ŁZS) (ICD-10 L 40.5, M 07.1, M 07.2, M 07.3)</w:t>
            </w:r>
          </w:p>
        </w:tc>
        <w:tc>
          <w:tcPr>
            <w:tcW w:w="2875" w:type="pct"/>
            <w:vMerge/>
            <w:shd w:val="clear" w:color="auto" w:fill="auto"/>
            <w:vAlign w:val="center"/>
          </w:tcPr>
          <w:p w14:paraId="58933363" w14:textId="77777777" w:rsidR="00F44F91" w:rsidRPr="00FB237C" w:rsidRDefault="00F44F91" w:rsidP="002852FE">
            <w:pPr>
              <w:pStyle w:val="Akapitzlist"/>
              <w:numPr>
                <w:ilvl w:val="0"/>
                <w:numId w:val="6"/>
              </w:num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44F91" w:rsidRPr="005058F2" w14:paraId="7992B052" w14:textId="77777777" w:rsidTr="00476A3C">
        <w:trPr>
          <w:cantSplit/>
          <w:trHeight w:val="20"/>
        </w:trPr>
        <w:tc>
          <w:tcPr>
            <w:tcW w:w="21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51A4ED" w14:textId="4798AD76" w:rsidR="00F44F91" w:rsidRPr="00204A92" w:rsidRDefault="00FC4FA1" w:rsidP="002852F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5.</w:t>
            </w:r>
          </w:p>
        </w:tc>
        <w:tc>
          <w:tcPr>
            <w:tcW w:w="53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311BC0" w14:textId="1AF3D3D5" w:rsidR="00F44F91" w:rsidRPr="00FB237C" w:rsidRDefault="00F44F91" w:rsidP="002852F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44F91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B.36.</w:t>
            </w:r>
          </w:p>
        </w:tc>
        <w:tc>
          <w:tcPr>
            <w:tcW w:w="137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024DC6" w14:textId="0886AEE7" w:rsidR="00F44F91" w:rsidRPr="00FB237C" w:rsidRDefault="00F44F91" w:rsidP="002852F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44F91">
              <w:rPr>
                <w:rFonts w:asciiTheme="majorHAnsi" w:hAnsiTheme="majorHAnsi" w:cstheme="majorHAnsi"/>
                <w:sz w:val="20"/>
                <w:szCs w:val="20"/>
              </w:rPr>
              <w:t>LECZENIE AKTYWNEJ POSTACI ZESZTYWNIAJĄCEGO ZAPALENIA STAWÓW KRĘGOSŁUPA (ZZSK) (ICD-10 M 45)</w:t>
            </w:r>
          </w:p>
        </w:tc>
        <w:tc>
          <w:tcPr>
            <w:tcW w:w="2875" w:type="pct"/>
            <w:vMerge/>
            <w:shd w:val="clear" w:color="auto" w:fill="auto"/>
            <w:vAlign w:val="center"/>
          </w:tcPr>
          <w:p w14:paraId="646E612C" w14:textId="77777777" w:rsidR="00F44F91" w:rsidRPr="00FB237C" w:rsidRDefault="00F44F91" w:rsidP="002852FE">
            <w:pPr>
              <w:pStyle w:val="Akapitzlist"/>
              <w:numPr>
                <w:ilvl w:val="0"/>
                <w:numId w:val="6"/>
              </w:num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44F91" w:rsidRPr="005058F2" w14:paraId="7D6575FB" w14:textId="77777777" w:rsidTr="00476A3C">
        <w:trPr>
          <w:cantSplit/>
          <w:trHeight w:val="20"/>
        </w:trPr>
        <w:tc>
          <w:tcPr>
            <w:tcW w:w="21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C77167" w14:textId="7E029A31" w:rsidR="00F44F91" w:rsidRPr="00204A92" w:rsidRDefault="00FC4FA1" w:rsidP="002852F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6.</w:t>
            </w:r>
          </w:p>
        </w:tc>
        <w:tc>
          <w:tcPr>
            <w:tcW w:w="53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5648A0" w14:textId="6F7AA4D7" w:rsidR="00F44F91" w:rsidRPr="00FB237C" w:rsidRDefault="00F44F91" w:rsidP="002852F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44F91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B.82.</w:t>
            </w:r>
          </w:p>
        </w:tc>
        <w:tc>
          <w:tcPr>
            <w:tcW w:w="137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2CCB30" w14:textId="5244D2A9" w:rsidR="00F44F91" w:rsidRPr="00FB237C" w:rsidRDefault="00F44F91" w:rsidP="002852F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44F91">
              <w:rPr>
                <w:rFonts w:asciiTheme="majorHAnsi" w:hAnsiTheme="majorHAnsi" w:cstheme="majorHAnsi"/>
                <w:sz w:val="20"/>
                <w:szCs w:val="20"/>
              </w:rPr>
              <w:t>LECZENIE PACJENTÓW Z AKTYWNĄ POSTACIĄ SPONDYLOARTROPATII (SpA) BEZ ZMIAN RADIOGRAFICZNYCH CHARAKTERYSTYCZNYCH DLA ZZSK (ICD-10 M46.8)</w:t>
            </w:r>
          </w:p>
        </w:tc>
        <w:tc>
          <w:tcPr>
            <w:tcW w:w="2875" w:type="pct"/>
            <w:vMerge/>
            <w:shd w:val="clear" w:color="auto" w:fill="auto"/>
            <w:vAlign w:val="center"/>
          </w:tcPr>
          <w:p w14:paraId="387BB898" w14:textId="77777777" w:rsidR="00F44F91" w:rsidRPr="00FB237C" w:rsidRDefault="00F44F91" w:rsidP="002852FE">
            <w:pPr>
              <w:pStyle w:val="Akapitzlist"/>
              <w:numPr>
                <w:ilvl w:val="0"/>
                <w:numId w:val="6"/>
              </w:num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C4FA1" w:rsidRPr="005058F2" w14:paraId="406F23E3" w14:textId="77777777" w:rsidTr="00476A3C">
        <w:trPr>
          <w:cantSplit/>
          <w:trHeight w:val="20"/>
        </w:trPr>
        <w:tc>
          <w:tcPr>
            <w:tcW w:w="21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445E62" w14:textId="36E209D6" w:rsidR="00FC4FA1" w:rsidRPr="00204A92" w:rsidRDefault="00FC4FA1" w:rsidP="002852F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7.</w:t>
            </w:r>
          </w:p>
        </w:tc>
        <w:tc>
          <w:tcPr>
            <w:tcW w:w="53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E5BC67" w14:textId="360835D0" w:rsidR="00FC4FA1" w:rsidRPr="00FB237C" w:rsidRDefault="00FC4FA1" w:rsidP="002852F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B.47.</w:t>
            </w:r>
          </w:p>
        </w:tc>
        <w:tc>
          <w:tcPr>
            <w:tcW w:w="137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799D5A" w14:textId="391F3D28" w:rsidR="00FC4FA1" w:rsidRPr="00FB237C" w:rsidRDefault="00FC4FA1" w:rsidP="002852F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C4FA1">
              <w:rPr>
                <w:rFonts w:asciiTheme="majorHAnsi" w:hAnsiTheme="majorHAnsi" w:cstheme="majorHAnsi"/>
                <w:sz w:val="20"/>
                <w:szCs w:val="20"/>
              </w:rPr>
              <w:t>LECZENIE UMIARKOWANEJ I CIĘŻKIEJ POSTACI ŁUSZCZYCY PLACKOWATEJ (ICD-10: L40.0)</w:t>
            </w:r>
          </w:p>
        </w:tc>
        <w:tc>
          <w:tcPr>
            <w:tcW w:w="2875" w:type="pct"/>
            <w:shd w:val="clear" w:color="auto" w:fill="auto"/>
            <w:vAlign w:val="center"/>
          </w:tcPr>
          <w:p w14:paraId="209648AF" w14:textId="46280A8B" w:rsidR="00FC4FA1" w:rsidRPr="00FB237C" w:rsidRDefault="00FC4FA1" w:rsidP="002852FE">
            <w:pPr>
              <w:pStyle w:val="Akapitzlist"/>
              <w:numPr>
                <w:ilvl w:val="0"/>
                <w:numId w:val="6"/>
              </w:num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C4FA1">
              <w:rPr>
                <w:rFonts w:asciiTheme="majorHAnsi" w:hAnsiTheme="majorHAnsi" w:cstheme="majorHAnsi"/>
                <w:sz w:val="20"/>
                <w:szCs w:val="20"/>
              </w:rPr>
              <w:t>Najważniejsze zmiany to zniesienie ograniczenia czasu leczenia części aktualnie refundowanych substancji i zmiany zmniejszające ciężar administracyjny dla lekarzy prowadzących terapię oraz zmniejszające koszt programu.</w:t>
            </w:r>
          </w:p>
        </w:tc>
      </w:tr>
      <w:tr w:rsidR="002852FE" w:rsidRPr="005058F2" w14:paraId="777B216E" w14:textId="77777777" w:rsidTr="00476A3C">
        <w:trPr>
          <w:cantSplit/>
          <w:trHeight w:val="20"/>
        </w:trPr>
        <w:tc>
          <w:tcPr>
            <w:tcW w:w="21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520A12" w14:textId="260BF546" w:rsidR="002852FE" w:rsidRPr="00204A92" w:rsidRDefault="00FC4FA1" w:rsidP="002852F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8.</w:t>
            </w:r>
          </w:p>
        </w:tc>
        <w:tc>
          <w:tcPr>
            <w:tcW w:w="53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595890" w14:textId="77777777" w:rsidR="002852FE" w:rsidRPr="00204A92" w:rsidRDefault="002852FE" w:rsidP="002852F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B237C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B.50</w:t>
            </w:r>
          </w:p>
        </w:tc>
        <w:tc>
          <w:tcPr>
            <w:tcW w:w="137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A76841" w14:textId="5F072962" w:rsidR="002852FE" w:rsidRPr="00FB237C" w:rsidRDefault="00F44F91" w:rsidP="002852F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B237C">
              <w:rPr>
                <w:rFonts w:asciiTheme="majorHAnsi" w:hAnsiTheme="majorHAnsi" w:cstheme="majorHAnsi"/>
                <w:sz w:val="20"/>
                <w:szCs w:val="20"/>
              </w:rPr>
              <w:t>LECZENIE CHORYCH NA RAKA JAJNIKA, RAKA JAJOWODU LUB RAKA OTRZEWNEJ (ICD-10 C56, C57, C48)</w:t>
            </w:r>
          </w:p>
        </w:tc>
        <w:tc>
          <w:tcPr>
            <w:tcW w:w="2875" w:type="pct"/>
            <w:shd w:val="clear" w:color="auto" w:fill="auto"/>
            <w:vAlign w:val="center"/>
          </w:tcPr>
          <w:p w14:paraId="47573438" w14:textId="3FF59947" w:rsidR="002852FE" w:rsidRPr="00FB237C" w:rsidRDefault="00FC4FA1" w:rsidP="002852FE">
            <w:pPr>
              <w:pStyle w:val="Akapitzlist"/>
              <w:numPr>
                <w:ilvl w:val="0"/>
                <w:numId w:val="6"/>
              </w:num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</w:t>
            </w:r>
            <w:r w:rsidR="002852FE" w:rsidRPr="00FB237C">
              <w:rPr>
                <w:rFonts w:asciiTheme="majorHAnsi" w:hAnsiTheme="majorHAnsi" w:cstheme="majorHAnsi"/>
                <w:sz w:val="20"/>
                <w:szCs w:val="20"/>
              </w:rPr>
              <w:t>ołączenie dotychczasowego programu lekowego B.50 – Leczenie zaawansowanego raka jajnika, jajowodu lub pierwotnego raka otrzewnej (ICD-10 C56, C57, C48), programu lekowego B.80 – Leczenie podtrzymujące olaparybem chorych na nawrotowego platynowrażliwego zaawansowanego raka jajnika, raka jajowodu lub pierwotnego raka otrzewnej (ICD-10 C56, C57, C48) oraz nowego wskazania leczenia olaparybem pacjentek z noworozpoznanym rakiem jajnika</w:t>
            </w:r>
          </w:p>
        </w:tc>
      </w:tr>
      <w:tr w:rsidR="00F44F91" w:rsidRPr="005058F2" w14:paraId="06710CCD" w14:textId="77777777" w:rsidTr="00476A3C">
        <w:trPr>
          <w:cantSplit/>
          <w:trHeight w:val="20"/>
        </w:trPr>
        <w:tc>
          <w:tcPr>
            <w:tcW w:w="21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0EABFC" w14:textId="648FC577" w:rsidR="00F44F91" w:rsidRPr="00204A92" w:rsidRDefault="00FC4FA1" w:rsidP="00F44F91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lastRenderedPageBreak/>
              <w:t>9.</w:t>
            </w:r>
          </w:p>
        </w:tc>
        <w:tc>
          <w:tcPr>
            <w:tcW w:w="53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E8A2FD" w14:textId="60C37938" w:rsidR="00F44F91" w:rsidRPr="00204A92" w:rsidRDefault="00F44F91" w:rsidP="00F44F91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204A9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B.6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2</w:t>
            </w:r>
            <w:r w:rsidRPr="00204A9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37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C17F7A" w14:textId="04A29A14" w:rsidR="00F44F91" w:rsidRPr="00F44F91" w:rsidRDefault="00F44F91" w:rsidP="00F44F91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44F91">
              <w:rPr>
                <w:rFonts w:asciiTheme="majorHAnsi" w:hAnsiTheme="majorHAnsi" w:cstheme="majorHAnsi"/>
                <w:sz w:val="20"/>
                <w:szCs w:val="20"/>
              </w:rPr>
              <w:t>LECZENIE PIERWOTNYCH NIEDOBORÓW ODPORNOŚCI (PNO) U PACJENTÓW DOROSŁYCH (ICD-10: D 80 W TYM D 80.0, D 80.1, D 80.3, D 80.4, D 80.5, D 80.6, D 80.8, D 80.9; D81.9; D 82 W TYM: D 82.0, D 82.1, D 82.3, D 82.8, D 82.9; D 83 W TYM: D 83.0, D 83.1, D 83.8, D 83.9; D 89.9)</w:t>
            </w:r>
          </w:p>
        </w:tc>
        <w:tc>
          <w:tcPr>
            <w:tcW w:w="2875" w:type="pct"/>
            <w:shd w:val="clear" w:color="auto" w:fill="auto"/>
            <w:vAlign w:val="center"/>
          </w:tcPr>
          <w:p w14:paraId="064454AC" w14:textId="1EF76EAF" w:rsidR="00F44F91" w:rsidRPr="00FB237C" w:rsidRDefault="00FC4FA1" w:rsidP="00F44F91">
            <w:pPr>
              <w:pStyle w:val="Akapitzlist"/>
              <w:numPr>
                <w:ilvl w:val="0"/>
                <w:numId w:val="6"/>
              </w:num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</w:t>
            </w:r>
            <w:r w:rsidR="00F44F91" w:rsidRPr="00F44F91">
              <w:rPr>
                <w:rFonts w:asciiTheme="majorHAnsi" w:hAnsiTheme="majorHAnsi" w:cstheme="majorHAnsi"/>
                <w:sz w:val="20"/>
                <w:szCs w:val="20"/>
              </w:rPr>
              <w:t>ołączenie programów lekowych B.62 i B.78 w jeden program oraz ujednolicenie dawkowania podskórnej immunoglobuliny w podaniu z rekombinowaną hialuronidazą ludzką (fSCIg) analogicznie do dawkowania dożylnych immunoglobulin (IVIg) i podskórnych immunoglobulin (SCIg).</w:t>
            </w:r>
          </w:p>
        </w:tc>
      </w:tr>
      <w:tr w:rsidR="00F44F91" w:rsidRPr="005058F2" w14:paraId="41A8246D" w14:textId="77777777" w:rsidTr="00476A3C">
        <w:trPr>
          <w:cantSplit/>
          <w:trHeight w:val="20"/>
        </w:trPr>
        <w:tc>
          <w:tcPr>
            <w:tcW w:w="21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73019E" w14:textId="522E353C" w:rsidR="00F44F91" w:rsidRPr="00204A92" w:rsidRDefault="00FC4FA1" w:rsidP="00F44F91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10.</w:t>
            </w:r>
          </w:p>
        </w:tc>
        <w:tc>
          <w:tcPr>
            <w:tcW w:w="53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1211DF" w14:textId="5B3A3241" w:rsidR="00F44F91" w:rsidRPr="00204A92" w:rsidRDefault="00F44F91" w:rsidP="00F44F91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204A9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B.65.</w:t>
            </w:r>
          </w:p>
        </w:tc>
        <w:tc>
          <w:tcPr>
            <w:tcW w:w="137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445B12" w14:textId="62A6CDD0" w:rsidR="00F44F91" w:rsidRPr="00204A92" w:rsidRDefault="00F44F91" w:rsidP="00F44F91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0C1192">
              <w:rPr>
                <w:rFonts w:asciiTheme="majorHAnsi" w:hAnsiTheme="majorHAnsi" w:cstheme="majorHAnsi"/>
                <w:sz w:val="20"/>
                <w:szCs w:val="20"/>
              </w:rPr>
              <w:t>LECZENIE CHORYCH NA OSTRĄ BIAŁACZKĘ LIMFOBLASTYCZNĄ (ICD-10 C91.0)</w:t>
            </w:r>
          </w:p>
        </w:tc>
        <w:tc>
          <w:tcPr>
            <w:tcW w:w="2875" w:type="pct"/>
            <w:shd w:val="clear" w:color="auto" w:fill="auto"/>
            <w:vAlign w:val="center"/>
          </w:tcPr>
          <w:p w14:paraId="148354EA" w14:textId="56DF7854" w:rsidR="00F44F91" w:rsidRPr="004C63DE" w:rsidRDefault="00F44F91" w:rsidP="004C63DE">
            <w:pPr>
              <w:pStyle w:val="Akapitzlist"/>
              <w:numPr>
                <w:ilvl w:val="0"/>
                <w:numId w:val="6"/>
              </w:num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B237C">
              <w:rPr>
                <w:rFonts w:asciiTheme="majorHAnsi" w:hAnsiTheme="majorHAnsi" w:cstheme="majorHAnsi"/>
                <w:sz w:val="20"/>
                <w:szCs w:val="20"/>
              </w:rPr>
              <w:t>W części VI doprecyzowanie kryteriów kwalifikacji do leczenia blinatumomabem ostrej białaczki limfoblastycznej z komórek prekursorowych limfocytów B bez chromosomu Philadelphia u dzieci.</w:t>
            </w:r>
          </w:p>
          <w:p w14:paraId="1F66B12F" w14:textId="0D5D5453" w:rsidR="00F44F91" w:rsidRPr="00204A92" w:rsidRDefault="00F44F91" w:rsidP="00F44F91">
            <w:pPr>
              <w:pStyle w:val="Akapitzlist"/>
              <w:numPr>
                <w:ilvl w:val="0"/>
                <w:numId w:val="6"/>
              </w:num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B237C">
              <w:rPr>
                <w:rFonts w:asciiTheme="majorHAnsi" w:hAnsiTheme="majorHAnsi" w:cstheme="majorHAnsi"/>
                <w:sz w:val="20"/>
                <w:szCs w:val="20"/>
              </w:rPr>
              <w:t>W części III i IV zmiana warunków monitorowania leczenia blinatumumabem</w:t>
            </w:r>
          </w:p>
        </w:tc>
      </w:tr>
      <w:tr w:rsidR="00FC4FA1" w:rsidRPr="005058F2" w14:paraId="720517B7" w14:textId="77777777" w:rsidTr="00476A3C">
        <w:trPr>
          <w:cantSplit/>
          <w:trHeight w:val="20"/>
        </w:trPr>
        <w:tc>
          <w:tcPr>
            <w:tcW w:w="21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67E2F7" w14:textId="6221DFE7" w:rsidR="00FC4FA1" w:rsidRPr="00204A92" w:rsidRDefault="00FC4FA1" w:rsidP="00F44F91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11.</w:t>
            </w:r>
          </w:p>
        </w:tc>
        <w:tc>
          <w:tcPr>
            <w:tcW w:w="53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7AF3FA" w14:textId="5AE6E126" w:rsidR="00FC4FA1" w:rsidRPr="00204A92" w:rsidRDefault="00FC4FA1" w:rsidP="00F44F91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B.99.</w:t>
            </w:r>
          </w:p>
        </w:tc>
        <w:tc>
          <w:tcPr>
            <w:tcW w:w="137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EE73EB" w14:textId="34966FFF" w:rsidR="00FC4FA1" w:rsidRPr="00204A92" w:rsidRDefault="00FC4FA1" w:rsidP="00F44F91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C4FA1">
              <w:rPr>
                <w:rFonts w:asciiTheme="majorHAnsi" w:hAnsiTheme="majorHAnsi" w:cstheme="majorHAnsi"/>
                <w:sz w:val="20"/>
                <w:szCs w:val="20"/>
              </w:rPr>
              <w:t>LECZENIE AKROMEGALII (ICD-10 E22.0)</w:t>
            </w:r>
          </w:p>
        </w:tc>
        <w:tc>
          <w:tcPr>
            <w:tcW w:w="2875" w:type="pct"/>
            <w:shd w:val="clear" w:color="auto" w:fill="auto"/>
            <w:vAlign w:val="center"/>
          </w:tcPr>
          <w:p w14:paraId="16E1DDC2" w14:textId="685AD3F1" w:rsidR="00FC4FA1" w:rsidRPr="00204A92" w:rsidRDefault="00FC4FA1" w:rsidP="00F44F91">
            <w:pPr>
              <w:pStyle w:val="Akapitzlist"/>
              <w:numPr>
                <w:ilvl w:val="0"/>
                <w:numId w:val="6"/>
              </w:num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C4FA1">
              <w:rPr>
                <w:rFonts w:asciiTheme="majorHAnsi" w:hAnsiTheme="majorHAnsi" w:cstheme="majorHAnsi"/>
                <w:sz w:val="20"/>
                <w:szCs w:val="20"/>
              </w:rPr>
              <w:t>Zmiany ułatwienie procedowania w celu bardziej logicznego postępowania z chorym, czyli dookreśleniu dawkowania w zakresie możliwości zwiększenia lub zmniejszenia dawkowania w okresach nie krótszych niż 12 tygodni w leczeniu pasyreotydem oraz doprecyzowanie 1 badania w leczeniu pasyreotydem i pegwisomatem w zakresie oceny pola widzenia w przypadku makrogruczolaka przysadki.</w:t>
            </w:r>
          </w:p>
        </w:tc>
      </w:tr>
      <w:tr w:rsidR="00F44F91" w:rsidRPr="005058F2" w14:paraId="3E688174" w14:textId="77777777" w:rsidTr="00476A3C">
        <w:trPr>
          <w:cantSplit/>
          <w:trHeight w:val="20"/>
        </w:trPr>
        <w:tc>
          <w:tcPr>
            <w:tcW w:w="21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BE780A" w14:textId="45A74065" w:rsidR="00F44F91" w:rsidRPr="00204A92" w:rsidRDefault="00FC4FA1" w:rsidP="00F44F91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12.</w:t>
            </w:r>
          </w:p>
        </w:tc>
        <w:tc>
          <w:tcPr>
            <w:tcW w:w="53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0FF3DF" w14:textId="77777777" w:rsidR="00F44F91" w:rsidRPr="00204A92" w:rsidRDefault="00F44F91" w:rsidP="00F44F91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204A9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B.101.</w:t>
            </w:r>
          </w:p>
        </w:tc>
        <w:tc>
          <w:tcPr>
            <w:tcW w:w="137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0B7C7E" w14:textId="086720EB" w:rsidR="00F44F91" w:rsidRPr="00000551" w:rsidRDefault="00F44F91" w:rsidP="00F44F91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04A92">
              <w:rPr>
                <w:rFonts w:asciiTheme="majorHAnsi" w:hAnsiTheme="majorHAnsi" w:cstheme="majorHAnsi"/>
                <w:sz w:val="20"/>
                <w:szCs w:val="20"/>
              </w:rPr>
              <w:t>LECZENIE INHIBITORAMI PCSK-9 PACJENTÓW Z ZABURZENIAMI LIPIDOWYMI (ICD-10 E78.01, I21, I22, I25)</w:t>
            </w:r>
          </w:p>
        </w:tc>
        <w:tc>
          <w:tcPr>
            <w:tcW w:w="2875" w:type="pct"/>
            <w:shd w:val="clear" w:color="auto" w:fill="auto"/>
            <w:vAlign w:val="center"/>
          </w:tcPr>
          <w:p w14:paraId="39B3B661" w14:textId="77777777" w:rsidR="00F44F91" w:rsidRPr="00000551" w:rsidRDefault="00F44F91" w:rsidP="00F44F91">
            <w:pPr>
              <w:pStyle w:val="Akapitzlist"/>
              <w:numPr>
                <w:ilvl w:val="0"/>
                <w:numId w:val="6"/>
              </w:num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04A92">
              <w:rPr>
                <w:rFonts w:asciiTheme="majorHAnsi" w:hAnsiTheme="majorHAnsi" w:cstheme="majorHAnsi"/>
                <w:sz w:val="20"/>
                <w:szCs w:val="20"/>
              </w:rPr>
              <w:t xml:space="preserve">W części dotyczącej hipercholesterolemii rodzinnej zmiana kryteriów kwalifikacji polegająca na obniżeniu progu stężenia cholesterolu LDL do 100 mg/dl oraz skrócenie wymaganego czasu leczenia statyną </w:t>
            </w:r>
            <w:r w:rsidRPr="00204A92">
              <w:rPr>
                <w:rFonts w:asciiTheme="majorHAnsi" w:hAnsiTheme="majorHAnsi" w:cstheme="majorHAnsi"/>
                <w:sz w:val="20"/>
                <w:szCs w:val="20"/>
              </w:rPr>
              <w:br/>
              <w:t>do 3 miesięcy (w tym 1 miesiąc łącznie z ezetymibem)</w:t>
            </w:r>
          </w:p>
        </w:tc>
      </w:tr>
      <w:tr w:rsidR="00F44F91" w:rsidRPr="005058F2" w14:paraId="3B64DB4C" w14:textId="77777777" w:rsidTr="00476A3C">
        <w:trPr>
          <w:cantSplit/>
          <w:trHeight w:val="20"/>
        </w:trPr>
        <w:tc>
          <w:tcPr>
            <w:tcW w:w="21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714EFE" w14:textId="47B7E46E" w:rsidR="00F44F91" w:rsidRPr="00204A92" w:rsidRDefault="00FC4FA1" w:rsidP="00F44F91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13.</w:t>
            </w:r>
          </w:p>
        </w:tc>
        <w:tc>
          <w:tcPr>
            <w:tcW w:w="53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F039D2" w14:textId="77777777" w:rsidR="00F44F91" w:rsidRDefault="00F44F91" w:rsidP="00F44F91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C.51.</w:t>
            </w:r>
          </w:p>
          <w:p w14:paraId="5BE6F512" w14:textId="77777777" w:rsidR="00F44F91" w:rsidRDefault="00F44F91" w:rsidP="00F44F91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C.80.</w:t>
            </w:r>
          </w:p>
          <w:p w14:paraId="46548DD4" w14:textId="77777777" w:rsidR="00F44F91" w:rsidRPr="00204A92" w:rsidRDefault="00F44F91" w:rsidP="00F44F91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C.81.</w:t>
            </w:r>
          </w:p>
        </w:tc>
        <w:tc>
          <w:tcPr>
            <w:tcW w:w="137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D1D323" w14:textId="77777777" w:rsidR="00F44F91" w:rsidRPr="000C1192" w:rsidRDefault="00F44F91" w:rsidP="00F44F91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0C1192">
              <w:rPr>
                <w:rFonts w:asciiTheme="majorHAnsi" w:hAnsiTheme="majorHAnsi" w:cstheme="majorHAnsi"/>
                <w:sz w:val="20"/>
                <w:szCs w:val="20"/>
              </w:rPr>
              <w:t>RITUXIMABUM</w:t>
            </w:r>
          </w:p>
          <w:p w14:paraId="709DA660" w14:textId="77777777" w:rsidR="00F44F91" w:rsidRPr="000C1192" w:rsidRDefault="00F44F91" w:rsidP="00F44F91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0C1192">
              <w:rPr>
                <w:rFonts w:asciiTheme="majorHAnsi" w:hAnsiTheme="majorHAnsi" w:cstheme="majorHAnsi"/>
                <w:sz w:val="20"/>
                <w:szCs w:val="20"/>
              </w:rPr>
              <w:t>GEFITYNIBUM</w:t>
            </w:r>
          </w:p>
          <w:p w14:paraId="6B04A7B5" w14:textId="77777777" w:rsidR="00F44F91" w:rsidRPr="000C1192" w:rsidRDefault="00F44F91" w:rsidP="00F44F91">
            <w:pPr>
              <w:pStyle w:val="Akapitzlist"/>
              <w:spacing w:before="60" w:after="60" w:line="240" w:lineRule="auto"/>
              <w:ind w:left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0C1192">
              <w:rPr>
                <w:rFonts w:asciiTheme="majorHAnsi" w:hAnsiTheme="majorHAnsi" w:cstheme="majorHAnsi"/>
                <w:sz w:val="20"/>
                <w:szCs w:val="20"/>
              </w:rPr>
              <w:t>ERLOTINIBUM</w:t>
            </w:r>
          </w:p>
        </w:tc>
        <w:tc>
          <w:tcPr>
            <w:tcW w:w="2875" w:type="pct"/>
            <w:shd w:val="clear" w:color="auto" w:fill="auto"/>
            <w:vAlign w:val="center"/>
          </w:tcPr>
          <w:p w14:paraId="2CA2CE41" w14:textId="77777777" w:rsidR="00F44F91" w:rsidRDefault="00F44F91" w:rsidP="00F44F91">
            <w:pPr>
              <w:pStyle w:val="Akapitzlist"/>
              <w:numPr>
                <w:ilvl w:val="0"/>
                <w:numId w:val="6"/>
              </w:num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B237C">
              <w:rPr>
                <w:rFonts w:asciiTheme="majorHAnsi" w:hAnsiTheme="majorHAnsi" w:cstheme="majorHAnsi"/>
                <w:sz w:val="20"/>
                <w:szCs w:val="20"/>
              </w:rPr>
              <w:t xml:space="preserve">Zmiana kategorii dostępności dla rytuksymabu (z programu lekowego B.12 do katalogu chemioterapii C.51). </w:t>
            </w:r>
          </w:p>
          <w:p w14:paraId="7CCF650F" w14:textId="77777777" w:rsidR="00F44F91" w:rsidRPr="00FB237C" w:rsidRDefault="00F44F91" w:rsidP="00F44F91">
            <w:pPr>
              <w:pStyle w:val="Akapitzlist"/>
              <w:numPr>
                <w:ilvl w:val="0"/>
                <w:numId w:val="6"/>
              </w:numPr>
              <w:spacing w:before="60" w:after="6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B237C">
              <w:rPr>
                <w:rFonts w:asciiTheme="majorHAnsi" w:hAnsiTheme="majorHAnsi" w:cstheme="majorHAnsi"/>
                <w:sz w:val="20"/>
                <w:szCs w:val="20"/>
              </w:rPr>
              <w:t>Także erlotynib i gefytynib zostały przeniesione do katalogu chemioterapii</w:t>
            </w:r>
          </w:p>
        </w:tc>
      </w:tr>
    </w:tbl>
    <w:p w14:paraId="273DCD59" w14:textId="77777777" w:rsidR="00655A81" w:rsidRDefault="00655A81" w:rsidP="00655A81">
      <w:pPr>
        <w:rPr>
          <w:rFonts w:ascii="Arial Rounded MT Bold" w:hAnsi="Arial Rounded MT Bold"/>
          <w:b/>
          <w:bCs/>
          <w:color w:val="00B0F0"/>
        </w:rPr>
      </w:pPr>
    </w:p>
    <w:p w14:paraId="08FBA7E7" w14:textId="77777777" w:rsidR="00655A81" w:rsidRDefault="00655A81" w:rsidP="00655A81">
      <w:pPr>
        <w:suppressAutoHyphens w:val="0"/>
        <w:rPr>
          <w:rFonts w:ascii="Abadi" w:hAnsi="Abadi"/>
          <w:b/>
          <w:bCs/>
          <w:color w:val="00B0F0"/>
          <w:sz w:val="28"/>
          <w:szCs w:val="28"/>
        </w:rPr>
      </w:pPr>
      <w:r>
        <w:rPr>
          <w:rFonts w:ascii="Abadi" w:hAnsi="Abadi"/>
          <w:b/>
          <w:bCs/>
          <w:color w:val="00B0F0"/>
          <w:sz w:val="28"/>
          <w:szCs w:val="28"/>
        </w:rPr>
        <w:br w:type="page"/>
      </w:r>
    </w:p>
    <w:p w14:paraId="3964F0DB" w14:textId="77777777" w:rsidR="00655A81" w:rsidRDefault="00655A81" w:rsidP="00655A81">
      <w:pPr>
        <w:jc w:val="center"/>
        <w:rPr>
          <w:rFonts w:ascii="Abadi" w:hAnsi="Abadi"/>
          <w:b/>
          <w:bCs/>
          <w:color w:val="00B0F0"/>
          <w:sz w:val="28"/>
          <w:szCs w:val="28"/>
        </w:rPr>
      </w:pPr>
      <w:r>
        <w:rPr>
          <w:rFonts w:ascii="Abadi" w:hAnsi="Abadi"/>
          <w:b/>
          <w:bCs/>
          <w:color w:val="00B0F0"/>
          <w:sz w:val="28"/>
          <w:szCs w:val="28"/>
        </w:rPr>
        <w:lastRenderedPageBreak/>
        <w:t>NOWE WSKAZANIA ORAZ ZMIANY W REFUNDACJI APTECZNEJ</w:t>
      </w:r>
    </w:p>
    <w:tbl>
      <w:tblPr>
        <w:tblW w:w="5000" w:type="pct"/>
        <w:tblCellMar>
          <w:top w:w="57" w:type="dxa"/>
          <w:left w:w="10" w:type="dxa"/>
          <w:bottom w:w="57" w:type="dxa"/>
          <w:right w:w="10" w:type="dxa"/>
        </w:tblCellMar>
        <w:tblLook w:val="0000" w:firstRow="0" w:lastRow="0" w:firstColumn="0" w:lastColumn="0" w:noHBand="0" w:noVBand="0"/>
      </w:tblPr>
      <w:tblGrid>
        <w:gridCol w:w="690"/>
        <w:gridCol w:w="2412"/>
        <w:gridCol w:w="11"/>
        <w:gridCol w:w="1830"/>
        <w:gridCol w:w="4689"/>
        <w:gridCol w:w="4356"/>
      </w:tblGrid>
      <w:tr w:rsidR="00655A81" w:rsidRPr="005058F2" w14:paraId="66749603" w14:textId="77777777" w:rsidTr="000C028C">
        <w:trPr>
          <w:trHeight w:val="549"/>
        </w:trPr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94C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78D447" w14:textId="77777777" w:rsidR="00655A81" w:rsidRPr="005058F2" w:rsidRDefault="00655A81" w:rsidP="000C028C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FFFFFF"/>
              </w:rPr>
            </w:pPr>
            <w:r w:rsidRPr="005058F2">
              <w:rPr>
                <w:rFonts w:asciiTheme="majorHAnsi" w:hAnsiTheme="majorHAnsi" w:cstheme="majorHAnsi"/>
                <w:b/>
                <w:bCs/>
                <w:color w:val="FFFFFF"/>
              </w:rPr>
              <w:t>Apteka</w:t>
            </w:r>
          </w:p>
        </w:tc>
      </w:tr>
      <w:tr w:rsidR="00655A81" w:rsidRPr="005058F2" w14:paraId="57B45133" w14:textId="77777777" w:rsidTr="000C028C">
        <w:trPr>
          <w:trHeight w:val="328"/>
        </w:trPr>
        <w:tc>
          <w:tcPr>
            <w:tcW w:w="5000" w:type="pct"/>
            <w:gridSpan w:val="6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BD26D" w14:textId="77777777" w:rsidR="00655A81" w:rsidRPr="005058F2" w:rsidRDefault="00655A81" w:rsidP="000C028C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FFFFFF"/>
              </w:rPr>
            </w:pPr>
            <w:r w:rsidRPr="005058F2">
              <w:rPr>
                <w:rFonts w:asciiTheme="majorHAnsi" w:hAnsiTheme="majorHAnsi" w:cstheme="majorHAnsi"/>
                <w:b/>
                <w:bCs/>
                <w:color w:val="FFFFFF"/>
              </w:rPr>
              <w:t>Nowe wskazania refundacyjne</w:t>
            </w:r>
          </w:p>
        </w:tc>
      </w:tr>
      <w:tr w:rsidR="00655A81" w:rsidRPr="005058F2" w14:paraId="07CC90FC" w14:textId="77777777" w:rsidTr="000C028C"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9BF4CF" w14:textId="77777777" w:rsidR="00655A81" w:rsidRPr="005058F2" w:rsidRDefault="00655A81" w:rsidP="000C028C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5058F2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86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0B7686" w14:textId="77777777" w:rsidR="00655A81" w:rsidRPr="005058F2" w:rsidRDefault="00655A81" w:rsidP="000C028C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5058F2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Nazwa leku</w:t>
            </w:r>
            <w:r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 xml:space="preserve">, środka spożywczego specjalnego przeznaczenia lub wyrobu </w:t>
            </w:r>
            <w:r w:rsidRPr="00051701">
              <w:rPr>
                <w:rFonts w:asciiTheme="majorHAnsi" w:hAnsiTheme="majorHAnsi" w:cstheme="majorHAnsi"/>
                <w:b/>
                <w:bCs/>
              </w:rPr>
              <w:t>medycznego</w:t>
            </w:r>
          </w:p>
        </w:tc>
        <w:tc>
          <w:tcPr>
            <w:tcW w:w="658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CEDDE6" w14:textId="77777777" w:rsidR="00655A81" w:rsidRPr="005058F2" w:rsidRDefault="00655A81" w:rsidP="000C028C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5058F2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Substancja czynna</w:t>
            </w:r>
          </w:p>
        </w:tc>
        <w:tc>
          <w:tcPr>
            <w:tcW w:w="167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23BDFC" w14:textId="77777777" w:rsidR="00655A81" w:rsidRPr="005058F2" w:rsidRDefault="00655A81" w:rsidP="000C028C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5058F2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Wskazanie refundacyjne</w:t>
            </w:r>
          </w:p>
        </w:tc>
        <w:tc>
          <w:tcPr>
            <w:tcW w:w="155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3C4916" w14:textId="77777777" w:rsidR="00655A81" w:rsidRPr="005058F2" w:rsidRDefault="00655A81" w:rsidP="000C028C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5058F2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Doprecyzowanie wskazania</w:t>
            </w:r>
          </w:p>
        </w:tc>
      </w:tr>
      <w:tr w:rsidR="00655A81" w:rsidRPr="005058F2" w14:paraId="574ED1C2" w14:textId="77777777" w:rsidTr="000C028C"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E2CBAB" w14:textId="77777777" w:rsidR="00655A81" w:rsidRPr="005058F2" w:rsidRDefault="00655A81" w:rsidP="000C028C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5058F2">
              <w:rPr>
                <w:rFonts w:asciiTheme="majorHAnsi" w:hAnsiTheme="majorHAnsi" w:cstheme="majorHAnsi"/>
                <w:color w:val="000000"/>
              </w:rPr>
              <w:t>1.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AC3AD6" w14:textId="77777777" w:rsidR="00655A81" w:rsidRPr="00E802B3" w:rsidRDefault="00655A81" w:rsidP="000C028C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E802B3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Rizmoic</w:t>
            </w:r>
          </w:p>
        </w:tc>
        <w:tc>
          <w:tcPr>
            <w:tcW w:w="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59E3CE" w14:textId="77777777" w:rsidR="00655A81" w:rsidRPr="00E802B3" w:rsidRDefault="00655A81" w:rsidP="000C028C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n</w:t>
            </w:r>
            <w:r w:rsidRPr="00E802B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aldemedyna</w:t>
            </w: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853B4A" w14:textId="77777777" w:rsidR="00655A81" w:rsidRPr="00E802B3" w:rsidRDefault="00655A81" w:rsidP="000C028C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E802B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Leczenie zaparć indukowanych opioidami u dorosłych pacjentów z chorobą nowotworową i uprzednio leczonych bezskutecznie środkami przeczyszczającymi, u których nie jest stosowany inny antagonista opioidowy zarówno osobno jak i w połączeniu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405D7A" w14:textId="77777777" w:rsidR="00655A81" w:rsidRPr="00E802B3" w:rsidRDefault="00655A81" w:rsidP="000C028C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655A81" w:rsidRPr="005058F2" w14:paraId="204E2153" w14:textId="77777777" w:rsidTr="000C028C"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D1E16A" w14:textId="77777777" w:rsidR="00655A81" w:rsidRPr="005058F2" w:rsidRDefault="00655A81" w:rsidP="000C028C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5058F2">
              <w:rPr>
                <w:rFonts w:asciiTheme="majorHAnsi" w:hAnsiTheme="majorHAnsi" w:cstheme="majorHAnsi"/>
                <w:color w:val="000000"/>
              </w:rPr>
              <w:t>2.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C15322" w14:textId="77777777" w:rsidR="00655A81" w:rsidRPr="00E802B3" w:rsidRDefault="00655A81" w:rsidP="000C028C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E802B3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Silodosin</w:t>
            </w:r>
          </w:p>
        </w:tc>
        <w:tc>
          <w:tcPr>
            <w:tcW w:w="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9F1EF7" w14:textId="77777777" w:rsidR="00655A81" w:rsidRPr="00E802B3" w:rsidRDefault="00655A81" w:rsidP="000C028C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s</w:t>
            </w:r>
            <w:r w:rsidRPr="00E802B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ilodosyna</w:t>
            </w: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739483" w14:textId="77777777" w:rsidR="00655A81" w:rsidRPr="00E802B3" w:rsidRDefault="00655A81" w:rsidP="000C028C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E802B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Leczenie objawów przedmiotowych i podmiotowych łagodnego rozrostu gruczołu krokowego u dorosłych mężczyzn.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155AED" w14:textId="77777777" w:rsidR="00655A81" w:rsidRPr="00E802B3" w:rsidRDefault="00655A81" w:rsidP="000C028C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655A81" w:rsidRPr="005058F2" w14:paraId="21E29DD5" w14:textId="77777777" w:rsidTr="000C028C">
        <w:tc>
          <w:tcPr>
            <w:tcW w:w="24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611DEE" w14:textId="77777777" w:rsidR="00655A81" w:rsidRPr="005058F2" w:rsidRDefault="00655A81" w:rsidP="000C028C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5058F2">
              <w:rPr>
                <w:rFonts w:asciiTheme="majorHAnsi" w:hAnsiTheme="majorHAnsi" w:cstheme="majorHAnsi"/>
                <w:color w:val="000000"/>
              </w:rPr>
              <w:t>3.</w:t>
            </w: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C616D1" w14:textId="77777777" w:rsidR="00655A81" w:rsidRPr="00E802B3" w:rsidRDefault="00655A81" w:rsidP="000C028C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E802B3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Taflotan Multi</w:t>
            </w:r>
          </w:p>
        </w:tc>
        <w:tc>
          <w:tcPr>
            <w:tcW w:w="65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66245F" w14:textId="77777777" w:rsidR="00655A81" w:rsidRPr="00E802B3" w:rsidRDefault="00655A81" w:rsidP="000C028C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t</w:t>
            </w:r>
            <w:r w:rsidRPr="00E802B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afluprost</w:t>
            </w:r>
          </w:p>
        </w:tc>
        <w:tc>
          <w:tcPr>
            <w:tcW w:w="167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8E1F2F" w14:textId="77777777" w:rsidR="00655A81" w:rsidRPr="00E802B3" w:rsidRDefault="00655A81" w:rsidP="000C028C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E802B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We wszystkich zarejestrowanych wskazaniach na dzień wydania decyzji</w:t>
            </w:r>
          </w:p>
        </w:tc>
        <w:tc>
          <w:tcPr>
            <w:tcW w:w="15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4F43A3" w14:textId="77777777" w:rsidR="00655A81" w:rsidRPr="00E802B3" w:rsidRDefault="00655A81" w:rsidP="000C028C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Jaskra oraz nadciśnienie oczne</w:t>
            </w:r>
          </w:p>
        </w:tc>
      </w:tr>
      <w:tr w:rsidR="00655A81" w:rsidRPr="005058F2" w14:paraId="6F679739" w14:textId="77777777" w:rsidTr="000C028C"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CDB126" w14:textId="77777777" w:rsidR="00655A81" w:rsidRPr="005058F2" w:rsidRDefault="00655A81" w:rsidP="000C028C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5058F2">
              <w:rPr>
                <w:rFonts w:asciiTheme="majorHAnsi" w:hAnsiTheme="majorHAnsi" w:cstheme="majorHAnsi"/>
                <w:color w:val="000000"/>
              </w:rPr>
              <w:t>4.</w:t>
            </w:r>
          </w:p>
        </w:tc>
        <w:tc>
          <w:tcPr>
            <w:tcW w:w="8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11BE32" w14:textId="77777777" w:rsidR="00655A81" w:rsidRPr="00E802B3" w:rsidRDefault="00655A81" w:rsidP="000C028C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E802B3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Taptiqom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BA5143" w14:textId="77777777" w:rsidR="00655A81" w:rsidRPr="00E802B3" w:rsidRDefault="00655A81" w:rsidP="000C028C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t</w:t>
            </w:r>
            <w:r w:rsidRPr="00E802B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afluprostum + 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t</w:t>
            </w:r>
            <w:r w:rsidRPr="00E802B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imololum</w:t>
            </w:r>
          </w:p>
        </w:tc>
        <w:tc>
          <w:tcPr>
            <w:tcW w:w="1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CC7404" w14:textId="77777777" w:rsidR="00655A81" w:rsidRPr="00E802B3" w:rsidRDefault="00655A81" w:rsidP="000C028C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E802B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We wszystkich zarejestrowanych wskazaniach na dzień wydania decyzji</w:t>
            </w:r>
          </w:p>
        </w:tc>
        <w:tc>
          <w:tcPr>
            <w:tcW w:w="1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8BC73F" w14:textId="77777777" w:rsidR="00655A81" w:rsidRPr="00E802B3" w:rsidRDefault="00655A81" w:rsidP="000C028C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Jaskra oraz nadciśnienie oczne</w:t>
            </w:r>
          </w:p>
        </w:tc>
      </w:tr>
      <w:tr w:rsidR="00655A81" w:rsidRPr="005058F2" w14:paraId="6666C970" w14:textId="77777777" w:rsidTr="000C028C"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214FA7" w14:textId="77777777" w:rsidR="00655A81" w:rsidRPr="005058F2" w:rsidRDefault="00655A81" w:rsidP="000C028C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5058F2">
              <w:rPr>
                <w:rFonts w:asciiTheme="majorHAnsi" w:hAnsiTheme="majorHAnsi" w:cstheme="majorHAnsi"/>
                <w:color w:val="000000"/>
              </w:rPr>
              <w:t>5.</w:t>
            </w:r>
          </w:p>
        </w:tc>
        <w:tc>
          <w:tcPr>
            <w:tcW w:w="862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F9B3E0" w14:textId="77777777" w:rsidR="00655A81" w:rsidRPr="00E802B3" w:rsidRDefault="00655A81" w:rsidP="000C028C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E802B3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 xml:space="preserve">Eliquis 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767C1B" w14:textId="77777777" w:rsidR="00655A81" w:rsidRPr="00E802B3" w:rsidRDefault="00655A81" w:rsidP="000C028C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a</w:t>
            </w:r>
            <w:r w:rsidRPr="00E802B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piksaban</w:t>
            </w:r>
          </w:p>
        </w:tc>
        <w:tc>
          <w:tcPr>
            <w:tcW w:w="167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83E895" w14:textId="77777777" w:rsidR="00655A81" w:rsidRPr="00E802B3" w:rsidRDefault="00655A81" w:rsidP="000C028C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E802B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Leczenie zakrzepicy żył głębokich lub zatorowości płucnej oraz profilaktyki nawrotowej zakrzepicy żył głębokich i zatorowości płucnej</w:t>
            </w:r>
          </w:p>
        </w:tc>
        <w:tc>
          <w:tcPr>
            <w:tcW w:w="155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7E6EA0" w14:textId="77777777" w:rsidR="00655A81" w:rsidRPr="00E802B3" w:rsidRDefault="00655A81" w:rsidP="000C028C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Rozszerzenie aktualnie obowiązujących wskazań</w:t>
            </w:r>
          </w:p>
        </w:tc>
      </w:tr>
      <w:tr w:rsidR="00655A81" w:rsidRPr="005058F2" w14:paraId="13B7304A" w14:textId="77777777" w:rsidTr="000C028C"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4ABB50" w14:textId="77777777" w:rsidR="00655A81" w:rsidRPr="005058F2" w:rsidRDefault="00655A81" w:rsidP="000C028C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5058F2">
              <w:rPr>
                <w:rFonts w:asciiTheme="majorHAnsi" w:hAnsiTheme="majorHAnsi" w:cstheme="majorHAnsi"/>
                <w:color w:val="000000"/>
              </w:rPr>
              <w:t>6.</w:t>
            </w:r>
          </w:p>
        </w:tc>
        <w:tc>
          <w:tcPr>
            <w:tcW w:w="8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009593" w14:textId="77777777" w:rsidR="00655A81" w:rsidRPr="00A10133" w:rsidRDefault="00655A81" w:rsidP="000C028C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A10133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Firazyr</w:t>
            </w:r>
          </w:p>
        </w:tc>
        <w:tc>
          <w:tcPr>
            <w:tcW w:w="65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76F402" w14:textId="77777777" w:rsidR="00655A81" w:rsidRPr="00A10133" w:rsidRDefault="00655A81" w:rsidP="000C028C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</w:pPr>
            <w:r w:rsidRPr="00A10133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>ikatybant</w:t>
            </w:r>
          </w:p>
        </w:tc>
        <w:tc>
          <w:tcPr>
            <w:tcW w:w="1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7BAEC4" w14:textId="77777777" w:rsidR="00655A81" w:rsidRPr="00A10133" w:rsidRDefault="00655A81" w:rsidP="000C028C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A1013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Leczenie ostrych, zagrażających życiu napadów obrzęku naczynioruchowego u dzieci od 2 roku życia, chorych na dziedziczny obrzęk naczynioruchowy wywołany niedoborem inhibitora esterazy C1</w:t>
            </w:r>
          </w:p>
        </w:tc>
        <w:tc>
          <w:tcPr>
            <w:tcW w:w="1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F89679" w14:textId="77777777" w:rsidR="002D03A4" w:rsidRDefault="00655A81" w:rsidP="000C028C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A1013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Rozszerzenie aktualnego wskazania (dorośli) o populację dzieci od 2 roku życia </w:t>
            </w:r>
          </w:p>
          <w:p w14:paraId="28EC7E54" w14:textId="6017828F" w:rsidR="00655A81" w:rsidRPr="002D03A4" w:rsidRDefault="003F2888" w:rsidP="000C028C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2D03A4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 xml:space="preserve">(Choroba </w:t>
            </w:r>
            <w:r w:rsidR="00603671" w:rsidRPr="002D03A4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ultra</w:t>
            </w:r>
            <w:r w:rsidRPr="002D03A4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rzadka)</w:t>
            </w:r>
          </w:p>
        </w:tc>
      </w:tr>
      <w:tr w:rsidR="00655A81" w:rsidRPr="005058F2" w14:paraId="44977A9F" w14:textId="77777777" w:rsidTr="000C028C"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C43D34" w14:textId="77777777" w:rsidR="00655A81" w:rsidRPr="005058F2" w:rsidRDefault="00655A81" w:rsidP="000C028C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7.</w:t>
            </w:r>
          </w:p>
        </w:tc>
        <w:tc>
          <w:tcPr>
            <w:tcW w:w="8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6CE82F" w14:textId="77777777" w:rsidR="00655A81" w:rsidRPr="005058F2" w:rsidRDefault="00655A81" w:rsidP="000C028C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1004D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Rupaller</w:t>
            </w:r>
          </w:p>
        </w:tc>
        <w:tc>
          <w:tcPr>
            <w:tcW w:w="65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1402F4" w14:textId="77777777" w:rsidR="00655A81" w:rsidRPr="005058F2" w:rsidRDefault="00655A81" w:rsidP="000C028C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1004D2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rupatadyna</w:t>
            </w:r>
          </w:p>
        </w:tc>
        <w:tc>
          <w:tcPr>
            <w:tcW w:w="1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C2271A" w14:textId="77777777" w:rsidR="00655A81" w:rsidRPr="005058F2" w:rsidRDefault="00655A81" w:rsidP="000C028C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1004D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We wszystkich zarejestrowanych wskazaniach na dzień wydania decyzji</w:t>
            </w:r>
          </w:p>
        </w:tc>
        <w:tc>
          <w:tcPr>
            <w:tcW w:w="1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62EFD4" w14:textId="13F57178" w:rsidR="00655A81" w:rsidRPr="005058F2" w:rsidRDefault="00655A81" w:rsidP="000C028C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1004D2">
              <w:rPr>
                <w:rFonts w:asciiTheme="majorHAnsi" w:hAnsiTheme="majorHAnsi" w:cstheme="majorHAnsi"/>
                <w:sz w:val="20"/>
                <w:szCs w:val="20"/>
              </w:rPr>
              <w:t>Objawowe leczenie alergicznego zapalenia błony śluzowej nosa i pokrzywki u dorosłych i młodzieży (w wieku powyżej 12 lat)</w:t>
            </w:r>
          </w:p>
        </w:tc>
      </w:tr>
      <w:tr w:rsidR="00655A81" w:rsidRPr="005058F2" w14:paraId="08D473C9" w14:textId="77777777" w:rsidTr="000C028C"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48011A" w14:textId="77777777" w:rsidR="00655A81" w:rsidRPr="005058F2" w:rsidRDefault="00655A81" w:rsidP="000C028C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lastRenderedPageBreak/>
              <w:t>8.</w:t>
            </w:r>
          </w:p>
        </w:tc>
        <w:tc>
          <w:tcPr>
            <w:tcW w:w="8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5F0608" w14:textId="77777777" w:rsidR="00655A81" w:rsidRPr="005058F2" w:rsidRDefault="00655A81" w:rsidP="000C028C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1004D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PKU GMPro</w:t>
            </w:r>
          </w:p>
        </w:tc>
        <w:tc>
          <w:tcPr>
            <w:tcW w:w="65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77349B" w14:textId="77777777" w:rsidR="00655A81" w:rsidRPr="005058F2" w:rsidRDefault="00655A81" w:rsidP="000C028C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1004D2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dieta eliminacyjna w fenyloketonurii</w:t>
            </w:r>
          </w:p>
        </w:tc>
        <w:tc>
          <w:tcPr>
            <w:tcW w:w="1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29E4AB" w14:textId="77777777" w:rsidR="00655A81" w:rsidRPr="001004D2" w:rsidRDefault="00655A81" w:rsidP="000C028C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1004D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Fenyloketonuria (PKU) u pacjentów</w:t>
            </w:r>
          </w:p>
          <w:p w14:paraId="2D363D1A" w14:textId="77777777" w:rsidR="00655A81" w:rsidRPr="001004D2" w:rsidRDefault="00655A81" w:rsidP="000C028C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1004D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powyżej 12 roku życia, u których dobowa tolerancja fenyloalaniny pozwala na</w:t>
            </w:r>
          </w:p>
          <w:p w14:paraId="14D2E524" w14:textId="77777777" w:rsidR="00655A81" w:rsidRPr="005058F2" w:rsidRDefault="00655A81" w:rsidP="000C028C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1004D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zastosowanie preparatów glikomakropeptydowych</w:t>
            </w:r>
          </w:p>
        </w:tc>
        <w:tc>
          <w:tcPr>
            <w:tcW w:w="1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AD4F9F" w14:textId="77777777" w:rsidR="00655A81" w:rsidRPr="002D03A4" w:rsidRDefault="00655A81" w:rsidP="000C028C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2D03A4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Choroba rzadka</w:t>
            </w:r>
          </w:p>
        </w:tc>
      </w:tr>
      <w:tr w:rsidR="00655A81" w:rsidRPr="005058F2" w14:paraId="4A7F4B7E" w14:textId="77777777" w:rsidTr="000C028C"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6AA495" w14:textId="77777777" w:rsidR="00655A81" w:rsidRPr="005058F2" w:rsidRDefault="00655A81" w:rsidP="000C028C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9.</w:t>
            </w:r>
          </w:p>
        </w:tc>
        <w:tc>
          <w:tcPr>
            <w:tcW w:w="8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38DBAB" w14:textId="77777777" w:rsidR="00655A81" w:rsidRPr="005058F2" w:rsidRDefault="00655A81" w:rsidP="000C028C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1004D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Cortiment MMX</w:t>
            </w:r>
          </w:p>
        </w:tc>
        <w:tc>
          <w:tcPr>
            <w:tcW w:w="65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500C67" w14:textId="77777777" w:rsidR="00655A81" w:rsidRPr="005058F2" w:rsidRDefault="00655A81" w:rsidP="000C028C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1004D2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budezonid</w:t>
            </w:r>
          </w:p>
        </w:tc>
        <w:tc>
          <w:tcPr>
            <w:tcW w:w="1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F8D12A" w14:textId="77777777" w:rsidR="00655A81" w:rsidRPr="005058F2" w:rsidRDefault="00655A81" w:rsidP="000C028C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1004D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Indukcja remisji u pacjentów z aktywnym mikroskopowym zapaleniem jelita grubego</w:t>
            </w:r>
          </w:p>
        </w:tc>
        <w:tc>
          <w:tcPr>
            <w:tcW w:w="1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7D1AF1" w14:textId="77777777" w:rsidR="00655A81" w:rsidRPr="002D03A4" w:rsidRDefault="00655A81" w:rsidP="000C028C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2D03A4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Choroba rzadka</w:t>
            </w:r>
          </w:p>
        </w:tc>
      </w:tr>
      <w:tr w:rsidR="00655A81" w:rsidRPr="005058F2" w14:paraId="13821563" w14:textId="77777777" w:rsidTr="000C028C"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80069B" w14:textId="77777777" w:rsidR="00655A81" w:rsidRPr="005058F2" w:rsidRDefault="00655A81" w:rsidP="000C028C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10.</w:t>
            </w:r>
          </w:p>
        </w:tc>
        <w:tc>
          <w:tcPr>
            <w:tcW w:w="8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8A1604" w14:textId="77777777" w:rsidR="00655A81" w:rsidRPr="005058F2" w:rsidRDefault="00655A81" w:rsidP="000C028C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1004D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Tresiba</w:t>
            </w:r>
          </w:p>
        </w:tc>
        <w:tc>
          <w:tcPr>
            <w:tcW w:w="65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7B69A6" w14:textId="77777777" w:rsidR="00655A81" w:rsidRPr="005058F2" w:rsidRDefault="00655A81" w:rsidP="000C028C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1004D2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insulina degludec</w:t>
            </w:r>
          </w:p>
        </w:tc>
        <w:tc>
          <w:tcPr>
            <w:tcW w:w="1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90E91D" w14:textId="77777777" w:rsidR="00655A81" w:rsidRPr="005058F2" w:rsidRDefault="00655A81" w:rsidP="000C028C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1004D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Cukrzyca typu I u dzieci powyżej 1. roku życia i młodzieży.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  <w:r w:rsidRPr="001004D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Cukrzyca typu 2 u dzieci powyżej 1. roku życia i młodzieży leczonych insuliną NPH od co najmniej 6 miesięcy i z HbA1c ≥8% oraz cukrzyca typu 2 u dzieci powyżej 1. roku życia i młodzieży leczonych insuliną NPH od co najmniej 6 miesięcy i z udokumentowanymi nawracającymi epizodami ciężkiej lub nocnej hipoglikemii oraz cukrzyca u dzieci powyżej 1. roku życia i młodzieży o znanej przyczynie (zgodnie z definicją wg WHO)</w:t>
            </w:r>
          </w:p>
        </w:tc>
        <w:tc>
          <w:tcPr>
            <w:tcW w:w="1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4BAEEA" w14:textId="77777777" w:rsidR="00655A81" w:rsidRPr="005058F2" w:rsidRDefault="00655A81" w:rsidP="000C028C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Rozszerzenie aktualnie obowiązujących wskazań</w:t>
            </w:r>
          </w:p>
        </w:tc>
      </w:tr>
      <w:tr w:rsidR="00655A81" w:rsidRPr="005058F2" w14:paraId="5AC7340F" w14:textId="77777777" w:rsidTr="000C028C"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7B2A4C" w14:textId="77777777" w:rsidR="00655A81" w:rsidRPr="005058F2" w:rsidRDefault="00655A81" w:rsidP="000C028C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11.</w:t>
            </w:r>
          </w:p>
        </w:tc>
        <w:tc>
          <w:tcPr>
            <w:tcW w:w="8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1242FC" w14:textId="77777777" w:rsidR="00655A81" w:rsidRPr="005058F2" w:rsidRDefault="00655A81" w:rsidP="000C028C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083F00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pl-PL"/>
              </w:rPr>
              <w:t>Fluenz Tetra</w:t>
            </w:r>
          </w:p>
        </w:tc>
        <w:tc>
          <w:tcPr>
            <w:tcW w:w="65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A078D1" w14:textId="77777777" w:rsidR="00655A81" w:rsidRPr="005058F2" w:rsidRDefault="00655A81" w:rsidP="000C028C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>s</w:t>
            </w:r>
            <w:r w:rsidRPr="003A446B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>zczepionka przeciw grypie (żywa atenuowana, do nosa)</w:t>
            </w:r>
          </w:p>
        </w:tc>
        <w:tc>
          <w:tcPr>
            <w:tcW w:w="1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47C2E7" w14:textId="77777777" w:rsidR="00655A81" w:rsidRPr="005058F2" w:rsidRDefault="00655A81" w:rsidP="000C028C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3A446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Zapobieganie grypie u dzieci i młodzieży w wieku od ukończonego 60 miesiąca życia do ukończonego 18 roku życia</w:t>
            </w:r>
          </w:p>
        </w:tc>
        <w:tc>
          <w:tcPr>
            <w:tcW w:w="1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0CF95D" w14:textId="77777777" w:rsidR="00655A81" w:rsidRPr="005058F2" w:rsidRDefault="00655A81" w:rsidP="000C028C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3A446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Dzieci w pełni zabezpieczone w refundowane szczepionki przeciw grypie</w:t>
            </w:r>
          </w:p>
        </w:tc>
      </w:tr>
      <w:tr w:rsidR="00655A81" w:rsidRPr="005058F2" w14:paraId="60F9725F" w14:textId="77777777" w:rsidTr="000C028C"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250409" w14:textId="77777777" w:rsidR="00655A81" w:rsidRPr="005058F2" w:rsidRDefault="00655A81" w:rsidP="000C028C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12.</w:t>
            </w:r>
          </w:p>
        </w:tc>
        <w:tc>
          <w:tcPr>
            <w:tcW w:w="8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1885EA" w14:textId="77777777" w:rsidR="00655A81" w:rsidRPr="005058F2" w:rsidRDefault="00655A81" w:rsidP="000C028C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083F00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VaxigripTetra</w:t>
            </w:r>
          </w:p>
        </w:tc>
        <w:tc>
          <w:tcPr>
            <w:tcW w:w="65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D64823" w14:textId="77777777" w:rsidR="00655A81" w:rsidRPr="003A446B" w:rsidRDefault="00655A81" w:rsidP="000C028C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>c</w:t>
            </w:r>
            <w:r w:rsidRPr="003A446B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>zterowalentna szczepionka</w:t>
            </w:r>
          </w:p>
          <w:p w14:paraId="649A304B" w14:textId="77777777" w:rsidR="00655A81" w:rsidRPr="005058F2" w:rsidRDefault="00655A81" w:rsidP="000C028C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3A446B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>przeciw grypie (rozszczepiony wirion), inaktywowana</w:t>
            </w:r>
          </w:p>
        </w:tc>
        <w:tc>
          <w:tcPr>
            <w:tcW w:w="1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3B9553" w14:textId="77777777" w:rsidR="00655A81" w:rsidRPr="005058F2" w:rsidRDefault="00655A81" w:rsidP="000C028C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3A446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Czynne uodpornienie dzieci od ukończenia 6 miesiąca życia do ukończenia 24 miesiąca życia oraz od ukończenia 60 miesiąca życia do 18 roku życia w zapobieganiu grypie wywołanej przez dwa podtypy wirusa grypy A oraz dwa typy wirusa grypy B, które są zawarte w szczepionce</w:t>
            </w:r>
          </w:p>
        </w:tc>
        <w:tc>
          <w:tcPr>
            <w:tcW w:w="1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DC5018" w14:textId="77777777" w:rsidR="00655A81" w:rsidRPr="005058F2" w:rsidRDefault="00655A81" w:rsidP="000C028C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3A446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Dzieci w pełni zabezpieczone w refundowane szczepionki przeciw grypie</w:t>
            </w:r>
          </w:p>
        </w:tc>
      </w:tr>
      <w:tr w:rsidR="00655A81" w:rsidRPr="005058F2" w14:paraId="4D0DD6D9" w14:textId="77777777" w:rsidTr="000C028C"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A5958E" w14:textId="77777777" w:rsidR="00655A81" w:rsidRPr="005058F2" w:rsidRDefault="00655A81" w:rsidP="000C028C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13.</w:t>
            </w:r>
          </w:p>
        </w:tc>
        <w:tc>
          <w:tcPr>
            <w:tcW w:w="8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6749C4" w14:textId="77777777" w:rsidR="00655A81" w:rsidRPr="005058F2" w:rsidRDefault="00655A81" w:rsidP="000C028C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083F00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pl-PL"/>
              </w:rPr>
              <w:t>Cervarix</w:t>
            </w:r>
          </w:p>
        </w:tc>
        <w:tc>
          <w:tcPr>
            <w:tcW w:w="65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85D499" w14:textId="77777777" w:rsidR="00655A81" w:rsidRPr="005058F2" w:rsidRDefault="00655A81" w:rsidP="000C028C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>s</w:t>
            </w:r>
            <w:r w:rsidRPr="003A446B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>zczepionka przeciw wirusowi brodawczaka ludzkiego [typy 16 i 18])</w:t>
            </w:r>
            <w:r w:rsidRPr="003A446B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 </w:t>
            </w:r>
            <w:r w:rsidRPr="003A446B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 xml:space="preserve">(rekombinowana, z </w:t>
            </w:r>
            <w:r w:rsidRPr="003A446B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lastRenderedPageBreak/>
              <w:t>adiuwantem, adsorbowana)</w:t>
            </w:r>
          </w:p>
        </w:tc>
        <w:tc>
          <w:tcPr>
            <w:tcW w:w="1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39B6BE" w14:textId="77777777" w:rsidR="00655A81" w:rsidRPr="005058F2" w:rsidRDefault="00655A81" w:rsidP="000C028C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3A446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lastRenderedPageBreak/>
              <w:t>We wszystkich zarejestrowanych wskazaniach na dzień wydania decyzji</w:t>
            </w:r>
          </w:p>
        </w:tc>
        <w:tc>
          <w:tcPr>
            <w:tcW w:w="1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246399" w14:textId="77777777" w:rsidR="00655A81" w:rsidRPr="005058F2" w:rsidRDefault="00655A81" w:rsidP="000C028C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3A446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Szczepionka stosowana u osób od ukończenia 9. roku życia przeznaczona do profilaktyki zmian przednowotworowych narządów płciowych i odbytu (szyjki macicy, sromu, pochwy i odbytu) oraz raka szyjki macicy i raka odbytu związanych przyczynowo z określonymi onkogennymi typami wirusa brodawczaka ludzkiego (HPV)</w:t>
            </w:r>
          </w:p>
        </w:tc>
      </w:tr>
      <w:tr w:rsidR="00655A81" w:rsidRPr="005058F2" w14:paraId="176B1326" w14:textId="77777777" w:rsidTr="000C028C"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F81CBF" w14:textId="77777777" w:rsidR="00655A81" w:rsidRPr="005058F2" w:rsidRDefault="00655A81" w:rsidP="000C028C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14.</w:t>
            </w:r>
          </w:p>
        </w:tc>
        <w:tc>
          <w:tcPr>
            <w:tcW w:w="8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73A408" w14:textId="77777777" w:rsidR="00655A81" w:rsidRPr="005058F2" w:rsidRDefault="00655A81" w:rsidP="000C028C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3A446B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Reagila</w:t>
            </w:r>
          </w:p>
        </w:tc>
        <w:tc>
          <w:tcPr>
            <w:tcW w:w="65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6875D0" w14:textId="77777777" w:rsidR="00655A81" w:rsidRPr="005058F2" w:rsidRDefault="00655A81" w:rsidP="000C028C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3A446B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>kariprazyna</w:t>
            </w:r>
          </w:p>
        </w:tc>
        <w:tc>
          <w:tcPr>
            <w:tcW w:w="1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7C7B2A" w14:textId="77777777" w:rsidR="00655A81" w:rsidRPr="005058F2" w:rsidRDefault="00655A81" w:rsidP="000C028C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3A446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Leczenie dorosłych pacjentów ze schizofrenią z pierwotnymi, przeważającymi i przetrwałymi objawami negatywnymi, u których nie występują objawy depresyjne</w:t>
            </w:r>
          </w:p>
        </w:tc>
        <w:tc>
          <w:tcPr>
            <w:tcW w:w="1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8DC27D" w14:textId="77777777" w:rsidR="00655A81" w:rsidRPr="005058F2" w:rsidRDefault="00655A81" w:rsidP="000C028C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523BE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Poszerzenie dostępnych opcji terapeutycznych dla pacjentów ze schizofrenią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  <w:r w:rsidRPr="00523BE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o kolejny doustny lek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</w:p>
        </w:tc>
      </w:tr>
      <w:tr w:rsidR="00655A81" w:rsidRPr="005058F2" w14:paraId="4A334870" w14:textId="77777777" w:rsidTr="000C028C">
        <w:trPr>
          <w:trHeight w:val="328"/>
        </w:trPr>
        <w:tc>
          <w:tcPr>
            <w:tcW w:w="5000" w:type="pct"/>
            <w:gridSpan w:val="6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CA5533" w14:textId="77777777" w:rsidR="00655A81" w:rsidRPr="005058F2" w:rsidRDefault="00655A81" w:rsidP="000C028C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FFFFFF"/>
              </w:rPr>
            </w:pPr>
            <w:r>
              <w:rPr>
                <w:rFonts w:asciiTheme="majorHAnsi" w:hAnsiTheme="majorHAnsi" w:cstheme="majorHAnsi"/>
                <w:b/>
                <w:bCs/>
                <w:color w:val="FFFFFF"/>
              </w:rPr>
              <w:t>Zmiany na liście 75+</w:t>
            </w:r>
          </w:p>
        </w:tc>
      </w:tr>
      <w:tr w:rsidR="00655A81" w:rsidRPr="005058F2" w14:paraId="1C9389F7" w14:textId="77777777" w:rsidTr="00A051C6">
        <w:trPr>
          <w:trHeight w:val="2022"/>
        </w:trPr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6ED266" w14:textId="77777777" w:rsidR="00655A81" w:rsidRPr="005058F2" w:rsidRDefault="00655A81" w:rsidP="000C028C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1</w:t>
            </w:r>
          </w:p>
        </w:tc>
        <w:tc>
          <w:tcPr>
            <w:tcW w:w="4753" w:type="pct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8A5824" w14:textId="77777777" w:rsidR="00655A81" w:rsidRPr="00842BDA" w:rsidRDefault="00655A81" w:rsidP="000C028C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42BD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W marcu 2021 r. wykaz leki 75+ został rozszerzony o 93 pozycje obejmujące 25 nowych substancji czynnych z 22 grup limitowych i stosowane w następujących jednostkach chorobowych:</w:t>
            </w:r>
          </w:p>
          <w:p w14:paraId="006422B1" w14:textId="6F3F4314" w:rsidR="00C01D7D" w:rsidRPr="00DE4590" w:rsidRDefault="00655A81" w:rsidP="00A051C6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42BD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leki stosowane w obrzękach i nadciśnieniu tętniczym, leki do profilaktyki i leczenie stanów niedoboru potasu, leki stosowane w niedokrwistości, leki przeciwarytmiczne, leki przeciwbiegunkowe, leki stosowane w zakażeniach dróg moczowych, leki przeciwpadaczkowe, leki do użytku zewnętrznego stosowane w dermatozach takich jak np. łuszczyca, atopowe zapalenie skóry czy kontaktowe zapalenie skóry, leki stosowane w dławicy piersiowej, leki stosowane w zapobieganiu i leczenie krwotoków, leki w niewydolności kory nadnerczy w chorobie Addisona i leczenie zespołu nadnerczowo-płciowego z utratą soli, leki stosowane w miastenii, leki przeciwgrzybicze, leki stosowane w chorobach kości oraz leki stosowane w nietrzymaniu moczu.</w:t>
            </w:r>
          </w:p>
        </w:tc>
      </w:tr>
      <w:tr w:rsidR="00A051C6" w:rsidRPr="005058F2" w14:paraId="7B32ACAF" w14:textId="77777777" w:rsidTr="00A051C6">
        <w:trPr>
          <w:trHeight w:val="482"/>
        </w:trPr>
        <w:tc>
          <w:tcPr>
            <w:tcW w:w="24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FEE278" w14:textId="22DF73B8" w:rsidR="00A051C6" w:rsidRDefault="00A051C6" w:rsidP="000C028C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2.</w:t>
            </w:r>
          </w:p>
        </w:tc>
        <w:tc>
          <w:tcPr>
            <w:tcW w:w="4753" w:type="pct"/>
            <w:gridSpan w:val="5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42FEB8" w14:textId="32AE9963" w:rsidR="00A051C6" w:rsidRPr="00842BDA" w:rsidRDefault="00A051C6" w:rsidP="000C028C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Pozostałe zmiany na liście 75+ wynikały z dodania lub usunięcia odpowiednika do/z listy refundacyjnej – żadna z substancji czynnych nie została usunięta z wykazu.</w:t>
            </w:r>
          </w:p>
        </w:tc>
      </w:tr>
      <w:tr w:rsidR="00655A81" w:rsidRPr="005058F2" w14:paraId="703E5DD4" w14:textId="77777777" w:rsidTr="000C028C">
        <w:trPr>
          <w:trHeight w:val="328"/>
        </w:trPr>
        <w:tc>
          <w:tcPr>
            <w:tcW w:w="5000" w:type="pct"/>
            <w:gridSpan w:val="6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07BE8" w14:textId="77777777" w:rsidR="00655A81" w:rsidRPr="005058F2" w:rsidRDefault="00655A81" w:rsidP="000C028C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FFFFFF"/>
              </w:rPr>
            </w:pPr>
            <w:r>
              <w:rPr>
                <w:rFonts w:asciiTheme="majorHAnsi" w:hAnsiTheme="majorHAnsi" w:cstheme="majorHAnsi"/>
                <w:b/>
                <w:bCs/>
                <w:color w:val="FFFFFF"/>
              </w:rPr>
              <w:t>Zmiany na liście Ciąża+</w:t>
            </w:r>
          </w:p>
        </w:tc>
      </w:tr>
      <w:tr w:rsidR="00655A81" w:rsidRPr="005058F2" w14:paraId="661EB70A" w14:textId="77777777" w:rsidTr="000C028C"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A27319" w14:textId="77777777" w:rsidR="00655A81" w:rsidRPr="005058F2" w:rsidRDefault="00655A81" w:rsidP="000C028C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5058F2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8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263AE8" w14:textId="77777777" w:rsidR="00655A81" w:rsidRPr="005058F2" w:rsidRDefault="00655A81" w:rsidP="000C028C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5058F2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Substancja czynna</w:t>
            </w:r>
          </w:p>
        </w:tc>
        <w:tc>
          <w:tcPr>
            <w:tcW w:w="2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AEB24C" w14:textId="77777777" w:rsidR="00655A81" w:rsidRPr="005058F2" w:rsidRDefault="00655A81" w:rsidP="000C028C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5058F2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Wskazanie refundacyjne</w:t>
            </w:r>
          </w:p>
        </w:tc>
        <w:tc>
          <w:tcPr>
            <w:tcW w:w="1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FAC32F" w14:textId="77777777" w:rsidR="00655A81" w:rsidRPr="005058F2" w:rsidRDefault="00655A81" w:rsidP="000C028C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Dodatkowe informacje</w:t>
            </w:r>
          </w:p>
        </w:tc>
      </w:tr>
      <w:tr w:rsidR="00655A81" w:rsidRPr="005058F2" w14:paraId="3AE7A797" w14:textId="77777777" w:rsidTr="000C028C"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60FA16" w14:textId="77777777" w:rsidR="00655A81" w:rsidRPr="005058F2" w:rsidRDefault="00655A81" w:rsidP="000C028C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5058F2">
              <w:rPr>
                <w:rFonts w:asciiTheme="majorHAnsi" w:hAnsiTheme="majorHAnsi" w:cstheme="majorHAnsi"/>
                <w:color w:val="000000"/>
              </w:rPr>
              <w:t>1.</w:t>
            </w:r>
          </w:p>
        </w:tc>
        <w:tc>
          <w:tcPr>
            <w:tcW w:w="8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66F6B4" w14:textId="77777777" w:rsidR="00655A81" w:rsidRPr="00842BDA" w:rsidRDefault="00655A81" w:rsidP="000C028C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42BD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Vaccinum influenzae</w:t>
            </w:r>
          </w:p>
        </w:tc>
        <w:tc>
          <w:tcPr>
            <w:tcW w:w="2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1359FD" w14:textId="77777777" w:rsidR="00655A81" w:rsidRPr="00842BDA" w:rsidRDefault="00655A81" w:rsidP="000C028C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42BD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Profilaktyka grypy u kobiet w ciąży</w:t>
            </w:r>
          </w:p>
        </w:tc>
        <w:tc>
          <w:tcPr>
            <w:tcW w:w="1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702FD5" w14:textId="77777777" w:rsidR="00655A81" w:rsidRPr="00842BDA" w:rsidRDefault="00655A81" w:rsidP="000C028C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42BD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Rozszerzenie listy „ciąża +” w celu zabezpieczenia populacji kobiet w ciąży w bezpłatne szczepionki </w:t>
            </w:r>
            <w:r w:rsidRPr="00842BD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br/>
              <w:t>na nadchodzący sezon szczepień</w:t>
            </w:r>
          </w:p>
        </w:tc>
      </w:tr>
      <w:tr w:rsidR="00A051C6" w:rsidRPr="005058F2" w14:paraId="5DDCA056" w14:textId="6F199CE7" w:rsidTr="00A051C6">
        <w:trPr>
          <w:trHeight w:val="574"/>
        </w:trPr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26A6DF" w14:textId="3DA44FA8" w:rsidR="00A051C6" w:rsidRPr="00842BDA" w:rsidRDefault="00A051C6" w:rsidP="000C028C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4753" w:type="pct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A54DB8" w14:textId="6390C243" w:rsidR="00A051C6" w:rsidRPr="00842BDA" w:rsidRDefault="00A051C6" w:rsidP="000C028C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Pozostałe zmiany na liście ciąża+ wynikały z dodania lub usunięcia odpowiednika do/z listy refundacyjnej – żadna z substancji czynnych nie została usunięta z wykazu</w:t>
            </w:r>
          </w:p>
        </w:tc>
      </w:tr>
    </w:tbl>
    <w:p w14:paraId="641521F2" w14:textId="77777777" w:rsidR="00655A81" w:rsidRDefault="00655A81" w:rsidP="00655A81">
      <w:pPr>
        <w:rPr>
          <w:rFonts w:ascii="Arial Rounded MT Bold" w:hAnsi="Arial Rounded MT Bold"/>
          <w:b/>
          <w:bCs/>
          <w:color w:val="00B0F0"/>
        </w:rPr>
      </w:pPr>
    </w:p>
    <w:p w14:paraId="5C94AD33" w14:textId="77777777" w:rsidR="00446466" w:rsidRDefault="00446466" w:rsidP="00655A81">
      <w:pPr>
        <w:jc w:val="center"/>
        <w:rPr>
          <w:rFonts w:ascii="Arial Rounded MT Bold" w:hAnsi="Arial Rounded MT Bold"/>
          <w:b/>
          <w:bCs/>
          <w:color w:val="00B0F0"/>
        </w:rPr>
      </w:pPr>
    </w:p>
    <w:sectPr w:rsidR="00446466" w:rsidSect="005058F2">
      <w:headerReference w:type="first" r:id="rId12"/>
      <w:pgSz w:w="16838" w:h="11906" w:orient="landscape"/>
      <w:pgMar w:top="1417" w:right="1417" w:bottom="1417" w:left="1417" w:header="708" w:footer="708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5F05B" w14:textId="77777777" w:rsidR="002F7548" w:rsidRDefault="002F7548">
      <w:pPr>
        <w:spacing w:after="0" w:line="240" w:lineRule="auto"/>
      </w:pPr>
      <w:r>
        <w:separator/>
      </w:r>
    </w:p>
  </w:endnote>
  <w:endnote w:type="continuationSeparator" w:id="0">
    <w:p w14:paraId="63775573" w14:textId="77777777" w:rsidR="002F7548" w:rsidRDefault="002F7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3016BF" w14:textId="77777777" w:rsidR="002F7548" w:rsidRDefault="002F754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6F4849D" w14:textId="77777777" w:rsidR="002F7548" w:rsidRDefault="002F75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F36CF" w14:textId="54AB80F2" w:rsidR="005058F2" w:rsidRDefault="005058F2">
    <w:pPr>
      <w:pStyle w:val="Nagwek"/>
    </w:pPr>
    <w:bookmarkStart w:id="2" w:name="_Hlk74147372"/>
    <w:bookmarkEnd w:id="2"/>
    <w:r>
      <w:rPr>
        <w:rFonts w:ascii="Abadi" w:hAnsi="Abadi"/>
        <w:b/>
        <w:bCs/>
        <w:noProof/>
        <w:color w:val="00B0F0"/>
        <w:sz w:val="28"/>
        <w:szCs w:val="28"/>
      </w:rPr>
      <w:drawing>
        <wp:inline distT="0" distB="0" distL="0" distR="0" wp14:anchorId="527EB86D" wp14:editId="627618BE">
          <wp:extent cx="1659032" cy="934480"/>
          <wp:effectExtent l="0" t="0" r="0" b="0"/>
          <wp:docPr id="2" name="Obraz 2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59032" cy="93448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0F2875"/>
    <w:multiLevelType w:val="hybridMultilevel"/>
    <w:tmpl w:val="1EC49BCA"/>
    <w:lvl w:ilvl="0" w:tplc="5A3E6A72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E83431"/>
    <w:multiLevelType w:val="hybridMultilevel"/>
    <w:tmpl w:val="ABB6E3FC"/>
    <w:lvl w:ilvl="0" w:tplc="FC02698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A42910"/>
    <w:multiLevelType w:val="hybridMultilevel"/>
    <w:tmpl w:val="10004B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F91E53"/>
    <w:multiLevelType w:val="hybridMultilevel"/>
    <w:tmpl w:val="E0781596"/>
    <w:lvl w:ilvl="0" w:tplc="FC02698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741F7C"/>
    <w:multiLevelType w:val="hybridMultilevel"/>
    <w:tmpl w:val="2FFE77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594C8D"/>
    <w:multiLevelType w:val="hybridMultilevel"/>
    <w:tmpl w:val="10004B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8C5"/>
    <w:rsid w:val="00017D87"/>
    <w:rsid w:val="00032D22"/>
    <w:rsid w:val="00034AB3"/>
    <w:rsid w:val="00083DD6"/>
    <w:rsid w:val="000A44E1"/>
    <w:rsid w:val="000B2DD7"/>
    <w:rsid w:val="000C2D78"/>
    <w:rsid w:val="000F5439"/>
    <w:rsid w:val="00106761"/>
    <w:rsid w:val="001419A3"/>
    <w:rsid w:val="001E1EAA"/>
    <w:rsid w:val="00212175"/>
    <w:rsid w:val="00256AA1"/>
    <w:rsid w:val="00266DCA"/>
    <w:rsid w:val="002852FE"/>
    <w:rsid w:val="00286651"/>
    <w:rsid w:val="00292C5E"/>
    <w:rsid w:val="002D03A4"/>
    <w:rsid w:val="002F7548"/>
    <w:rsid w:val="00321CCE"/>
    <w:rsid w:val="003F2888"/>
    <w:rsid w:val="004176B2"/>
    <w:rsid w:val="00446466"/>
    <w:rsid w:val="00476A3C"/>
    <w:rsid w:val="004B7661"/>
    <w:rsid w:val="004C63DE"/>
    <w:rsid w:val="005058F2"/>
    <w:rsid w:val="005507E3"/>
    <w:rsid w:val="00566A83"/>
    <w:rsid w:val="0056748F"/>
    <w:rsid w:val="0057016E"/>
    <w:rsid w:val="005C6551"/>
    <w:rsid w:val="00603671"/>
    <w:rsid w:val="00625441"/>
    <w:rsid w:val="00655A81"/>
    <w:rsid w:val="00664C69"/>
    <w:rsid w:val="006A7DCE"/>
    <w:rsid w:val="007505CE"/>
    <w:rsid w:val="007903CC"/>
    <w:rsid w:val="007A21D4"/>
    <w:rsid w:val="007B043E"/>
    <w:rsid w:val="00843352"/>
    <w:rsid w:val="00877D32"/>
    <w:rsid w:val="008C0E92"/>
    <w:rsid w:val="008D2C8A"/>
    <w:rsid w:val="00993383"/>
    <w:rsid w:val="00A051C6"/>
    <w:rsid w:val="00A118F0"/>
    <w:rsid w:val="00A2561D"/>
    <w:rsid w:val="00A32C82"/>
    <w:rsid w:val="00A960EA"/>
    <w:rsid w:val="00AD08C5"/>
    <w:rsid w:val="00B36F52"/>
    <w:rsid w:val="00B759BC"/>
    <w:rsid w:val="00BB0128"/>
    <w:rsid w:val="00BB688D"/>
    <w:rsid w:val="00C01D7D"/>
    <w:rsid w:val="00C604AA"/>
    <w:rsid w:val="00D16292"/>
    <w:rsid w:val="00D6346A"/>
    <w:rsid w:val="00D90969"/>
    <w:rsid w:val="00E41338"/>
    <w:rsid w:val="00EB2F31"/>
    <w:rsid w:val="00EC74BA"/>
    <w:rsid w:val="00F028E1"/>
    <w:rsid w:val="00F42214"/>
    <w:rsid w:val="00F44F91"/>
    <w:rsid w:val="00F541FE"/>
    <w:rsid w:val="00FC4FA1"/>
    <w:rsid w:val="00FE1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11808D"/>
  <w15:docId w15:val="{9907FBD6-CEC2-42E2-A88E-10EDFCF32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6466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C0E9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C0E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0E92"/>
  </w:style>
  <w:style w:type="paragraph" w:styleId="Stopka">
    <w:name w:val="footer"/>
    <w:basedOn w:val="Normalny"/>
    <w:link w:val="StopkaZnak"/>
    <w:uiPriority w:val="99"/>
    <w:unhideWhenUsed/>
    <w:rsid w:val="008C0E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0E92"/>
  </w:style>
  <w:style w:type="character" w:styleId="Odwoaniedokomentarza">
    <w:name w:val="annotation reference"/>
    <w:basedOn w:val="Domylnaczcionkaakapitu"/>
    <w:uiPriority w:val="99"/>
    <w:semiHidden/>
    <w:unhideWhenUsed/>
    <w:rsid w:val="001419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19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19A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19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19A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0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5" Type="http://schemas.openxmlformats.org/officeDocument/2006/relationships/footnotes" Target="footnotes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universe\wric$\09_Pracownicy\1_39_Wilk_J\Nowe%20obj&#281;cia\Aktualne%20Wykresy%20od%202012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universe\wric$\09_Pracownicy\1_39_Wilk_J\Nowe%20obj&#281;cia\Aktualne%20Wykresy%20od%202012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\\universe\wric$\09_Pracownicy\1_39_Wilk_J\Nowe%20obj&#281;cia\Aktualne%20Wykresy%20od%202012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\\universe\wric$\09_Pracownicy\1_39_Wilk_J\Nowe%20obj&#281;cia\Aktualne%20Wykresy%20wskazania%20od%202012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\\universe\wric$\09_Pracownicy\1_39_Wilk_J\Nowe%20obj&#281;cia\Aktualne%20Wykresy%20wskazania%20od%202012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 sz="1100" b="1" i="0" baseline="0">
                <a:effectLst/>
              </a:rPr>
              <a:t>Liczba nowych wskazań - ONKO/NIEONKO</a:t>
            </a:r>
            <a:endParaRPr lang="pl-PL" sz="11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7.7692038495188118E-2"/>
          <c:y val="0.13625000000000001"/>
          <c:w val="0.90286351706036749"/>
          <c:h val="0.6227387722368036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ONKO_NIEONKO!$A$3</c:f>
              <c:strCache>
                <c:ptCount val="1"/>
                <c:pt idx="0">
                  <c:v>Wskazania onkologiczne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satMod val="103000"/>
                    <a:lumMod val="102000"/>
                    <a:tint val="94000"/>
                  </a:schemeClr>
                </a:gs>
                <a:gs pos="50000">
                  <a:schemeClr val="accent6">
                    <a:satMod val="110000"/>
                    <a:lumMod val="100000"/>
                    <a:shade val="100000"/>
                  </a:schemeClr>
                </a:gs>
                <a:gs pos="100000">
                  <a:schemeClr val="accent6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dLbls>
            <c:dLbl>
              <c:idx val="0"/>
              <c:layout>
                <c:manualLayout>
                  <c:x val="0"/>
                  <c:y val="8.053691275167780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717B-4E43-B647-5D7E5219665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ONKO_NIEONKO!$B$2</c:f>
              <c:numCache>
                <c:formatCode>General</c:formatCode>
                <c:ptCount val="1"/>
                <c:pt idx="0">
                  <c:v>2021</c:v>
                </c:pt>
              </c:numCache>
              <c:extLst/>
            </c:numRef>
          </c:cat>
          <c:val>
            <c:numRef>
              <c:f>ONKO_NIEONKO!$B$3</c:f>
              <c:numCache>
                <c:formatCode>General</c:formatCode>
                <c:ptCount val="1"/>
                <c:pt idx="0">
                  <c:v>32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1-717B-4E43-B647-5D7E52196659}"/>
            </c:ext>
          </c:extLst>
        </c:ser>
        <c:ser>
          <c:idx val="1"/>
          <c:order val="1"/>
          <c:tx>
            <c:strRef>
              <c:f>ONKO_NIEONKO!$A$4</c:f>
              <c:strCache>
                <c:ptCount val="1"/>
                <c:pt idx="0">
                  <c:v>Wskazania nieonkologiczne</c:v>
                </c:pt>
              </c:strCache>
            </c:strRef>
          </c:tx>
          <c:spPr>
            <a:gradFill rotWithShape="1">
              <a:gsLst>
                <a:gs pos="0">
                  <a:schemeClr val="accent5">
                    <a:satMod val="103000"/>
                    <a:lumMod val="102000"/>
                    <a:tint val="94000"/>
                  </a:schemeClr>
                </a:gs>
                <a:gs pos="50000">
                  <a:schemeClr val="accent5">
                    <a:satMod val="110000"/>
                    <a:lumMod val="100000"/>
                    <a:shade val="100000"/>
                  </a:schemeClr>
                </a:gs>
                <a:gs pos="100000">
                  <a:schemeClr val="accent5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dLbls>
            <c:dLbl>
              <c:idx val="0"/>
              <c:layout>
                <c:manualLayout>
                  <c:x val="0"/>
                  <c:y val="8.053691275167788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717B-4E43-B647-5D7E5219665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ONKO_NIEONKO!$B$2</c:f>
              <c:numCache>
                <c:formatCode>General</c:formatCode>
                <c:ptCount val="1"/>
                <c:pt idx="0">
                  <c:v>2021</c:v>
                </c:pt>
              </c:numCache>
              <c:extLst/>
            </c:numRef>
          </c:cat>
          <c:val>
            <c:numRef>
              <c:f>ONKO_NIEONKO!$B$4</c:f>
              <c:numCache>
                <c:formatCode>General</c:formatCode>
                <c:ptCount val="1"/>
                <c:pt idx="0">
                  <c:v>36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3-717B-4E43-B647-5D7E5219665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703835919"/>
        <c:axId val="703834671"/>
        <c:axId val="0"/>
      </c:bar3DChart>
      <c:catAx>
        <c:axId val="70383591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703834671"/>
        <c:crosses val="autoZero"/>
        <c:auto val="1"/>
        <c:lblAlgn val="ctr"/>
        <c:lblOffset val="100"/>
        <c:noMultiLvlLbl val="0"/>
      </c:catAx>
      <c:valAx>
        <c:axId val="703834671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70383591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pl-PL" sz="1100" b="1" i="0" baseline="0">
                <a:effectLst/>
              </a:rPr>
              <a:t>Liczba nowych wskazań - kategorie dostępności</a:t>
            </a:r>
            <a:endParaRPr lang="pl-PL" sz="11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6.589452607083908E-2"/>
          <c:y val="0.14957494407158836"/>
          <c:w val="0.90386492410098218"/>
          <c:h val="0.64441402878331489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'Kategoria dostępności'!$A$3</c:f>
              <c:strCache>
                <c:ptCount val="1"/>
                <c:pt idx="0">
                  <c:v>Apteka</c:v>
                </c:pt>
              </c:strCache>
            </c:strRef>
          </c:tx>
          <c:spPr>
            <a:solidFill>
              <a:srgbClr val="0099FF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-1.2577855410751745E-17"/>
                  <c:y val="7.606263982102899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92B0-4C66-AF9D-8C62E9A09CB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'Kategoria dostępności'!$B$2</c:f>
              <c:numCache>
                <c:formatCode>General</c:formatCode>
                <c:ptCount val="1"/>
                <c:pt idx="0">
                  <c:v>2021</c:v>
                </c:pt>
              </c:numCache>
              <c:extLst/>
            </c:numRef>
          </c:cat>
          <c:val>
            <c:numRef>
              <c:f>'Kategoria dostępności'!$B$3</c:f>
              <c:numCache>
                <c:formatCode>General</c:formatCode>
                <c:ptCount val="1"/>
                <c:pt idx="0">
                  <c:v>14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1-92B0-4C66-AF9D-8C62E9A09CB4}"/>
            </c:ext>
          </c:extLst>
        </c:ser>
        <c:ser>
          <c:idx val="1"/>
          <c:order val="1"/>
          <c:tx>
            <c:strRef>
              <c:f>'Kategoria dostępności'!$A$4</c:f>
              <c:strCache>
                <c:ptCount val="1"/>
                <c:pt idx="0">
                  <c:v>Chemioterapia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atMod val="103000"/>
                    <a:lumMod val="102000"/>
                    <a:tint val="94000"/>
                  </a:schemeClr>
                </a:gs>
                <a:gs pos="50000">
                  <a:schemeClr val="accent4">
                    <a:satMod val="110000"/>
                    <a:lumMod val="100000"/>
                    <a:shade val="100000"/>
                  </a:schemeClr>
                </a:gs>
                <a:gs pos="100000">
                  <a:schemeClr val="accent4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2.7442910642641659E-3"/>
                  <c:y val="8.94854586129753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92B0-4C66-AF9D-8C62E9A09CB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'Kategoria dostępności'!$B$2</c:f>
              <c:numCache>
                <c:formatCode>General</c:formatCode>
                <c:ptCount val="1"/>
                <c:pt idx="0">
                  <c:v>2021</c:v>
                </c:pt>
              </c:numCache>
              <c:extLst/>
            </c:numRef>
          </c:cat>
          <c:val>
            <c:numRef>
              <c:f>'Kategoria dostępności'!$B$4</c:f>
              <c:numCache>
                <c:formatCode>General</c:formatCode>
                <c:ptCount val="1"/>
                <c:pt idx="0">
                  <c:v>1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3-92B0-4C66-AF9D-8C62E9A09CB4}"/>
            </c:ext>
          </c:extLst>
        </c:ser>
        <c:ser>
          <c:idx val="2"/>
          <c:order val="2"/>
          <c:tx>
            <c:strRef>
              <c:f>'Kategoria dostępności'!$A$5</c:f>
              <c:strCache>
                <c:ptCount val="1"/>
                <c:pt idx="0">
                  <c:v>Program lekowy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satMod val="103000"/>
                    <a:lumMod val="102000"/>
                    <a:tint val="94000"/>
                  </a:schemeClr>
                </a:gs>
                <a:gs pos="50000">
                  <a:schemeClr val="accent6">
                    <a:satMod val="110000"/>
                    <a:lumMod val="100000"/>
                    <a:shade val="100000"/>
                  </a:schemeClr>
                </a:gs>
                <a:gs pos="100000">
                  <a:schemeClr val="accent6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2.7442910642641659E-3"/>
                  <c:y val="7.606263982102903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92B0-4C66-AF9D-8C62E9A09CB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'Kategoria dostępności'!$B$2</c:f>
              <c:numCache>
                <c:formatCode>General</c:formatCode>
                <c:ptCount val="1"/>
                <c:pt idx="0">
                  <c:v>2021</c:v>
                </c:pt>
              </c:numCache>
              <c:extLst/>
            </c:numRef>
          </c:cat>
          <c:val>
            <c:numRef>
              <c:f>'Kategoria dostępności'!$B$5</c:f>
              <c:numCache>
                <c:formatCode>General</c:formatCode>
                <c:ptCount val="1"/>
                <c:pt idx="0">
                  <c:v>53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5-92B0-4C66-AF9D-8C62E9A09CB4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288787007"/>
        <c:axId val="1288791583"/>
        <c:axId val="0"/>
      </c:bar3DChart>
      <c:catAx>
        <c:axId val="128878700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288791583"/>
        <c:crosses val="autoZero"/>
        <c:auto val="1"/>
        <c:lblAlgn val="ctr"/>
        <c:lblOffset val="100"/>
        <c:noMultiLvlLbl val="0"/>
      </c:catAx>
      <c:valAx>
        <c:axId val="128879158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288787007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 sz="1100"/>
              <a:t>Liczba nowych wskazań - wskazania rzadkie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'Wskazania rzadkie'!$A$3</c:f>
              <c:strCache>
                <c:ptCount val="1"/>
                <c:pt idx="0">
                  <c:v>Wskazanie rzadkie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satMod val="103000"/>
                    <a:lumMod val="102000"/>
                    <a:tint val="94000"/>
                  </a:schemeClr>
                </a:gs>
                <a:gs pos="50000">
                  <a:schemeClr val="accent6">
                    <a:satMod val="110000"/>
                    <a:lumMod val="100000"/>
                    <a:shade val="100000"/>
                  </a:schemeClr>
                </a:gs>
                <a:gs pos="100000">
                  <a:schemeClr val="accent6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dLbls>
            <c:dLbl>
              <c:idx val="0"/>
              <c:layout>
                <c:manualLayout>
                  <c:x val="0"/>
                  <c:y val="6.263982102908277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7107-4CEE-BB42-EF99D6564AB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'Wskazania rzadkie'!$B$2</c:f>
              <c:numCache>
                <c:formatCode>General</c:formatCode>
                <c:ptCount val="1"/>
                <c:pt idx="0">
                  <c:v>2021</c:v>
                </c:pt>
              </c:numCache>
              <c:extLst/>
            </c:numRef>
          </c:cat>
          <c:val>
            <c:numRef>
              <c:f>'Wskazania rzadkie'!$B$3</c:f>
              <c:numCache>
                <c:formatCode>General</c:formatCode>
                <c:ptCount val="1"/>
                <c:pt idx="0">
                  <c:v>29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1-7107-4CEE-BB42-EF99D6564ABF}"/>
            </c:ext>
          </c:extLst>
        </c:ser>
        <c:ser>
          <c:idx val="1"/>
          <c:order val="1"/>
          <c:tx>
            <c:strRef>
              <c:f>'Wskazania rzadkie'!$A$4</c:f>
              <c:strCache>
                <c:ptCount val="1"/>
                <c:pt idx="0">
                  <c:v>Pozostałe</c:v>
                </c:pt>
              </c:strCache>
              <c:extLst xmlns:c15="http://schemas.microsoft.com/office/drawing/2012/chart"/>
            </c:strRef>
          </c:tx>
          <c:spPr>
            <a:gradFill rotWithShape="1">
              <a:gsLst>
                <a:gs pos="0">
                  <a:schemeClr val="accent5">
                    <a:satMod val="103000"/>
                    <a:lumMod val="102000"/>
                    <a:tint val="94000"/>
                  </a:schemeClr>
                </a:gs>
                <a:gs pos="50000">
                  <a:schemeClr val="accent5">
                    <a:satMod val="110000"/>
                    <a:lumMod val="100000"/>
                    <a:shade val="100000"/>
                  </a:schemeClr>
                </a:gs>
                <a:gs pos="100000">
                  <a:schemeClr val="accent5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dLbls>
            <c:dLbl>
              <c:idx val="0"/>
              <c:layout>
                <c:manualLayout>
                  <c:x val="2.3446658851113502E-3"/>
                  <c:y val="7.158836689038022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5="http://schemas.microsoft.com/office/drawing/2012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7107-4CEE-BB42-EF99D6564AB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5="http://schemas.microsoft.com/office/drawing/2012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'Wskazania rzadkie'!$B$2</c:f>
              <c:numCache>
                <c:formatCode>General</c:formatCode>
                <c:ptCount val="1"/>
                <c:pt idx="0">
                  <c:v>2021</c:v>
                </c:pt>
              </c:numCache>
              <c:extLst/>
            </c:numRef>
          </c:cat>
          <c:val>
            <c:numRef>
              <c:f>'Wskazania rzadkie'!$B$4</c:f>
              <c:numCache>
                <c:formatCode>General</c:formatCode>
                <c:ptCount val="1"/>
                <c:pt idx="0">
                  <c:v>39</c:v>
                </c:pt>
              </c:numCache>
              <c:extLst/>
            </c:numRef>
          </c:val>
          <c:extLst xmlns:c15="http://schemas.microsoft.com/office/drawing/2012/chart">
            <c:ext xmlns:c16="http://schemas.microsoft.com/office/drawing/2014/chart" uri="{C3380CC4-5D6E-409C-BE32-E72D297353CC}">
              <c16:uniqueId val="{00000003-7107-4CEE-BB42-EF99D6564ABF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703837167"/>
        <c:axId val="703834255"/>
        <c:axId val="0"/>
        <c:extLst/>
      </c:bar3DChart>
      <c:catAx>
        <c:axId val="70383716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703834255"/>
        <c:crosses val="autoZero"/>
        <c:auto val="1"/>
        <c:lblAlgn val="ctr"/>
        <c:lblOffset val="100"/>
        <c:noMultiLvlLbl val="0"/>
      </c:catAx>
      <c:valAx>
        <c:axId val="70383425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703837167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/>
              <a:t>Wskazania nieonkologiczne 2021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7634903833742097"/>
          <c:y val="0.16484444444444443"/>
          <c:w val="0.80429941339299793"/>
          <c:h val="0.73205214348206471"/>
        </c:manualLayout>
      </c:layout>
      <c:bar3D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'nieonko_2016_-_2021'!$A$3:$A$20</c:f>
              <c:strCache>
                <c:ptCount val="18"/>
                <c:pt idx="0">
                  <c:v>Neurologia</c:v>
                </c:pt>
                <c:pt idx="1">
                  <c:v>Nefrologia </c:v>
                </c:pt>
                <c:pt idx="2">
                  <c:v>Urologia</c:v>
                </c:pt>
                <c:pt idx="3">
                  <c:v>Hepatologia</c:v>
                </c:pt>
                <c:pt idx="4">
                  <c:v>Angiologia</c:v>
                </c:pt>
                <c:pt idx="5">
                  <c:v>Okulistyka</c:v>
                </c:pt>
                <c:pt idx="6">
                  <c:v>Endokrynologia</c:v>
                </c:pt>
                <c:pt idx="7">
                  <c:v>Hematologia</c:v>
                </c:pt>
                <c:pt idx="8">
                  <c:v>Pulmonologia</c:v>
                </c:pt>
                <c:pt idx="9">
                  <c:v>Kardiologia</c:v>
                </c:pt>
                <c:pt idx="10">
                  <c:v>Dermatologia</c:v>
                </c:pt>
                <c:pt idx="11">
                  <c:v>Reumatologia</c:v>
                </c:pt>
                <c:pt idx="12">
                  <c:v>Choroby metaboliczne</c:v>
                </c:pt>
                <c:pt idx="13">
                  <c:v>Gastroenterologia</c:v>
                </c:pt>
                <c:pt idx="14">
                  <c:v>Psychiatria</c:v>
                </c:pt>
                <c:pt idx="15">
                  <c:v>Immunologia</c:v>
                </c:pt>
                <c:pt idx="16">
                  <c:v>Diabetologia</c:v>
                </c:pt>
                <c:pt idx="17">
                  <c:v>Alergologia</c:v>
                </c:pt>
              </c:strCache>
              <c:extLst/>
            </c:strRef>
          </c:cat>
          <c:val>
            <c:numRef>
              <c:f>'nieonko_2016_-_2021'!$B$3:$B$20</c:f>
              <c:numCache>
                <c:formatCode>General</c:formatCode>
                <c:ptCount val="18"/>
                <c:pt idx="0">
                  <c:v>2</c:v>
                </c:pt>
                <c:pt idx="1">
                  <c:v>2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7</c:v>
                </c:pt>
                <c:pt idx="6">
                  <c:v>1</c:v>
                </c:pt>
                <c:pt idx="7">
                  <c:v>6</c:v>
                </c:pt>
                <c:pt idx="8">
                  <c:v>1</c:v>
                </c:pt>
                <c:pt idx="9">
                  <c:v>1</c:v>
                </c:pt>
                <c:pt idx="10">
                  <c:v>3</c:v>
                </c:pt>
                <c:pt idx="11">
                  <c:v>1</c:v>
                </c:pt>
                <c:pt idx="12">
                  <c:v>2</c:v>
                </c:pt>
                <c:pt idx="13">
                  <c:v>2</c:v>
                </c:pt>
                <c:pt idx="14">
                  <c:v>1</c:v>
                </c:pt>
                <c:pt idx="15">
                  <c:v>2</c:v>
                </c:pt>
                <c:pt idx="16">
                  <c:v>1</c:v>
                </c:pt>
                <c:pt idx="17">
                  <c:v>1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0-0C9D-4235-9C27-46CC18453E5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41296495"/>
        <c:axId val="241294831"/>
        <c:axId val="0"/>
      </c:bar3DChart>
      <c:valAx>
        <c:axId val="241294831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241296495"/>
        <c:crosses val="autoZero"/>
        <c:crossBetween val="between"/>
      </c:valAx>
      <c:catAx>
        <c:axId val="241296495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241294831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/>
              <a:t>Wskazania onkologiczne w 2021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'onko_2012_-_2021_1'!$B$2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'onko_2012_-_2021_1'!$A$3:$A$9</c:f>
              <c:strCache>
                <c:ptCount val="7"/>
                <c:pt idx="0">
                  <c:v>Inne</c:v>
                </c:pt>
                <c:pt idx="1">
                  <c:v>Hematoonkologia</c:v>
                </c:pt>
                <c:pt idx="2">
                  <c:v>Nowotwory układu oddechowego</c:v>
                </c:pt>
                <c:pt idx="3">
                  <c:v>Nowotwory skóry</c:v>
                </c:pt>
                <c:pt idx="4">
                  <c:v>Nowotwory ginekologiczne</c:v>
                </c:pt>
                <c:pt idx="5">
                  <c:v>Nowotwory układu pokarmowego</c:v>
                </c:pt>
                <c:pt idx="6">
                  <c:v>Nowotwory układu endokrynnego</c:v>
                </c:pt>
              </c:strCache>
              <c:extLst/>
            </c:strRef>
          </c:cat>
          <c:val>
            <c:numRef>
              <c:f>'onko_2012_-_2021_1'!$B$3:$B$9</c:f>
              <c:numCache>
                <c:formatCode>General</c:formatCode>
                <c:ptCount val="7"/>
                <c:pt idx="0">
                  <c:v>1</c:v>
                </c:pt>
                <c:pt idx="1">
                  <c:v>11</c:v>
                </c:pt>
                <c:pt idx="2">
                  <c:v>7</c:v>
                </c:pt>
                <c:pt idx="3">
                  <c:v>6</c:v>
                </c:pt>
                <c:pt idx="4">
                  <c:v>4</c:v>
                </c:pt>
                <c:pt idx="5">
                  <c:v>2</c:v>
                </c:pt>
                <c:pt idx="6">
                  <c:v>1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0-02C9-45F2-BAAC-BF437E2C318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751046271"/>
        <c:axId val="751054175"/>
        <c:axId val="0"/>
        <c:extLst>
          <c:ext xmlns:c15="http://schemas.microsoft.com/office/drawing/2012/chart" uri="{02D57815-91ED-43cb-92C2-25804820EDAC}">
            <c15:filteredBarSeries>
              <c15:ser>
                <c:idx val="1"/>
                <c:order val="1"/>
                <c:tx>
                  <c:strRef>
                    <c:extLst>
                      <c:ext uri="{02D57815-91ED-43cb-92C2-25804820EDAC}">
                        <c15:formulaRef>
                          <c15:sqref>'onko_2012_-_2021_1'!$C$2</c15:sqref>
                        </c15:formulaRef>
                      </c:ext>
                    </c:extLst>
                    <c:strCache>
                      <c:ptCount val="1"/>
                      <c:pt idx="0">
                        <c:v>2020</c:v>
                      </c:pt>
                    </c:strCache>
                  </c:strRef>
                </c:tx>
                <c:spPr>
                  <a:solidFill>
                    <a:schemeClr val="accent2"/>
                  </a:solidFill>
                  <a:ln>
                    <a:noFill/>
                  </a:ln>
                  <a:effectLst/>
                  <a:sp3d/>
                </c:spPr>
                <c:invertIfNegative val="0"/>
                <c:cat>
                  <c:strRef>
                    <c:extLst>
                      <c:ext uri="{02D57815-91ED-43cb-92C2-25804820EDAC}">
                        <c15:formulaRef>
                          <c15:sqref>'onko_2012_-_2021_1'!$A$3:$A$9</c15:sqref>
                        </c15:formulaRef>
                      </c:ext>
                    </c:extLst>
                    <c:strCache>
                      <c:ptCount val="7"/>
                      <c:pt idx="0">
                        <c:v>Inne</c:v>
                      </c:pt>
                      <c:pt idx="1">
                        <c:v>Hematoonkologia</c:v>
                      </c:pt>
                      <c:pt idx="2">
                        <c:v>Nowotwory układu oddechowego</c:v>
                      </c:pt>
                      <c:pt idx="3">
                        <c:v>Nowotwory skóry</c:v>
                      </c:pt>
                      <c:pt idx="4">
                        <c:v>Nowotwory ginekologiczne</c:v>
                      </c:pt>
                      <c:pt idx="5">
                        <c:v>Nowotwory układu pokarmowego</c:v>
                      </c:pt>
                      <c:pt idx="6">
                        <c:v>Nowotwory układu endokrynnego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'onko_2012_-_2021_1'!$C$3:$C$9</c15:sqref>
                        </c15:formulaRef>
                      </c:ext>
                    </c:extLst>
                    <c:numCache>
                      <c:formatCode>General</c:formatCode>
                      <c:ptCount val="7"/>
                      <c:pt idx="0">
                        <c:v>2</c:v>
                      </c:pt>
                      <c:pt idx="1">
                        <c:v>6</c:v>
                      </c:pt>
                      <c:pt idx="2">
                        <c:v>4</c:v>
                      </c:pt>
                      <c:pt idx="3">
                        <c:v>2</c:v>
                      </c:pt>
                      <c:pt idx="4">
                        <c:v>6</c:v>
                      </c:pt>
                      <c:pt idx="5">
                        <c:v>1</c:v>
                      </c:pt>
                      <c:pt idx="6">
                        <c:v>1</c:v>
                      </c:pt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1-02C9-45F2-BAAC-BF437E2C318E}"/>
                  </c:ext>
                </c:extLst>
              </c15:ser>
            </c15:filteredBarSeries>
            <c15:filteredBarSeries>
              <c15:ser>
                <c:idx val="2"/>
                <c:order val="2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'onko_2012_-_2021_1'!$D$2</c15:sqref>
                        </c15:formulaRef>
                      </c:ext>
                    </c:extLst>
                    <c:strCache>
                      <c:ptCount val="1"/>
                      <c:pt idx="0">
                        <c:v>2019</c:v>
                      </c:pt>
                    </c:strCache>
                  </c:strRef>
                </c:tx>
                <c:spPr>
                  <a:solidFill>
                    <a:schemeClr val="accent3"/>
                  </a:solidFill>
                  <a:ln>
                    <a:noFill/>
                  </a:ln>
                  <a:effectLst/>
                  <a:sp3d/>
                </c:spPr>
                <c:invertIfNegative val="0"/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'onko_2012_-_2021_1'!$A$3:$A$9</c15:sqref>
                        </c15:formulaRef>
                      </c:ext>
                    </c:extLst>
                    <c:strCache>
                      <c:ptCount val="7"/>
                      <c:pt idx="0">
                        <c:v>Inne</c:v>
                      </c:pt>
                      <c:pt idx="1">
                        <c:v>Hematoonkologia</c:v>
                      </c:pt>
                      <c:pt idx="2">
                        <c:v>Nowotwory układu oddechowego</c:v>
                      </c:pt>
                      <c:pt idx="3">
                        <c:v>Nowotwory skóry</c:v>
                      </c:pt>
                      <c:pt idx="4">
                        <c:v>Nowotwory ginekologiczne</c:v>
                      </c:pt>
                      <c:pt idx="5">
                        <c:v>Nowotwory układu pokarmowego</c:v>
                      </c:pt>
                      <c:pt idx="6">
                        <c:v>Nowotwory układu endokrynnego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'onko_2012_-_2021_1'!$D$3:$D$9</c15:sqref>
                        </c15:formulaRef>
                      </c:ext>
                    </c:extLst>
                    <c:numCache>
                      <c:formatCode>General</c:formatCode>
                      <c:ptCount val="7"/>
                      <c:pt idx="0">
                        <c:v>0</c:v>
                      </c:pt>
                      <c:pt idx="1">
                        <c:v>8</c:v>
                      </c:pt>
                      <c:pt idx="2">
                        <c:v>3</c:v>
                      </c:pt>
                      <c:pt idx="3">
                        <c:v>0</c:v>
                      </c:pt>
                      <c:pt idx="4">
                        <c:v>4</c:v>
                      </c:pt>
                      <c:pt idx="5">
                        <c:v>1</c:v>
                      </c:pt>
                      <c:pt idx="6">
                        <c:v>0</c:v>
                      </c:pt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2-02C9-45F2-BAAC-BF437E2C318E}"/>
                  </c:ext>
                </c:extLst>
              </c15:ser>
            </c15:filteredBarSeries>
            <c15:filteredBarSeries>
              <c15:ser>
                <c:idx val="3"/>
                <c:order val="3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'onko_2012_-_2021_1'!$E$2</c15:sqref>
                        </c15:formulaRef>
                      </c:ext>
                    </c:extLst>
                    <c:strCache>
                      <c:ptCount val="1"/>
                      <c:pt idx="0">
                        <c:v>2018</c:v>
                      </c:pt>
                    </c:strCache>
                  </c:strRef>
                </c:tx>
                <c:spPr>
                  <a:solidFill>
                    <a:schemeClr val="accent4"/>
                  </a:solidFill>
                  <a:ln>
                    <a:noFill/>
                  </a:ln>
                  <a:effectLst/>
                  <a:sp3d/>
                </c:spPr>
                <c:invertIfNegative val="0"/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'onko_2012_-_2021_1'!$A$3:$A$9</c15:sqref>
                        </c15:formulaRef>
                      </c:ext>
                    </c:extLst>
                    <c:strCache>
                      <c:ptCount val="7"/>
                      <c:pt idx="0">
                        <c:v>Inne</c:v>
                      </c:pt>
                      <c:pt idx="1">
                        <c:v>Hematoonkologia</c:v>
                      </c:pt>
                      <c:pt idx="2">
                        <c:v>Nowotwory układu oddechowego</c:v>
                      </c:pt>
                      <c:pt idx="3">
                        <c:v>Nowotwory skóry</c:v>
                      </c:pt>
                      <c:pt idx="4">
                        <c:v>Nowotwory ginekologiczne</c:v>
                      </c:pt>
                      <c:pt idx="5">
                        <c:v>Nowotwory układu pokarmowego</c:v>
                      </c:pt>
                      <c:pt idx="6">
                        <c:v>Nowotwory układu endokrynnego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'onko_2012_-_2021_1'!$E$3:$E$9</c15:sqref>
                        </c15:formulaRef>
                      </c:ext>
                    </c:extLst>
                    <c:numCache>
                      <c:formatCode>General</c:formatCode>
                      <c:ptCount val="7"/>
                      <c:pt idx="0">
                        <c:v>0</c:v>
                      </c:pt>
                      <c:pt idx="1">
                        <c:v>2</c:v>
                      </c:pt>
                      <c:pt idx="2">
                        <c:v>3</c:v>
                      </c:pt>
                      <c:pt idx="3">
                        <c:v>0</c:v>
                      </c:pt>
                      <c:pt idx="4">
                        <c:v>0</c:v>
                      </c:pt>
                      <c:pt idx="5">
                        <c:v>0</c:v>
                      </c:pt>
                      <c:pt idx="6">
                        <c:v>0</c:v>
                      </c:pt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3-02C9-45F2-BAAC-BF437E2C318E}"/>
                  </c:ext>
                </c:extLst>
              </c15:ser>
            </c15:filteredBarSeries>
            <c15:filteredBarSeries>
              <c15:ser>
                <c:idx val="4"/>
                <c:order val="4"/>
                <c:tx>
                  <c:v>2017</c:v>
                </c:tx>
                <c:spPr>
                  <a:solidFill>
                    <a:schemeClr val="accent5"/>
                  </a:solidFill>
                  <a:ln>
                    <a:noFill/>
                  </a:ln>
                  <a:effectLst/>
                  <a:sp3d/>
                </c:spPr>
                <c:invertIfNegative val="0"/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'onko_2012_-_2021_1'!$A$3:$A$9</c15:sqref>
                        </c15:formulaRef>
                      </c:ext>
                    </c:extLst>
                    <c:strCache>
                      <c:ptCount val="7"/>
                      <c:pt idx="0">
                        <c:v>Inne</c:v>
                      </c:pt>
                      <c:pt idx="1">
                        <c:v>Hematoonkologia</c:v>
                      </c:pt>
                      <c:pt idx="2">
                        <c:v>Nowotwory układu oddechowego</c:v>
                      </c:pt>
                      <c:pt idx="3">
                        <c:v>Nowotwory skóry</c:v>
                      </c:pt>
                      <c:pt idx="4">
                        <c:v>Nowotwory ginekologiczne</c:v>
                      </c:pt>
                      <c:pt idx="5">
                        <c:v>Nowotwory układu pokarmowego</c:v>
                      </c:pt>
                      <c:pt idx="6">
                        <c:v>Nowotwory układu endokrynnego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'onko_2012_-_2021_1'!$F$3:$F$9</c15:sqref>
                        </c15:formulaRef>
                      </c:ext>
                    </c:extLst>
                    <c:numCache>
                      <c:formatCode>General</c:formatCode>
                      <c:ptCount val="7"/>
                      <c:pt idx="0">
                        <c:v>1</c:v>
                      </c:pt>
                      <c:pt idx="1">
                        <c:v>4</c:v>
                      </c:pt>
                      <c:pt idx="2">
                        <c:v>1</c:v>
                      </c:pt>
                      <c:pt idx="3">
                        <c:v>2</c:v>
                      </c:pt>
                      <c:pt idx="4">
                        <c:v>0</c:v>
                      </c:pt>
                      <c:pt idx="5">
                        <c:v>4</c:v>
                      </c:pt>
                      <c:pt idx="6">
                        <c:v>3</c:v>
                      </c:pt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4-02C9-45F2-BAAC-BF437E2C318E}"/>
                  </c:ext>
                </c:extLst>
              </c15:ser>
            </c15:filteredBarSeries>
            <c15:filteredBarSeries>
              <c15:ser>
                <c:idx val="5"/>
                <c:order val="5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'onko_2012_-_2021_1'!$G$2</c15:sqref>
                        </c15:formulaRef>
                      </c:ext>
                    </c:extLst>
                    <c:strCache>
                      <c:ptCount val="1"/>
                      <c:pt idx="0">
                        <c:v>2016</c:v>
                      </c:pt>
                    </c:strCache>
                  </c:strRef>
                </c:tx>
                <c:spPr>
                  <a:solidFill>
                    <a:schemeClr val="accent6"/>
                  </a:solidFill>
                  <a:ln>
                    <a:noFill/>
                  </a:ln>
                  <a:effectLst/>
                  <a:sp3d/>
                </c:spPr>
                <c:invertIfNegative val="0"/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'onko_2012_-_2021_1'!$A$3:$A$9</c15:sqref>
                        </c15:formulaRef>
                      </c:ext>
                    </c:extLst>
                    <c:strCache>
                      <c:ptCount val="7"/>
                      <c:pt idx="0">
                        <c:v>Inne</c:v>
                      </c:pt>
                      <c:pt idx="1">
                        <c:v>Hematoonkologia</c:v>
                      </c:pt>
                      <c:pt idx="2">
                        <c:v>Nowotwory układu oddechowego</c:v>
                      </c:pt>
                      <c:pt idx="3">
                        <c:v>Nowotwory skóry</c:v>
                      </c:pt>
                      <c:pt idx="4">
                        <c:v>Nowotwory ginekologiczne</c:v>
                      </c:pt>
                      <c:pt idx="5">
                        <c:v>Nowotwory układu pokarmowego</c:v>
                      </c:pt>
                      <c:pt idx="6">
                        <c:v>Nowotwory układu endokrynnego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'onko_2012_-_2021_1'!$G$3:$G$9</c15:sqref>
                        </c15:formulaRef>
                      </c:ext>
                    </c:extLst>
                    <c:numCache>
                      <c:formatCode>General</c:formatCode>
                      <c:ptCount val="7"/>
                      <c:pt idx="0">
                        <c:v>0</c:v>
                      </c:pt>
                      <c:pt idx="1">
                        <c:v>3</c:v>
                      </c:pt>
                      <c:pt idx="2">
                        <c:v>1</c:v>
                      </c:pt>
                      <c:pt idx="3">
                        <c:v>2</c:v>
                      </c:pt>
                      <c:pt idx="4">
                        <c:v>2</c:v>
                      </c:pt>
                      <c:pt idx="5">
                        <c:v>0</c:v>
                      </c:pt>
                      <c:pt idx="6">
                        <c:v>0</c:v>
                      </c:pt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5-02C9-45F2-BAAC-BF437E2C318E}"/>
                  </c:ext>
                </c:extLst>
              </c15:ser>
            </c15:filteredBarSeries>
            <c15:filteredBarSeries>
              <c15:ser>
                <c:idx val="6"/>
                <c:order val="6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'onko_2012_-_2021_1'!$H$2</c15:sqref>
                        </c15:formulaRef>
                      </c:ext>
                    </c:extLst>
                    <c:strCache>
                      <c:ptCount val="1"/>
                      <c:pt idx="0">
                        <c:v>2015</c:v>
                      </c:pt>
                    </c:strCache>
                  </c:strRef>
                </c:tx>
                <c:spPr>
                  <a:solidFill>
                    <a:schemeClr val="accent1">
                      <a:lumMod val="60000"/>
                    </a:schemeClr>
                  </a:solidFill>
                  <a:ln>
                    <a:noFill/>
                  </a:ln>
                  <a:effectLst/>
                  <a:sp3d/>
                </c:spPr>
                <c:invertIfNegative val="0"/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'onko_2012_-_2021_1'!$A$3:$A$9</c15:sqref>
                        </c15:formulaRef>
                      </c:ext>
                    </c:extLst>
                    <c:strCache>
                      <c:ptCount val="7"/>
                      <c:pt idx="0">
                        <c:v>Inne</c:v>
                      </c:pt>
                      <c:pt idx="1">
                        <c:v>Hematoonkologia</c:v>
                      </c:pt>
                      <c:pt idx="2">
                        <c:v>Nowotwory układu oddechowego</c:v>
                      </c:pt>
                      <c:pt idx="3">
                        <c:v>Nowotwory skóry</c:v>
                      </c:pt>
                      <c:pt idx="4">
                        <c:v>Nowotwory ginekologiczne</c:v>
                      </c:pt>
                      <c:pt idx="5">
                        <c:v>Nowotwory układu pokarmowego</c:v>
                      </c:pt>
                      <c:pt idx="6">
                        <c:v>Nowotwory układu endokrynnego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'onko_2012_-_2021_1'!$H$3:$H$9</c15:sqref>
                        </c15:formulaRef>
                      </c:ext>
                    </c:extLst>
                    <c:numCache>
                      <c:formatCode>General</c:formatCode>
                      <c:ptCount val="7"/>
                      <c:pt idx="0">
                        <c:v>3</c:v>
                      </c:pt>
                      <c:pt idx="1">
                        <c:v>5</c:v>
                      </c:pt>
                      <c:pt idx="2">
                        <c:v>0</c:v>
                      </c:pt>
                      <c:pt idx="3">
                        <c:v>1</c:v>
                      </c:pt>
                      <c:pt idx="4">
                        <c:v>1</c:v>
                      </c:pt>
                      <c:pt idx="5">
                        <c:v>4</c:v>
                      </c:pt>
                      <c:pt idx="6">
                        <c:v>0</c:v>
                      </c:pt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6-02C9-45F2-BAAC-BF437E2C318E}"/>
                  </c:ext>
                </c:extLst>
              </c15:ser>
            </c15:filteredBarSeries>
            <c15:filteredBarSeries>
              <c15:ser>
                <c:idx val="7"/>
                <c:order val="7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'onko_2012_-_2021_1'!$I$2</c15:sqref>
                        </c15:formulaRef>
                      </c:ext>
                    </c:extLst>
                    <c:strCache>
                      <c:ptCount val="1"/>
                      <c:pt idx="0">
                        <c:v>2014</c:v>
                      </c:pt>
                    </c:strCache>
                  </c:strRef>
                </c:tx>
                <c:spPr>
                  <a:solidFill>
                    <a:schemeClr val="accent2">
                      <a:lumMod val="60000"/>
                    </a:schemeClr>
                  </a:solidFill>
                  <a:ln>
                    <a:noFill/>
                  </a:ln>
                  <a:effectLst/>
                  <a:sp3d/>
                </c:spPr>
                <c:invertIfNegative val="0"/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'onko_2012_-_2021_1'!$A$3:$A$9</c15:sqref>
                        </c15:formulaRef>
                      </c:ext>
                    </c:extLst>
                    <c:strCache>
                      <c:ptCount val="7"/>
                      <c:pt idx="0">
                        <c:v>Inne</c:v>
                      </c:pt>
                      <c:pt idx="1">
                        <c:v>Hematoonkologia</c:v>
                      </c:pt>
                      <c:pt idx="2">
                        <c:v>Nowotwory układu oddechowego</c:v>
                      </c:pt>
                      <c:pt idx="3">
                        <c:v>Nowotwory skóry</c:v>
                      </c:pt>
                      <c:pt idx="4">
                        <c:v>Nowotwory ginekologiczne</c:v>
                      </c:pt>
                      <c:pt idx="5">
                        <c:v>Nowotwory układu pokarmowego</c:v>
                      </c:pt>
                      <c:pt idx="6">
                        <c:v>Nowotwory układu endokrynnego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'onko_2012_-_2021_1'!$I$3:$I$9</c15:sqref>
                        </c15:formulaRef>
                      </c:ext>
                    </c:extLst>
                    <c:numCache>
                      <c:formatCode>General</c:formatCode>
                      <c:ptCount val="7"/>
                      <c:pt idx="0">
                        <c:v>10</c:v>
                      </c:pt>
                      <c:pt idx="1">
                        <c:v>4</c:v>
                      </c:pt>
                      <c:pt idx="2">
                        <c:v>1</c:v>
                      </c:pt>
                      <c:pt idx="3">
                        <c:v>2</c:v>
                      </c:pt>
                      <c:pt idx="4">
                        <c:v>1</c:v>
                      </c:pt>
                      <c:pt idx="5">
                        <c:v>6</c:v>
                      </c:pt>
                      <c:pt idx="6">
                        <c:v>2</c:v>
                      </c:pt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7-02C9-45F2-BAAC-BF437E2C318E}"/>
                  </c:ext>
                </c:extLst>
              </c15:ser>
            </c15:filteredBarSeries>
            <c15:filteredBarSeries>
              <c15:ser>
                <c:idx val="8"/>
                <c:order val="8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'onko_2012_-_2021_1'!$J$2</c15:sqref>
                        </c15:formulaRef>
                      </c:ext>
                    </c:extLst>
                    <c:strCache>
                      <c:ptCount val="1"/>
                      <c:pt idx="0">
                        <c:v>2013</c:v>
                      </c:pt>
                    </c:strCache>
                  </c:strRef>
                </c:tx>
                <c:spPr>
                  <a:solidFill>
                    <a:schemeClr val="accent3">
                      <a:lumMod val="60000"/>
                    </a:schemeClr>
                  </a:solidFill>
                  <a:ln>
                    <a:noFill/>
                  </a:ln>
                  <a:effectLst/>
                  <a:sp3d/>
                </c:spPr>
                <c:invertIfNegative val="0"/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'onko_2012_-_2021_1'!$A$3:$A$9</c15:sqref>
                        </c15:formulaRef>
                      </c:ext>
                    </c:extLst>
                    <c:strCache>
                      <c:ptCount val="7"/>
                      <c:pt idx="0">
                        <c:v>Inne</c:v>
                      </c:pt>
                      <c:pt idx="1">
                        <c:v>Hematoonkologia</c:v>
                      </c:pt>
                      <c:pt idx="2">
                        <c:v>Nowotwory układu oddechowego</c:v>
                      </c:pt>
                      <c:pt idx="3">
                        <c:v>Nowotwory skóry</c:v>
                      </c:pt>
                      <c:pt idx="4">
                        <c:v>Nowotwory ginekologiczne</c:v>
                      </c:pt>
                      <c:pt idx="5">
                        <c:v>Nowotwory układu pokarmowego</c:v>
                      </c:pt>
                      <c:pt idx="6">
                        <c:v>Nowotwory układu endokrynnego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'onko_2012_-_2021_1'!$J$3:$J$9</c15:sqref>
                        </c15:formulaRef>
                      </c:ext>
                    </c:extLst>
                    <c:numCache>
                      <c:formatCode>General</c:formatCode>
                      <c:ptCount val="7"/>
                      <c:pt idx="0">
                        <c:v>0</c:v>
                      </c:pt>
                      <c:pt idx="1">
                        <c:v>2</c:v>
                      </c:pt>
                      <c:pt idx="2">
                        <c:v>1</c:v>
                      </c:pt>
                      <c:pt idx="3">
                        <c:v>0</c:v>
                      </c:pt>
                      <c:pt idx="4">
                        <c:v>1</c:v>
                      </c:pt>
                      <c:pt idx="5">
                        <c:v>0</c:v>
                      </c:pt>
                      <c:pt idx="6">
                        <c:v>2</c:v>
                      </c:pt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8-02C9-45F2-BAAC-BF437E2C318E}"/>
                  </c:ext>
                </c:extLst>
              </c15:ser>
            </c15:filteredBarSeries>
            <c15:filteredBarSeries>
              <c15:ser>
                <c:idx val="9"/>
                <c:order val="9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'onko_2012_-_2021_1'!$K$2</c15:sqref>
                        </c15:formulaRef>
                      </c:ext>
                    </c:extLst>
                    <c:strCache>
                      <c:ptCount val="1"/>
                      <c:pt idx="0">
                        <c:v>2012</c:v>
                      </c:pt>
                    </c:strCache>
                  </c:strRef>
                </c:tx>
                <c:spPr>
                  <a:solidFill>
                    <a:schemeClr val="accent4">
                      <a:lumMod val="60000"/>
                    </a:schemeClr>
                  </a:solidFill>
                  <a:ln>
                    <a:noFill/>
                  </a:ln>
                  <a:effectLst/>
                  <a:sp3d/>
                </c:spPr>
                <c:invertIfNegative val="0"/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'onko_2012_-_2021_1'!$A$3:$A$9</c15:sqref>
                        </c15:formulaRef>
                      </c:ext>
                    </c:extLst>
                    <c:strCache>
                      <c:ptCount val="7"/>
                      <c:pt idx="0">
                        <c:v>Inne</c:v>
                      </c:pt>
                      <c:pt idx="1">
                        <c:v>Hematoonkologia</c:v>
                      </c:pt>
                      <c:pt idx="2">
                        <c:v>Nowotwory układu oddechowego</c:v>
                      </c:pt>
                      <c:pt idx="3">
                        <c:v>Nowotwory skóry</c:v>
                      </c:pt>
                      <c:pt idx="4">
                        <c:v>Nowotwory ginekologiczne</c:v>
                      </c:pt>
                      <c:pt idx="5">
                        <c:v>Nowotwory układu pokarmowego</c:v>
                      </c:pt>
                      <c:pt idx="6">
                        <c:v>Nowotwory układu endokrynnego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'onko_2012_-_2021_1'!$K$3:$K$9</c15:sqref>
                        </c15:formulaRef>
                      </c:ext>
                    </c:extLst>
                    <c:numCache>
                      <c:formatCode>General</c:formatCode>
                      <c:ptCount val="7"/>
                      <c:pt idx="0">
                        <c:v>3</c:v>
                      </c:pt>
                      <c:pt idx="1">
                        <c:v>0</c:v>
                      </c:pt>
                      <c:pt idx="2">
                        <c:v>2</c:v>
                      </c:pt>
                      <c:pt idx="3">
                        <c:v>0</c:v>
                      </c:pt>
                      <c:pt idx="4">
                        <c:v>2</c:v>
                      </c:pt>
                      <c:pt idx="5">
                        <c:v>0</c:v>
                      </c:pt>
                      <c:pt idx="6">
                        <c:v>1</c:v>
                      </c:pt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9-02C9-45F2-BAAC-BF437E2C318E}"/>
                  </c:ext>
                </c:extLst>
              </c15:ser>
            </c15:filteredBarSeries>
          </c:ext>
        </c:extLst>
      </c:bar3DChart>
      <c:valAx>
        <c:axId val="751054175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751046271"/>
        <c:crosses val="autoZero"/>
        <c:crossBetween val="between"/>
        <c:majorUnit val="1"/>
      </c:valAx>
      <c:catAx>
        <c:axId val="751046271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751054175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90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34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24</Pages>
  <Words>4651</Words>
  <Characters>27907</Characters>
  <Application>Microsoft Office Word</Application>
  <DocSecurity>0</DocSecurity>
  <Lines>232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Oczkowski Mateusz</dc:creator>
  <dc:description/>
  <cp:lastModifiedBy>Królak-Buzakowska Joanna</cp:lastModifiedBy>
  <cp:revision>7</cp:revision>
  <dcterms:created xsi:type="dcterms:W3CDTF">2021-12-20T12:51:00Z</dcterms:created>
  <dcterms:modified xsi:type="dcterms:W3CDTF">2021-12-20T13:51:00Z</dcterms:modified>
</cp:coreProperties>
</file>