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72EDA" w14:textId="18B513A7" w:rsidR="002D18C5" w:rsidRDefault="002D18C5" w:rsidP="00231C06">
      <w:pPr>
        <w:spacing w:before="240" w:after="240" w:line="360" w:lineRule="auto"/>
        <w:ind w:right="45"/>
        <w:jc w:val="center"/>
        <w:rPr>
          <w:b/>
          <w:snapToGrid w:val="0"/>
          <w:sz w:val="26"/>
          <w:szCs w:val="26"/>
        </w:rPr>
      </w:pPr>
      <w:bookmarkStart w:id="0" w:name="_Toc149465122"/>
    </w:p>
    <w:bookmarkEnd w:id="0"/>
    <w:p w14:paraId="56ED362A" w14:textId="77777777" w:rsidR="00973282" w:rsidRDefault="00973282" w:rsidP="00231C06">
      <w:pPr>
        <w:ind w:right="45"/>
        <w:jc w:val="center"/>
        <w:rPr>
          <w:b/>
          <w:snapToGrid w:val="0"/>
          <w:sz w:val="40"/>
          <w:szCs w:val="40"/>
        </w:rPr>
      </w:pPr>
    </w:p>
    <w:p w14:paraId="6543C258" w14:textId="77777777" w:rsidR="00532046" w:rsidRDefault="00532046" w:rsidP="00231C06">
      <w:pPr>
        <w:ind w:right="45"/>
        <w:jc w:val="center"/>
        <w:rPr>
          <w:b/>
          <w:snapToGrid w:val="0"/>
          <w:sz w:val="40"/>
          <w:szCs w:val="40"/>
        </w:rPr>
      </w:pPr>
    </w:p>
    <w:p w14:paraId="7383A90B" w14:textId="77777777" w:rsidR="00286286" w:rsidRDefault="00286286" w:rsidP="00231C06">
      <w:pPr>
        <w:ind w:right="45"/>
        <w:jc w:val="center"/>
        <w:rPr>
          <w:b/>
          <w:snapToGrid w:val="0"/>
          <w:sz w:val="40"/>
          <w:szCs w:val="40"/>
        </w:rPr>
      </w:pPr>
    </w:p>
    <w:p w14:paraId="1CF90D99" w14:textId="77777777" w:rsidR="00286286" w:rsidRDefault="00286286" w:rsidP="00231C06">
      <w:pPr>
        <w:ind w:right="45"/>
        <w:jc w:val="center"/>
        <w:rPr>
          <w:b/>
          <w:snapToGrid w:val="0"/>
          <w:sz w:val="40"/>
          <w:szCs w:val="40"/>
        </w:rPr>
      </w:pPr>
    </w:p>
    <w:p w14:paraId="6EA3BBF9" w14:textId="77777777" w:rsidR="00B42EB5" w:rsidRPr="00532046" w:rsidRDefault="00B42EB5" w:rsidP="006E4F4C">
      <w:pPr>
        <w:ind w:right="45"/>
        <w:rPr>
          <w:b/>
          <w:snapToGrid w:val="0"/>
          <w:sz w:val="40"/>
          <w:szCs w:val="40"/>
        </w:rPr>
      </w:pPr>
    </w:p>
    <w:p w14:paraId="3737FB98" w14:textId="77777777" w:rsidR="00286286" w:rsidRPr="00532046" w:rsidRDefault="00286286" w:rsidP="006E4F4C">
      <w:pPr>
        <w:ind w:right="45"/>
        <w:rPr>
          <w:b/>
          <w:snapToGrid w:val="0"/>
          <w:sz w:val="40"/>
          <w:szCs w:val="40"/>
        </w:rPr>
      </w:pPr>
    </w:p>
    <w:p w14:paraId="79BBD812" w14:textId="77777777" w:rsidR="00973282" w:rsidRPr="006E4F4C" w:rsidRDefault="00973282" w:rsidP="00231C06">
      <w:pPr>
        <w:spacing w:line="360" w:lineRule="auto"/>
        <w:ind w:right="45"/>
        <w:jc w:val="center"/>
        <w:rPr>
          <w:rFonts w:asciiTheme="minorHAnsi" w:hAnsiTheme="minorHAnsi" w:cstheme="minorHAnsi"/>
          <w:b/>
          <w:snapToGrid w:val="0"/>
          <w:sz w:val="56"/>
          <w:szCs w:val="56"/>
        </w:rPr>
      </w:pPr>
      <w:r w:rsidRPr="006E4F4C">
        <w:rPr>
          <w:rFonts w:asciiTheme="minorHAnsi" w:hAnsiTheme="minorHAnsi" w:cstheme="minorHAnsi"/>
          <w:b/>
          <w:snapToGrid w:val="0"/>
          <w:sz w:val="56"/>
          <w:szCs w:val="56"/>
        </w:rPr>
        <w:t>W</w:t>
      </w:r>
      <w:r w:rsidR="00765051" w:rsidRPr="006E4F4C">
        <w:rPr>
          <w:rFonts w:asciiTheme="minorHAnsi" w:hAnsiTheme="minorHAnsi" w:cstheme="minorHAnsi"/>
          <w:b/>
          <w:snapToGrid w:val="0"/>
          <w:sz w:val="56"/>
          <w:szCs w:val="56"/>
        </w:rPr>
        <w:t>SKAŹNIKI</w:t>
      </w:r>
      <w:r w:rsidRPr="006E4F4C">
        <w:rPr>
          <w:rFonts w:asciiTheme="minorHAnsi" w:hAnsiTheme="minorHAnsi" w:cstheme="minorHAnsi"/>
          <w:b/>
          <w:snapToGrid w:val="0"/>
          <w:sz w:val="56"/>
          <w:szCs w:val="56"/>
        </w:rPr>
        <w:t xml:space="preserve"> </w:t>
      </w:r>
      <w:r w:rsidR="00B42EB5" w:rsidRPr="006E4F4C">
        <w:rPr>
          <w:rFonts w:asciiTheme="minorHAnsi" w:hAnsiTheme="minorHAnsi" w:cstheme="minorHAnsi"/>
          <w:b/>
          <w:snapToGrid w:val="0"/>
          <w:sz w:val="56"/>
          <w:szCs w:val="56"/>
        </w:rPr>
        <w:br/>
      </w:r>
      <w:r w:rsidRPr="006E4F4C">
        <w:rPr>
          <w:rFonts w:asciiTheme="minorHAnsi" w:hAnsiTheme="minorHAnsi" w:cstheme="minorHAnsi"/>
          <w:b/>
          <w:snapToGrid w:val="0"/>
          <w:sz w:val="56"/>
          <w:szCs w:val="56"/>
        </w:rPr>
        <w:t xml:space="preserve">do oceny sytuacji finansowej </w:t>
      </w:r>
      <w:r w:rsidR="00B42EB5" w:rsidRPr="006E4F4C">
        <w:rPr>
          <w:rFonts w:asciiTheme="minorHAnsi" w:hAnsiTheme="minorHAnsi" w:cstheme="minorHAnsi"/>
          <w:b/>
          <w:snapToGrid w:val="0"/>
          <w:sz w:val="56"/>
          <w:szCs w:val="56"/>
        </w:rPr>
        <w:br/>
      </w:r>
      <w:r w:rsidRPr="006E4F4C">
        <w:rPr>
          <w:rFonts w:asciiTheme="minorHAnsi" w:hAnsiTheme="minorHAnsi" w:cstheme="minorHAnsi"/>
          <w:b/>
          <w:snapToGrid w:val="0"/>
          <w:sz w:val="56"/>
          <w:szCs w:val="56"/>
        </w:rPr>
        <w:t xml:space="preserve">jednostek samorządu terytorialnego </w:t>
      </w:r>
      <w:r w:rsidRPr="006E4F4C">
        <w:rPr>
          <w:rFonts w:asciiTheme="minorHAnsi" w:hAnsiTheme="minorHAnsi" w:cstheme="minorHAnsi"/>
          <w:b/>
          <w:snapToGrid w:val="0"/>
          <w:sz w:val="56"/>
          <w:szCs w:val="56"/>
        </w:rPr>
        <w:br/>
        <w:t>w latach 20</w:t>
      </w:r>
      <w:r w:rsidR="00A723DD" w:rsidRPr="006E4F4C">
        <w:rPr>
          <w:rFonts w:asciiTheme="minorHAnsi" w:hAnsiTheme="minorHAnsi" w:cstheme="minorHAnsi"/>
          <w:b/>
          <w:snapToGrid w:val="0"/>
          <w:sz w:val="56"/>
          <w:szCs w:val="56"/>
        </w:rPr>
        <w:t>1</w:t>
      </w:r>
      <w:r w:rsidR="00F7268A" w:rsidRPr="006E4F4C">
        <w:rPr>
          <w:rFonts w:asciiTheme="minorHAnsi" w:hAnsiTheme="minorHAnsi" w:cstheme="minorHAnsi"/>
          <w:b/>
          <w:snapToGrid w:val="0"/>
          <w:sz w:val="56"/>
          <w:szCs w:val="56"/>
        </w:rPr>
        <w:t>9</w:t>
      </w:r>
      <w:r w:rsidRPr="006E4F4C">
        <w:rPr>
          <w:rFonts w:asciiTheme="minorHAnsi" w:hAnsiTheme="minorHAnsi" w:cstheme="minorHAnsi"/>
          <w:b/>
          <w:snapToGrid w:val="0"/>
          <w:sz w:val="56"/>
          <w:szCs w:val="56"/>
        </w:rPr>
        <w:t>-20</w:t>
      </w:r>
      <w:r w:rsidR="00F7268A" w:rsidRPr="006E4F4C">
        <w:rPr>
          <w:rFonts w:asciiTheme="minorHAnsi" w:hAnsiTheme="minorHAnsi" w:cstheme="minorHAnsi"/>
          <w:b/>
          <w:snapToGrid w:val="0"/>
          <w:sz w:val="56"/>
          <w:szCs w:val="56"/>
        </w:rPr>
        <w:t>21</w:t>
      </w:r>
    </w:p>
    <w:p w14:paraId="365D3349" w14:textId="77777777" w:rsidR="00973282" w:rsidRDefault="00973282" w:rsidP="00231C06">
      <w:pPr>
        <w:spacing w:before="120" w:after="240" w:line="360" w:lineRule="auto"/>
        <w:ind w:right="45"/>
        <w:jc w:val="center"/>
        <w:rPr>
          <w:b/>
          <w:snapToGrid w:val="0"/>
          <w:sz w:val="26"/>
          <w:szCs w:val="26"/>
        </w:rPr>
      </w:pPr>
    </w:p>
    <w:p w14:paraId="02A96977" w14:textId="77777777" w:rsidR="00973282" w:rsidRDefault="00973282" w:rsidP="006E4F4C">
      <w:pPr>
        <w:spacing w:before="120" w:after="240" w:line="360" w:lineRule="auto"/>
        <w:ind w:right="45"/>
        <w:rPr>
          <w:b/>
          <w:snapToGrid w:val="0"/>
          <w:sz w:val="26"/>
          <w:szCs w:val="26"/>
        </w:rPr>
      </w:pPr>
    </w:p>
    <w:p w14:paraId="383FA251" w14:textId="77777777" w:rsidR="00194472" w:rsidRDefault="00194472" w:rsidP="00231C06">
      <w:pPr>
        <w:spacing w:before="120" w:after="240" w:line="360" w:lineRule="auto"/>
        <w:ind w:right="45"/>
        <w:jc w:val="center"/>
        <w:rPr>
          <w:b/>
          <w:snapToGrid w:val="0"/>
          <w:sz w:val="26"/>
          <w:szCs w:val="26"/>
        </w:rPr>
      </w:pPr>
    </w:p>
    <w:p w14:paraId="7C42DE15" w14:textId="77777777" w:rsidR="00194472" w:rsidRDefault="00194472" w:rsidP="00231C06">
      <w:pPr>
        <w:spacing w:before="120" w:after="240" w:line="360" w:lineRule="auto"/>
        <w:ind w:right="45"/>
        <w:jc w:val="center"/>
        <w:rPr>
          <w:b/>
          <w:snapToGrid w:val="0"/>
          <w:sz w:val="26"/>
          <w:szCs w:val="26"/>
        </w:rPr>
      </w:pPr>
    </w:p>
    <w:p w14:paraId="2C4EC89C" w14:textId="77777777" w:rsidR="00973282" w:rsidRPr="000B4F9B" w:rsidRDefault="00973282" w:rsidP="00231C06">
      <w:pPr>
        <w:spacing w:before="240" w:after="240" w:line="360" w:lineRule="auto"/>
        <w:ind w:right="45"/>
        <w:jc w:val="center"/>
        <w:rPr>
          <w:b/>
          <w:snapToGrid w:val="0"/>
          <w:sz w:val="26"/>
          <w:szCs w:val="26"/>
        </w:rPr>
      </w:pPr>
    </w:p>
    <w:p w14:paraId="6572E19C" w14:textId="77777777" w:rsidR="00973282" w:rsidRDefault="00973282" w:rsidP="00231C06">
      <w:pPr>
        <w:spacing w:before="240" w:line="360" w:lineRule="auto"/>
        <w:ind w:right="45"/>
        <w:jc w:val="center"/>
        <w:rPr>
          <w:b/>
          <w:snapToGrid w:val="0"/>
          <w:sz w:val="26"/>
          <w:szCs w:val="26"/>
        </w:rPr>
      </w:pPr>
    </w:p>
    <w:p w14:paraId="7CDF5E49" w14:textId="77777777" w:rsidR="00D34A97" w:rsidRDefault="00D34A97" w:rsidP="00231C06">
      <w:pPr>
        <w:spacing w:before="240" w:line="360" w:lineRule="auto"/>
        <w:ind w:right="45"/>
        <w:jc w:val="center"/>
        <w:rPr>
          <w:b/>
          <w:snapToGrid w:val="0"/>
          <w:sz w:val="26"/>
          <w:szCs w:val="26"/>
        </w:rPr>
      </w:pPr>
    </w:p>
    <w:p w14:paraId="03460ED1" w14:textId="77777777" w:rsidR="00973282" w:rsidRPr="006E4F4C" w:rsidRDefault="00772C62" w:rsidP="00231C06">
      <w:pPr>
        <w:spacing w:before="240"/>
        <w:ind w:right="45"/>
        <w:jc w:val="center"/>
        <w:rPr>
          <w:rFonts w:asciiTheme="minorHAnsi" w:hAnsiTheme="minorHAnsi" w:cstheme="minorHAnsi"/>
          <w:b/>
          <w:snapToGrid w:val="0"/>
          <w:sz w:val="32"/>
          <w:szCs w:val="32"/>
          <w:u w:val="single"/>
        </w:rPr>
      </w:pPr>
      <w:r w:rsidRPr="006E4F4C">
        <w:rPr>
          <w:rFonts w:asciiTheme="minorHAnsi" w:hAnsiTheme="minorHAnsi" w:cstheme="minorHAnsi"/>
          <w:b/>
          <w:snapToGrid w:val="0"/>
          <w:sz w:val="32"/>
          <w:szCs w:val="32"/>
          <w:u w:val="single"/>
        </w:rPr>
        <w:t>Warszawa</w:t>
      </w:r>
      <w:r w:rsidR="00B30101" w:rsidRPr="006E4F4C">
        <w:rPr>
          <w:rFonts w:asciiTheme="minorHAnsi" w:hAnsiTheme="minorHAnsi" w:cstheme="minorHAnsi"/>
          <w:b/>
          <w:snapToGrid w:val="0"/>
          <w:sz w:val="32"/>
          <w:szCs w:val="32"/>
          <w:u w:val="single"/>
        </w:rPr>
        <w:t xml:space="preserve"> </w:t>
      </w:r>
      <w:r w:rsidR="00973282" w:rsidRPr="006E4F4C">
        <w:rPr>
          <w:rFonts w:asciiTheme="minorHAnsi" w:hAnsiTheme="minorHAnsi" w:cstheme="minorHAnsi"/>
          <w:b/>
          <w:snapToGrid w:val="0"/>
          <w:sz w:val="32"/>
          <w:szCs w:val="32"/>
          <w:u w:val="single"/>
        </w:rPr>
        <w:t>20</w:t>
      </w:r>
      <w:r w:rsidR="00F47FB9" w:rsidRPr="006E4F4C">
        <w:rPr>
          <w:rFonts w:asciiTheme="minorHAnsi" w:hAnsiTheme="minorHAnsi" w:cstheme="minorHAnsi"/>
          <w:b/>
          <w:snapToGrid w:val="0"/>
          <w:sz w:val="32"/>
          <w:szCs w:val="32"/>
          <w:u w:val="single"/>
        </w:rPr>
        <w:t>2</w:t>
      </w:r>
      <w:r w:rsidR="00F7268A" w:rsidRPr="006E4F4C">
        <w:rPr>
          <w:rFonts w:asciiTheme="minorHAnsi" w:hAnsiTheme="minorHAnsi" w:cstheme="minorHAnsi"/>
          <w:b/>
          <w:snapToGrid w:val="0"/>
          <w:sz w:val="32"/>
          <w:szCs w:val="32"/>
          <w:u w:val="single"/>
        </w:rPr>
        <w:t>2</w:t>
      </w:r>
      <w:r w:rsidR="00973282" w:rsidRPr="006E4F4C">
        <w:rPr>
          <w:rFonts w:asciiTheme="minorHAnsi" w:hAnsiTheme="minorHAnsi" w:cstheme="minorHAnsi"/>
          <w:b/>
          <w:snapToGrid w:val="0"/>
          <w:sz w:val="32"/>
          <w:szCs w:val="32"/>
          <w:u w:val="single"/>
        </w:rPr>
        <w:t xml:space="preserve"> </w:t>
      </w:r>
    </w:p>
    <w:p w14:paraId="1F7B6CEF" w14:textId="77777777" w:rsidR="00313556" w:rsidRDefault="00313556" w:rsidP="00C9395E">
      <w:pPr>
        <w:pStyle w:val="Tekstpodstawowy2"/>
        <w:spacing w:before="240" w:line="360" w:lineRule="exact"/>
        <w:jc w:val="both"/>
        <w:rPr>
          <w:rFonts w:cs="Arial"/>
          <w:b/>
          <w:sz w:val="24"/>
          <w:szCs w:val="24"/>
        </w:rPr>
      </w:pPr>
    </w:p>
    <w:p w14:paraId="24411DA3" w14:textId="73C62544" w:rsidR="00973282" w:rsidRPr="00E83798" w:rsidRDefault="00E83798" w:rsidP="00E83798">
      <w:pPr>
        <w:rPr>
          <w:b/>
          <w:bCs/>
          <w:i/>
          <w:iCs/>
          <w:sz w:val="28"/>
          <w:szCs w:val="28"/>
        </w:rPr>
      </w:pPr>
      <w:r w:rsidRPr="00D97E29">
        <w:rPr>
          <w:b/>
          <w:bCs/>
          <w:i/>
          <w:iCs/>
          <w:sz w:val="28"/>
          <w:szCs w:val="28"/>
        </w:rPr>
        <w:lastRenderedPageBreak/>
        <w:t xml:space="preserve">I. </w:t>
      </w:r>
      <w:r w:rsidR="009856C3" w:rsidRPr="00E83798">
        <w:rPr>
          <w:b/>
          <w:bCs/>
          <w:i/>
          <w:iCs/>
          <w:sz w:val="28"/>
          <w:szCs w:val="28"/>
        </w:rPr>
        <w:t>WSTĘP</w:t>
      </w:r>
    </w:p>
    <w:p w14:paraId="711AC87C" w14:textId="37A0C164" w:rsidR="00973282" w:rsidRPr="00654E26" w:rsidRDefault="00973282" w:rsidP="00E40CF3">
      <w:pPr>
        <w:tabs>
          <w:tab w:val="left" w:pos="7560"/>
        </w:tabs>
        <w:spacing w:before="720" w:line="360" w:lineRule="exact"/>
        <w:rPr>
          <w:bCs/>
        </w:rPr>
      </w:pPr>
      <w:r w:rsidRPr="00654E26">
        <w:rPr>
          <w:bCs/>
        </w:rPr>
        <w:t>Ministerstwo Finansów p</w:t>
      </w:r>
      <w:r w:rsidR="000C1E3D" w:rsidRPr="00654E26">
        <w:rPr>
          <w:bCs/>
        </w:rPr>
        <w:t>rezentuje</w:t>
      </w:r>
      <w:r w:rsidRPr="00654E26">
        <w:rPr>
          <w:bCs/>
        </w:rPr>
        <w:t xml:space="preserve"> zestaw</w:t>
      </w:r>
      <w:r w:rsidR="000C1E3D" w:rsidRPr="00654E26">
        <w:rPr>
          <w:bCs/>
        </w:rPr>
        <w:t xml:space="preserve"> wskaźników</w:t>
      </w:r>
      <w:r w:rsidR="00536D8D" w:rsidRPr="00654E26">
        <w:rPr>
          <w:bCs/>
        </w:rPr>
        <w:t xml:space="preserve"> wyliczony dla jednostek samorządu terytorialnego w latach 20</w:t>
      </w:r>
      <w:r w:rsidR="0020515F" w:rsidRPr="00654E26">
        <w:rPr>
          <w:bCs/>
        </w:rPr>
        <w:t>1</w:t>
      </w:r>
      <w:r w:rsidR="00F7268A">
        <w:rPr>
          <w:bCs/>
        </w:rPr>
        <w:t>9</w:t>
      </w:r>
      <w:r w:rsidR="00536D8D" w:rsidRPr="00654E26">
        <w:rPr>
          <w:bCs/>
        </w:rPr>
        <w:t>-20</w:t>
      </w:r>
      <w:r w:rsidR="00F7268A">
        <w:rPr>
          <w:bCs/>
        </w:rPr>
        <w:t>21</w:t>
      </w:r>
      <w:r w:rsidR="000C1E3D" w:rsidRPr="00654E26">
        <w:rPr>
          <w:bCs/>
        </w:rPr>
        <w:t>, który</w:t>
      </w:r>
      <w:r w:rsidR="0020515F" w:rsidRPr="00654E26">
        <w:rPr>
          <w:bCs/>
        </w:rPr>
        <w:t xml:space="preserve"> może </w:t>
      </w:r>
      <w:r w:rsidR="00A23411">
        <w:rPr>
          <w:bCs/>
        </w:rPr>
        <w:t>okazać się</w:t>
      </w:r>
      <w:r w:rsidR="0020515F" w:rsidRPr="00654E26">
        <w:rPr>
          <w:bCs/>
        </w:rPr>
        <w:t xml:space="preserve"> pomocny przy</w:t>
      </w:r>
      <w:r w:rsidR="002A2226" w:rsidRPr="00654E26">
        <w:rPr>
          <w:bCs/>
        </w:rPr>
        <w:t xml:space="preserve"> </w:t>
      </w:r>
      <w:r w:rsidR="0020515F" w:rsidRPr="00654E26">
        <w:rPr>
          <w:bCs/>
        </w:rPr>
        <w:t>ocenie</w:t>
      </w:r>
      <w:r w:rsidR="002A2226" w:rsidRPr="00654E26">
        <w:rPr>
          <w:bCs/>
        </w:rPr>
        <w:t xml:space="preserve"> </w:t>
      </w:r>
      <w:r w:rsidRPr="00654E26">
        <w:rPr>
          <w:bCs/>
        </w:rPr>
        <w:t>sytuacji finansowej po</w:t>
      </w:r>
      <w:r w:rsidR="00551386" w:rsidRPr="00654E26">
        <w:rPr>
          <w:bCs/>
        </w:rPr>
        <w:t>szczególnych jednostek samorządu</w:t>
      </w:r>
      <w:r w:rsidRPr="00654E26">
        <w:rPr>
          <w:bCs/>
        </w:rPr>
        <w:t xml:space="preserve"> terytorialnego oraz możliwości zaciągania </w:t>
      </w:r>
      <w:r w:rsidR="00F7268A">
        <w:rPr>
          <w:bCs/>
        </w:rPr>
        <w:t xml:space="preserve">przez nie </w:t>
      </w:r>
      <w:r w:rsidRPr="00654E26">
        <w:rPr>
          <w:bCs/>
        </w:rPr>
        <w:t>zobowiązań</w:t>
      </w:r>
      <w:r w:rsidR="00551386" w:rsidRPr="00654E26">
        <w:rPr>
          <w:bCs/>
        </w:rPr>
        <w:t>,</w:t>
      </w:r>
      <w:r w:rsidR="0020515F" w:rsidRPr="00654E26">
        <w:rPr>
          <w:bCs/>
        </w:rPr>
        <w:t xml:space="preserve"> czy</w:t>
      </w:r>
      <w:r w:rsidR="00F7268A">
        <w:rPr>
          <w:bCs/>
        </w:rPr>
        <w:t xml:space="preserve"> przy</w:t>
      </w:r>
      <w:r w:rsidR="0020515F" w:rsidRPr="00654E26">
        <w:rPr>
          <w:bCs/>
        </w:rPr>
        <w:t xml:space="preserve"> podejmowaniu decyzji</w:t>
      </w:r>
      <w:r w:rsidR="002A2226" w:rsidRPr="00654E26">
        <w:rPr>
          <w:bCs/>
        </w:rPr>
        <w:t xml:space="preserve"> </w:t>
      </w:r>
      <w:r w:rsidR="0020515F" w:rsidRPr="00654E26">
        <w:rPr>
          <w:bCs/>
        </w:rPr>
        <w:t>o</w:t>
      </w:r>
      <w:r w:rsidR="00BE5596">
        <w:rPr>
          <w:bCs/>
        </w:rPr>
        <w:t> </w:t>
      </w:r>
      <w:r w:rsidRPr="00654E26">
        <w:rPr>
          <w:bCs/>
        </w:rPr>
        <w:t>charakterze rozwojowym.</w:t>
      </w:r>
    </w:p>
    <w:p w14:paraId="2B8A27D2" w14:textId="77777777" w:rsidR="00973282" w:rsidRPr="00654E26" w:rsidRDefault="00973282" w:rsidP="00E40CF3">
      <w:pPr>
        <w:tabs>
          <w:tab w:val="left" w:pos="7560"/>
        </w:tabs>
        <w:spacing w:line="360" w:lineRule="exact"/>
        <w:rPr>
          <w:bCs/>
        </w:rPr>
      </w:pPr>
      <w:r w:rsidRPr="00654E26">
        <w:rPr>
          <w:bCs/>
        </w:rPr>
        <w:t xml:space="preserve">Na podstawie przygotowanego </w:t>
      </w:r>
      <w:r w:rsidR="000C1E3D" w:rsidRPr="00654E26">
        <w:rPr>
          <w:bCs/>
        </w:rPr>
        <w:t>zestawu wskaźników</w:t>
      </w:r>
      <w:r w:rsidRPr="00654E26">
        <w:rPr>
          <w:bCs/>
        </w:rPr>
        <w:t xml:space="preserve"> poszczególne jednostki samorządu terytorialnego, w ramach </w:t>
      </w:r>
      <w:r w:rsidR="00536D8D" w:rsidRPr="00654E26">
        <w:rPr>
          <w:bCs/>
        </w:rPr>
        <w:t xml:space="preserve">określonych </w:t>
      </w:r>
      <w:r w:rsidRPr="00654E26">
        <w:rPr>
          <w:bCs/>
        </w:rPr>
        <w:t>typów i kategorii, będą mogły porównać swoją sytuację finansową z sytuacją finansową innych jednostek.</w:t>
      </w:r>
    </w:p>
    <w:p w14:paraId="6E2676FB" w14:textId="77777777" w:rsidR="00973282" w:rsidRPr="00654E26" w:rsidRDefault="000C1E3D" w:rsidP="00E40CF3">
      <w:pPr>
        <w:tabs>
          <w:tab w:val="left" w:pos="7560"/>
        </w:tabs>
        <w:spacing w:before="240" w:line="360" w:lineRule="exact"/>
        <w:rPr>
          <w:bCs/>
        </w:rPr>
      </w:pPr>
      <w:r w:rsidRPr="00654E26">
        <w:rPr>
          <w:bCs/>
        </w:rPr>
        <w:t>W</w:t>
      </w:r>
      <w:r w:rsidR="00973282" w:rsidRPr="00654E26">
        <w:rPr>
          <w:bCs/>
        </w:rPr>
        <w:t xml:space="preserve">skaźniki </w:t>
      </w:r>
      <w:r w:rsidRPr="00654E26">
        <w:rPr>
          <w:bCs/>
        </w:rPr>
        <w:t xml:space="preserve">zostały </w:t>
      </w:r>
      <w:r w:rsidR="00973282" w:rsidRPr="00654E26">
        <w:rPr>
          <w:bCs/>
        </w:rPr>
        <w:t xml:space="preserve">zdefiniowane w następujących grupach: </w:t>
      </w:r>
    </w:p>
    <w:p w14:paraId="54AF7744" w14:textId="77777777" w:rsidR="00973282" w:rsidRPr="00654E26" w:rsidRDefault="00973282" w:rsidP="00E40CF3">
      <w:pPr>
        <w:numPr>
          <w:ilvl w:val="0"/>
          <w:numId w:val="3"/>
        </w:numPr>
        <w:tabs>
          <w:tab w:val="clear" w:pos="840"/>
        </w:tabs>
        <w:spacing w:before="120" w:line="360" w:lineRule="exact"/>
        <w:ind w:hanging="480"/>
        <w:rPr>
          <w:bCs/>
        </w:rPr>
      </w:pPr>
      <w:r w:rsidRPr="00654E26">
        <w:rPr>
          <w:bCs/>
        </w:rPr>
        <w:t xml:space="preserve">wskaźniki </w:t>
      </w:r>
      <w:r w:rsidR="000E554E" w:rsidRPr="00654E26">
        <w:rPr>
          <w:bCs/>
        </w:rPr>
        <w:t>budżetowe,</w:t>
      </w:r>
    </w:p>
    <w:p w14:paraId="6A7F3DBF" w14:textId="77777777" w:rsidR="00973282" w:rsidRPr="00654E26" w:rsidRDefault="00973282" w:rsidP="00E40CF3">
      <w:pPr>
        <w:numPr>
          <w:ilvl w:val="0"/>
          <w:numId w:val="3"/>
        </w:numPr>
        <w:tabs>
          <w:tab w:val="clear" w:pos="840"/>
        </w:tabs>
        <w:spacing w:before="120" w:line="360" w:lineRule="exact"/>
        <w:ind w:hanging="480"/>
        <w:rPr>
          <w:bCs/>
        </w:rPr>
      </w:pPr>
      <w:r w:rsidRPr="00654E26">
        <w:rPr>
          <w:bCs/>
        </w:rPr>
        <w:t xml:space="preserve">wskaźniki </w:t>
      </w:r>
      <w:r w:rsidR="000E554E" w:rsidRPr="00654E26">
        <w:rPr>
          <w:bCs/>
        </w:rPr>
        <w:t>na mieszkańca,</w:t>
      </w:r>
    </w:p>
    <w:p w14:paraId="2E70C49F" w14:textId="77777777" w:rsidR="00973282" w:rsidRPr="00654E26" w:rsidRDefault="000E554E" w:rsidP="00E40CF3">
      <w:pPr>
        <w:numPr>
          <w:ilvl w:val="0"/>
          <w:numId w:val="3"/>
        </w:numPr>
        <w:tabs>
          <w:tab w:val="clear" w:pos="840"/>
        </w:tabs>
        <w:spacing w:before="120" w:line="360" w:lineRule="exact"/>
        <w:ind w:hanging="480"/>
        <w:rPr>
          <w:bCs/>
        </w:rPr>
      </w:pPr>
      <w:r w:rsidRPr="00654E26">
        <w:rPr>
          <w:bCs/>
        </w:rPr>
        <w:t>wskaźniki dla zobowiązań</w:t>
      </w:r>
      <w:r w:rsidR="00521453" w:rsidRPr="00654E26">
        <w:rPr>
          <w:bCs/>
        </w:rPr>
        <w:t xml:space="preserve"> według tytułów dłużnych</w:t>
      </w:r>
      <w:r w:rsidRPr="00654E26">
        <w:rPr>
          <w:bCs/>
        </w:rPr>
        <w:t>.</w:t>
      </w:r>
    </w:p>
    <w:p w14:paraId="3733C162" w14:textId="77777777" w:rsidR="00973282" w:rsidRPr="00654E26" w:rsidRDefault="00973282" w:rsidP="00E40CF3">
      <w:pPr>
        <w:pStyle w:val="Tekstpodstawowy"/>
        <w:tabs>
          <w:tab w:val="left" w:pos="7560"/>
        </w:tabs>
        <w:spacing w:before="120" w:after="0" w:line="360" w:lineRule="exact"/>
      </w:pPr>
      <w:r w:rsidRPr="00654E26">
        <w:t xml:space="preserve">W opracowaniu analizowano </w:t>
      </w:r>
      <w:r w:rsidR="001C4BEB" w:rsidRPr="00654E26">
        <w:t xml:space="preserve">również </w:t>
      </w:r>
      <w:r w:rsidRPr="00654E26">
        <w:t>budżety jedno</w:t>
      </w:r>
      <w:r w:rsidR="00752FC1" w:rsidRPr="00654E26">
        <w:t>stek samorządu terytorialnego w </w:t>
      </w:r>
      <w:r w:rsidRPr="00654E26">
        <w:t>podziale na działalność bieżącą i majątkową.</w:t>
      </w:r>
    </w:p>
    <w:p w14:paraId="578E9A3A" w14:textId="22FFAC44" w:rsidR="007A49A0" w:rsidRPr="00F761C0" w:rsidRDefault="0020515F" w:rsidP="00F761C0">
      <w:pPr>
        <w:tabs>
          <w:tab w:val="left" w:pos="7560"/>
        </w:tabs>
        <w:spacing w:before="240" w:line="360" w:lineRule="exact"/>
        <w:rPr>
          <w:bCs/>
        </w:rPr>
      </w:pPr>
      <w:r w:rsidRPr="00F761C0">
        <w:rPr>
          <w:bCs/>
        </w:rPr>
        <w:t>D</w:t>
      </w:r>
      <w:r w:rsidR="007A49A0" w:rsidRPr="00F761C0">
        <w:rPr>
          <w:bCs/>
        </w:rPr>
        <w:t>efinicj</w:t>
      </w:r>
      <w:r w:rsidR="0032062D" w:rsidRPr="00F761C0">
        <w:rPr>
          <w:bCs/>
        </w:rPr>
        <w:t>e</w:t>
      </w:r>
      <w:r w:rsidR="007A49A0" w:rsidRPr="00F761C0">
        <w:rPr>
          <w:bCs/>
        </w:rPr>
        <w:t xml:space="preserve"> dochodów </w:t>
      </w:r>
      <w:r w:rsidR="0032062D" w:rsidRPr="00F761C0">
        <w:rPr>
          <w:bCs/>
        </w:rPr>
        <w:t xml:space="preserve">i wydatków </w:t>
      </w:r>
      <w:r w:rsidR="007A49A0" w:rsidRPr="00F761C0">
        <w:rPr>
          <w:bCs/>
        </w:rPr>
        <w:t>jednostek samorządu terytorialnego</w:t>
      </w:r>
      <w:r w:rsidR="00A403FC" w:rsidRPr="00F761C0">
        <w:rPr>
          <w:bCs/>
        </w:rPr>
        <w:t>,</w:t>
      </w:r>
      <w:r w:rsidRPr="00F761C0">
        <w:rPr>
          <w:bCs/>
        </w:rPr>
        <w:t xml:space="preserve"> w</w:t>
      </w:r>
      <w:r w:rsidR="00B850AB" w:rsidRPr="00F761C0">
        <w:rPr>
          <w:bCs/>
        </w:rPr>
        <w:t xml:space="preserve"> </w:t>
      </w:r>
      <w:r w:rsidRPr="00F761C0">
        <w:rPr>
          <w:bCs/>
        </w:rPr>
        <w:t>podziale na bieżące i</w:t>
      </w:r>
      <w:r w:rsidR="0032062D" w:rsidRPr="00F761C0">
        <w:rPr>
          <w:bCs/>
        </w:rPr>
        <w:t xml:space="preserve"> </w:t>
      </w:r>
      <w:r w:rsidR="007A49A0" w:rsidRPr="00F761C0">
        <w:rPr>
          <w:bCs/>
        </w:rPr>
        <w:t>majątkowe</w:t>
      </w:r>
      <w:r w:rsidR="00A403FC" w:rsidRPr="00F761C0">
        <w:rPr>
          <w:bCs/>
        </w:rPr>
        <w:t>,</w:t>
      </w:r>
      <w:r w:rsidRPr="00F761C0">
        <w:rPr>
          <w:bCs/>
        </w:rPr>
        <w:t xml:space="preserve"> </w:t>
      </w:r>
      <w:r w:rsidR="0032062D" w:rsidRPr="00F761C0">
        <w:rPr>
          <w:bCs/>
        </w:rPr>
        <w:t>określają odpowiednio</w:t>
      </w:r>
      <w:r w:rsidR="0042693C" w:rsidRPr="00F761C0">
        <w:rPr>
          <w:bCs/>
        </w:rPr>
        <w:t xml:space="preserve"> </w:t>
      </w:r>
      <w:r w:rsidR="00C96D93">
        <w:rPr>
          <w:bCs/>
        </w:rPr>
        <w:t xml:space="preserve">art. 235 - </w:t>
      </w:r>
      <w:r w:rsidR="007A49A0" w:rsidRPr="00F761C0">
        <w:rPr>
          <w:bCs/>
        </w:rPr>
        <w:t>236</w:t>
      </w:r>
      <w:r w:rsidRPr="00F761C0">
        <w:rPr>
          <w:bCs/>
        </w:rPr>
        <w:t xml:space="preserve"> ustawy </w:t>
      </w:r>
      <w:r w:rsidR="00BE5596" w:rsidRPr="00F761C0">
        <w:rPr>
          <w:bCs/>
        </w:rPr>
        <w:t>z dnia 27 sierpnia 2009 r</w:t>
      </w:r>
      <w:r w:rsidR="00BE5596" w:rsidRPr="00C96D93">
        <w:rPr>
          <w:bCs/>
        </w:rPr>
        <w:t>.</w:t>
      </w:r>
      <w:r w:rsidR="00BE5596" w:rsidRPr="00C96D93">
        <w:rPr>
          <w:b/>
          <w:bCs/>
          <w:sz w:val="21"/>
          <w:szCs w:val="21"/>
          <w:shd w:val="clear" w:color="auto" w:fill="FFFFFF"/>
        </w:rPr>
        <w:t xml:space="preserve">  </w:t>
      </w:r>
      <w:r w:rsidRPr="00F761C0">
        <w:rPr>
          <w:bCs/>
        </w:rPr>
        <w:t xml:space="preserve">o finansach publicznych </w:t>
      </w:r>
      <w:hyperlink r:id="rId11" w:history="1">
        <w:r w:rsidR="00C96D93" w:rsidRPr="00C96D93">
          <w:t>(Dz.U. z 2022 r. poz. 1634)</w:t>
        </w:r>
      </w:hyperlink>
    </w:p>
    <w:p w14:paraId="14BF83CE" w14:textId="77777777" w:rsidR="00973282" w:rsidRPr="00654E26" w:rsidRDefault="00973282" w:rsidP="00E40CF3">
      <w:pPr>
        <w:pStyle w:val="Tekstpodstawowy"/>
        <w:tabs>
          <w:tab w:val="left" w:pos="7560"/>
        </w:tabs>
        <w:spacing w:before="120" w:after="0" w:line="360" w:lineRule="exact"/>
      </w:pPr>
      <w:r w:rsidRPr="00654E26">
        <w:t>Do dochodów majątkowych zalicza się:</w:t>
      </w:r>
    </w:p>
    <w:p w14:paraId="12303C6C" w14:textId="77777777" w:rsidR="00973282" w:rsidRPr="00654E26" w:rsidRDefault="00973282" w:rsidP="00E40CF3">
      <w:pPr>
        <w:pStyle w:val="Tekstpodstawowy"/>
        <w:numPr>
          <w:ilvl w:val="0"/>
          <w:numId w:val="20"/>
        </w:numPr>
        <w:tabs>
          <w:tab w:val="left" w:pos="7560"/>
        </w:tabs>
        <w:spacing w:after="0" w:line="360" w:lineRule="exact"/>
      </w:pPr>
      <w:r w:rsidRPr="00654E26">
        <w:t xml:space="preserve">dotacje i środki </w:t>
      </w:r>
      <w:r w:rsidR="00CA77BD" w:rsidRPr="00654E26">
        <w:t>przeznac</w:t>
      </w:r>
      <w:r w:rsidR="00B16D2D" w:rsidRPr="00654E26">
        <w:t>zone</w:t>
      </w:r>
      <w:r w:rsidRPr="00654E26">
        <w:t xml:space="preserve"> na inwestycje,</w:t>
      </w:r>
    </w:p>
    <w:p w14:paraId="5F8AB2C1" w14:textId="77777777" w:rsidR="00973282" w:rsidRPr="00654E26" w:rsidRDefault="00973282" w:rsidP="00E40CF3">
      <w:pPr>
        <w:pStyle w:val="Tekstpodstawowy"/>
        <w:numPr>
          <w:ilvl w:val="0"/>
          <w:numId w:val="20"/>
        </w:numPr>
        <w:tabs>
          <w:tab w:val="left" w:pos="7560"/>
        </w:tabs>
        <w:spacing w:after="0" w:line="360" w:lineRule="exact"/>
      </w:pPr>
      <w:r w:rsidRPr="00654E26">
        <w:t xml:space="preserve">dochody ze sprzedaży majątku, </w:t>
      </w:r>
    </w:p>
    <w:p w14:paraId="66F886CE" w14:textId="77777777" w:rsidR="00973282" w:rsidRPr="00654E26" w:rsidRDefault="00973282" w:rsidP="00E40CF3">
      <w:pPr>
        <w:pStyle w:val="Tekstpodstawowy"/>
        <w:numPr>
          <w:ilvl w:val="0"/>
          <w:numId w:val="20"/>
        </w:numPr>
        <w:tabs>
          <w:tab w:val="left" w:pos="7560"/>
        </w:tabs>
        <w:spacing w:after="0" w:line="360" w:lineRule="exact"/>
      </w:pPr>
      <w:r w:rsidRPr="00654E26">
        <w:t>dochody z tytułu przekształcenia prawa użytkowania wieczystego w prawo własności.</w:t>
      </w:r>
    </w:p>
    <w:p w14:paraId="67586DDE" w14:textId="77777777" w:rsidR="00973282" w:rsidRPr="00654E26" w:rsidRDefault="005F5F9C" w:rsidP="00E40CF3">
      <w:pPr>
        <w:pStyle w:val="Tekstpodstawowy"/>
        <w:tabs>
          <w:tab w:val="left" w:pos="7560"/>
        </w:tabs>
        <w:spacing w:after="0" w:line="360" w:lineRule="exact"/>
      </w:pPr>
      <w:r w:rsidRPr="00654E26">
        <w:t>P</w:t>
      </w:r>
      <w:r w:rsidR="00973282" w:rsidRPr="00654E26">
        <w:t>rzez dochody bieżące budżetu jednostki samorządu terytorialnego rozumie się dochody budżetowe niebędące dochodami majątkowymi.</w:t>
      </w:r>
    </w:p>
    <w:p w14:paraId="467BC01B" w14:textId="77777777" w:rsidR="00973282" w:rsidRPr="00654E26" w:rsidRDefault="00973282" w:rsidP="00E40CF3">
      <w:pPr>
        <w:pStyle w:val="Tekstpodstawowy"/>
        <w:tabs>
          <w:tab w:val="left" w:pos="7560"/>
        </w:tabs>
        <w:spacing w:before="240" w:after="0" w:line="360" w:lineRule="exact"/>
      </w:pPr>
      <w:r w:rsidRPr="00654E26">
        <w:t>Do wydatków majątkowych zalicza się wydatki na:</w:t>
      </w:r>
    </w:p>
    <w:p w14:paraId="14859936" w14:textId="166FCA11" w:rsidR="00973282" w:rsidRPr="00654E26" w:rsidRDefault="00973282" w:rsidP="00E40CF3">
      <w:pPr>
        <w:pStyle w:val="Tekstpodstawowy"/>
        <w:numPr>
          <w:ilvl w:val="0"/>
          <w:numId w:val="21"/>
        </w:numPr>
        <w:tabs>
          <w:tab w:val="left" w:pos="7560"/>
        </w:tabs>
        <w:spacing w:after="0" w:line="360" w:lineRule="exact"/>
      </w:pPr>
      <w:r w:rsidRPr="00654E26">
        <w:t>inwestycje i zakupy inwestycyjne,</w:t>
      </w:r>
      <w:r w:rsidR="00EF6FB6" w:rsidRPr="00654E26">
        <w:t xml:space="preserve"> w tym na programy finansow</w:t>
      </w:r>
      <w:r w:rsidR="00BE5596">
        <w:t>ane z </w:t>
      </w:r>
      <w:r w:rsidR="00EF6FB6" w:rsidRPr="00654E26">
        <w:t>udziałem środków, o których mowa w art. 5 ust. 1 pkt 2 i 3, w części związanej z</w:t>
      </w:r>
      <w:r w:rsidR="00832FE5" w:rsidRPr="00654E26">
        <w:t xml:space="preserve"> </w:t>
      </w:r>
      <w:r w:rsidR="00EF6FB6" w:rsidRPr="00654E26">
        <w:t>realizacją zadań jednostk</w:t>
      </w:r>
      <w:r w:rsidR="00A92FE0" w:rsidRPr="00654E26">
        <w:t>i</w:t>
      </w:r>
      <w:r w:rsidR="00EF6FB6" w:rsidRPr="00654E26">
        <w:t xml:space="preserve"> samorządu terytorialnego,</w:t>
      </w:r>
    </w:p>
    <w:p w14:paraId="64537871" w14:textId="77777777" w:rsidR="00317AFD" w:rsidRPr="00654E26" w:rsidRDefault="00973282" w:rsidP="00E40CF3">
      <w:pPr>
        <w:pStyle w:val="Tekstpodstawowy"/>
        <w:numPr>
          <w:ilvl w:val="0"/>
          <w:numId w:val="21"/>
        </w:numPr>
        <w:tabs>
          <w:tab w:val="left" w:pos="7560"/>
        </w:tabs>
        <w:spacing w:after="0" w:line="360" w:lineRule="exact"/>
      </w:pPr>
      <w:r w:rsidRPr="00654E26">
        <w:t xml:space="preserve">zakup i objęcie akcji </w:t>
      </w:r>
      <w:r w:rsidR="00317AFD" w:rsidRPr="00654E26">
        <w:t>i udziałów,</w:t>
      </w:r>
    </w:p>
    <w:p w14:paraId="7140805B" w14:textId="77777777" w:rsidR="00973282" w:rsidRPr="00654E26" w:rsidRDefault="00973282" w:rsidP="00E40CF3">
      <w:pPr>
        <w:pStyle w:val="Tekstpodstawowy"/>
        <w:numPr>
          <w:ilvl w:val="0"/>
          <w:numId w:val="21"/>
        </w:numPr>
        <w:tabs>
          <w:tab w:val="left" w:pos="7560"/>
        </w:tabs>
        <w:spacing w:after="0" w:line="360" w:lineRule="exact"/>
      </w:pPr>
      <w:r w:rsidRPr="00654E26">
        <w:t>wniesienie wkładów do spółek prawa handlowego.</w:t>
      </w:r>
    </w:p>
    <w:p w14:paraId="5289262F" w14:textId="77777777" w:rsidR="00973282" w:rsidRPr="00654E26" w:rsidRDefault="00973282" w:rsidP="00E40CF3">
      <w:pPr>
        <w:pStyle w:val="Tekstpodstawowy"/>
        <w:tabs>
          <w:tab w:val="left" w:pos="7560"/>
        </w:tabs>
        <w:spacing w:after="0" w:line="360" w:lineRule="exact"/>
      </w:pPr>
      <w:r w:rsidRPr="00654E26">
        <w:t>Przez wydatki bieżące budżetu jednostki samorządu terytorialnego rozumie się wydatki budżetowe niebędące wydatkami majątkowymi.</w:t>
      </w:r>
    </w:p>
    <w:p w14:paraId="728AAE1D" w14:textId="001729B1" w:rsidR="0032062D" w:rsidRDefault="0054670B" w:rsidP="00E40CF3">
      <w:pPr>
        <w:pStyle w:val="Tekstpodstawowy"/>
        <w:spacing w:before="120" w:after="0" w:line="360" w:lineRule="exact"/>
      </w:pPr>
      <w:r w:rsidRPr="00DD564E">
        <w:lastRenderedPageBreak/>
        <w:t xml:space="preserve">Zgodnie z rozporządzeniem Ministra Finansów </w:t>
      </w:r>
      <w:r w:rsidR="00BE5596" w:rsidRPr="00DD564E">
        <w:t>z dnia 2 marca 2010 r.</w:t>
      </w:r>
      <w:r w:rsidR="00BE5596">
        <w:t xml:space="preserve"> </w:t>
      </w:r>
      <w:r w:rsidRPr="00DD564E">
        <w:t>w sprawie szczegółowej klasyfikacji dochodów, wydatków, przychodów i rozchodów oraz środków pochodzących ze źródeł zagran</w:t>
      </w:r>
      <w:r w:rsidR="00DD564E" w:rsidRPr="00DD564E">
        <w:t xml:space="preserve">icznych </w:t>
      </w:r>
      <w:r w:rsidR="00DD564E">
        <w:t>(</w:t>
      </w:r>
      <w:r w:rsidR="00DD564E" w:rsidRPr="00DD564E">
        <w:t>Dz.U. z 2022 r. poz. 513</w:t>
      </w:r>
      <w:r w:rsidR="00DD564E">
        <w:t xml:space="preserve">), </w:t>
      </w:r>
      <w:r w:rsidR="000D6185">
        <w:t>w latach 2019-2021</w:t>
      </w:r>
      <w:r w:rsidR="00151789" w:rsidRPr="00DD564E">
        <w:t>:</w:t>
      </w:r>
      <w:r w:rsidR="00925EB5" w:rsidRPr="00654E26">
        <w:t xml:space="preserve"> </w:t>
      </w:r>
    </w:p>
    <w:p w14:paraId="4D4694F5" w14:textId="77777777" w:rsidR="00B850AB" w:rsidRPr="00CF4AEC" w:rsidRDefault="0032062D" w:rsidP="00E32FF2">
      <w:pPr>
        <w:pStyle w:val="Tekstpodstawowy"/>
        <w:numPr>
          <w:ilvl w:val="0"/>
          <w:numId w:val="23"/>
        </w:numPr>
        <w:spacing w:before="120" w:after="0" w:line="360" w:lineRule="exact"/>
        <w:rPr>
          <w:color w:val="000000"/>
        </w:rPr>
      </w:pPr>
      <w:r w:rsidRPr="00CF4AEC">
        <w:rPr>
          <w:color w:val="000000"/>
        </w:rPr>
        <w:t>d</w:t>
      </w:r>
      <w:r w:rsidR="0054670B" w:rsidRPr="00CF4AEC">
        <w:rPr>
          <w:color w:val="000000"/>
        </w:rPr>
        <w:t>o</w:t>
      </w:r>
      <w:r w:rsidRPr="00CF4AEC">
        <w:rPr>
          <w:color w:val="000000"/>
        </w:rPr>
        <w:t xml:space="preserve"> </w:t>
      </w:r>
      <w:r w:rsidR="0054670B" w:rsidRPr="00CF4AEC">
        <w:rPr>
          <w:b/>
          <w:color w:val="000000"/>
        </w:rPr>
        <w:t>dochodów majątkowych</w:t>
      </w:r>
      <w:r w:rsidR="0054670B" w:rsidRPr="00CF4AEC">
        <w:rPr>
          <w:color w:val="000000"/>
        </w:rPr>
        <w:t xml:space="preserve"> jednostek samorządu terytorialnego zalicza</w:t>
      </w:r>
      <w:r w:rsidR="003F3750">
        <w:rPr>
          <w:color w:val="000000"/>
        </w:rPr>
        <w:t>ne były</w:t>
      </w:r>
      <w:r w:rsidRPr="00CF4AEC">
        <w:rPr>
          <w:color w:val="000000"/>
        </w:rPr>
        <w:t xml:space="preserve"> </w:t>
      </w:r>
      <w:r w:rsidR="00B850AB" w:rsidRPr="00CF4AEC">
        <w:rPr>
          <w:color w:val="000000"/>
        </w:rPr>
        <w:t>§§</w:t>
      </w:r>
      <w:r w:rsidRPr="00CF4AEC">
        <w:rPr>
          <w:color w:val="000000"/>
        </w:rPr>
        <w:t> </w:t>
      </w:r>
      <w:r w:rsidR="00B850AB" w:rsidRPr="00CF4AEC">
        <w:rPr>
          <w:color w:val="000000"/>
        </w:rPr>
        <w:t xml:space="preserve">(076-078, 080, </w:t>
      </w:r>
      <w:r w:rsidR="008E18AA" w:rsidRPr="00CF4AEC">
        <w:rPr>
          <w:color w:val="000000"/>
        </w:rPr>
        <w:t xml:space="preserve">087, </w:t>
      </w:r>
      <w:r w:rsidR="00DA2AE8" w:rsidRPr="00CF4AEC">
        <w:rPr>
          <w:color w:val="000000"/>
        </w:rPr>
        <w:t xml:space="preserve">609, 610, </w:t>
      </w:r>
      <w:r w:rsidR="008E18AA" w:rsidRPr="00CF4AEC">
        <w:rPr>
          <w:color w:val="000000"/>
        </w:rPr>
        <w:t>618, 620, 625, 626, 628-635</w:t>
      </w:r>
      <w:r w:rsidR="00B850AB" w:rsidRPr="00CF4AEC">
        <w:rPr>
          <w:color w:val="000000"/>
        </w:rPr>
        <w:t>, 641-645, 651-653, 656, 661-666</w:t>
      </w:r>
      <w:r w:rsidRPr="00CF4AEC">
        <w:rPr>
          <w:color w:val="000000"/>
        </w:rPr>
        <w:t xml:space="preserve">, </w:t>
      </w:r>
      <w:r w:rsidR="00B850AB" w:rsidRPr="00CF4AEC">
        <w:rPr>
          <w:color w:val="000000"/>
        </w:rPr>
        <w:t>668</w:t>
      </w:r>
      <w:r w:rsidRPr="00CF4AEC">
        <w:rPr>
          <w:color w:val="000000"/>
        </w:rPr>
        <w:t xml:space="preserve"> i </w:t>
      </w:r>
      <w:r w:rsidR="00925EB5" w:rsidRPr="00CF4AEC">
        <w:rPr>
          <w:color w:val="000000"/>
        </w:rPr>
        <w:t>669</w:t>
      </w:r>
      <w:r w:rsidR="00B850AB" w:rsidRPr="00CF4AEC">
        <w:rPr>
          <w:color w:val="000000"/>
        </w:rPr>
        <w:t>)</w:t>
      </w:r>
      <w:r w:rsidR="00214B84" w:rsidRPr="00CF4AEC">
        <w:rPr>
          <w:color w:val="000000"/>
        </w:rPr>
        <w:t>.</w:t>
      </w:r>
    </w:p>
    <w:p w14:paraId="27CD4FC0" w14:textId="77777777" w:rsidR="00DA2AE8" w:rsidRPr="00CF4AEC" w:rsidRDefault="0032062D" w:rsidP="0067067D">
      <w:pPr>
        <w:pStyle w:val="Tekstpodstawowy"/>
        <w:numPr>
          <w:ilvl w:val="0"/>
          <w:numId w:val="23"/>
        </w:numPr>
        <w:spacing w:before="120" w:after="0" w:line="360" w:lineRule="exact"/>
        <w:rPr>
          <w:color w:val="000000"/>
        </w:rPr>
      </w:pPr>
      <w:r w:rsidRPr="00CF4AEC">
        <w:rPr>
          <w:color w:val="000000"/>
        </w:rPr>
        <w:t>do</w:t>
      </w:r>
      <w:r w:rsidRPr="00CF4AEC">
        <w:rPr>
          <w:b/>
          <w:color w:val="000000"/>
        </w:rPr>
        <w:t xml:space="preserve"> </w:t>
      </w:r>
      <w:r w:rsidR="0054670B" w:rsidRPr="00CF4AEC">
        <w:rPr>
          <w:b/>
          <w:color w:val="000000"/>
        </w:rPr>
        <w:t>wydatków majątkowych</w:t>
      </w:r>
      <w:r w:rsidR="0054670B" w:rsidRPr="00CF4AEC">
        <w:rPr>
          <w:color w:val="000000"/>
        </w:rPr>
        <w:t xml:space="preserve"> jednostek samorządu</w:t>
      </w:r>
      <w:r w:rsidR="00314B9D" w:rsidRPr="00314B9D">
        <w:rPr>
          <w:color w:val="000000"/>
        </w:rPr>
        <w:t xml:space="preserve"> </w:t>
      </w:r>
      <w:r w:rsidR="00314B9D" w:rsidRPr="00CF4AEC">
        <w:rPr>
          <w:color w:val="000000"/>
        </w:rPr>
        <w:t>terytorialnego</w:t>
      </w:r>
      <w:r w:rsidR="0054670B" w:rsidRPr="00CF4AEC">
        <w:rPr>
          <w:color w:val="000000"/>
        </w:rPr>
        <w:t xml:space="preserve"> zalicza</w:t>
      </w:r>
      <w:r w:rsidR="0067067D">
        <w:rPr>
          <w:color w:val="000000"/>
        </w:rPr>
        <w:t>ne</w:t>
      </w:r>
      <w:r w:rsidRPr="00CF4AEC">
        <w:rPr>
          <w:color w:val="000000"/>
        </w:rPr>
        <w:t xml:space="preserve"> </w:t>
      </w:r>
      <w:r w:rsidR="003F3750">
        <w:rPr>
          <w:color w:val="000000"/>
        </w:rPr>
        <w:t>były</w:t>
      </w:r>
      <w:r w:rsidR="00DA2AE8" w:rsidRPr="00CF4AEC">
        <w:rPr>
          <w:color w:val="000000"/>
        </w:rPr>
        <w:t xml:space="preserve"> </w:t>
      </w:r>
      <w:r w:rsidR="00314B9D">
        <w:rPr>
          <w:color w:val="000000"/>
        </w:rPr>
        <w:t>wydatki ujęte w paragrafach należących</w:t>
      </w:r>
      <w:r w:rsidR="0067067D" w:rsidRPr="0067067D">
        <w:rPr>
          <w:color w:val="000000"/>
        </w:rPr>
        <w:t xml:space="preserve"> do grup: 1600, 1601, 1602, 1610, 1611, 1612, 1620, 1630.</w:t>
      </w:r>
    </w:p>
    <w:p w14:paraId="0A793CF0" w14:textId="77777777" w:rsidR="00973282" w:rsidRPr="00654E26" w:rsidRDefault="00973282" w:rsidP="00E40CF3">
      <w:pPr>
        <w:tabs>
          <w:tab w:val="left" w:pos="7560"/>
        </w:tabs>
        <w:spacing w:before="120" w:line="360" w:lineRule="exact"/>
        <w:rPr>
          <w:bCs/>
        </w:rPr>
      </w:pPr>
      <w:r w:rsidRPr="00654E26">
        <w:rPr>
          <w:bCs/>
        </w:rPr>
        <w:t xml:space="preserve">Zgodnie z </w:t>
      </w:r>
      <w:r w:rsidR="00571B46" w:rsidRPr="00654E26">
        <w:rPr>
          <w:bCs/>
        </w:rPr>
        <w:t>art.</w:t>
      </w:r>
      <w:r w:rsidRPr="00654E26">
        <w:rPr>
          <w:bCs/>
        </w:rPr>
        <w:t> </w:t>
      </w:r>
      <w:r w:rsidR="000E1BD7" w:rsidRPr="00654E26">
        <w:rPr>
          <w:bCs/>
        </w:rPr>
        <w:t>217</w:t>
      </w:r>
      <w:r w:rsidR="005F5F9C" w:rsidRPr="00654E26">
        <w:rPr>
          <w:bCs/>
        </w:rPr>
        <w:t xml:space="preserve"> ust. 1 </w:t>
      </w:r>
      <w:r w:rsidRPr="00654E26">
        <w:rPr>
          <w:bCs/>
        </w:rPr>
        <w:t xml:space="preserve">ustawy </w:t>
      </w:r>
      <w:r w:rsidR="00843FEA" w:rsidRPr="00654E26">
        <w:t>o finansach publicznych</w:t>
      </w:r>
      <w:r w:rsidR="00830B56" w:rsidRPr="00654E26">
        <w:t>,</w:t>
      </w:r>
      <w:r w:rsidR="00843FEA" w:rsidRPr="00654E26">
        <w:t xml:space="preserve"> </w:t>
      </w:r>
      <w:r w:rsidRPr="00654E26">
        <w:rPr>
          <w:bCs/>
        </w:rPr>
        <w:t>różnica między dochodami a</w:t>
      </w:r>
      <w:r w:rsidR="00FD7123" w:rsidRPr="00654E26">
        <w:rPr>
          <w:bCs/>
        </w:rPr>
        <w:t xml:space="preserve"> </w:t>
      </w:r>
      <w:r w:rsidRPr="00654E26">
        <w:rPr>
          <w:bCs/>
        </w:rPr>
        <w:t>wydatkami budżetu jednostki samorządu terytorialnego stanowi odpowiednio</w:t>
      </w:r>
      <w:r w:rsidR="00E32FF2">
        <w:rPr>
          <w:bCs/>
        </w:rPr>
        <w:t xml:space="preserve"> </w:t>
      </w:r>
      <w:r w:rsidRPr="00654E26">
        <w:rPr>
          <w:bCs/>
        </w:rPr>
        <w:t xml:space="preserve"> nadwyżkę </w:t>
      </w:r>
      <w:r w:rsidR="00843FEA" w:rsidRPr="00654E26">
        <w:rPr>
          <w:bCs/>
        </w:rPr>
        <w:t>al</w:t>
      </w:r>
      <w:r w:rsidRPr="00654E26">
        <w:rPr>
          <w:bCs/>
        </w:rPr>
        <w:t>b</w:t>
      </w:r>
      <w:r w:rsidR="00843FEA" w:rsidRPr="00654E26">
        <w:rPr>
          <w:bCs/>
        </w:rPr>
        <w:t>o</w:t>
      </w:r>
      <w:r w:rsidR="00830B56" w:rsidRPr="00654E26">
        <w:rPr>
          <w:bCs/>
        </w:rPr>
        <w:t xml:space="preserve"> </w:t>
      </w:r>
      <w:r w:rsidRPr="00654E26">
        <w:rPr>
          <w:bCs/>
        </w:rPr>
        <w:t xml:space="preserve">deficyt budżetu jednostki samorządu terytorialnego. </w:t>
      </w:r>
    </w:p>
    <w:p w14:paraId="682381E6" w14:textId="77777777" w:rsidR="00973282" w:rsidRPr="00654E26" w:rsidRDefault="00973282" w:rsidP="00E40CF3">
      <w:pPr>
        <w:tabs>
          <w:tab w:val="left" w:pos="7560"/>
        </w:tabs>
        <w:spacing w:before="240" w:line="360" w:lineRule="exact"/>
        <w:rPr>
          <w:bCs/>
        </w:rPr>
      </w:pPr>
      <w:r w:rsidRPr="00654E26">
        <w:rPr>
          <w:bCs/>
        </w:rPr>
        <w:t xml:space="preserve">Natomiast różnica między dochodami bieżącymi a wydatkami bieżącymi określona jest jako wynik bieżący, który w przypadku osiągania wartości dodatnich określany </w:t>
      </w:r>
      <w:r w:rsidR="0007731F" w:rsidRPr="00654E26">
        <w:rPr>
          <w:bCs/>
        </w:rPr>
        <w:t xml:space="preserve">jest </w:t>
      </w:r>
      <w:r w:rsidR="00460DAA" w:rsidRPr="00654E26">
        <w:rPr>
          <w:bCs/>
        </w:rPr>
        <w:t>jako</w:t>
      </w:r>
      <w:r w:rsidR="001B28BD" w:rsidRPr="00654E26">
        <w:rPr>
          <w:bCs/>
        </w:rPr>
        <w:t xml:space="preserve"> </w:t>
      </w:r>
      <w:r w:rsidRPr="00654E26">
        <w:rPr>
          <w:bCs/>
        </w:rPr>
        <w:t>nadwyżka operacyjna (odpowiednio deficyt operacyjny w przypadku ujemnego wyniku bieżącego).</w:t>
      </w:r>
    </w:p>
    <w:p w14:paraId="353B5608" w14:textId="77777777" w:rsidR="00154749" w:rsidRPr="00654E26" w:rsidRDefault="00154749" w:rsidP="00E40CF3">
      <w:pPr>
        <w:pStyle w:val="Tekstpodstawowy"/>
        <w:spacing w:before="120" w:after="0" w:line="360" w:lineRule="exact"/>
      </w:pPr>
      <w:r w:rsidRPr="00654E26">
        <w:t xml:space="preserve">Wynik budżetu </w:t>
      </w:r>
      <w:r w:rsidR="006706B6" w:rsidRPr="00654E26">
        <w:rPr>
          <w:bCs/>
        </w:rPr>
        <w:t>bieżącego</w:t>
      </w:r>
      <w:r w:rsidR="006706B6" w:rsidRPr="00654E26">
        <w:t xml:space="preserve"> </w:t>
      </w:r>
      <w:r w:rsidRPr="00654E26">
        <w:t>wskazuje</w:t>
      </w:r>
      <w:r w:rsidR="00460DAA" w:rsidRPr="00654E26">
        <w:t>,</w:t>
      </w:r>
      <w:r w:rsidRPr="00654E26">
        <w:t xml:space="preserve"> czy jednostka samorządu terytorialnego </w:t>
      </w:r>
      <w:r w:rsidR="006706B6" w:rsidRPr="00654E26">
        <w:t>jest w </w:t>
      </w:r>
      <w:r w:rsidRPr="00654E26">
        <w:t xml:space="preserve">stanie pokryć wydatki bieżące dochodami bieżącymi. </w:t>
      </w:r>
    </w:p>
    <w:p w14:paraId="406045F3" w14:textId="77777777" w:rsidR="00D854DA" w:rsidRPr="00654E26" w:rsidRDefault="006706B6" w:rsidP="00E40CF3">
      <w:pPr>
        <w:pStyle w:val="Tekstpodstawowy"/>
        <w:spacing w:after="0" w:line="360" w:lineRule="exact"/>
      </w:pPr>
      <w:r w:rsidRPr="00654E26">
        <w:t>Dodatni wynik bieżący (n</w:t>
      </w:r>
      <w:r w:rsidR="00D854DA" w:rsidRPr="00654E26">
        <w:t>adwyżka operacyjna</w:t>
      </w:r>
      <w:r w:rsidRPr="00654E26">
        <w:t>)</w:t>
      </w:r>
      <w:r w:rsidR="00D854DA" w:rsidRPr="00654E26">
        <w:t xml:space="preserve"> daje jednostce samorządu terytorialnego możliwość realizacji nowych przedsięwzięć majątkowych, zarówno bezpośrednio, przeznaczając tę kwotę na inwestycje lub pośrednio, spłacając wcześniej zaciągnięte zobowiązania na cele inwestycyjne.</w:t>
      </w:r>
    </w:p>
    <w:p w14:paraId="48685B56" w14:textId="77777777" w:rsidR="00D854DA" w:rsidRPr="00654E26" w:rsidRDefault="00571B46" w:rsidP="00E40CF3">
      <w:pPr>
        <w:pStyle w:val="Tekstpodstawowy2"/>
        <w:spacing w:before="240" w:line="360" w:lineRule="exact"/>
        <w:rPr>
          <w:rFonts w:cs="Arial"/>
          <w:sz w:val="24"/>
          <w:szCs w:val="24"/>
        </w:rPr>
      </w:pPr>
      <w:r w:rsidRPr="00654E26">
        <w:rPr>
          <w:rFonts w:cs="Arial"/>
          <w:sz w:val="24"/>
          <w:szCs w:val="24"/>
        </w:rPr>
        <w:t xml:space="preserve">Ujemny wynik </w:t>
      </w:r>
      <w:r w:rsidR="00750235" w:rsidRPr="00654E26">
        <w:rPr>
          <w:rFonts w:cs="Arial"/>
          <w:sz w:val="24"/>
          <w:szCs w:val="24"/>
        </w:rPr>
        <w:t>bieżący</w:t>
      </w:r>
      <w:r w:rsidRPr="00654E26">
        <w:rPr>
          <w:rFonts w:cs="Arial"/>
          <w:sz w:val="24"/>
          <w:szCs w:val="24"/>
        </w:rPr>
        <w:t xml:space="preserve"> (d</w:t>
      </w:r>
      <w:r w:rsidR="00D854DA" w:rsidRPr="00654E26">
        <w:rPr>
          <w:rFonts w:cs="Arial"/>
          <w:sz w:val="24"/>
          <w:szCs w:val="24"/>
        </w:rPr>
        <w:t>eficyt operacyjny</w:t>
      </w:r>
      <w:r w:rsidRPr="00654E26">
        <w:rPr>
          <w:rFonts w:cs="Arial"/>
          <w:sz w:val="24"/>
          <w:szCs w:val="24"/>
        </w:rPr>
        <w:t>)</w:t>
      </w:r>
      <w:r w:rsidR="00D854DA" w:rsidRPr="00654E26">
        <w:rPr>
          <w:rFonts w:cs="Arial"/>
          <w:sz w:val="24"/>
          <w:szCs w:val="24"/>
        </w:rPr>
        <w:t xml:space="preserve"> oznacza, że </w:t>
      </w:r>
      <w:r w:rsidR="00DB2F92" w:rsidRPr="00654E26">
        <w:rPr>
          <w:rFonts w:cs="Arial"/>
          <w:sz w:val="24"/>
          <w:szCs w:val="24"/>
        </w:rPr>
        <w:t xml:space="preserve">bieżące </w:t>
      </w:r>
      <w:r w:rsidR="00D854DA" w:rsidRPr="00654E26">
        <w:rPr>
          <w:rFonts w:cs="Arial"/>
          <w:sz w:val="24"/>
          <w:szCs w:val="24"/>
        </w:rPr>
        <w:t xml:space="preserve">wydatki </w:t>
      </w:r>
      <w:r w:rsidR="00860D3E" w:rsidRPr="00654E26">
        <w:rPr>
          <w:rFonts w:cs="Arial"/>
          <w:sz w:val="24"/>
          <w:szCs w:val="24"/>
        </w:rPr>
        <w:t xml:space="preserve">jednostki samorządu terytorialnego </w:t>
      </w:r>
      <w:r w:rsidR="00D854DA" w:rsidRPr="00654E26">
        <w:rPr>
          <w:rFonts w:cs="Arial"/>
          <w:sz w:val="24"/>
          <w:szCs w:val="24"/>
        </w:rPr>
        <w:t xml:space="preserve">przekraczają </w:t>
      </w:r>
      <w:r w:rsidR="00F96791">
        <w:rPr>
          <w:rFonts w:cs="Arial"/>
          <w:sz w:val="24"/>
          <w:szCs w:val="24"/>
        </w:rPr>
        <w:t xml:space="preserve">poziom </w:t>
      </w:r>
      <w:r w:rsidR="00860D3E" w:rsidRPr="00654E26">
        <w:rPr>
          <w:rFonts w:cs="Arial"/>
          <w:sz w:val="24"/>
          <w:szCs w:val="24"/>
        </w:rPr>
        <w:t xml:space="preserve">jej </w:t>
      </w:r>
      <w:r w:rsidR="00F96791">
        <w:rPr>
          <w:rFonts w:cs="Arial"/>
          <w:sz w:val="24"/>
          <w:szCs w:val="24"/>
        </w:rPr>
        <w:t>dochodów bieżących</w:t>
      </w:r>
      <w:r w:rsidR="001B5E5E">
        <w:rPr>
          <w:rFonts w:cs="Arial"/>
          <w:sz w:val="24"/>
          <w:szCs w:val="24"/>
        </w:rPr>
        <w:t>, co m</w:t>
      </w:r>
      <w:r w:rsidR="00000383" w:rsidRPr="00654E26">
        <w:rPr>
          <w:rFonts w:cs="Arial"/>
          <w:sz w:val="24"/>
          <w:szCs w:val="24"/>
        </w:rPr>
        <w:t>oże być spowodowane na przykład nadmierny</w:t>
      </w:r>
      <w:r w:rsidR="00843FEA" w:rsidRPr="00654E26">
        <w:rPr>
          <w:rFonts w:cs="Arial"/>
          <w:sz w:val="24"/>
          <w:szCs w:val="24"/>
        </w:rPr>
        <w:t>m</w:t>
      </w:r>
      <w:r w:rsidR="00000383" w:rsidRPr="00654E26">
        <w:rPr>
          <w:rFonts w:cs="Arial"/>
          <w:sz w:val="24"/>
          <w:szCs w:val="24"/>
        </w:rPr>
        <w:t xml:space="preserve"> wzrost</w:t>
      </w:r>
      <w:r w:rsidR="00843FEA" w:rsidRPr="00654E26">
        <w:rPr>
          <w:rFonts w:cs="Arial"/>
          <w:sz w:val="24"/>
          <w:szCs w:val="24"/>
        </w:rPr>
        <w:t>em</w:t>
      </w:r>
      <w:r w:rsidR="00000383" w:rsidRPr="00654E26">
        <w:rPr>
          <w:rFonts w:cs="Arial"/>
          <w:sz w:val="24"/>
          <w:szCs w:val="24"/>
        </w:rPr>
        <w:t xml:space="preserve"> zadłużenia wraz z kosztami jego obsługi lub niższy</w:t>
      </w:r>
      <w:r w:rsidR="00843FEA" w:rsidRPr="00654E26">
        <w:rPr>
          <w:rFonts w:cs="Arial"/>
          <w:sz w:val="24"/>
          <w:szCs w:val="24"/>
        </w:rPr>
        <w:t>m</w:t>
      </w:r>
      <w:r w:rsidR="00000383" w:rsidRPr="00654E26">
        <w:rPr>
          <w:rFonts w:cs="Arial"/>
          <w:sz w:val="24"/>
          <w:szCs w:val="24"/>
        </w:rPr>
        <w:t xml:space="preserve"> niż zakładano, wzrostem dochodów jednostki. </w:t>
      </w:r>
      <w:r w:rsidR="007C5A55" w:rsidRPr="00654E26">
        <w:rPr>
          <w:rFonts w:cs="Arial"/>
          <w:sz w:val="24"/>
          <w:szCs w:val="24"/>
        </w:rPr>
        <w:t xml:space="preserve">Zadania bieżące </w:t>
      </w:r>
      <w:r w:rsidRPr="00654E26">
        <w:rPr>
          <w:rFonts w:cs="Arial"/>
          <w:sz w:val="24"/>
          <w:szCs w:val="24"/>
        </w:rPr>
        <w:t>mog</w:t>
      </w:r>
      <w:r w:rsidR="00860CC9" w:rsidRPr="00654E26">
        <w:rPr>
          <w:rFonts w:cs="Arial"/>
          <w:sz w:val="24"/>
          <w:szCs w:val="24"/>
        </w:rPr>
        <w:t>ą</w:t>
      </w:r>
      <w:r w:rsidR="007C5A55" w:rsidRPr="00654E26">
        <w:rPr>
          <w:rFonts w:cs="Arial"/>
          <w:sz w:val="24"/>
          <w:szCs w:val="24"/>
        </w:rPr>
        <w:t xml:space="preserve"> </w:t>
      </w:r>
      <w:r w:rsidR="00981A57" w:rsidRPr="00654E26">
        <w:rPr>
          <w:rFonts w:cs="Arial"/>
          <w:sz w:val="24"/>
          <w:szCs w:val="24"/>
        </w:rPr>
        <w:t xml:space="preserve">być </w:t>
      </w:r>
      <w:r w:rsidR="007C5A55" w:rsidRPr="00654E26">
        <w:rPr>
          <w:rFonts w:cs="Arial"/>
          <w:sz w:val="24"/>
          <w:szCs w:val="24"/>
        </w:rPr>
        <w:t>r</w:t>
      </w:r>
      <w:r w:rsidR="00D854DA" w:rsidRPr="00654E26">
        <w:rPr>
          <w:rFonts w:cs="Arial"/>
          <w:sz w:val="24"/>
          <w:szCs w:val="24"/>
        </w:rPr>
        <w:t>ealizowane kosztem sprzedaży majątku jednostki</w:t>
      </w:r>
      <w:r w:rsidR="001B5E5E">
        <w:rPr>
          <w:rFonts w:cs="Arial"/>
          <w:sz w:val="24"/>
          <w:szCs w:val="24"/>
        </w:rPr>
        <w:t>,</w:t>
      </w:r>
      <w:r w:rsidR="00D854DA" w:rsidRPr="00654E26">
        <w:rPr>
          <w:rFonts w:cs="Arial"/>
          <w:sz w:val="24"/>
          <w:szCs w:val="24"/>
        </w:rPr>
        <w:t xml:space="preserve"> </w:t>
      </w:r>
      <w:r w:rsidR="001B5E5E">
        <w:rPr>
          <w:rFonts w:cs="Arial"/>
          <w:sz w:val="24"/>
          <w:szCs w:val="24"/>
        </w:rPr>
        <w:t>bądź</w:t>
      </w:r>
      <w:r w:rsidR="00D854DA" w:rsidRPr="00654E26">
        <w:rPr>
          <w:rFonts w:cs="Arial"/>
          <w:sz w:val="24"/>
          <w:szCs w:val="24"/>
        </w:rPr>
        <w:t xml:space="preserve"> poprzez zaciąganie nowych zobowiązań</w:t>
      </w:r>
      <w:r w:rsidR="00843FEA" w:rsidRPr="00654E26">
        <w:rPr>
          <w:rFonts w:cs="Arial"/>
          <w:sz w:val="24"/>
          <w:szCs w:val="24"/>
        </w:rPr>
        <w:t>.</w:t>
      </w:r>
      <w:r w:rsidR="00D854DA" w:rsidRPr="00654E26">
        <w:rPr>
          <w:rFonts w:cs="Arial"/>
          <w:sz w:val="24"/>
          <w:szCs w:val="24"/>
        </w:rPr>
        <w:t xml:space="preserve"> </w:t>
      </w:r>
    </w:p>
    <w:p w14:paraId="6684C6D6" w14:textId="77777777" w:rsidR="00733DAF" w:rsidRDefault="005F5F9C" w:rsidP="00E40CF3">
      <w:pPr>
        <w:tabs>
          <w:tab w:val="left" w:pos="7560"/>
        </w:tabs>
        <w:spacing w:before="120" w:line="360" w:lineRule="exact"/>
      </w:pPr>
      <w:r w:rsidRPr="00654E26">
        <w:t xml:space="preserve">Wskaźniki zostały wyliczone dla każdej jednostki samorządu terytorialnego. </w:t>
      </w:r>
      <w:r w:rsidR="001B5E5E">
        <w:t>Biorąc pod uwagę, że</w:t>
      </w:r>
      <w:r w:rsidR="00012732" w:rsidRPr="00654E26">
        <w:t xml:space="preserve"> </w:t>
      </w:r>
      <w:r w:rsidR="00A90388" w:rsidRPr="00654E26">
        <w:t>n</w:t>
      </w:r>
      <w:r w:rsidR="00557509" w:rsidRPr="00654E26">
        <w:t xml:space="preserve">ie wszystkie </w:t>
      </w:r>
      <w:r w:rsidR="00A90388" w:rsidRPr="00654E26">
        <w:t xml:space="preserve">jednostki </w:t>
      </w:r>
      <w:r w:rsidR="00557509" w:rsidRPr="00654E26">
        <w:t>zamk</w:t>
      </w:r>
      <w:r w:rsidR="00D52F89" w:rsidRPr="00654E26">
        <w:t>nęły</w:t>
      </w:r>
      <w:r w:rsidR="00557509" w:rsidRPr="00654E26">
        <w:t xml:space="preserve"> swoje budżety </w:t>
      </w:r>
      <w:r w:rsidR="00332C04" w:rsidRPr="00654E26">
        <w:t>nadwyżk</w:t>
      </w:r>
      <w:r w:rsidR="00557509" w:rsidRPr="00654E26">
        <w:t>ą</w:t>
      </w:r>
      <w:r w:rsidR="00332C04" w:rsidRPr="00654E26">
        <w:t xml:space="preserve"> operacyjn</w:t>
      </w:r>
      <w:r w:rsidR="00557509" w:rsidRPr="00654E26">
        <w:t>ą</w:t>
      </w:r>
      <w:r w:rsidR="00332C04" w:rsidRPr="00654E26">
        <w:t xml:space="preserve">, </w:t>
      </w:r>
      <w:r w:rsidR="00A93C11" w:rsidRPr="00654E26">
        <w:t xml:space="preserve">część </w:t>
      </w:r>
      <w:r w:rsidR="00733DAF" w:rsidRPr="00654E26">
        <w:t xml:space="preserve">wskaźników </w:t>
      </w:r>
      <w:r w:rsidR="00332C04" w:rsidRPr="00654E26">
        <w:t xml:space="preserve">uwzględniających </w:t>
      </w:r>
      <w:r w:rsidR="00733DAF" w:rsidRPr="00654E26">
        <w:t>nadwyż</w:t>
      </w:r>
      <w:r w:rsidR="00332C04" w:rsidRPr="00654E26">
        <w:t xml:space="preserve">kę </w:t>
      </w:r>
      <w:r w:rsidR="00733DAF" w:rsidRPr="00654E26">
        <w:t>operacyjn</w:t>
      </w:r>
      <w:r w:rsidR="00332C04" w:rsidRPr="00654E26">
        <w:t>ą</w:t>
      </w:r>
      <w:r w:rsidR="00733DAF" w:rsidRPr="00654E26">
        <w:t xml:space="preserve"> </w:t>
      </w:r>
      <w:r w:rsidR="008F0E9D" w:rsidRPr="00654E26">
        <w:t xml:space="preserve">przyjmuje </w:t>
      </w:r>
      <w:r w:rsidR="001B5E5E">
        <w:t>wartości</w:t>
      </w:r>
      <w:r w:rsidR="00733DAF" w:rsidRPr="00654E26">
        <w:t xml:space="preserve"> ujemne. Ujemna wartość wskaźnika wskazuj</w:t>
      </w:r>
      <w:r w:rsidR="00D52F89" w:rsidRPr="00654E26">
        <w:t>e</w:t>
      </w:r>
      <w:r w:rsidR="00733DAF" w:rsidRPr="00654E26">
        <w:t>, że jednostka samorząd</w:t>
      </w:r>
      <w:r w:rsidR="00137899" w:rsidRPr="00654E26">
        <w:t>u terytorialnego nie wypracow</w:t>
      </w:r>
      <w:r w:rsidR="001B5E5E">
        <w:t>ała</w:t>
      </w:r>
      <w:r w:rsidR="00733DAF" w:rsidRPr="00654E26">
        <w:t xml:space="preserve"> nadwyżki operacyjnej</w:t>
      </w:r>
      <w:r w:rsidR="006401FD" w:rsidRPr="00654E26">
        <w:t>,</w:t>
      </w:r>
      <w:r w:rsidR="00733DAF" w:rsidRPr="00654E26">
        <w:t xml:space="preserve"> a jej </w:t>
      </w:r>
      <w:r w:rsidRPr="00654E26">
        <w:t>wynik operacyjny</w:t>
      </w:r>
      <w:r w:rsidR="00733DAF" w:rsidRPr="00654E26">
        <w:t xml:space="preserve"> jest </w:t>
      </w:r>
      <w:r w:rsidRPr="00654E26">
        <w:t>ujemny</w:t>
      </w:r>
      <w:r w:rsidR="00733DAF" w:rsidRPr="00654E26">
        <w:t>.</w:t>
      </w:r>
    </w:p>
    <w:p w14:paraId="78587C6F" w14:textId="1542A666" w:rsidR="000C6440" w:rsidRPr="00654E26" w:rsidRDefault="000C6440" w:rsidP="00E40CF3">
      <w:pPr>
        <w:tabs>
          <w:tab w:val="left" w:pos="7560"/>
        </w:tabs>
        <w:spacing w:before="120" w:line="360" w:lineRule="exact"/>
      </w:pPr>
      <w:r w:rsidRPr="00473590">
        <w:lastRenderedPageBreak/>
        <w:t>Do wyliczeni</w:t>
      </w:r>
      <w:r>
        <w:t>a wskaźników wykorzystano dane</w:t>
      </w:r>
      <w:r w:rsidRPr="00473590">
        <w:t xml:space="preserve"> </w:t>
      </w:r>
      <w:r>
        <w:t>dotyczące</w:t>
      </w:r>
      <w:r w:rsidRPr="00E85113">
        <w:t xml:space="preserve"> wykonania budżetów jednostek samorządu terytorialnego za lata 201</w:t>
      </w:r>
      <w:r>
        <w:t>9-2021</w:t>
      </w:r>
      <w:r w:rsidR="000F751E">
        <w:t xml:space="preserve"> pochodzące ze sprawozdań</w:t>
      </w:r>
      <w:r w:rsidR="00BE5596">
        <w:t xml:space="preserve"> z </w:t>
      </w:r>
      <w:r w:rsidRPr="00E85113">
        <w:t xml:space="preserve">wykonania planów dochodów i wydatków oraz zobowiązań i należności tych jednostek, sporządzone według zasad określonych </w:t>
      </w:r>
      <w:r>
        <w:t>r</w:t>
      </w:r>
      <w:r w:rsidRPr="00BC673C">
        <w:t>ozporządzenie</w:t>
      </w:r>
      <w:r>
        <w:t>m</w:t>
      </w:r>
      <w:r w:rsidRPr="00BC673C">
        <w:t xml:space="preserve"> Ministra Rozwoju i Finansów </w:t>
      </w:r>
      <w:r w:rsidRPr="00E85113">
        <w:t xml:space="preserve">z dnia </w:t>
      </w:r>
      <w:r>
        <w:t xml:space="preserve">9 stycznia 2018 r. </w:t>
      </w:r>
      <w:r w:rsidRPr="00E85113">
        <w:t>w sprawie sprawozdawczości budżetowej</w:t>
      </w:r>
      <w:r>
        <w:t xml:space="preserve"> oraz</w:t>
      </w:r>
      <w:r w:rsidRPr="00E85113">
        <w:t> rozporządzeniem Ministra Fi</w:t>
      </w:r>
      <w:r>
        <w:t>nansów z dnia 4 </w:t>
      </w:r>
      <w:r w:rsidRPr="00E85113">
        <w:t>marca 2010 r. w sprawie sprawozdań jednostek</w:t>
      </w:r>
      <w:r>
        <w:t xml:space="preserve"> sektora finansów publicznych w </w:t>
      </w:r>
      <w:r w:rsidRPr="00E85113">
        <w:t>zakresie operacji</w:t>
      </w:r>
      <w:r>
        <w:t xml:space="preserve"> </w:t>
      </w:r>
      <w:r w:rsidRPr="00E85113">
        <w:t>finansowych</w:t>
      </w:r>
      <w:r>
        <w:t xml:space="preserve"> i </w:t>
      </w:r>
      <w:r w:rsidRPr="004A4932">
        <w:t>rozporządzeniem Ministra Finansów, Fu</w:t>
      </w:r>
      <w:r w:rsidR="00BE5596">
        <w:t>nduszy i Polityki Regionalnej z </w:t>
      </w:r>
      <w:r w:rsidRPr="004A4932">
        <w:t>dnia 17 grudnia 2020 r. w sprawie sprawozdań jednostek sektora finansów publicznych w zakresie operacji finansowych</w:t>
      </w:r>
      <w:r>
        <w:t>.</w:t>
      </w:r>
    </w:p>
    <w:p w14:paraId="642E5604" w14:textId="77777777" w:rsidR="0022302F" w:rsidRPr="00654E26" w:rsidRDefault="00DD0EA9" w:rsidP="00E40CF3">
      <w:pPr>
        <w:numPr>
          <w:ilvl w:val="0"/>
          <w:numId w:val="13"/>
        </w:numPr>
        <w:tabs>
          <w:tab w:val="clear" w:pos="397"/>
        </w:tabs>
        <w:spacing w:before="120" w:line="360" w:lineRule="exact"/>
        <w:rPr>
          <w:bCs/>
        </w:rPr>
      </w:pPr>
      <w:r w:rsidRPr="00654E26">
        <w:rPr>
          <w:bCs/>
        </w:rPr>
        <w:t>Rb-27S</w:t>
      </w:r>
      <w:r w:rsidR="005D7BAB" w:rsidRPr="00654E26">
        <w:rPr>
          <w:bCs/>
        </w:rPr>
        <w:t xml:space="preserve"> </w:t>
      </w:r>
      <w:r w:rsidRPr="00654E26">
        <w:rPr>
          <w:bCs/>
        </w:rPr>
        <w:t xml:space="preserve"> – </w:t>
      </w:r>
      <w:r w:rsidR="005E7ABE" w:rsidRPr="00654E26">
        <w:rPr>
          <w:bCs/>
        </w:rPr>
        <w:t>s</w:t>
      </w:r>
      <w:r w:rsidRPr="00654E26">
        <w:rPr>
          <w:bCs/>
        </w:rPr>
        <w:t xml:space="preserve">prawozdanie z wykonania planu dochodów budżetowych, </w:t>
      </w:r>
    </w:p>
    <w:p w14:paraId="60A6B1D1" w14:textId="77777777" w:rsidR="0022302F" w:rsidRPr="00654E26" w:rsidRDefault="00DD0EA9" w:rsidP="00E40CF3">
      <w:pPr>
        <w:numPr>
          <w:ilvl w:val="0"/>
          <w:numId w:val="11"/>
        </w:numPr>
        <w:tabs>
          <w:tab w:val="clear" w:pos="530"/>
        </w:tabs>
        <w:spacing w:before="120" w:line="360" w:lineRule="exact"/>
        <w:ind w:left="360" w:hanging="340"/>
        <w:rPr>
          <w:bCs/>
        </w:rPr>
      </w:pPr>
      <w:r w:rsidRPr="00654E26">
        <w:rPr>
          <w:bCs/>
        </w:rPr>
        <w:t>Rb-28S</w:t>
      </w:r>
      <w:r w:rsidR="005D7BAB" w:rsidRPr="00654E26">
        <w:rPr>
          <w:bCs/>
        </w:rPr>
        <w:t xml:space="preserve"> </w:t>
      </w:r>
      <w:r w:rsidRPr="00654E26">
        <w:rPr>
          <w:bCs/>
        </w:rPr>
        <w:t xml:space="preserve"> – </w:t>
      </w:r>
      <w:r w:rsidR="005E7ABE" w:rsidRPr="00654E26">
        <w:rPr>
          <w:bCs/>
        </w:rPr>
        <w:t>s</w:t>
      </w:r>
      <w:r w:rsidRPr="00654E26">
        <w:rPr>
          <w:bCs/>
        </w:rPr>
        <w:t xml:space="preserve">prawozdanie z wykonania planu wydatków budżetowych, </w:t>
      </w:r>
    </w:p>
    <w:p w14:paraId="76007B02" w14:textId="77777777" w:rsidR="0022302F" w:rsidRPr="00654E26" w:rsidRDefault="00DD0EA9" w:rsidP="00E40CF3">
      <w:pPr>
        <w:numPr>
          <w:ilvl w:val="0"/>
          <w:numId w:val="11"/>
        </w:numPr>
        <w:tabs>
          <w:tab w:val="clear" w:pos="530"/>
        </w:tabs>
        <w:spacing w:before="120" w:line="360" w:lineRule="exact"/>
        <w:ind w:left="360" w:hanging="340"/>
        <w:rPr>
          <w:bCs/>
        </w:rPr>
      </w:pPr>
      <w:r w:rsidRPr="00654E26">
        <w:rPr>
          <w:bCs/>
        </w:rPr>
        <w:t>Rb-NDS</w:t>
      </w:r>
      <w:r w:rsidR="005D7BAB" w:rsidRPr="00654E26">
        <w:rPr>
          <w:bCs/>
        </w:rPr>
        <w:t xml:space="preserve"> </w:t>
      </w:r>
      <w:r w:rsidRPr="00654E26">
        <w:rPr>
          <w:bCs/>
        </w:rPr>
        <w:t xml:space="preserve"> – </w:t>
      </w:r>
      <w:r w:rsidR="005E7ABE" w:rsidRPr="00654E26">
        <w:rPr>
          <w:bCs/>
        </w:rPr>
        <w:t>s</w:t>
      </w:r>
      <w:r w:rsidRPr="00654E26">
        <w:rPr>
          <w:bCs/>
        </w:rPr>
        <w:t xml:space="preserve">prawozdanie o nadwyżce/deficycie, </w:t>
      </w:r>
    </w:p>
    <w:p w14:paraId="0B7C0500" w14:textId="77777777" w:rsidR="0022302F" w:rsidRPr="00654E26" w:rsidRDefault="00DD0EA9" w:rsidP="00E40CF3">
      <w:pPr>
        <w:numPr>
          <w:ilvl w:val="0"/>
          <w:numId w:val="11"/>
        </w:numPr>
        <w:tabs>
          <w:tab w:val="clear" w:pos="530"/>
        </w:tabs>
        <w:spacing w:before="120" w:line="360" w:lineRule="exact"/>
        <w:ind w:left="360"/>
        <w:rPr>
          <w:bCs/>
        </w:rPr>
      </w:pPr>
      <w:r w:rsidRPr="00654E26">
        <w:rPr>
          <w:bCs/>
        </w:rPr>
        <w:t xml:space="preserve">Rb-Z </w:t>
      </w:r>
      <w:r w:rsidR="005D7BAB" w:rsidRPr="00654E26">
        <w:rPr>
          <w:bCs/>
        </w:rPr>
        <w:t xml:space="preserve"> </w:t>
      </w:r>
      <w:r w:rsidR="005E7ABE" w:rsidRPr="00654E26">
        <w:rPr>
          <w:bCs/>
        </w:rPr>
        <w:t>– s</w:t>
      </w:r>
      <w:r w:rsidRPr="00654E26">
        <w:rPr>
          <w:bCs/>
        </w:rPr>
        <w:t>prawozdanie o stanie zobowiązań według tytułów dłużnych oraz poręczeń</w:t>
      </w:r>
      <w:r w:rsidR="008438D8" w:rsidRPr="00654E26">
        <w:rPr>
          <w:bCs/>
        </w:rPr>
        <w:t xml:space="preserve"> i</w:t>
      </w:r>
      <w:r w:rsidRPr="00654E26">
        <w:rPr>
          <w:bCs/>
        </w:rPr>
        <w:t xml:space="preserve"> </w:t>
      </w:r>
      <w:r w:rsidR="008438D8" w:rsidRPr="00654E26">
        <w:rPr>
          <w:bCs/>
        </w:rPr>
        <w:t>gwarancji</w:t>
      </w:r>
    </w:p>
    <w:p w14:paraId="2FD87B7C" w14:textId="77777777" w:rsidR="00110EF0" w:rsidRPr="00654E26" w:rsidRDefault="00110EF0" w:rsidP="00E40CF3">
      <w:pPr>
        <w:tabs>
          <w:tab w:val="left" w:pos="7560"/>
        </w:tabs>
        <w:spacing w:before="120" w:line="360" w:lineRule="exact"/>
        <w:rPr>
          <w:bCs/>
        </w:rPr>
      </w:pPr>
      <w:r w:rsidRPr="00654E26">
        <w:rPr>
          <w:bCs/>
        </w:rPr>
        <w:t>według stanu bazy</w:t>
      </w:r>
      <w:r w:rsidR="00460DAA" w:rsidRPr="00654E26">
        <w:rPr>
          <w:bCs/>
        </w:rPr>
        <w:t xml:space="preserve"> za</w:t>
      </w:r>
      <w:r w:rsidRPr="00654E26">
        <w:rPr>
          <w:bCs/>
        </w:rPr>
        <w:t>:</w:t>
      </w:r>
    </w:p>
    <w:p w14:paraId="1F061D83" w14:textId="77777777" w:rsidR="00633317" w:rsidRDefault="00633317" w:rsidP="00633317">
      <w:pPr>
        <w:numPr>
          <w:ilvl w:val="0"/>
          <w:numId w:val="13"/>
        </w:numPr>
        <w:tabs>
          <w:tab w:val="clear" w:pos="397"/>
        </w:tabs>
        <w:spacing w:before="120" w:line="360" w:lineRule="exact"/>
        <w:rPr>
          <w:bCs/>
        </w:rPr>
      </w:pPr>
      <w:r w:rsidRPr="007344E1">
        <w:rPr>
          <w:bCs/>
        </w:rPr>
        <w:t>201</w:t>
      </w:r>
      <w:r>
        <w:rPr>
          <w:bCs/>
        </w:rPr>
        <w:t>9</w:t>
      </w:r>
      <w:r w:rsidRPr="007344E1">
        <w:rPr>
          <w:bCs/>
        </w:rPr>
        <w:t xml:space="preserve"> r. na dzień </w:t>
      </w:r>
      <w:r w:rsidR="0067067D">
        <w:rPr>
          <w:bCs/>
        </w:rPr>
        <w:t xml:space="preserve">9 lipca </w:t>
      </w:r>
      <w:r w:rsidRPr="007344E1">
        <w:rPr>
          <w:bCs/>
        </w:rPr>
        <w:t>20</w:t>
      </w:r>
      <w:r>
        <w:rPr>
          <w:bCs/>
        </w:rPr>
        <w:t>20</w:t>
      </w:r>
      <w:r w:rsidRPr="007344E1">
        <w:rPr>
          <w:bCs/>
        </w:rPr>
        <w:t xml:space="preserve"> r.</w:t>
      </w:r>
      <w:r>
        <w:rPr>
          <w:bCs/>
        </w:rPr>
        <w:t>,</w:t>
      </w:r>
    </w:p>
    <w:p w14:paraId="48A6FFC8" w14:textId="77777777" w:rsidR="00633317" w:rsidRPr="009D1A7C" w:rsidRDefault="00633317" w:rsidP="00633317">
      <w:pPr>
        <w:numPr>
          <w:ilvl w:val="0"/>
          <w:numId w:val="13"/>
        </w:numPr>
        <w:tabs>
          <w:tab w:val="clear" w:pos="397"/>
        </w:tabs>
        <w:spacing w:before="120" w:line="360" w:lineRule="exact"/>
        <w:rPr>
          <w:bCs/>
        </w:rPr>
      </w:pPr>
      <w:r w:rsidRPr="007344E1">
        <w:rPr>
          <w:bCs/>
        </w:rPr>
        <w:t>20</w:t>
      </w:r>
      <w:r>
        <w:rPr>
          <w:bCs/>
        </w:rPr>
        <w:t>20</w:t>
      </w:r>
      <w:r w:rsidRPr="007344E1">
        <w:rPr>
          <w:bCs/>
        </w:rPr>
        <w:t xml:space="preserve"> r. na dzień </w:t>
      </w:r>
      <w:r>
        <w:rPr>
          <w:bCs/>
        </w:rPr>
        <w:t>19</w:t>
      </w:r>
      <w:r w:rsidRPr="007344E1">
        <w:rPr>
          <w:bCs/>
        </w:rPr>
        <w:t xml:space="preserve"> marca 20</w:t>
      </w:r>
      <w:r>
        <w:rPr>
          <w:bCs/>
        </w:rPr>
        <w:t>21</w:t>
      </w:r>
      <w:r w:rsidRPr="007344E1">
        <w:rPr>
          <w:bCs/>
        </w:rPr>
        <w:t xml:space="preserve"> r.</w:t>
      </w:r>
      <w:r>
        <w:rPr>
          <w:bCs/>
        </w:rPr>
        <w:t>,</w:t>
      </w:r>
    </w:p>
    <w:p w14:paraId="49AF89A7" w14:textId="77777777" w:rsidR="00633317" w:rsidRPr="00633317" w:rsidRDefault="00633317" w:rsidP="00633317">
      <w:pPr>
        <w:numPr>
          <w:ilvl w:val="0"/>
          <w:numId w:val="13"/>
        </w:numPr>
        <w:tabs>
          <w:tab w:val="clear" w:pos="397"/>
        </w:tabs>
        <w:spacing w:before="120" w:line="360" w:lineRule="exact"/>
        <w:rPr>
          <w:bCs/>
        </w:rPr>
      </w:pPr>
      <w:r w:rsidRPr="007344E1">
        <w:rPr>
          <w:bCs/>
        </w:rPr>
        <w:t>20</w:t>
      </w:r>
      <w:r>
        <w:rPr>
          <w:bCs/>
        </w:rPr>
        <w:t>21</w:t>
      </w:r>
      <w:r w:rsidRPr="007344E1">
        <w:rPr>
          <w:bCs/>
        </w:rPr>
        <w:t xml:space="preserve"> r. na dzień </w:t>
      </w:r>
      <w:r w:rsidR="00AF1F3F">
        <w:rPr>
          <w:bCs/>
        </w:rPr>
        <w:t>21</w:t>
      </w:r>
      <w:r w:rsidRPr="007344E1">
        <w:rPr>
          <w:bCs/>
        </w:rPr>
        <w:t xml:space="preserve"> marca 20</w:t>
      </w:r>
      <w:r>
        <w:rPr>
          <w:bCs/>
        </w:rPr>
        <w:t>22</w:t>
      </w:r>
      <w:r w:rsidRPr="007344E1">
        <w:rPr>
          <w:bCs/>
        </w:rPr>
        <w:t xml:space="preserve"> r.</w:t>
      </w:r>
      <w:r>
        <w:rPr>
          <w:bCs/>
        </w:rPr>
        <w:t>,</w:t>
      </w:r>
    </w:p>
    <w:p w14:paraId="6E409804" w14:textId="1731C249" w:rsidR="00973282" w:rsidRPr="00CF4AEC" w:rsidRDefault="0021639A" w:rsidP="00860CB9">
      <w:pPr>
        <w:spacing w:before="120" w:line="360" w:lineRule="exact"/>
        <w:rPr>
          <w:color w:val="000000"/>
        </w:rPr>
      </w:pPr>
      <w:r>
        <w:rPr>
          <w:color w:val="000000"/>
        </w:rPr>
        <w:t xml:space="preserve">Poza danymi jednostkowymi </w:t>
      </w:r>
      <w:r w:rsidR="00860CB9" w:rsidRPr="00CF4AEC">
        <w:rPr>
          <w:bCs/>
          <w:color w:val="000000"/>
        </w:rPr>
        <w:t xml:space="preserve">zaprezentowano </w:t>
      </w:r>
      <w:r w:rsidR="00E9506B">
        <w:rPr>
          <w:bCs/>
          <w:color w:val="000000"/>
        </w:rPr>
        <w:t>średnią arytmetyczną</w:t>
      </w:r>
      <w:r>
        <w:rPr>
          <w:bCs/>
          <w:color w:val="000000"/>
        </w:rPr>
        <w:t>, wartość maksymalną i </w:t>
      </w:r>
      <w:r w:rsidR="00860CB9" w:rsidRPr="00CF4AEC">
        <w:rPr>
          <w:bCs/>
          <w:color w:val="000000"/>
        </w:rPr>
        <w:t>wartość minimalną</w:t>
      </w:r>
      <w:r w:rsidR="00E9506B" w:rsidRPr="00E9506B">
        <w:rPr>
          <w:color w:val="000000"/>
        </w:rPr>
        <w:t xml:space="preserve"> </w:t>
      </w:r>
      <w:r w:rsidR="00E9506B">
        <w:rPr>
          <w:color w:val="000000"/>
        </w:rPr>
        <w:t>d</w:t>
      </w:r>
      <w:r w:rsidR="00E9506B" w:rsidRPr="00CF4AEC">
        <w:rPr>
          <w:color w:val="000000"/>
        </w:rPr>
        <w:t xml:space="preserve">la następujących grup </w:t>
      </w:r>
      <w:r w:rsidR="00E9506B" w:rsidRPr="00CF4AEC">
        <w:rPr>
          <w:bCs/>
          <w:color w:val="000000"/>
        </w:rPr>
        <w:t>jednostek samorządu terytorialnego</w:t>
      </w:r>
      <w:r w:rsidR="00860CB9" w:rsidRPr="00CF4AEC">
        <w:rPr>
          <w:bCs/>
          <w:color w:val="000000"/>
        </w:rPr>
        <w:t>:</w:t>
      </w:r>
    </w:p>
    <w:p w14:paraId="3F14D52D" w14:textId="77777777" w:rsidR="00973282" w:rsidRPr="00CF4AEC" w:rsidRDefault="00E26C95" w:rsidP="00E40CF3">
      <w:pPr>
        <w:pStyle w:val="Tekstpodstawowy2"/>
        <w:numPr>
          <w:ilvl w:val="0"/>
          <w:numId w:val="4"/>
        </w:numPr>
        <w:spacing w:before="60" w:line="360" w:lineRule="exact"/>
        <w:rPr>
          <w:rFonts w:cs="Arial"/>
          <w:color w:val="000000"/>
          <w:sz w:val="24"/>
          <w:szCs w:val="24"/>
        </w:rPr>
      </w:pPr>
      <w:r w:rsidRPr="00CF4AEC">
        <w:rPr>
          <w:rFonts w:cs="Arial"/>
          <w:color w:val="000000"/>
          <w:sz w:val="24"/>
          <w:szCs w:val="24"/>
        </w:rPr>
        <w:t>g</w:t>
      </w:r>
      <w:r w:rsidR="00973282" w:rsidRPr="00CF4AEC">
        <w:rPr>
          <w:rFonts w:cs="Arial"/>
          <w:color w:val="000000"/>
          <w:sz w:val="24"/>
          <w:szCs w:val="24"/>
        </w:rPr>
        <w:t xml:space="preserve">miny </w:t>
      </w:r>
      <w:r w:rsidR="00536D8D" w:rsidRPr="00CF4AEC">
        <w:rPr>
          <w:rFonts w:cs="Arial"/>
          <w:color w:val="000000"/>
          <w:sz w:val="24"/>
          <w:szCs w:val="24"/>
        </w:rPr>
        <w:t>m</w:t>
      </w:r>
      <w:r w:rsidR="00973282" w:rsidRPr="00CF4AEC">
        <w:rPr>
          <w:rFonts w:cs="Arial"/>
          <w:color w:val="000000"/>
          <w:sz w:val="24"/>
          <w:szCs w:val="24"/>
        </w:rPr>
        <w:t>iejskie,</w:t>
      </w:r>
    </w:p>
    <w:p w14:paraId="1D4305C7" w14:textId="77777777" w:rsidR="00973282" w:rsidRPr="00CF4AEC" w:rsidRDefault="00E26C95" w:rsidP="00E40CF3">
      <w:pPr>
        <w:pStyle w:val="Tekstpodstawowy2"/>
        <w:numPr>
          <w:ilvl w:val="0"/>
          <w:numId w:val="4"/>
        </w:numPr>
        <w:spacing w:before="60" w:line="360" w:lineRule="exact"/>
        <w:rPr>
          <w:rFonts w:cs="Arial"/>
          <w:color w:val="000000"/>
          <w:sz w:val="24"/>
          <w:szCs w:val="24"/>
        </w:rPr>
      </w:pPr>
      <w:r w:rsidRPr="00CF4AEC">
        <w:rPr>
          <w:rFonts w:cs="Arial"/>
          <w:color w:val="000000"/>
          <w:sz w:val="24"/>
          <w:szCs w:val="24"/>
        </w:rPr>
        <w:t>g</w:t>
      </w:r>
      <w:r w:rsidR="00536D8D" w:rsidRPr="00CF4AEC">
        <w:rPr>
          <w:rFonts w:cs="Arial"/>
          <w:color w:val="000000"/>
          <w:sz w:val="24"/>
          <w:szCs w:val="24"/>
        </w:rPr>
        <w:t>miny wiejskie</w:t>
      </w:r>
      <w:r w:rsidR="00973282" w:rsidRPr="00CF4AEC">
        <w:rPr>
          <w:rFonts w:cs="Arial"/>
          <w:color w:val="000000"/>
          <w:sz w:val="24"/>
          <w:szCs w:val="24"/>
        </w:rPr>
        <w:t>,</w:t>
      </w:r>
    </w:p>
    <w:p w14:paraId="2F416262" w14:textId="77777777" w:rsidR="00973282" w:rsidRPr="00CF4AEC" w:rsidRDefault="00E26C95" w:rsidP="00E40CF3">
      <w:pPr>
        <w:pStyle w:val="Tekstpodstawowy2"/>
        <w:numPr>
          <w:ilvl w:val="0"/>
          <w:numId w:val="4"/>
        </w:numPr>
        <w:spacing w:before="60" w:line="360" w:lineRule="exact"/>
        <w:rPr>
          <w:rFonts w:cs="Arial"/>
          <w:color w:val="000000"/>
          <w:sz w:val="24"/>
          <w:szCs w:val="24"/>
        </w:rPr>
      </w:pPr>
      <w:r w:rsidRPr="00CF4AEC">
        <w:rPr>
          <w:rFonts w:cs="Arial"/>
          <w:color w:val="000000"/>
          <w:sz w:val="24"/>
          <w:szCs w:val="24"/>
        </w:rPr>
        <w:t>g</w:t>
      </w:r>
      <w:r w:rsidR="00536D8D" w:rsidRPr="00CF4AEC">
        <w:rPr>
          <w:rFonts w:cs="Arial"/>
          <w:color w:val="000000"/>
          <w:sz w:val="24"/>
          <w:szCs w:val="24"/>
        </w:rPr>
        <w:t>miny miejsko</w:t>
      </w:r>
      <w:r w:rsidR="006401FD" w:rsidRPr="00CF4AEC">
        <w:rPr>
          <w:rFonts w:cs="Arial"/>
          <w:color w:val="000000"/>
          <w:sz w:val="24"/>
          <w:szCs w:val="24"/>
        </w:rPr>
        <w:t>-</w:t>
      </w:r>
      <w:r w:rsidR="00536D8D" w:rsidRPr="00CF4AEC">
        <w:rPr>
          <w:rFonts w:cs="Arial"/>
          <w:color w:val="000000"/>
          <w:sz w:val="24"/>
          <w:szCs w:val="24"/>
        </w:rPr>
        <w:t>wiejskie</w:t>
      </w:r>
      <w:r w:rsidR="00973282" w:rsidRPr="00CF4AEC">
        <w:rPr>
          <w:rFonts w:cs="Arial"/>
          <w:color w:val="000000"/>
          <w:sz w:val="24"/>
          <w:szCs w:val="24"/>
        </w:rPr>
        <w:t>,</w:t>
      </w:r>
    </w:p>
    <w:p w14:paraId="7A682131" w14:textId="77777777" w:rsidR="00973282" w:rsidRPr="00CF4AEC" w:rsidRDefault="00E26C95" w:rsidP="00E40CF3">
      <w:pPr>
        <w:pStyle w:val="Tekstpodstawowy2"/>
        <w:numPr>
          <w:ilvl w:val="0"/>
          <w:numId w:val="4"/>
        </w:numPr>
        <w:spacing w:before="60" w:line="360" w:lineRule="exact"/>
        <w:rPr>
          <w:rFonts w:cs="Arial"/>
          <w:color w:val="000000"/>
          <w:sz w:val="24"/>
          <w:szCs w:val="24"/>
        </w:rPr>
      </w:pPr>
      <w:r w:rsidRPr="00CF4AEC">
        <w:rPr>
          <w:rFonts w:cs="Arial"/>
          <w:color w:val="000000"/>
          <w:sz w:val="24"/>
          <w:szCs w:val="24"/>
        </w:rPr>
        <w:t>p</w:t>
      </w:r>
      <w:r w:rsidR="00973282" w:rsidRPr="00CF4AEC">
        <w:rPr>
          <w:rFonts w:cs="Arial"/>
          <w:color w:val="000000"/>
          <w:sz w:val="24"/>
          <w:szCs w:val="24"/>
        </w:rPr>
        <w:t>owiaty,</w:t>
      </w:r>
    </w:p>
    <w:p w14:paraId="07CE3B9B" w14:textId="55844F5F" w:rsidR="00973282" w:rsidRPr="00CF4AEC" w:rsidRDefault="00E26C95" w:rsidP="00E40CF3">
      <w:pPr>
        <w:pStyle w:val="Tekstpodstawowy2"/>
        <w:numPr>
          <w:ilvl w:val="0"/>
          <w:numId w:val="4"/>
        </w:numPr>
        <w:spacing w:before="60" w:line="360" w:lineRule="exact"/>
        <w:rPr>
          <w:rFonts w:cs="Arial"/>
          <w:color w:val="000000"/>
          <w:sz w:val="24"/>
          <w:szCs w:val="24"/>
        </w:rPr>
      </w:pPr>
      <w:r w:rsidRPr="00CF4AEC">
        <w:rPr>
          <w:rFonts w:cs="Arial"/>
          <w:color w:val="000000"/>
          <w:sz w:val="24"/>
          <w:szCs w:val="24"/>
        </w:rPr>
        <w:t>m</w:t>
      </w:r>
      <w:r w:rsidR="00973282" w:rsidRPr="00CF4AEC">
        <w:rPr>
          <w:rFonts w:cs="Arial"/>
          <w:color w:val="000000"/>
          <w:sz w:val="24"/>
          <w:szCs w:val="24"/>
        </w:rPr>
        <w:t xml:space="preserve">iasta na prawach powiatu </w:t>
      </w:r>
      <w:r w:rsidR="00140E3D" w:rsidRPr="00CF4AEC">
        <w:rPr>
          <w:rFonts w:cs="Arial"/>
          <w:color w:val="000000"/>
          <w:sz w:val="24"/>
          <w:szCs w:val="24"/>
        </w:rPr>
        <w:t>(</w:t>
      </w:r>
      <w:r w:rsidR="00973282" w:rsidRPr="00CF4AEC">
        <w:rPr>
          <w:rFonts w:cs="Arial"/>
          <w:color w:val="000000"/>
          <w:sz w:val="24"/>
          <w:szCs w:val="24"/>
        </w:rPr>
        <w:t>z wyłączeniem metropolii</w:t>
      </w:r>
      <w:r w:rsidR="00140E3D" w:rsidRPr="00CF4AEC">
        <w:rPr>
          <w:rFonts w:cs="Arial"/>
          <w:color w:val="000000"/>
          <w:sz w:val="24"/>
          <w:szCs w:val="24"/>
        </w:rPr>
        <w:t>)</w:t>
      </w:r>
      <w:r w:rsidR="00973282" w:rsidRPr="00CF4AEC">
        <w:rPr>
          <w:rFonts w:cs="Arial"/>
          <w:color w:val="000000"/>
          <w:sz w:val="24"/>
          <w:szCs w:val="24"/>
        </w:rPr>
        <w:t>,</w:t>
      </w:r>
    </w:p>
    <w:p w14:paraId="0DD164E1" w14:textId="4FE5C54E" w:rsidR="00973282" w:rsidRDefault="00E26C95" w:rsidP="00E40CF3">
      <w:pPr>
        <w:pStyle w:val="Tekstpodstawowy2"/>
        <w:numPr>
          <w:ilvl w:val="0"/>
          <w:numId w:val="4"/>
        </w:numPr>
        <w:spacing w:before="60" w:line="360" w:lineRule="exact"/>
        <w:rPr>
          <w:rFonts w:cs="Arial"/>
          <w:color w:val="000000"/>
          <w:sz w:val="24"/>
          <w:szCs w:val="24"/>
        </w:rPr>
      </w:pPr>
      <w:r w:rsidRPr="00CF4AEC">
        <w:rPr>
          <w:rFonts w:cs="Arial"/>
          <w:color w:val="000000"/>
          <w:sz w:val="24"/>
          <w:szCs w:val="24"/>
        </w:rPr>
        <w:t>m</w:t>
      </w:r>
      <w:r w:rsidR="00973282" w:rsidRPr="00CF4AEC">
        <w:rPr>
          <w:rFonts w:cs="Arial"/>
          <w:color w:val="000000"/>
          <w:sz w:val="24"/>
          <w:szCs w:val="24"/>
        </w:rPr>
        <w:t>etropolie</w:t>
      </w:r>
      <w:r w:rsidR="004645C5">
        <w:rPr>
          <w:rFonts w:cs="Arial"/>
          <w:color w:val="000000"/>
          <w:sz w:val="24"/>
          <w:szCs w:val="24"/>
        </w:rPr>
        <w:t xml:space="preserve"> (1</w:t>
      </w:r>
      <w:r w:rsidR="00CD298A">
        <w:rPr>
          <w:rFonts w:cs="Arial"/>
          <w:color w:val="000000"/>
          <w:sz w:val="24"/>
          <w:szCs w:val="24"/>
        </w:rPr>
        <w:t>2</w:t>
      </w:r>
      <w:r w:rsidR="00536D8D" w:rsidRPr="00CF4AEC">
        <w:rPr>
          <w:rFonts w:cs="Arial"/>
          <w:color w:val="000000"/>
          <w:sz w:val="24"/>
          <w:szCs w:val="24"/>
        </w:rPr>
        <w:t xml:space="preserve"> miast na prawach powiatu)</w:t>
      </w:r>
      <w:r w:rsidR="00973282" w:rsidRPr="00CF4AEC">
        <w:rPr>
          <w:rFonts w:cs="Arial"/>
          <w:color w:val="000000"/>
          <w:sz w:val="24"/>
          <w:szCs w:val="24"/>
        </w:rPr>
        <w:t>,</w:t>
      </w:r>
    </w:p>
    <w:p w14:paraId="3517CEBA" w14:textId="1A4DBA90" w:rsidR="00973282" w:rsidRPr="00CF4AEC" w:rsidRDefault="00E26C95" w:rsidP="00E40CF3">
      <w:pPr>
        <w:pStyle w:val="Tekstpodstawowy2"/>
        <w:numPr>
          <w:ilvl w:val="0"/>
          <w:numId w:val="4"/>
        </w:numPr>
        <w:spacing w:before="60" w:line="360" w:lineRule="exact"/>
        <w:rPr>
          <w:rFonts w:cs="Arial"/>
          <w:color w:val="000000"/>
          <w:sz w:val="24"/>
          <w:szCs w:val="24"/>
        </w:rPr>
      </w:pPr>
      <w:r w:rsidRPr="00CF4AEC">
        <w:rPr>
          <w:rFonts w:cs="Arial"/>
          <w:color w:val="000000"/>
          <w:sz w:val="24"/>
          <w:szCs w:val="24"/>
        </w:rPr>
        <w:t>w</w:t>
      </w:r>
      <w:r w:rsidR="00973282" w:rsidRPr="00CF4AEC">
        <w:rPr>
          <w:rFonts w:cs="Arial"/>
          <w:color w:val="000000"/>
          <w:sz w:val="24"/>
          <w:szCs w:val="24"/>
        </w:rPr>
        <w:t>ojewództwa.</w:t>
      </w:r>
      <w:r w:rsidR="00E775F9">
        <w:rPr>
          <w:rFonts w:cs="Arial"/>
          <w:color w:val="000000"/>
          <w:sz w:val="24"/>
          <w:szCs w:val="24"/>
        </w:rPr>
        <w:t xml:space="preserve"> </w:t>
      </w:r>
    </w:p>
    <w:p w14:paraId="6D6277E1" w14:textId="77777777" w:rsidR="00A532EA" w:rsidRPr="00654E26" w:rsidRDefault="00A532EA" w:rsidP="00E40CF3">
      <w:pPr>
        <w:spacing w:before="240" w:line="360" w:lineRule="exact"/>
        <w:rPr>
          <w:bCs/>
        </w:rPr>
      </w:pPr>
      <w:r w:rsidRPr="00654E26">
        <w:t>W zestawieniach tabelarycznych podano wartości wskaźników w procentach (</w:t>
      </w:r>
      <w:r w:rsidR="005E5626" w:rsidRPr="00654E26">
        <w:rPr>
          <w:bCs/>
        </w:rPr>
        <w:t xml:space="preserve">wskaźniki </w:t>
      </w:r>
      <w:r w:rsidRPr="00654E26">
        <w:rPr>
          <w:bCs/>
        </w:rPr>
        <w:t>budżetowe i wskaźniki dla zobowiązań</w:t>
      </w:r>
      <w:r w:rsidRPr="00654E26">
        <w:t>) oraz w złotych (</w:t>
      </w:r>
      <w:r w:rsidRPr="00654E26">
        <w:rPr>
          <w:bCs/>
        </w:rPr>
        <w:t>wskaźniki na mieszkańca).</w:t>
      </w:r>
    </w:p>
    <w:p w14:paraId="759DE96C" w14:textId="77777777" w:rsidR="005252BC" w:rsidRDefault="005252BC" w:rsidP="00E40CF3">
      <w:pPr>
        <w:spacing w:line="360" w:lineRule="exact"/>
        <w:rPr>
          <w:bCs/>
        </w:rPr>
      </w:pPr>
    </w:p>
    <w:p w14:paraId="36EEF8B7" w14:textId="77777777" w:rsidR="00BC22F5" w:rsidRPr="00654E26" w:rsidRDefault="00BC22F5" w:rsidP="00E40CF3">
      <w:pPr>
        <w:spacing w:line="360" w:lineRule="exact"/>
        <w:rPr>
          <w:bCs/>
        </w:rPr>
      </w:pPr>
    </w:p>
    <w:p w14:paraId="46222E7B" w14:textId="749B63C1" w:rsidR="005078F3" w:rsidRPr="00654E26" w:rsidRDefault="005078F3" w:rsidP="00CA5A34">
      <w:pPr>
        <w:spacing w:before="60" w:line="360" w:lineRule="exact"/>
        <w:rPr>
          <w:u w:val="single"/>
        </w:rPr>
      </w:pPr>
      <w:r w:rsidRPr="00654E26">
        <w:rPr>
          <w:u w:val="single"/>
        </w:rPr>
        <w:lastRenderedPageBreak/>
        <w:t xml:space="preserve">Do wyliczenia wskaźników </w:t>
      </w:r>
      <w:r w:rsidR="00260464" w:rsidRPr="00654E26">
        <w:rPr>
          <w:u w:val="single"/>
        </w:rPr>
        <w:t xml:space="preserve">użyto </w:t>
      </w:r>
      <w:r w:rsidRPr="00654E26">
        <w:rPr>
          <w:u w:val="single"/>
        </w:rPr>
        <w:t xml:space="preserve">symboli oznaczających </w:t>
      </w:r>
      <w:r w:rsidR="004137C1">
        <w:rPr>
          <w:u w:val="single"/>
        </w:rPr>
        <w:t>następujące informacje</w:t>
      </w:r>
      <w:r w:rsidRPr="00654E26">
        <w:rPr>
          <w:u w:val="single"/>
        </w:rPr>
        <w:t>:</w:t>
      </w:r>
    </w:p>
    <w:p w14:paraId="285DF948" w14:textId="77777777" w:rsidR="005078F3" w:rsidRPr="00654E26" w:rsidRDefault="005078F3" w:rsidP="00CA5A34">
      <w:pPr>
        <w:spacing w:before="60" w:line="300" w:lineRule="exact"/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3969"/>
      </w:tblGrid>
      <w:tr w:rsidR="000B3167" w:rsidRPr="00D67718" w:rsidDel="000B3167" w14:paraId="30047740" w14:textId="77777777" w:rsidTr="00CF7AB8">
        <w:tc>
          <w:tcPr>
            <w:tcW w:w="1134" w:type="dxa"/>
          </w:tcPr>
          <w:p w14:paraId="6EB91444" w14:textId="0E628B27" w:rsidR="000B3167" w:rsidRPr="00CF7AB8" w:rsidDel="000B3167" w:rsidRDefault="000B3167" w:rsidP="00673A81">
            <w:pPr>
              <w:spacing w:line="360" w:lineRule="atLeast"/>
              <w:rPr>
                <w:bCs/>
                <w:iCs/>
                <w:color w:val="000000"/>
                <w:sz w:val="22"/>
              </w:rPr>
            </w:pPr>
            <w:r w:rsidRPr="00CF7AB8">
              <w:rPr>
                <w:bCs/>
                <w:iCs/>
                <w:color w:val="000000"/>
                <w:sz w:val="22"/>
              </w:rPr>
              <w:t>Symbol</w:t>
            </w:r>
          </w:p>
        </w:tc>
        <w:tc>
          <w:tcPr>
            <w:tcW w:w="3969" w:type="dxa"/>
          </w:tcPr>
          <w:p w14:paraId="4D4B683E" w14:textId="638A072A" w:rsidR="000B3167" w:rsidRPr="00CF7AB8" w:rsidDel="000B3167" w:rsidRDefault="000B3167" w:rsidP="00673A81">
            <w:pPr>
              <w:spacing w:line="360" w:lineRule="atLeast"/>
              <w:rPr>
                <w:bCs/>
                <w:iCs/>
                <w:color w:val="000000"/>
                <w:sz w:val="22"/>
              </w:rPr>
            </w:pPr>
            <w:r w:rsidRPr="00CF7AB8">
              <w:rPr>
                <w:bCs/>
                <w:iCs/>
                <w:color w:val="000000"/>
                <w:sz w:val="22"/>
              </w:rPr>
              <w:t xml:space="preserve">Opis </w:t>
            </w:r>
          </w:p>
        </w:tc>
        <w:tc>
          <w:tcPr>
            <w:tcW w:w="3969" w:type="dxa"/>
          </w:tcPr>
          <w:p w14:paraId="60EAEFF5" w14:textId="35DE64BB" w:rsidR="000B3167" w:rsidRPr="00CF7AB8" w:rsidDel="000B3167" w:rsidRDefault="00B84D47" w:rsidP="00673A81">
            <w:pPr>
              <w:spacing w:line="360" w:lineRule="atLeast"/>
              <w:rPr>
                <w:bCs/>
                <w:iCs/>
                <w:color w:val="000000"/>
                <w:sz w:val="22"/>
              </w:rPr>
            </w:pPr>
            <w:r w:rsidRPr="00CF7AB8">
              <w:rPr>
                <w:bCs/>
                <w:iCs/>
                <w:color w:val="000000"/>
                <w:sz w:val="22"/>
              </w:rPr>
              <w:t>Źródło danych</w:t>
            </w:r>
          </w:p>
        </w:tc>
      </w:tr>
      <w:tr w:rsidR="008A5CFD" w:rsidRPr="00D67718" w14:paraId="59F706B5" w14:textId="77777777" w:rsidTr="00CF7AB8">
        <w:tc>
          <w:tcPr>
            <w:tcW w:w="1134" w:type="dxa"/>
          </w:tcPr>
          <w:p w14:paraId="67212BA0" w14:textId="77777777" w:rsidR="00051349" w:rsidRPr="00CF7AB8" w:rsidRDefault="00051349" w:rsidP="00673A81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color w:val="000000"/>
                <w:sz w:val="22"/>
              </w:rPr>
              <w:t xml:space="preserve">Do </w:t>
            </w:r>
          </w:p>
        </w:tc>
        <w:tc>
          <w:tcPr>
            <w:tcW w:w="3969" w:type="dxa"/>
          </w:tcPr>
          <w:p w14:paraId="7E93768F" w14:textId="77777777" w:rsidR="00051349" w:rsidRPr="00CF7AB8" w:rsidRDefault="00051349" w:rsidP="00673A81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color w:val="000000"/>
                <w:sz w:val="22"/>
              </w:rPr>
              <w:t>dochody wykonane ogółem;</w:t>
            </w:r>
          </w:p>
        </w:tc>
        <w:tc>
          <w:tcPr>
            <w:tcW w:w="3969" w:type="dxa"/>
          </w:tcPr>
          <w:p w14:paraId="7A383931" w14:textId="13DFE9B1" w:rsidR="00051349" w:rsidRPr="00CF7AB8" w:rsidRDefault="000B3167" w:rsidP="00673A81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color w:val="000000"/>
                <w:sz w:val="22"/>
              </w:rPr>
              <w:t>wg sprawozdania Rb-27S</w:t>
            </w:r>
          </w:p>
        </w:tc>
      </w:tr>
      <w:tr w:rsidR="008A5CFD" w:rsidRPr="00D67718" w14:paraId="086CB877" w14:textId="77777777" w:rsidTr="00CF7AB8">
        <w:tc>
          <w:tcPr>
            <w:tcW w:w="1134" w:type="dxa"/>
          </w:tcPr>
          <w:p w14:paraId="74C93BF8" w14:textId="77777777" w:rsidR="00051349" w:rsidRPr="00CF7AB8" w:rsidRDefault="00051349" w:rsidP="00673A81">
            <w:pPr>
              <w:spacing w:line="360" w:lineRule="atLeast"/>
              <w:rPr>
                <w:color w:val="000000"/>
                <w:sz w:val="22"/>
              </w:rPr>
            </w:pPr>
            <w:proofErr w:type="spellStart"/>
            <w:r w:rsidRPr="00CF7AB8">
              <w:rPr>
                <w:color w:val="000000"/>
                <w:sz w:val="22"/>
              </w:rPr>
              <w:t>Dm</w:t>
            </w:r>
            <w:proofErr w:type="spellEnd"/>
            <w:r w:rsidRPr="00CF7AB8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969" w:type="dxa"/>
          </w:tcPr>
          <w:p w14:paraId="670EA0B6" w14:textId="77777777" w:rsidR="00051349" w:rsidRPr="00CF7AB8" w:rsidRDefault="00051349" w:rsidP="00673A81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color w:val="000000"/>
                <w:sz w:val="22"/>
              </w:rPr>
              <w:t xml:space="preserve">wykonane dochody majątkowe </w:t>
            </w:r>
          </w:p>
        </w:tc>
        <w:tc>
          <w:tcPr>
            <w:tcW w:w="3969" w:type="dxa"/>
          </w:tcPr>
          <w:p w14:paraId="341B36B7" w14:textId="77777777" w:rsidR="00B84D47" w:rsidRPr="00CF7AB8" w:rsidRDefault="00B84D47" w:rsidP="00673A81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color w:val="000000"/>
                <w:sz w:val="22"/>
              </w:rPr>
              <w:t xml:space="preserve">wg sprawozdania Rb-27S </w:t>
            </w:r>
          </w:p>
          <w:p w14:paraId="37385DA1" w14:textId="130EDDA7" w:rsidR="00051349" w:rsidRPr="00CF7AB8" w:rsidRDefault="00051349" w:rsidP="00673A81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color w:val="000000"/>
                <w:sz w:val="22"/>
              </w:rPr>
              <w:t>§§ 076-078, 080, 087, 609, 610, 618, 620, 625, 626, 628-635, 641-645, 651-653, 656, 661-666, 668 i 669</w:t>
            </w:r>
          </w:p>
        </w:tc>
      </w:tr>
      <w:tr w:rsidR="008A5CFD" w:rsidRPr="00D67718" w14:paraId="771C95C5" w14:textId="77777777" w:rsidTr="00CF7AB8">
        <w:tc>
          <w:tcPr>
            <w:tcW w:w="1134" w:type="dxa"/>
          </w:tcPr>
          <w:p w14:paraId="4DED71F0" w14:textId="1EAA9457" w:rsidR="00051349" w:rsidRPr="00CF7AB8" w:rsidRDefault="00051349" w:rsidP="00673A81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color w:val="000000"/>
                <w:sz w:val="22"/>
              </w:rPr>
              <w:t xml:space="preserve">Sm </w:t>
            </w:r>
          </w:p>
        </w:tc>
        <w:tc>
          <w:tcPr>
            <w:tcW w:w="3969" w:type="dxa"/>
          </w:tcPr>
          <w:p w14:paraId="2938F3AF" w14:textId="77777777" w:rsidR="00051349" w:rsidRPr="00CF7AB8" w:rsidRDefault="00051349" w:rsidP="00673A81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color w:val="000000"/>
                <w:sz w:val="22"/>
              </w:rPr>
              <w:t xml:space="preserve">dochody ze sprzedaży majątku </w:t>
            </w:r>
          </w:p>
        </w:tc>
        <w:tc>
          <w:tcPr>
            <w:tcW w:w="3969" w:type="dxa"/>
          </w:tcPr>
          <w:p w14:paraId="39E5DF28" w14:textId="77777777" w:rsidR="00B84D47" w:rsidRPr="00CF7AB8" w:rsidRDefault="00B84D47" w:rsidP="00673A81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color w:val="000000"/>
                <w:sz w:val="22"/>
              </w:rPr>
              <w:t xml:space="preserve">wg sprawozdania Rb-27S </w:t>
            </w:r>
          </w:p>
          <w:p w14:paraId="08E93ED8" w14:textId="42AED3CD" w:rsidR="00051349" w:rsidRPr="00CF7AB8" w:rsidRDefault="00051349" w:rsidP="00673A81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color w:val="000000"/>
                <w:sz w:val="22"/>
              </w:rPr>
              <w:t>§§ 077, 078, 080, 087</w:t>
            </w:r>
          </w:p>
        </w:tc>
      </w:tr>
      <w:tr w:rsidR="008A5CFD" w:rsidRPr="00D67718" w14:paraId="1717D133" w14:textId="77777777" w:rsidTr="00CF7AB8">
        <w:tc>
          <w:tcPr>
            <w:tcW w:w="1134" w:type="dxa"/>
          </w:tcPr>
          <w:p w14:paraId="41736009" w14:textId="794EF99F" w:rsidR="00095CFE" w:rsidRPr="00CF7AB8" w:rsidRDefault="00095CFE" w:rsidP="00673A81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color w:val="000000"/>
                <w:sz w:val="22"/>
              </w:rPr>
              <w:t>Db</w:t>
            </w:r>
          </w:p>
        </w:tc>
        <w:tc>
          <w:tcPr>
            <w:tcW w:w="3969" w:type="dxa"/>
          </w:tcPr>
          <w:p w14:paraId="02380061" w14:textId="472FD8EA" w:rsidR="00095CFE" w:rsidRPr="00CF7AB8" w:rsidRDefault="00095CFE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color w:val="000000"/>
                <w:sz w:val="22"/>
              </w:rPr>
              <w:t xml:space="preserve">wykonane dochody bieżące </w:t>
            </w:r>
          </w:p>
        </w:tc>
        <w:tc>
          <w:tcPr>
            <w:tcW w:w="3969" w:type="dxa"/>
          </w:tcPr>
          <w:p w14:paraId="39734B2D" w14:textId="3AA6C5CD" w:rsidR="00095CFE" w:rsidRPr="00CF7AB8" w:rsidRDefault="008A5CFD" w:rsidP="00673A81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color w:val="000000"/>
                <w:sz w:val="22"/>
              </w:rPr>
              <w:t>dochody niebędące dochodami majątkowymi</w:t>
            </w:r>
          </w:p>
        </w:tc>
      </w:tr>
      <w:tr w:rsidR="008A5CFD" w:rsidRPr="00D67718" w14:paraId="72A02D9D" w14:textId="77777777" w:rsidTr="00CF7AB8">
        <w:tc>
          <w:tcPr>
            <w:tcW w:w="1134" w:type="dxa"/>
          </w:tcPr>
          <w:p w14:paraId="07C13F76" w14:textId="2649F1CB" w:rsidR="00095CFE" w:rsidRPr="00CF7AB8" w:rsidRDefault="00095CFE" w:rsidP="00673A81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color w:val="000000"/>
                <w:sz w:val="22"/>
              </w:rPr>
              <w:t>Tb</w:t>
            </w:r>
          </w:p>
        </w:tc>
        <w:tc>
          <w:tcPr>
            <w:tcW w:w="3969" w:type="dxa"/>
          </w:tcPr>
          <w:p w14:paraId="1BAC529C" w14:textId="7EB3BD6F" w:rsidR="00095CFE" w:rsidRPr="00CF7AB8" w:rsidRDefault="00095CFE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color w:val="000000"/>
                <w:sz w:val="22"/>
              </w:rPr>
              <w:t xml:space="preserve">transfery bieżące - dochody </w:t>
            </w:r>
            <w:r w:rsidR="00B84D47" w:rsidRPr="00CF7AB8">
              <w:rPr>
                <w:color w:val="000000"/>
                <w:sz w:val="22"/>
              </w:rPr>
              <w:t xml:space="preserve">bieżące </w:t>
            </w:r>
            <w:r w:rsidRPr="00CF7AB8">
              <w:rPr>
                <w:color w:val="000000"/>
                <w:sz w:val="22"/>
              </w:rPr>
              <w:t>z subwencji ogólnej oraz z tytułu dotacji i środków przeznaczonych na cele bieżące</w:t>
            </w:r>
          </w:p>
        </w:tc>
        <w:tc>
          <w:tcPr>
            <w:tcW w:w="3969" w:type="dxa"/>
          </w:tcPr>
          <w:p w14:paraId="352B17FA" w14:textId="77777777" w:rsidR="00B84D47" w:rsidRPr="00CF7AB8" w:rsidRDefault="00B84D47" w:rsidP="00673A81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color w:val="000000"/>
                <w:sz w:val="22"/>
              </w:rPr>
              <w:t xml:space="preserve">wg sprawozdania Rb-27S </w:t>
            </w:r>
          </w:p>
          <w:p w14:paraId="3CE9DBC0" w14:textId="5143A7FD" w:rsidR="00095CFE" w:rsidRPr="00CF7AB8" w:rsidRDefault="00095CFE" w:rsidP="00673A81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color w:val="000000"/>
                <w:sz w:val="22"/>
              </w:rPr>
              <w:t>§§ 200-208, 210-213, 216-218, 221-223, 231-233, 238, 244, 246, 253, 269-273, 275-279, 287, 288, 290, 292</w:t>
            </w:r>
          </w:p>
        </w:tc>
      </w:tr>
      <w:tr w:rsidR="008A5CFD" w:rsidRPr="00D67718" w14:paraId="228F13C7" w14:textId="77777777" w:rsidTr="00CF7AB8">
        <w:tc>
          <w:tcPr>
            <w:tcW w:w="1134" w:type="dxa"/>
          </w:tcPr>
          <w:p w14:paraId="06549313" w14:textId="2541ABE5" w:rsidR="00095CFE" w:rsidRPr="00CF7AB8" w:rsidRDefault="00095CFE" w:rsidP="00673A81">
            <w:pPr>
              <w:spacing w:line="360" w:lineRule="atLeast"/>
              <w:rPr>
                <w:color w:val="000000"/>
                <w:sz w:val="22"/>
              </w:rPr>
            </w:pPr>
            <w:proofErr w:type="spellStart"/>
            <w:r w:rsidRPr="00CF7AB8">
              <w:rPr>
                <w:color w:val="000000"/>
                <w:sz w:val="22"/>
              </w:rPr>
              <w:t>Wo</w:t>
            </w:r>
            <w:proofErr w:type="spellEnd"/>
          </w:p>
        </w:tc>
        <w:tc>
          <w:tcPr>
            <w:tcW w:w="3969" w:type="dxa"/>
          </w:tcPr>
          <w:p w14:paraId="759AE537" w14:textId="04F3AF88" w:rsidR="00095CFE" w:rsidRPr="00CF7AB8" w:rsidRDefault="00095CFE" w:rsidP="00673A81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color w:val="000000"/>
                <w:sz w:val="22"/>
              </w:rPr>
              <w:t>wykonane wydatki ogółem</w:t>
            </w:r>
          </w:p>
        </w:tc>
        <w:tc>
          <w:tcPr>
            <w:tcW w:w="3969" w:type="dxa"/>
          </w:tcPr>
          <w:p w14:paraId="52585A5A" w14:textId="67942CCD" w:rsidR="00095CFE" w:rsidRPr="00CF7AB8" w:rsidRDefault="00B84D47" w:rsidP="00673A81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color w:val="000000"/>
                <w:sz w:val="22"/>
              </w:rPr>
              <w:t>wg sprawozdania Rb-28S</w:t>
            </w:r>
            <w:r w:rsidRPr="00CF7AB8" w:rsidDel="000B3167">
              <w:rPr>
                <w:color w:val="000000"/>
                <w:sz w:val="22"/>
              </w:rPr>
              <w:t xml:space="preserve"> </w:t>
            </w:r>
          </w:p>
        </w:tc>
      </w:tr>
      <w:tr w:rsidR="008A5CFD" w:rsidRPr="00D67718" w14:paraId="736796E4" w14:textId="77777777" w:rsidTr="00CF7AB8">
        <w:tc>
          <w:tcPr>
            <w:tcW w:w="1134" w:type="dxa"/>
          </w:tcPr>
          <w:p w14:paraId="65F66E0A" w14:textId="78C6A618" w:rsidR="00095CFE" w:rsidRPr="00CF7AB8" w:rsidRDefault="00095CFE" w:rsidP="00673A81">
            <w:pPr>
              <w:spacing w:line="360" w:lineRule="atLeast"/>
              <w:rPr>
                <w:color w:val="000000"/>
                <w:sz w:val="22"/>
              </w:rPr>
            </w:pPr>
            <w:proofErr w:type="spellStart"/>
            <w:r w:rsidRPr="00CF7AB8">
              <w:rPr>
                <w:color w:val="000000"/>
                <w:sz w:val="22"/>
              </w:rPr>
              <w:t>Wm</w:t>
            </w:r>
            <w:proofErr w:type="spellEnd"/>
          </w:p>
        </w:tc>
        <w:tc>
          <w:tcPr>
            <w:tcW w:w="3969" w:type="dxa"/>
          </w:tcPr>
          <w:p w14:paraId="39E8710A" w14:textId="38F075A1" w:rsidR="00095CFE" w:rsidRPr="00CF7AB8" w:rsidRDefault="00095CFE" w:rsidP="00673A81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color w:val="000000"/>
                <w:sz w:val="22"/>
              </w:rPr>
              <w:t>wykonane wydatki majątkowe</w:t>
            </w:r>
          </w:p>
        </w:tc>
        <w:tc>
          <w:tcPr>
            <w:tcW w:w="3969" w:type="dxa"/>
          </w:tcPr>
          <w:p w14:paraId="6D065B0C" w14:textId="77777777" w:rsidR="00B84D47" w:rsidRPr="00CF7AB8" w:rsidRDefault="00B84D47" w:rsidP="00673A81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color w:val="000000"/>
                <w:sz w:val="22"/>
              </w:rPr>
              <w:t xml:space="preserve">wg sprawozdania Rb-28S </w:t>
            </w:r>
          </w:p>
          <w:p w14:paraId="25456CB1" w14:textId="27DFD498" w:rsidR="00095CFE" w:rsidRPr="00CF7AB8" w:rsidRDefault="000B3167" w:rsidP="00673A81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color w:val="000000"/>
                <w:sz w:val="22"/>
              </w:rPr>
              <w:t>§§ zaliczane do grup: 1600, 1601, 1602, 1610, 1611, 1612, 1620, 1630</w:t>
            </w:r>
          </w:p>
        </w:tc>
      </w:tr>
      <w:tr w:rsidR="008A5CFD" w:rsidRPr="00D67718" w14:paraId="5436ED95" w14:textId="77777777" w:rsidTr="00CF7AB8">
        <w:tc>
          <w:tcPr>
            <w:tcW w:w="1134" w:type="dxa"/>
          </w:tcPr>
          <w:p w14:paraId="7B4269AE" w14:textId="5BB9CB88" w:rsidR="00D237B1" w:rsidRPr="00CF7AB8" w:rsidRDefault="00D237B1" w:rsidP="00673A81">
            <w:pPr>
              <w:spacing w:line="360" w:lineRule="atLeast"/>
              <w:rPr>
                <w:color w:val="000000"/>
                <w:sz w:val="22"/>
              </w:rPr>
            </w:pPr>
            <w:proofErr w:type="spellStart"/>
            <w:r w:rsidRPr="00CF7AB8">
              <w:rPr>
                <w:color w:val="000000"/>
                <w:sz w:val="22"/>
              </w:rPr>
              <w:t>Wb</w:t>
            </w:r>
            <w:proofErr w:type="spellEnd"/>
          </w:p>
        </w:tc>
        <w:tc>
          <w:tcPr>
            <w:tcW w:w="3969" w:type="dxa"/>
          </w:tcPr>
          <w:p w14:paraId="3DDD44ED" w14:textId="48AEB3B6" w:rsidR="00D237B1" w:rsidRPr="00CF7AB8" w:rsidRDefault="00D237B1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color w:val="000000"/>
                <w:sz w:val="22"/>
              </w:rPr>
              <w:t xml:space="preserve">wykonane wydatki bieżące </w:t>
            </w:r>
          </w:p>
        </w:tc>
        <w:tc>
          <w:tcPr>
            <w:tcW w:w="3969" w:type="dxa"/>
          </w:tcPr>
          <w:p w14:paraId="6CAA16BB" w14:textId="1DBB3E66" w:rsidR="00D237B1" w:rsidRPr="00CF7AB8" w:rsidRDefault="008A5CFD" w:rsidP="00673A81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color w:val="000000"/>
                <w:sz w:val="22"/>
              </w:rPr>
              <w:t>wydatki niebędące wydatkami majątkowymi</w:t>
            </w:r>
          </w:p>
        </w:tc>
      </w:tr>
      <w:tr w:rsidR="008A5CFD" w:rsidRPr="00D67718" w14:paraId="1D442A9D" w14:textId="77777777" w:rsidTr="00CF7AB8">
        <w:tc>
          <w:tcPr>
            <w:tcW w:w="1134" w:type="dxa"/>
          </w:tcPr>
          <w:p w14:paraId="5A454B76" w14:textId="5998DE23" w:rsidR="00D237B1" w:rsidRPr="00CF7AB8" w:rsidRDefault="00D237B1" w:rsidP="00673A81">
            <w:pPr>
              <w:spacing w:line="360" w:lineRule="atLeast"/>
              <w:rPr>
                <w:color w:val="000000"/>
                <w:sz w:val="22"/>
              </w:rPr>
            </w:pPr>
            <w:proofErr w:type="spellStart"/>
            <w:r w:rsidRPr="00CF7AB8">
              <w:rPr>
                <w:color w:val="000000"/>
                <w:sz w:val="22"/>
              </w:rPr>
              <w:t>Ww</w:t>
            </w:r>
            <w:proofErr w:type="spellEnd"/>
          </w:p>
        </w:tc>
        <w:tc>
          <w:tcPr>
            <w:tcW w:w="3969" w:type="dxa"/>
          </w:tcPr>
          <w:p w14:paraId="2F6CE202" w14:textId="16CA73C4" w:rsidR="00D237B1" w:rsidRPr="00CF7AB8" w:rsidRDefault="00D237B1" w:rsidP="00673A81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color w:val="000000"/>
                <w:sz w:val="22"/>
              </w:rPr>
              <w:t>wykonane wydatki na wynagrodzenia i pochodne od wynagrodzeń z wyłączeniem wynagrodzeń finansowanych lub współfinansowanych środkami, o których mowa w art. 5 ust. 1 pkt 2 i 3 ustawy o finansach publicznych</w:t>
            </w:r>
          </w:p>
        </w:tc>
        <w:tc>
          <w:tcPr>
            <w:tcW w:w="3969" w:type="dxa"/>
          </w:tcPr>
          <w:p w14:paraId="6298B656" w14:textId="77777777" w:rsidR="00B84D47" w:rsidRPr="00CF7AB8" w:rsidRDefault="00B84D47" w:rsidP="00673A81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color w:val="000000"/>
                <w:sz w:val="22"/>
              </w:rPr>
              <w:t xml:space="preserve">wg sprawozdania Rb-28S </w:t>
            </w:r>
          </w:p>
          <w:p w14:paraId="7F272F07" w14:textId="1797E26D" w:rsidR="00D237B1" w:rsidRPr="00CF7AB8" w:rsidRDefault="00D237B1" w:rsidP="00673A81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color w:val="000000"/>
                <w:sz w:val="22"/>
              </w:rPr>
              <w:t>§§ zaliczane do grupy 1400</w:t>
            </w:r>
          </w:p>
        </w:tc>
      </w:tr>
      <w:tr w:rsidR="008A5CFD" w:rsidRPr="00D67718" w14:paraId="43FFFB20" w14:textId="77777777" w:rsidTr="00CF7AB8">
        <w:tc>
          <w:tcPr>
            <w:tcW w:w="1134" w:type="dxa"/>
          </w:tcPr>
          <w:p w14:paraId="6E320F35" w14:textId="76831D99" w:rsidR="00D237B1" w:rsidRPr="00CF7AB8" w:rsidRDefault="00D237B1" w:rsidP="00673A81">
            <w:pPr>
              <w:spacing w:line="360" w:lineRule="atLeast"/>
              <w:rPr>
                <w:color w:val="000000"/>
                <w:sz w:val="22"/>
              </w:rPr>
            </w:pPr>
            <w:proofErr w:type="spellStart"/>
            <w:r w:rsidRPr="00CF7AB8">
              <w:rPr>
                <w:color w:val="000000"/>
                <w:sz w:val="22"/>
              </w:rPr>
              <w:t>Zo</w:t>
            </w:r>
            <w:proofErr w:type="spellEnd"/>
          </w:p>
        </w:tc>
        <w:tc>
          <w:tcPr>
            <w:tcW w:w="3969" w:type="dxa"/>
          </w:tcPr>
          <w:p w14:paraId="117E6223" w14:textId="042B3842" w:rsidR="00D237B1" w:rsidRPr="00CF7AB8" w:rsidRDefault="00D237B1" w:rsidP="00673A81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color w:val="000000"/>
                <w:sz w:val="22"/>
              </w:rPr>
              <w:t>zobowiązania ogółem według tytułów dłużnych</w:t>
            </w:r>
          </w:p>
        </w:tc>
        <w:tc>
          <w:tcPr>
            <w:tcW w:w="3969" w:type="dxa"/>
          </w:tcPr>
          <w:p w14:paraId="38879230" w14:textId="6B261000" w:rsidR="00D237B1" w:rsidRPr="00CF7AB8" w:rsidRDefault="00B84D47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color w:val="000000"/>
                <w:sz w:val="22"/>
              </w:rPr>
              <w:t>wg sprawozdania Rb-Z</w:t>
            </w:r>
          </w:p>
        </w:tc>
      </w:tr>
      <w:tr w:rsidR="008A5CFD" w:rsidRPr="00D67718" w14:paraId="180FA2E3" w14:textId="77777777" w:rsidTr="00CF7AB8">
        <w:tc>
          <w:tcPr>
            <w:tcW w:w="1134" w:type="dxa"/>
          </w:tcPr>
          <w:p w14:paraId="4E51E399" w14:textId="79FBA5AF" w:rsidR="00D237B1" w:rsidRPr="00CF7AB8" w:rsidRDefault="00D237B1" w:rsidP="00673A81">
            <w:pPr>
              <w:spacing w:line="360" w:lineRule="atLeast"/>
              <w:rPr>
                <w:color w:val="000000"/>
                <w:sz w:val="22"/>
              </w:rPr>
            </w:pPr>
            <w:proofErr w:type="spellStart"/>
            <w:r w:rsidRPr="00CF7AB8">
              <w:rPr>
                <w:color w:val="000000"/>
                <w:sz w:val="22"/>
              </w:rPr>
              <w:t>Zw</w:t>
            </w:r>
            <w:proofErr w:type="spellEnd"/>
          </w:p>
        </w:tc>
        <w:tc>
          <w:tcPr>
            <w:tcW w:w="3969" w:type="dxa"/>
          </w:tcPr>
          <w:p w14:paraId="369550C8" w14:textId="6E87B985" w:rsidR="00D237B1" w:rsidRPr="00CF7AB8" w:rsidRDefault="00D237B1" w:rsidP="00673A81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color w:val="000000"/>
                <w:sz w:val="22"/>
              </w:rPr>
              <w:t>zobowiązania wymagalne</w:t>
            </w:r>
          </w:p>
        </w:tc>
        <w:tc>
          <w:tcPr>
            <w:tcW w:w="3969" w:type="dxa"/>
          </w:tcPr>
          <w:p w14:paraId="1948C739" w14:textId="4980D398" w:rsidR="00D237B1" w:rsidRPr="00CF7AB8" w:rsidRDefault="00B84D47" w:rsidP="00673A81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color w:val="000000"/>
                <w:sz w:val="22"/>
              </w:rPr>
              <w:t>wg sprawozdania Rb-Z</w:t>
            </w:r>
          </w:p>
        </w:tc>
      </w:tr>
      <w:tr w:rsidR="008A5CFD" w:rsidRPr="00D67718" w14:paraId="4F0C9FE3" w14:textId="77777777" w:rsidTr="00CF7AB8">
        <w:tc>
          <w:tcPr>
            <w:tcW w:w="1134" w:type="dxa"/>
          </w:tcPr>
          <w:p w14:paraId="0C15C6A3" w14:textId="1960CB49" w:rsidR="00D237B1" w:rsidRPr="00CF7AB8" w:rsidRDefault="00D237B1" w:rsidP="00673A81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color w:val="000000"/>
                <w:sz w:val="22"/>
              </w:rPr>
              <w:t>O</w:t>
            </w:r>
          </w:p>
        </w:tc>
        <w:tc>
          <w:tcPr>
            <w:tcW w:w="3969" w:type="dxa"/>
          </w:tcPr>
          <w:p w14:paraId="3A721E6D" w14:textId="30E35294" w:rsidR="00D237B1" w:rsidRPr="00CF7AB8" w:rsidRDefault="00D237B1" w:rsidP="00673A81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color w:val="000000"/>
                <w:sz w:val="22"/>
              </w:rPr>
              <w:t>wydatki na obsługę długu, w tym odsetki od zaciągniętych kredytów i pożyczek</w:t>
            </w:r>
          </w:p>
        </w:tc>
        <w:tc>
          <w:tcPr>
            <w:tcW w:w="3969" w:type="dxa"/>
          </w:tcPr>
          <w:p w14:paraId="6930E4F7" w14:textId="77777777" w:rsidR="00B84D47" w:rsidRPr="00CF7AB8" w:rsidRDefault="00B84D47" w:rsidP="00673A81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color w:val="000000"/>
                <w:sz w:val="22"/>
              </w:rPr>
              <w:t>wg sprawozdania Rb-28S</w:t>
            </w:r>
          </w:p>
          <w:p w14:paraId="470612D0" w14:textId="301B1053" w:rsidR="00D237B1" w:rsidRPr="00CF7AB8" w:rsidRDefault="00D237B1" w:rsidP="00673A81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color w:val="000000"/>
                <w:sz w:val="22"/>
              </w:rPr>
              <w:t>§§ zaliczane do grupy 1810</w:t>
            </w:r>
          </w:p>
        </w:tc>
      </w:tr>
      <w:tr w:rsidR="008A5CFD" w:rsidRPr="00D67718" w14:paraId="31E0E7F8" w14:textId="77777777" w:rsidTr="00CF7AB8">
        <w:tc>
          <w:tcPr>
            <w:tcW w:w="1134" w:type="dxa"/>
          </w:tcPr>
          <w:p w14:paraId="325E97A4" w14:textId="5E015463" w:rsidR="00D237B1" w:rsidRPr="00CF7AB8" w:rsidRDefault="00D237B1" w:rsidP="00673A81">
            <w:pPr>
              <w:spacing w:line="360" w:lineRule="atLeast"/>
              <w:rPr>
                <w:color w:val="000000"/>
                <w:sz w:val="22"/>
              </w:rPr>
            </w:pPr>
            <w:proofErr w:type="spellStart"/>
            <w:r w:rsidRPr="00CF7AB8">
              <w:rPr>
                <w:color w:val="000000"/>
                <w:sz w:val="22"/>
              </w:rPr>
              <w:t>Rs</w:t>
            </w:r>
            <w:proofErr w:type="spellEnd"/>
          </w:p>
        </w:tc>
        <w:tc>
          <w:tcPr>
            <w:tcW w:w="3969" w:type="dxa"/>
          </w:tcPr>
          <w:p w14:paraId="71EC2FB0" w14:textId="00AE2387" w:rsidR="00D237B1" w:rsidRPr="00CF7AB8" w:rsidRDefault="00D237B1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color w:val="000000"/>
                <w:sz w:val="22"/>
              </w:rPr>
              <w:t xml:space="preserve">spłata rat kapitałowych od zaciągniętych kredytów i pożyczek </w:t>
            </w:r>
          </w:p>
        </w:tc>
        <w:tc>
          <w:tcPr>
            <w:tcW w:w="3969" w:type="dxa"/>
          </w:tcPr>
          <w:p w14:paraId="0CEE6D39" w14:textId="7A8E3D2B" w:rsidR="00D237B1" w:rsidRPr="00CF7AB8" w:rsidRDefault="008A5CFD" w:rsidP="00673A81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color w:val="000000"/>
                <w:sz w:val="22"/>
              </w:rPr>
              <w:t>dane obejmują spłaty kredytów i pożyczek, wykup papierów wartościowych wg sprawozdania Rb-NDS</w:t>
            </w:r>
          </w:p>
        </w:tc>
      </w:tr>
      <w:tr w:rsidR="008A5CFD" w:rsidRPr="00D67718" w14:paraId="019457BA" w14:textId="77777777" w:rsidTr="00CF7AB8">
        <w:tc>
          <w:tcPr>
            <w:tcW w:w="1134" w:type="dxa"/>
          </w:tcPr>
          <w:p w14:paraId="1C2FDAC8" w14:textId="70D56439" w:rsidR="00D237B1" w:rsidRPr="00CF7AB8" w:rsidRDefault="00D237B1" w:rsidP="00673A81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color w:val="000000"/>
                <w:sz w:val="22"/>
              </w:rPr>
              <w:lastRenderedPageBreak/>
              <w:t>No</w:t>
            </w:r>
          </w:p>
        </w:tc>
        <w:tc>
          <w:tcPr>
            <w:tcW w:w="3969" w:type="dxa"/>
          </w:tcPr>
          <w:p w14:paraId="72E8DB48" w14:textId="0FF9813F" w:rsidR="00D237B1" w:rsidRPr="00CF7AB8" w:rsidRDefault="00D237B1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color w:val="000000"/>
                <w:sz w:val="22"/>
              </w:rPr>
              <w:t xml:space="preserve">nadwyżka operacyjna </w:t>
            </w:r>
          </w:p>
        </w:tc>
        <w:tc>
          <w:tcPr>
            <w:tcW w:w="3969" w:type="dxa"/>
          </w:tcPr>
          <w:p w14:paraId="6A3154EF" w14:textId="7A99476C" w:rsidR="00D237B1" w:rsidRPr="00CF7AB8" w:rsidRDefault="006A641A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color w:val="000000"/>
                <w:sz w:val="22"/>
              </w:rPr>
              <w:t xml:space="preserve">dodatnia </w:t>
            </w:r>
            <w:r w:rsidR="008A5CFD" w:rsidRPr="00CF7AB8">
              <w:rPr>
                <w:color w:val="000000"/>
                <w:sz w:val="22"/>
              </w:rPr>
              <w:t>różnica między dochodami bieżącymi a wydatkami bieżącymi</w:t>
            </w:r>
          </w:p>
        </w:tc>
      </w:tr>
      <w:tr w:rsidR="008A5CFD" w:rsidRPr="00D67718" w14:paraId="555B0FD8" w14:textId="77777777" w:rsidTr="00CF7AB8">
        <w:tc>
          <w:tcPr>
            <w:tcW w:w="1134" w:type="dxa"/>
          </w:tcPr>
          <w:p w14:paraId="32F63A8F" w14:textId="41BE3282" w:rsidR="00D237B1" w:rsidRPr="00CF7AB8" w:rsidRDefault="00D237B1" w:rsidP="00673A81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sz w:val="22"/>
              </w:rPr>
              <w:t>P</w:t>
            </w:r>
          </w:p>
        </w:tc>
        <w:tc>
          <w:tcPr>
            <w:tcW w:w="3969" w:type="dxa"/>
          </w:tcPr>
          <w:p w14:paraId="2B315E70" w14:textId="612ABB60" w:rsidR="00D237B1" w:rsidRPr="00CF7AB8" w:rsidRDefault="00D237B1" w:rsidP="00673A81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sz w:val="22"/>
              </w:rPr>
              <w:t>przychody budżetu</w:t>
            </w:r>
          </w:p>
        </w:tc>
        <w:tc>
          <w:tcPr>
            <w:tcW w:w="3969" w:type="dxa"/>
          </w:tcPr>
          <w:p w14:paraId="2000AF8A" w14:textId="003D289C" w:rsidR="00D237B1" w:rsidRPr="00CF7AB8" w:rsidRDefault="000B3167" w:rsidP="00673A81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color w:val="000000"/>
                <w:sz w:val="22"/>
              </w:rPr>
              <w:t>wg sprawozdania Rb-NDS</w:t>
            </w:r>
          </w:p>
        </w:tc>
      </w:tr>
      <w:tr w:rsidR="008A5CFD" w:rsidRPr="00D67718" w14:paraId="7DA61A54" w14:textId="77777777" w:rsidTr="00CF7AB8">
        <w:tc>
          <w:tcPr>
            <w:tcW w:w="1134" w:type="dxa"/>
          </w:tcPr>
          <w:p w14:paraId="481862AC" w14:textId="4561CCAE" w:rsidR="00D237B1" w:rsidRPr="00CF7AB8" w:rsidRDefault="00D237B1" w:rsidP="00673A81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sz w:val="22"/>
              </w:rPr>
              <w:t>R</w:t>
            </w:r>
          </w:p>
        </w:tc>
        <w:tc>
          <w:tcPr>
            <w:tcW w:w="3969" w:type="dxa"/>
          </w:tcPr>
          <w:p w14:paraId="6A8E4B41" w14:textId="1A192D96" w:rsidR="00D237B1" w:rsidRPr="00CF7AB8" w:rsidRDefault="00D237B1" w:rsidP="00673A81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sz w:val="22"/>
              </w:rPr>
              <w:t>rozchody budżetu</w:t>
            </w:r>
          </w:p>
        </w:tc>
        <w:tc>
          <w:tcPr>
            <w:tcW w:w="3969" w:type="dxa"/>
          </w:tcPr>
          <w:p w14:paraId="6FE9F698" w14:textId="454BA853" w:rsidR="00D237B1" w:rsidRPr="00CF7AB8" w:rsidRDefault="000B3167" w:rsidP="00673A81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color w:val="000000"/>
                <w:sz w:val="22"/>
              </w:rPr>
              <w:t>wg sprawozdania Rb-NDS</w:t>
            </w:r>
          </w:p>
        </w:tc>
      </w:tr>
      <w:tr w:rsidR="008A5CFD" w:rsidRPr="00D67718" w14:paraId="55213E1D" w14:textId="77777777" w:rsidTr="00CF7AB8">
        <w:tc>
          <w:tcPr>
            <w:tcW w:w="1134" w:type="dxa"/>
          </w:tcPr>
          <w:p w14:paraId="2E1D8781" w14:textId="3F1B2973" w:rsidR="00D237B1" w:rsidRPr="00CF7AB8" w:rsidRDefault="00D237B1" w:rsidP="00673A81">
            <w:pPr>
              <w:spacing w:line="360" w:lineRule="atLeast"/>
              <w:rPr>
                <w:color w:val="000000"/>
                <w:sz w:val="22"/>
              </w:rPr>
            </w:pPr>
            <w:proofErr w:type="spellStart"/>
            <w:r w:rsidRPr="00CF7AB8">
              <w:rPr>
                <w:sz w:val="22"/>
              </w:rPr>
              <w:t>Pbzwr</w:t>
            </w:r>
            <w:proofErr w:type="spellEnd"/>
          </w:p>
        </w:tc>
        <w:tc>
          <w:tcPr>
            <w:tcW w:w="3969" w:type="dxa"/>
          </w:tcPr>
          <w:p w14:paraId="3DE42326" w14:textId="54C69F01" w:rsidR="00D237B1" w:rsidRPr="00CF7AB8" w:rsidRDefault="00D237B1" w:rsidP="00673A81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sz w:val="22"/>
              </w:rPr>
              <w:t>przychody budżetu z wyłączeniem kredytów, pożyczek, emisji papierów wartościowych</w:t>
            </w:r>
          </w:p>
        </w:tc>
        <w:tc>
          <w:tcPr>
            <w:tcW w:w="3969" w:type="dxa"/>
          </w:tcPr>
          <w:p w14:paraId="742546FD" w14:textId="02854A77" w:rsidR="00D237B1" w:rsidRPr="00CF7AB8" w:rsidRDefault="000B3167" w:rsidP="00673A81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color w:val="000000"/>
                <w:sz w:val="22"/>
              </w:rPr>
              <w:t>wg sprawozdania Rb-NDS</w:t>
            </w:r>
          </w:p>
        </w:tc>
      </w:tr>
      <w:tr w:rsidR="008A5CFD" w:rsidRPr="00D67718" w14:paraId="5922BC12" w14:textId="77777777" w:rsidTr="00CF7AB8">
        <w:tc>
          <w:tcPr>
            <w:tcW w:w="1134" w:type="dxa"/>
          </w:tcPr>
          <w:p w14:paraId="7758AF14" w14:textId="3A879AD3" w:rsidR="00D237B1" w:rsidRPr="00CF7AB8" w:rsidRDefault="00D237B1">
            <w:pPr>
              <w:spacing w:line="360" w:lineRule="atLeast"/>
              <w:rPr>
                <w:color w:val="000000"/>
                <w:sz w:val="22"/>
              </w:rPr>
            </w:pPr>
            <w:proofErr w:type="spellStart"/>
            <w:r w:rsidRPr="00CF7AB8">
              <w:rPr>
                <w:sz w:val="22"/>
              </w:rPr>
              <w:t>D</w:t>
            </w:r>
            <w:r w:rsidR="008925B6" w:rsidRPr="00CF7AB8">
              <w:rPr>
                <w:sz w:val="22"/>
              </w:rPr>
              <w:t>bd</w:t>
            </w:r>
            <w:proofErr w:type="spellEnd"/>
          </w:p>
        </w:tc>
        <w:tc>
          <w:tcPr>
            <w:tcW w:w="3969" w:type="dxa"/>
          </w:tcPr>
          <w:p w14:paraId="20419C96" w14:textId="6540975E" w:rsidR="00D237B1" w:rsidRPr="00CF7AB8" w:rsidRDefault="00D237B1" w:rsidP="00673A81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sz w:val="22"/>
              </w:rPr>
              <w:t xml:space="preserve">dochody </w:t>
            </w:r>
            <w:r w:rsidR="008925B6" w:rsidRPr="00CF7AB8">
              <w:rPr>
                <w:sz w:val="22"/>
              </w:rPr>
              <w:t xml:space="preserve">bieżące </w:t>
            </w:r>
            <w:r w:rsidRPr="00CF7AB8">
              <w:rPr>
                <w:sz w:val="22"/>
              </w:rPr>
              <w:t>z tytułu dotacji i środków przeznaczonych na cele bieżące</w:t>
            </w:r>
          </w:p>
        </w:tc>
        <w:tc>
          <w:tcPr>
            <w:tcW w:w="3969" w:type="dxa"/>
          </w:tcPr>
          <w:p w14:paraId="33D02E3C" w14:textId="77777777" w:rsidR="00B84D47" w:rsidRPr="00CF7AB8" w:rsidRDefault="00B84D47" w:rsidP="00673A81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color w:val="000000"/>
                <w:sz w:val="22"/>
              </w:rPr>
              <w:t>wg sprawozdania Rb-27S</w:t>
            </w:r>
          </w:p>
          <w:p w14:paraId="1020E5F6" w14:textId="5E71C58A" w:rsidR="00D237B1" w:rsidRPr="00CF7AB8" w:rsidRDefault="00D237B1" w:rsidP="00673A81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color w:val="000000"/>
                <w:sz w:val="22"/>
              </w:rPr>
              <w:t xml:space="preserve">§§ </w:t>
            </w:r>
            <w:r w:rsidRPr="00CF7AB8">
              <w:rPr>
                <w:sz w:val="22"/>
              </w:rPr>
              <w:t>200-208, 210-213, 216-218, 221-223, 231-233, 238, 244, 246, 253, 269-271, 273, 278, 287, 288, 290</w:t>
            </w:r>
          </w:p>
        </w:tc>
      </w:tr>
      <w:tr w:rsidR="008925B6" w:rsidRPr="00D67718" w14:paraId="791539F0" w14:textId="77777777" w:rsidTr="00CF7AB8">
        <w:tc>
          <w:tcPr>
            <w:tcW w:w="1134" w:type="dxa"/>
          </w:tcPr>
          <w:p w14:paraId="0DE6F765" w14:textId="0290BE0D" w:rsidR="008925B6" w:rsidRPr="00CF7AB8" w:rsidRDefault="008925B6" w:rsidP="008925B6">
            <w:pPr>
              <w:spacing w:line="360" w:lineRule="atLeast"/>
              <w:rPr>
                <w:sz w:val="22"/>
              </w:rPr>
            </w:pPr>
            <w:proofErr w:type="spellStart"/>
            <w:r w:rsidRPr="00CF7AB8">
              <w:rPr>
                <w:sz w:val="22"/>
              </w:rPr>
              <w:t>Dbs</w:t>
            </w:r>
            <w:proofErr w:type="spellEnd"/>
          </w:p>
        </w:tc>
        <w:tc>
          <w:tcPr>
            <w:tcW w:w="3969" w:type="dxa"/>
          </w:tcPr>
          <w:p w14:paraId="70AD8819" w14:textId="53F30166" w:rsidR="008925B6" w:rsidRPr="00CF7AB8" w:rsidRDefault="008925B6">
            <w:pPr>
              <w:spacing w:line="360" w:lineRule="atLeast"/>
              <w:rPr>
                <w:sz w:val="22"/>
              </w:rPr>
            </w:pPr>
            <w:r w:rsidRPr="00CF7AB8">
              <w:rPr>
                <w:sz w:val="22"/>
              </w:rPr>
              <w:t>dochody bieżące z subwencji ogólnej</w:t>
            </w:r>
          </w:p>
        </w:tc>
        <w:tc>
          <w:tcPr>
            <w:tcW w:w="3969" w:type="dxa"/>
          </w:tcPr>
          <w:p w14:paraId="4C5EB35E" w14:textId="77777777" w:rsidR="008925B6" w:rsidRPr="00CF7AB8" w:rsidRDefault="008925B6" w:rsidP="008925B6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color w:val="000000"/>
                <w:sz w:val="22"/>
              </w:rPr>
              <w:t>wg sprawozdania Rb-27S</w:t>
            </w:r>
          </w:p>
          <w:p w14:paraId="4C4B1FF1" w14:textId="1893EF39" w:rsidR="008925B6" w:rsidRPr="00CF7AB8" w:rsidRDefault="008925B6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color w:val="000000"/>
                <w:sz w:val="22"/>
              </w:rPr>
              <w:t>§§ 275-277, 292</w:t>
            </w:r>
          </w:p>
        </w:tc>
      </w:tr>
      <w:tr w:rsidR="008A5CFD" w:rsidRPr="00D67718" w14:paraId="53E4B90B" w14:textId="77777777" w:rsidTr="00CF7AB8">
        <w:tc>
          <w:tcPr>
            <w:tcW w:w="1134" w:type="dxa"/>
          </w:tcPr>
          <w:p w14:paraId="4A51B0A1" w14:textId="0644ACB6" w:rsidR="00D237B1" w:rsidRPr="00CF7AB8" w:rsidRDefault="00D237B1" w:rsidP="00673A81">
            <w:pPr>
              <w:spacing w:line="360" w:lineRule="atLeast"/>
              <w:rPr>
                <w:color w:val="000000"/>
                <w:sz w:val="22"/>
              </w:rPr>
            </w:pPr>
            <w:proofErr w:type="spellStart"/>
            <w:r w:rsidRPr="00CF7AB8">
              <w:rPr>
                <w:sz w:val="22"/>
              </w:rPr>
              <w:t>Dbe</w:t>
            </w:r>
            <w:proofErr w:type="spellEnd"/>
          </w:p>
        </w:tc>
        <w:tc>
          <w:tcPr>
            <w:tcW w:w="3969" w:type="dxa"/>
          </w:tcPr>
          <w:p w14:paraId="3AF1EA2E" w14:textId="61550B0B" w:rsidR="00D237B1" w:rsidRPr="00CF7AB8" w:rsidRDefault="00D237B1" w:rsidP="00673A81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sz w:val="22"/>
              </w:rPr>
              <w:t>dotacje i środki o charakterze bieżącym na realizację programu, projektu lub zadania finansowanego z udziałem środków, o których mowa w art. 5 ust. 1 pkt 2 ustawy o finansach publicznych</w:t>
            </w:r>
          </w:p>
        </w:tc>
        <w:tc>
          <w:tcPr>
            <w:tcW w:w="3969" w:type="dxa"/>
          </w:tcPr>
          <w:p w14:paraId="0E858C85" w14:textId="428156A4" w:rsidR="00B84D47" w:rsidRPr="00CF7AB8" w:rsidRDefault="00B84D47" w:rsidP="00B84D47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color w:val="000000"/>
                <w:sz w:val="22"/>
              </w:rPr>
              <w:t>wg sprawozdania Rb-27S</w:t>
            </w:r>
          </w:p>
          <w:p w14:paraId="6DB1AA72" w14:textId="5FD6F335" w:rsidR="00D237B1" w:rsidRPr="00CF7AB8" w:rsidRDefault="00D237B1" w:rsidP="00673A81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color w:val="000000"/>
                <w:sz w:val="22"/>
              </w:rPr>
              <w:t xml:space="preserve">§§ </w:t>
            </w:r>
            <w:r w:rsidRPr="00CF7AB8">
              <w:rPr>
                <w:sz w:val="22"/>
              </w:rPr>
              <w:t>200-208, 210-213, 216-218, 221- 223, 231-233, 238, 244, 246, 269-271, 273, 278, 287, 288, 290, 253</w:t>
            </w:r>
            <w:r w:rsidR="00792F13" w:rsidRPr="00CF7AB8">
              <w:rPr>
                <w:sz w:val="22"/>
              </w:rPr>
              <w:t xml:space="preserve"> z czwartą cyfrą paragrafu </w:t>
            </w:r>
            <w:r w:rsidRPr="00CF7AB8">
              <w:rPr>
                <w:sz w:val="22"/>
              </w:rPr>
              <w:t>1,</w:t>
            </w:r>
            <w:r w:rsidR="00792F13" w:rsidRPr="00CF7AB8">
              <w:rPr>
                <w:sz w:val="22"/>
              </w:rPr>
              <w:t xml:space="preserve"> </w:t>
            </w:r>
            <w:r w:rsidRPr="00CF7AB8">
              <w:rPr>
                <w:sz w:val="22"/>
              </w:rPr>
              <w:t>2,</w:t>
            </w:r>
            <w:r w:rsidR="00792F13" w:rsidRPr="00CF7AB8">
              <w:rPr>
                <w:sz w:val="22"/>
              </w:rPr>
              <w:t xml:space="preserve"> </w:t>
            </w:r>
            <w:r w:rsidRPr="00CF7AB8">
              <w:rPr>
                <w:sz w:val="22"/>
              </w:rPr>
              <w:t>5,</w:t>
            </w:r>
            <w:r w:rsidR="00792F13" w:rsidRPr="00CF7AB8">
              <w:rPr>
                <w:sz w:val="22"/>
              </w:rPr>
              <w:t xml:space="preserve"> </w:t>
            </w:r>
            <w:r w:rsidRPr="00CF7AB8">
              <w:rPr>
                <w:sz w:val="22"/>
              </w:rPr>
              <w:t>6,</w:t>
            </w:r>
            <w:r w:rsidR="00792F13" w:rsidRPr="00CF7AB8">
              <w:rPr>
                <w:sz w:val="22"/>
              </w:rPr>
              <w:t xml:space="preserve"> </w:t>
            </w:r>
            <w:r w:rsidRPr="00CF7AB8">
              <w:rPr>
                <w:sz w:val="22"/>
              </w:rPr>
              <w:t>7,</w:t>
            </w:r>
            <w:r w:rsidR="00792F13" w:rsidRPr="00CF7AB8">
              <w:rPr>
                <w:sz w:val="22"/>
              </w:rPr>
              <w:t xml:space="preserve"> </w:t>
            </w:r>
            <w:r w:rsidRPr="00CF7AB8">
              <w:rPr>
                <w:sz w:val="22"/>
              </w:rPr>
              <w:t>8,</w:t>
            </w:r>
            <w:r w:rsidR="00792F13" w:rsidRPr="00CF7AB8">
              <w:rPr>
                <w:sz w:val="22"/>
              </w:rPr>
              <w:t xml:space="preserve"> </w:t>
            </w:r>
            <w:r w:rsidRPr="00CF7AB8">
              <w:rPr>
                <w:sz w:val="22"/>
              </w:rPr>
              <w:t>9</w:t>
            </w:r>
          </w:p>
        </w:tc>
      </w:tr>
      <w:tr w:rsidR="008A5CFD" w:rsidRPr="00D67718" w14:paraId="369DFA58" w14:textId="77777777" w:rsidTr="00CF7AB8">
        <w:tc>
          <w:tcPr>
            <w:tcW w:w="1134" w:type="dxa"/>
          </w:tcPr>
          <w:p w14:paraId="089BCEEA" w14:textId="4B57122B" w:rsidR="00D237B1" w:rsidRPr="00CF7AB8" w:rsidRDefault="00D237B1" w:rsidP="00673A81">
            <w:pPr>
              <w:spacing w:line="360" w:lineRule="atLeast"/>
              <w:rPr>
                <w:color w:val="000000"/>
                <w:sz w:val="22"/>
              </w:rPr>
            </w:pPr>
            <w:proofErr w:type="spellStart"/>
            <w:r w:rsidRPr="00CF7AB8">
              <w:rPr>
                <w:sz w:val="22"/>
              </w:rPr>
              <w:t>Wbe</w:t>
            </w:r>
            <w:proofErr w:type="spellEnd"/>
          </w:p>
        </w:tc>
        <w:tc>
          <w:tcPr>
            <w:tcW w:w="3969" w:type="dxa"/>
          </w:tcPr>
          <w:p w14:paraId="5C5D9A68" w14:textId="28631B56" w:rsidR="00D237B1" w:rsidRPr="00CF7AB8" w:rsidRDefault="00D237B1" w:rsidP="00673A81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sz w:val="22"/>
              </w:rPr>
              <w:t>wydatki bieżące na programy, projekty lub zadania finansowane z udziałem środków, o których mowa w art. 5 ust. 1 pkt 2 ustawy o finansach publicznych</w:t>
            </w:r>
          </w:p>
        </w:tc>
        <w:tc>
          <w:tcPr>
            <w:tcW w:w="3969" w:type="dxa"/>
          </w:tcPr>
          <w:p w14:paraId="76E5A6EB" w14:textId="630A5198" w:rsidR="00B84D47" w:rsidRPr="00CF7AB8" w:rsidRDefault="00B84D47" w:rsidP="00B84D47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color w:val="000000"/>
                <w:sz w:val="22"/>
              </w:rPr>
              <w:t>wg sprawozdania Rb-28S</w:t>
            </w:r>
          </w:p>
          <w:p w14:paraId="0DF978DA" w14:textId="22C6A695" w:rsidR="00D237B1" w:rsidRPr="00CF7AB8" w:rsidRDefault="00D237B1" w:rsidP="00673A81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color w:val="000000"/>
                <w:sz w:val="22"/>
              </w:rPr>
              <w:t xml:space="preserve">§§ zaliczane do grup </w:t>
            </w:r>
            <w:r w:rsidRPr="00CF7AB8">
              <w:rPr>
                <w:sz w:val="22"/>
              </w:rPr>
              <w:t>1101,1102,1201,1202,1301,1302,</w:t>
            </w:r>
            <w:r w:rsidR="00792F13" w:rsidRPr="00CF7AB8">
              <w:rPr>
                <w:sz w:val="22"/>
              </w:rPr>
              <w:t xml:space="preserve"> </w:t>
            </w:r>
            <w:r w:rsidRPr="00CF7AB8">
              <w:rPr>
                <w:sz w:val="22"/>
              </w:rPr>
              <w:t>1401,1402</w:t>
            </w:r>
          </w:p>
        </w:tc>
      </w:tr>
      <w:tr w:rsidR="008A5CFD" w:rsidRPr="00D67718" w14:paraId="52424820" w14:textId="77777777" w:rsidTr="00CF7AB8">
        <w:tc>
          <w:tcPr>
            <w:tcW w:w="1134" w:type="dxa"/>
          </w:tcPr>
          <w:p w14:paraId="318534AD" w14:textId="6710A752" w:rsidR="00D237B1" w:rsidRPr="00CF7AB8" w:rsidRDefault="008A5CFD" w:rsidP="00673A81">
            <w:pPr>
              <w:spacing w:line="360" w:lineRule="atLeast"/>
              <w:rPr>
                <w:color w:val="000000"/>
                <w:sz w:val="22"/>
              </w:rPr>
            </w:pPr>
            <w:proofErr w:type="spellStart"/>
            <w:r w:rsidRPr="00CF7AB8">
              <w:rPr>
                <w:sz w:val="22"/>
              </w:rPr>
              <w:t>Wbd</w:t>
            </w:r>
            <w:proofErr w:type="spellEnd"/>
          </w:p>
        </w:tc>
        <w:tc>
          <w:tcPr>
            <w:tcW w:w="3969" w:type="dxa"/>
          </w:tcPr>
          <w:p w14:paraId="5E429149" w14:textId="275899C9" w:rsidR="00D237B1" w:rsidRPr="00CF7AB8" w:rsidRDefault="008A5CFD" w:rsidP="00673A81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sz w:val="22"/>
              </w:rPr>
              <w:t>spłaty zobowiązań dłużnych zaciągniętych po 1 stycznia 2019 r. dokonywane w formie wydatku bieżącego</w:t>
            </w:r>
          </w:p>
        </w:tc>
        <w:tc>
          <w:tcPr>
            <w:tcW w:w="3969" w:type="dxa"/>
          </w:tcPr>
          <w:p w14:paraId="1DE92045" w14:textId="56392D15" w:rsidR="00B84D47" w:rsidRPr="00CF7AB8" w:rsidRDefault="00B84D47" w:rsidP="00B84D47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color w:val="000000"/>
                <w:sz w:val="22"/>
              </w:rPr>
              <w:t>wg sprawozdania Rb-28S</w:t>
            </w:r>
          </w:p>
          <w:p w14:paraId="3ACC7F74" w14:textId="3E8BFFB2" w:rsidR="00D237B1" w:rsidRPr="00CF7AB8" w:rsidRDefault="008A5CFD" w:rsidP="00673A81">
            <w:pPr>
              <w:spacing w:line="360" w:lineRule="atLeast"/>
              <w:rPr>
                <w:color w:val="000000"/>
                <w:sz w:val="22"/>
              </w:rPr>
            </w:pPr>
            <w:r w:rsidRPr="00CF7AB8">
              <w:rPr>
                <w:color w:val="000000"/>
                <w:sz w:val="22"/>
              </w:rPr>
              <w:t>§ 492</w:t>
            </w:r>
          </w:p>
        </w:tc>
      </w:tr>
      <w:tr w:rsidR="000B3167" w:rsidRPr="00D67718" w14:paraId="0E8B1D7C" w14:textId="77777777" w:rsidTr="00CF7AB8">
        <w:tc>
          <w:tcPr>
            <w:tcW w:w="1134" w:type="dxa"/>
          </w:tcPr>
          <w:p w14:paraId="63BE3B97" w14:textId="77777777" w:rsidR="000B3167" w:rsidRPr="00CF7AB8" w:rsidRDefault="000B3167" w:rsidP="004D1BB5">
            <w:pPr>
              <w:spacing w:line="360" w:lineRule="atLeast"/>
              <w:rPr>
                <w:bCs/>
                <w:iCs/>
                <w:color w:val="000000"/>
                <w:sz w:val="22"/>
              </w:rPr>
            </w:pPr>
            <w:r w:rsidRPr="00CF7AB8">
              <w:rPr>
                <w:bCs/>
                <w:iCs/>
                <w:color w:val="000000"/>
                <w:sz w:val="22"/>
              </w:rPr>
              <w:t xml:space="preserve">L  </w:t>
            </w:r>
          </w:p>
        </w:tc>
        <w:tc>
          <w:tcPr>
            <w:tcW w:w="3969" w:type="dxa"/>
          </w:tcPr>
          <w:p w14:paraId="1400F623" w14:textId="0BF36D6E" w:rsidR="000B3167" w:rsidRPr="00CF7AB8" w:rsidRDefault="000B3167">
            <w:pPr>
              <w:spacing w:line="360" w:lineRule="atLeast"/>
              <w:rPr>
                <w:bCs/>
                <w:iCs/>
                <w:color w:val="000000"/>
                <w:sz w:val="22"/>
              </w:rPr>
            </w:pPr>
            <w:r w:rsidRPr="00CF7AB8">
              <w:rPr>
                <w:bCs/>
                <w:iCs/>
                <w:color w:val="000000"/>
                <w:sz w:val="22"/>
              </w:rPr>
              <w:t>liczba mieszkańców jednostek samorządu terytorialnego według stanu na dzień 30 czerwca danego roku;</w:t>
            </w:r>
          </w:p>
        </w:tc>
        <w:tc>
          <w:tcPr>
            <w:tcW w:w="3969" w:type="dxa"/>
          </w:tcPr>
          <w:p w14:paraId="03EF4DDF" w14:textId="331D5BB7" w:rsidR="000B3167" w:rsidRPr="00CF7AB8" w:rsidRDefault="000B3167" w:rsidP="004D1BB5">
            <w:pPr>
              <w:spacing w:line="360" w:lineRule="atLeast"/>
              <w:rPr>
                <w:bCs/>
                <w:iCs/>
                <w:color w:val="000000"/>
                <w:sz w:val="22"/>
              </w:rPr>
            </w:pPr>
            <w:r w:rsidRPr="00CF7AB8">
              <w:rPr>
                <w:bCs/>
                <w:iCs/>
                <w:color w:val="000000"/>
                <w:sz w:val="22"/>
              </w:rPr>
              <w:t>ustalona przez Prezesa Głównego Urzędu Statystycznego</w:t>
            </w:r>
          </w:p>
        </w:tc>
      </w:tr>
    </w:tbl>
    <w:p w14:paraId="62FFD64F" w14:textId="77777777" w:rsidR="00D67718" w:rsidRDefault="00D67718">
      <w:pPr>
        <w:spacing w:line="360" w:lineRule="atLeast"/>
        <w:rPr>
          <w:color w:val="000000"/>
        </w:rPr>
      </w:pPr>
    </w:p>
    <w:p w14:paraId="65F094F4" w14:textId="77777777" w:rsidR="00D67718" w:rsidRDefault="00D67718">
      <w:pPr>
        <w:rPr>
          <w:color w:val="000000"/>
        </w:rPr>
      </w:pPr>
      <w:r>
        <w:rPr>
          <w:color w:val="000000"/>
        </w:rPr>
        <w:br w:type="page"/>
      </w:r>
    </w:p>
    <w:p w14:paraId="3144A5B8" w14:textId="77777777" w:rsidR="00B06130" w:rsidRPr="00CF4AEC" w:rsidRDefault="00B06130" w:rsidP="00CF7AB8">
      <w:pPr>
        <w:spacing w:line="360" w:lineRule="atLeast"/>
        <w:rPr>
          <w:color w:val="000000"/>
        </w:rPr>
      </w:pPr>
    </w:p>
    <w:p w14:paraId="6FCB9D4C" w14:textId="1EAEE72B" w:rsidR="00B06130" w:rsidRDefault="009856C3" w:rsidP="00837B40">
      <w:pPr>
        <w:rPr>
          <w:b/>
          <w:u w:val="single"/>
        </w:rPr>
      </w:pPr>
      <w:r w:rsidRPr="00260464">
        <w:rPr>
          <w:b/>
          <w:bCs/>
          <w:i/>
          <w:iCs/>
          <w:sz w:val="28"/>
          <w:szCs w:val="28"/>
        </w:rPr>
        <w:t xml:space="preserve">II. </w:t>
      </w:r>
      <w:r w:rsidR="00450874" w:rsidRPr="00260464">
        <w:rPr>
          <w:b/>
          <w:bCs/>
          <w:i/>
          <w:iCs/>
          <w:sz w:val="28"/>
          <w:szCs w:val="28"/>
        </w:rPr>
        <w:t xml:space="preserve">OPIS </w:t>
      </w:r>
      <w:r w:rsidR="00A32FF1" w:rsidRPr="00260464">
        <w:rPr>
          <w:b/>
          <w:bCs/>
          <w:i/>
          <w:iCs/>
          <w:sz w:val="28"/>
          <w:szCs w:val="28"/>
        </w:rPr>
        <w:t>W</w:t>
      </w:r>
      <w:r w:rsidRPr="00260464">
        <w:rPr>
          <w:b/>
          <w:bCs/>
          <w:i/>
          <w:iCs/>
          <w:sz w:val="28"/>
          <w:szCs w:val="28"/>
        </w:rPr>
        <w:t>SKAŹNIK</w:t>
      </w:r>
      <w:r w:rsidR="00450874" w:rsidRPr="00260464">
        <w:rPr>
          <w:b/>
          <w:bCs/>
          <w:i/>
          <w:iCs/>
          <w:sz w:val="28"/>
          <w:szCs w:val="28"/>
        </w:rPr>
        <w:t>Ó</w:t>
      </w:r>
      <w:r w:rsidRPr="00260464">
        <w:rPr>
          <w:b/>
          <w:bCs/>
          <w:i/>
          <w:iCs/>
          <w:sz w:val="28"/>
          <w:szCs w:val="28"/>
        </w:rPr>
        <w:t>W</w:t>
      </w:r>
    </w:p>
    <w:p w14:paraId="715E59ED" w14:textId="77777777" w:rsidR="00450874" w:rsidRPr="00260464" w:rsidRDefault="00450874" w:rsidP="00B850AB">
      <w:pPr>
        <w:spacing w:before="480" w:after="360"/>
        <w:rPr>
          <w:b/>
          <w:u w:val="single"/>
        </w:rPr>
      </w:pPr>
      <w:r w:rsidRPr="00260464">
        <w:rPr>
          <w:b/>
          <w:u w:val="single"/>
        </w:rPr>
        <w:t>Wskaźniki budżetowe</w:t>
      </w:r>
    </w:p>
    <w:p w14:paraId="4BACD9E6" w14:textId="77777777" w:rsidR="00207E3D" w:rsidRPr="00260464" w:rsidRDefault="0039592C" w:rsidP="00B850AB">
      <w:pPr>
        <w:pStyle w:val="Tekstpodstawowy2"/>
        <w:spacing w:before="480" w:line="360" w:lineRule="exact"/>
        <w:rPr>
          <w:rFonts w:cs="Arial"/>
          <w:sz w:val="24"/>
          <w:szCs w:val="24"/>
        </w:rPr>
      </w:pPr>
      <w:r w:rsidRPr="0021639A">
        <w:rPr>
          <w:rFonts w:cs="Arial"/>
          <w:b/>
          <w:sz w:val="24"/>
          <w:szCs w:val="24"/>
        </w:rPr>
        <w:t>1. </w:t>
      </w:r>
      <w:r w:rsidR="00207E3D" w:rsidRPr="0021639A">
        <w:rPr>
          <w:rFonts w:cs="Arial"/>
          <w:b/>
          <w:sz w:val="24"/>
          <w:szCs w:val="24"/>
        </w:rPr>
        <w:t xml:space="preserve">Wskaźnik </w:t>
      </w:r>
      <w:r w:rsidRPr="0021639A">
        <w:rPr>
          <w:rFonts w:cs="Arial"/>
          <w:b/>
          <w:bCs/>
          <w:i/>
          <w:iCs/>
          <w:sz w:val="24"/>
          <w:szCs w:val="24"/>
        </w:rPr>
        <w:t>W</w:t>
      </w:r>
      <w:r w:rsidRPr="0021639A">
        <w:rPr>
          <w:rFonts w:cs="Arial"/>
          <w:b/>
          <w:bCs/>
          <w:i/>
          <w:iCs/>
          <w:sz w:val="24"/>
          <w:szCs w:val="24"/>
          <w:vertAlign w:val="subscript"/>
        </w:rPr>
        <w:t>B1</w:t>
      </w:r>
      <w:r w:rsidR="00207E3D" w:rsidRPr="00A03410">
        <w:rPr>
          <w:rFonts w:cs="Arial"/>
          <w:color w:val="FF0000"/>
          <w:sz w:val="24"/>
          <w:szCs w:val="24"/>
        </w:rPr>
        <w:t xml:space="preserve">  </w:t>
      </w:r>
      <w:r w:rsidR="00207E3D" w:rsidRPr="00260464">
        <w:rPr>
          <w:rFonts w:cs="Arial"/>
          <w:sz w:val="24"/>
          <w:szCs w:val="24"/>
        </w:rPr>
        <w:t>–  Udział dochodów bieżących w dochodach ogółem:</w:t>
      </w:r>
    </w:p>
    <w:p w14:paraId="41302FAF" w14:textId="607DBC32" w:rsidR="00004C7B" w:rsidRPr="00516CE2" w:rsidRDefault="00207E3D" w:rsidP="00516CE2">
      <w:pPr>
        <w:spacing w:before="360" w:after="360" w:line="240" w:lineRule="atLeast"/>
        <w:rPr>
          <w:i/>
        </w:rPr>
      </w:pPr>
      <w:r w:rsidRPr="00260464">
        <w:rPr>
          <w:i/>
        </w:rPr>
        <w:t>W</w:t>
      </w:r>
      <w:r w:rsidR="00761B18" w:rsidRPr="00761B18">
        <w:rPr>
          <w:i/>
          <w:vertAlign w:val="subscript"/>
        </w:rPr>
        <w:t xml:space="preserve"> </w:t>
      </w:r>
      <w:r w:rsidR="00761B18" w:rsidRPr="00260464">
        <w:rPr>
          <w:i/>
          <w:vertAlign w:val="subscript"/>
        </w:rPr>
        <w:t>B</w:t>
      </w:r>
      <w:r w:rsidR="00761B18">
        <w:rPr>
          <w:i/>
          <w:vertAlign w:val="subscript"/>
        </w:rPr>
        <w:t>1</w:t>
      </w:r>
      <w:r w:rsidRPr="00516CE2">
        <w:rPr>
          <w:i/>
        </w:rPr>
        <w:t xml:space="preserve"> = </w:t>
      </w:r>
      <w:r w:rsidR="005D44F6" w:rsidRPr="00260464">
        <w:rPr>
          <w:position w:val="-26"/>
        </w:rPr>
        <w:object w:dxaOrig="440" w:dyaOrig="680" w14:anchorId="48E42F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37.5pt" o:ole="">
            <v:imagedata r:id="rId12" o:title=""/>
          </v:shape>
          <o:OLEObject Type="Embed" ProgID="Equation.3" ShapeID="_x0000_i1025" DrawAspect="Content" ObjectID="_1732975628" r:id="rId13"/>
        </w:object>
      </w:r>
      <w:r w:rsidR="00822C5B" w:rsidRPr="00260464">
        <w:t xml:space="preserve">, </w:t>
      </w:r>
      <w:r w:rsidR="00004C7B" w:rsidRPr="00516CE2">
        <w:rPr>
          <w:i/>
        </w:rPr>
        <w:t>gdzie:</w:t>
      </w:r>
    </w:p>
    <w:p w14:paraId="70A23253" w14:textId="77777777" w:rsidR="00004C7B" w:rsidRPr="00260464" w:rsidRDefault="00004C7B" w:rsidP="00B850AB">
      <w:pPr>
        <w:spacing w:line="360" w:lineRule="atLeast"/>
        <w:rPr>
          <w:bCs/>
          <w:i/>
          <w:iCs/>
        </w:rPr>
      </w:pPr>
      <w:r w:rsidRPr="00260464">
        <w:rPr>
          <w:bCs/>
          <w:i/>
          <w:iCs/>
        </w:rPr>
        <w:t>D</w:t>
      </w:r>
      <w:r w:rsidR="00FB2686" w:rsidRPr="00260464">
        <w:rPr>
          <w:bCs/>
          <w:i/>
          <w:iCs/>
        </w:rPr>
        <w:t>o</w:t>
      </w:r>
      <w:r w:rsidRPr="00260464">
        <w:rPr>
          <w:bCs/>
          <w:i/>
          <w:iCs/>
        </w:rPr>
        <w:t xml:space="preserve"> –</w:t>
      </w:r>
      <w:r w:rsidR="008B008D" w:rsidRPr="00260464">
        <w:rPr>
          <w:bCs/>
          <w:i/>
          <w:iCs/>
        </w:rPr>
        <w:t xml:space="preserve"> </w:t>
      </w:r>
      <w:r w:rsidRPr="00260464">
        <w:rPr>
          <w:bCs/>
          <w:i/>
          <w:iCs/>
        </w:rPr>
        <w:t>dochody ogółem,</w:t>
      </w:r>
    </w:p>
    <w:p w14:paraId="19718D9F" w14:textId="77777777" w:rsidR="00004C7B" w:rsidRPr="00260464" w:rsidRDefault="00004C7B" w:rsidP="00B850AB">
      <w:pPr>
        <w:spacing w:line="360" w:lineRule="atLeast"/>
        <w:rPr>
          <w:bCs/>
          <w:i/>
          <w:iCs/>
        </w:rPr>
      </w:pPr>
      <w:r w:rsidRPr="00260464">
        <w:rPr>
          <w:bCs/>
          <w:i/>
          <w:iCs/>
        </w:rPr>
        <w:t>D</w:t>
      </w:r>
      <w:r w:rsidR="00FB2686" w:rsidRPr="00260464">
        <w:rPr>
          <w:bCs/>
          <w:i/>
          <w:iCs/>
        </w:rPr>
        <w:t>b</w:t>
      </w:r>
      <w:r w:rsidRPr="00260464">
        <w:rPr>
          <w:bCs/>
          <w:i/>
          <w:iCs/>
        </w:rPr>
        <w:t xml:space="preserve"> –</w:t>
      </w:r>
      <w:r w:rsidR="008B008D" w:rsidRPr="00260464">
        <w:rPr>
          <w:bCs/>
          <w:i/>
          <w:iCs/>
        </w:rPr>
        <w:t xml:space="preserve"> </w:t>
      </w:r>
      <w:r w:rsidRPr="00260464">
        <w:rPr>
          <w:bCs/>
          <w:i/>
          <w:iCs/>
        </w:rPr>
        <w:t>dochody bieżące</w:t>
      </w:r>
      <w:r w:rsidR="00393F39" w:rsidRPr="00260464">
        <w:rPr>
          <w:bCs/>
          <w:i/>
          <w:iCs/>
        </w:rPr>
        <w:t xml:space="preserve"> </w:t>
      </w:r>
      <w:r w:rsidR="00393F39" w:rsidRPr="00260464">
        <w:rPr>
          <w:bCs/>
          <w:i/>
        </w:rPr>
        <w:t>(</w:t>
      </w:r>
      <w:r w:rsidR="00393F39" w:rsidRPr="00260464">
        <w:rPr>
          <w:i/>
        </w:rPr>
        <w:t>dochody niebędące dochodami majątkowymi)</w:t>
      </w:r>
      <w:r w:rsidRPr="00260464">
        <w:rPr>
          <w:bCs/>
          <w:i/>
          <w:iCs/>
        </w:rPr>
        <w:t>.</w:t>
      </w:r>
    </w:p>
    <w:p w14:paraId="3452BCCB" w14:textId="77777777" w:rsidR="00004C7B" w:rsidRPr="00260464" w:rsidRDefault="00004C7B" w:rsidP="00B850AB">
      <w:pPr>
        <w:pStyle w:val="Tekstpodstawowy2"/>
        <w:spacing w:before="240" w:line="360" w:lineRule="exact"/>
        <w:rPr>
          <w:rFonts w:cs="Arial"/>
          <w:i/>
          <w:sz w:val="24"/>
          <w:szCs w:val="24"/>
        </w:rPr>
      </w:pPr>
      <w:r w:rsidRPr="00260464">
        <w:rPr>
          <w:rFonts w:cs="Arial"/>
          <w:bCs/>
          <w:sz w:val="24"/>
          <w:szCs w:val="24"/>
        </w:rPr>
        <w:t>Wskaźnik</w:t>
      </w:r>
      <w:r w:rsidRPr="00260464">
        <w:rPr>
          <w:rFonts w:cs="Arial"/>
          <w:bCs/>
          <w:i/>
          <w:iCs/>
          <w:sz w:val="24"/>
          <w:szCs w:val="24"/>
        </w:rPr>
        <w:t xml:space="preserve"> W</w:t>
      </w:r>
      <w:r w:rsidR="00A63C08" w:rsidRPr="00260464">
        <w:rPr>
          <w:rFonts w:cs="Arial"/>
          <w:bCs/>
          <w:i/>
          <w:iCs/>
          <w:sz w:val="24"/>
          <w:szCs w:val="24"/>
          <w:vertAlign w:val="subscript"/>
        </w:rPr>
        <w:t>B1</w:t>
      </w:r>
      <w:r w:rsidR="00A63C08" w:rsidRPr="00260464">
        <w:rPr>
          <w:rFonts w:cs="Arial"/>
          <w:bCs/>
          <w:sz w:val="24"/>
          <w:szCs w:val="24"/>
        </w:rPr>
        <w:t xml:space="preserve"> w</w:t>
      </w:r>
      <w:r w:rsidRPr="00260464">
        <w:rPr>
          <w:rFonts w:cs="Arial"/>
          <w:bCs/>
          <w:sz w:val="24"/>
          <w:szCs w:val="24"/>
        </w:rPr>
        <w:t>skazuje</w:t>
      </w:r>
      <w:r w:rsidR="00AA7B45">
        <w:rPr>
          <w:rFonts w:cs="Arial"/>
          <w:bCs/>
          <w:sz w:val="24"/>
          <w:szCs w:val="24"/>
        </w:rPr>
        <w:t xml:space="preserve"> jaką czę</w:t>
      </w:r>
      <w:r w:rsidRPr="00260464">
        <w:rPr>
          <w:rFonts w:cs="Arial"/>
          <w:bCs/>
          <w:sz w:val="24"/>
          <w:szCs w:val="24"/>
        </w:rPr>
        <w:t>ść dochodów ogółem stanowią dochody bieżące</w:t>
      </w:r>
      <w:r w:rsidR="008101AF" w:rsidRPr="00260464">
        <w:rPr>
          <w:rFonts w:cs="Arial"/>
          <w:bCs/>
          <w:sz w:val="24"/>
          <w:szCs w:val="24"/>
        </w:rPr>
        <w:t>.</w:t>
      </w:r>
    </w:p>
    <w:p w14:paraId="65217BC7" w14:textId="77777777" w:rsidR="00944EE6" w:rsidRDefault="00122337" w:rsidP="00A03410">
      <w:pPr>
        <w:pStyle w:val="Tekstpodstawowy2"/>
        <w:spacing w:before="480" w:line="360" w:lineRule="exact"/>
        <w:rPr>
          <w:color w:val="000000"/>
        </w:rPr>
      </w:pPr>
      <w:r w:rsidRPr="0021639A">
        <w:rPr>
          <w:rFonts w:cs="Arial"/>
          <w:b/>
          <w:sz w:val="24"/>
          <w:szCs w:val="24"/>
        </w:rPr>
        <w:t>2. </w:t>
      </w:r>
      <w:r w:rsidR="00207E3D" w:rsidRPr="0021639A">
        <w:rPr>
          <w:rFonts w:cs="Arial"/>
          <w:b/>
          <w:sz w:val="24"/>
          <w:szCs w:val="24"/>
        </w:rPr>
        <w:t xml:space="preserve">Wskaźnik </w:t>
      </w:r>
      <w:r w:rsidRPr="0021639A">
        <w:rPr>
          <w:rFonts w:cs="Arial"/>
          <w:b/>
          <w:bCs/>
          <w:i/>
          <w:iCs/>
          <w:sz w:val="24"/>
          <w:szCs w:val="24"/>
        </w:rPr>
        <w:t>W</w:t>
      </w:r>
      <w:r w:rsidRPr="0021639A">
        <w:rPr>
          <w:rFonts w:cs="Arial"/>
          <w:b/>
          <w:bCs/>
          <w:i/>
          <w:iCs/>
          <w:sz w:val="24"/>
          <w:szCs w:val="24"/>
          <w:vertAlign w:val="subscript"/>
        </w:rPr>
        <w:t>B2</w:t>
      </w:r>
      <w:r w:rsidRPr="00615D43">
        <w:rPr>
          <w:rFonts w:cs="Arial"/>
          <w:bCs/>
          <w:color w:val="FF0000"/>
          <w:sz w:val="24"/>
          <w:szCs w:val="24"/>
        </w:rPr>
        <w:t xml:space="preserve"> </w:t>
      </w:r>
      <w:r w:rsidR="00207E3D" w:rsidRPr="00615D43">
        <w:rPr>
          <w:rFonts w:cs="Arial"/>
          <w:color w:val="FF0000"/>
          <w:sz w:val="24"/>
          <w:szCs w:val="24"/>
        </w:rPr>
        <w:t xml:space="preserve">  </w:t>
      </w:r>
      <w:r w:rsidR="00207E3D" w:rsidRPr="00260464">
        <w:rPr>
          <w:rFonts w:cs="Arial"/>
          <w:sz w:val="24"/>
          <w:szCs w:val="24"/>
        </w:rPr>
        <w:t xml:space="preserve">–  </w:t>
      </w:r>
      <w:r w:rsidR="00A03410">
        <w:rPr>
          <w:rFonts w:cs="Arial"/>
          <w:sz w:val="24"/>
          <w:szCs w:val="24"/>
        </w:rPr>
        <w:t xml:space="preserve">udział </w:t>
      </w:r>
      <w:r w:rsidR="00A03410">
        <w:rPr>
          <w:color w:val="000000"/>
        </w:rPr>
        <w:t>transferów bieżących w dochodach bieżących:</w:t>
      </w:r>
    </w:p>
    <w:p w14:paraId="50967ECC" w14:textId="52A9AC18" w:rsidR="00A03410" w:rsidRPr="0021639A" w:rsidRDefault="00A03410" w:rsidP="00BF09C1">
      <w:pPr>
        <w:tabs>
          <w:tab w:val="left" w:pos="2418"/>
        </w:tabs>
        <w:spacing w:before="360" w:after="360" w:line="240" w:lineRule="atLeast"/>
        <w:rPr>
          <w:i/>
        </w:rPr>
      </w:pPr>
      <w:r w:rsidRPr="00260464">
        <w:rPr>
          <w:i/>
        </w:rPr>
        <w:t>W</w:t>
      </w:r>
      <w:r w:rsidR="00761B18" w:rsidRPr="00761B18">
        <w:rPr>
          <w:i/>
          <w:vertAlign w:val="subscript"/>
        </w:rPr>
        <w:t xml:space="preserve"> </w:t>
      </w:r>
      <w:r w:rsidR="00761B18" w:rsidRPr="00260464">
        <w:rPr>
          <w:i/>
          <w:vertAlign w:val="subscript"/>
        </w:rPr>
        <w:t>B</w:t>
      </w:r>
      <w:r w:rsidR="00761B18">
        <w:rPr>
          <w:i/>
          <w:vertAlign w:val="subscript"/>
        </w:rPr>
        <w:t>2</w:t>
      </w:r>
      <w:r w:rsidRPr="0021639A">
        <w:rPr>
          <w:i/>
        </w:rPr>
        <w:t xml:space="preserve"> </w:t>
      </w:r>
      <w:r w:rsidR="00822C5B">
        <w:rPr>
          <w:i/>
        </w:rPr>
        <w:t>=</w:t>
      </w:r>
      <w:r w:rsidR="00B20FAB">
        <w:rPr>
          <w:i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Tb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Db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="00822C5B" w:rsidRPr="00BF09C1">
        <w:rPr>
          <w:sz w:val="32"/>
          <w:szCs w:val="32"/>
        </w:rPr>
        <w:t>,</w:t>
      </w:r>
      <w:r w:rsidR="00822C5B" w:rsidRPr="00260464">
        <w:t xml:space="preserve"> </w:t>
      </w:r>
      <w:r w:rsidR="00822C5B" w:rsidRPr="00516CE2">
        <w:rPr>
          <w:i/>
        </w:rPr>
        <w:t>gdzie:</w:t>
      </w:r>
      <w:r w:rsidR="00822C5B">
        <w:rPr>
          <w:i/>
        </w:rPr>
        <w:t xml:space="preserve"> </w:t>
      </w:r>
    </w:p>
    <w:p w14:paraId="388B3B77" w14:textId="628EBAD9" w:rsidR="00A03410" w:rsidRPr="00260464" w:rsidRDefault="00AA62EF" w:rsidP="00A03410">
      <w:pPr>
        <w:spacing w:line="360" w:lineRule="atLeast"/>
        <w:rPr>
          <w:bCs/>
          <w:i/>
          <w:iCs/>
        </w:rPr>
      </w:pPr>
      <w:r>
        <w:rPr>
          <w:bCs/>
          <w:i/>
          <w:iCs/>
        </w:rPr>
        <w:t>Tb</w:t>
      </w:r>
      <w:r w:rsidR="00A03410" w:rsidRPr="00260464">
        <w:rPr>
          <w:bCs/>
          <w:i/>
          <w:iCs/>
        </w:rPr>
        <w:t xml:space="preserve"> – </w:t>
      </w:r>
      <w:r w:rsidRPr="00615D43">
        <w:rPr>
          <w:bCs/>
          <w:i/>
          <w:iCs/>
        </w:rPr>
        <w:t>transfery bieżące</w:t>
      </w:r>
    </w:p>
    <w:p w14:paraId="50751886" w14:textId="77777777" w:rsidR="00A03410" w:rsidRPr="00260464" w:rsidRDefault="00A03410" w:rsidP="00615D43">
      <w:pPr>
        <w:spacing w:line="360" w:lineRule="atLeast"/>
        <w:rPr>
          <w:bCs/>
          <w:i/>
          <w:iCs/>
        </w:rPr>
      </w:pPr>
      <w:r w:rsidRPr="00260464">
        <w:rPr>
          <w:bCs/>
          <w:i/>
          <w:iCs/>
        </w:rPr>
        <w:t xml:space="preserve">Db – dochody bieżące </w:t>
      </w:r>
      <w:r w:rsidRPr="00260464">
        <w:rPr>
          <w:bCs/>
          <w:i/>
        </w:rPr>
        <w:t>(</w:t>
      </w:r>
      <w:r w:rsidRPr="00260464">
        <w:rPr>
          <w:i/>
        </w:rPr>
        <w:t>dochody niebędące dochodami majątkowymi)</w:t>
      </w:r>
      <w:r w:rsidRPr="00260464">
        <w:rPr>
          <w:bCs/>
          <w:i/>
          <w:iCs/>
        </w:rPr>
        <w:t>.</w:t>
      </w:r>
    </w:p>
    <w:p w14:paraId="373AB3C8" w14:textId="424A765E" w:rsidR="008101AF" w:rsidRPr="00260464" w:rsidRDefault="008101AF" w:rsidP="00B850AB">
      <w:pPr>
        <w:pStyle w:val="Tekstpodstawowy2"/>
        <w:spacing w:before="480" w:line="360" w:lineRule="exact"/>
        <w:rPr>
          <w:rFonts w:cs="Arial"/>
          <w:i/>
          <w:sz w:val="24"/>
          <w:szCs w:val="24"/>
        </w:rPr>
      </w:pPr>
      <w:r w:rsidRPr="00260464">
        <w:rPr>
          <w:rFonts w:cs="Arial"/>
          <w:bCs/>
          <w:sz w:val="24"/>
          <w:szCs w:val="24"/>
        </w:rPr>
        <w:t>Wskaźnik</w:t>
      </w:r>
      <w:r w:rsidRPr="00260464">
        <w:rPr>
          <w:rFonts w:cs="Arial"/>
          <w:bCs/>
          <w:i/>
          <w:iCs/>
          <w:sz w:val="24"/>
          <w:szCs w:val="24"/>
        </w:rPr>
        <w:t xml:space="preserve"> W</w:t>
      </w:r>
      <w:r w:rsidRPr="00260464">
        <w:rPr>
          <w:rFonts w:cs="Arial"/>
          <w:bCs/>
          <w:i/>
          <w:iCs/>
          <w:sz w:val="24"/>
          <w:szCs w:val="24"/>
          <w:vertAlign w:val="subscript"/>
        </w:rPr>
        <w:t>B</w:t>
      </w:r>
      <w:r w:rsidR="00122337" w:rsidRPr="00260464">
        <w:rPr>
          <w:rFonts w:cs="Arial"/>
          <w:bCs/>
          <w:i/>
          <w:iCs/>
          <w:sz w:val="24"/>
          <w:szCs w:val="24"/>
          <w:vertAlign w:val="subscript"/>
        </w:rPr>
        <w:t>2</w:t>
      </w:r>
      <w:r w:rsidRPr="00260464">
        <w:rPr>
          <w:rFonts w:cs="Arial"/>
          <w:bCs/>
          <w:sz w:val="24"/>
          <w:szCs w:val="24"/>
        </w:rPr>
        <w:t xml:space="preserve"> wskazuje jaką cz</w:t>
      </w:r>
      <w:r w:rsidR="00365030">
        <w:rPr>
          <w:rFonts w:cs="Arial"/>
          <w:bCs/>
          <w:sz w:val="24"/>
          <w:szCs w:val="24"/>
        </w:rPr>
        <w:t>ę</w:t>
      </w:r>
      <w:r w:rsidRPr="00260464">
        <w:rPr>
          <w:rFonts w:cs="Arial"/>
          <w:bCs/>
          <w:sz w:val="24"/>
          <w:szCs w:val="24"/>
        </w:rPr>
        <w:t xml:space="preserve">ść dochodów </w:t>
      </w:r>
      <w:r w:rsidR="0021639A">
        <w:rPr>
          <w:rFonts w:cs="Arial"/>
          <w:bCs/>
          <w:sz w:val="24"/>
          <w:szCs w:val="24"/>
        </w:rPr>
        <w:t xml:space="preserve">bieżących stanowią </w:t>
      </w:r>
      <w:r w:rsidR="006417F6">
        <w:rPr>
          <w:rFonts w:cs="Arial"/>
          <w:bCs/>
          <w:sz w:val="24"/>
          <w:szCs w:val="24"/>
        </w:rPr>
        <w:t xml:space="preserve">transfery bieżące obejmujące </w:t>
      </w:r>
      <w:r w:rsidR="006417F6" w:rsidRPr="006417F6">
        <w:rPr>
          <w:rFonts w:cs="Arial"/>
          <w:bCs/>
          <w:sz w:val="24"/>
          <w:szCs w:val="24"/>
        </w:rPr>
        <w:t>dochody z subwencji ogólnej oraz z tytułu dotacji i środków</w:t>
      </w:r>
      <w:r w:rsidR="006417F6">
        <w:rPr>
          <w:rFonts w:cs="Arial"/>
          <w:bCs/>
          <w:sz w:val="24"/>
          <w:szCs w:val="24"/>
        </w:rPr>
        <w:t xml:space="preserve"> przeznaczonych na cele bieżące.</w:t>
      </w:r>
    </w:p>
    <w:p w14:paraId="620FD719" w14:textId="77777777" w:rsidR="00113414" w:rsidRPr="00260464" w:rsidRDefault="00E54360" w:rsidP="00B850AB">
      <w:pPr>
        <w:pStyle w:val="Tekstpodstawowy2"/>
        <w:spacing w:before="480" w:line="360" w:lineRule="exact"/>
        <w:rPr>
          <w:rFonts w:cs="Arial"/>
          <w:sz w:val="24"/>
          <w:szCs w:val="24"/>
        </w:rPr>
      </w:pPr>
      <w:r w:rsidRPr="0021639A">
        <w:rPr>
          <w:rFonts w:cs="Arial"/>
          <w:b/>
          <w:sz w:val="24"/>
          <w:szCs w:val="24"/>
        </w:rPr>
        <w:t>3. </w:t>
      </w:r>
      <w:r w:rsidR="00113414" w:rsidRPr="0021639A">
        <w:rPr>
          <w:rFonts w:cs="Arial"/>
          <w:b/>
          <w:sz w:val="24"/>
          <w:szCs w:val="24"/>
        </w:rPr>
        <w:t xml:space="preserve">Wskaźnik </w:t>
      </w:r>
      <w:r w:rsidRPr="0021639A">
        <w:rPr>
          <w:rFonts w:cs="Arial"/>
          <w:b/>
          <w:bCs/>
          <w:i/>
          <w:iCs/>
          <w:sz w:val="24"/>
          <w:szCs w:val="24"/>
        </w:rPr>
        <w:t>W</w:t>
      </w:r>
      <w:r w:rsidRPr="0021639A">
        <w:rPr>
          <w:rFonts w:cs="Arial"/>
          <w:b/>
          <w:bCs/>
          <w:i/>
          <w:iCs/>
          <w:sz w:val="24"/>
          <w:szCs w:val="24"/>
          <w:vertAlign w:val="subscript"/>
        </w:rPr>
        <w:t>B3</w:t>
      </w:r>
      <w:r w:rsidR="00252413" w:rsidRPr="00260464">
        <w:rPr>
          <w:rFonts w:cs="Arial"/>
          <w:sz w:val="24"/>
          <w:szCs w:val="24"/>
        </w:rPr>
        <w:t xml:space="preserve"> </w:t>
      </w:r>
      <w:r w:rsidR="00113414" w:rsidRPr="00260464">
        <w:rPr>
          <w:rFonts w:cs="Arial"/>
          <w:sz w:val="24"/>
          <w:szCs w:val="24"/>
        </w:rPr>
        <w:t xml:space="preserve"> – </w:t>
      </w:r>
      <w:r w:rsidR="00252413" w:rsidRPr="00260464">
        <w:rPr>
          <w:rFonts w:cs="Arial"/>
          <w:sz w:val="24"/>
          <w:szCs w:val="24"/>
        </w:rPr>
        <w:t xml:space="preserve"> </w:t>
      </w:r>
      <w:r w:rsidR="00113414" w:rsidRPr="00260464">
        <w:rPr>
          <w:rFonts w:cs="Arial"/>
          <w:sz w:val="24"/>
          <w:szCs w:val="24"/>
        </w:rPr>
        <w:t>Udział nadwyżk</w:t>
      </w:r>
      <w:r w:rsidR="00615D43">
        <w:rPr>
          <w:rFonts w:cs="Arial"/>
          <w:sz w:val="24"/>
          <w:szCs w:val="24"/>
        </w:rPr>
        <w:t>i operacyjnej w dochodach bieżących</w:t>
      </w:r>
      <w:r w:rsidR="00177A9B">
        <w:rPr>
          <w:rFonts w:cs="Arial"/>
          <w:sz w:val="24"/>
          <w:szCs w:val="24"/>
        </w:rPr>
        <w:t>:</w:t>
      </w:r>
    </w:p>
    <w:p w14:paraId="14BBB2F3" w14:textId="5AA9C98E" w:rsidR="00EA58A8" w:rsidRPr="00260464" w:rsidRDefault="00113414" w:rsidP="0021639A">
      <w:pPr>
        <w:spacing w:before="360" w:after="360" w:line="240" w:lineRule="atLeast"/>
        <w:rPr>
          <w:bCs/>
          <w:i/>
          <w:iCs/>
        </w:rPr>
      </w:pPr>
      <w:r w:rsidRPr="00260464">
        <w:rPr>
          <w:i/>
        </w:rPr>
        <w:t>W</w:t>
      </w:r>
      <w:r w:rsidRPr="00260464">
        <w:rPr>
          <w:i/>
          <w:vertAlign w:val="subscript"/>
        </w:rPr>
        <w:t>B</w:t>
      </w:r>
      <w:r w:rsidR="00207E3D" w:rsidRPr="00260464">
        <w:rPr>
          <w:i/>
          <w:vertAlign w:val="subscript"/>
        </w:rPr>
        <w:t>3</w:t>
      </w:r>
      <w:r w:rsidRPr="00260464">
        <w:rPr>
          <w:i/>
          <w:vertAlign w:val="subscript"/>
        </w:rPr>
        <w:t xml:space="preserve">  </w:t>
      </w:r>
      <w:r w:rsidRPr="00260464">
        <w:rPr>
          <w:i/>
        </w:rPr>
        <w:t>=</w:t>
      </w:r>
      <w:r w:rsidR="00B20FAB">
        <w:rPr>
          <w:i/>
        </w:rPr>
        <w:t xml:space="preserve"> </w:t>
      </w:r>
      <w:r w:rsidR="00615D43" w:rsidRPr="00615D43">
        <w:rPr>
          <w:bCs/>
          <w:i/>
          <w:iCs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No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Db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,   </m:t>
        </m:r>
      </m:oMath>
      <w:r w:rsidR="00EA58A8" w:rsidRPr="00615D43">
        <w:rPr>
          <w:bCs/>
          <w:iCs/>
        </w:rPr>
        <w:t>g</w:t>
      </w:r>
      <w:proofErr w:type="spellStart"/>
      <w:r w:rsidR="005D44F6">
        <w:rPr>
          <w:bCs/>
          <w:iCs/>
        </w:rPr>
        <w:t>d</w:t>
      </w:r>
      <w:r w:rsidR="00EA58A8" w:rsidRPr="00615D43">
        <w:rPr>
          <w:bCs/>
          <w:iCs/>
        </w:rPr>
        <w:t>zie</w:t>
      </w:r>
      <w:proofErr w:type="spellEnd"/>
      <w:r w:rsidR="00EA58A8" w:rsidRPr="00615D43">
        <w:rPr>
          <w:bCs/>
          <w:iCs/>
        </w:rPr>
        <w:t>:</w:t>
      </w:r>
    </w:p>
    <w:p w14:paraId="7FCCD815" w14:textId="77777777" w:rsidR="00EA58A8" w:rsidRPr="00260464" w:rsidRDefault="00EA58A8" w:rsidP="00B850AB">
      <w:pPr>
        <w:spacing w:line="360" w:lineRule="atLeast"/>
        <w:ind w:left="540" w:hanging="540"/>
        <w:rPr>
          <w:bCs/>
          <w:i/>
          <w:iCs/>
        </w:rPr>
      </w:pPr>
      <w:r w:rsidRPr="00260464">
        <w:rPr>
          <w:bCs/>
          <w:i/>
          <w:iCs/>
        </w:rPr>
        <w:t>N</w:t>
      </w:r>
      <w:r w:rsidR="00A25278" w:rsidRPr="00260464">
        <w:rPr>
          <w:bCs/>
          <w:i/>
          <w:iCs/>
        </w:rPr>
        <w:t xml:space="preserve">o </w:t>
      </w:r>
      <w:r w:rsidRPr="00260464">
        <w:rPr>
          <w:bCs/>
          <w:i/>
          <w:iCs/>
        </w:rPr>
        <w:t>– nadwyżka operacyjna</w:t>
      </w:r>
    </w:p>
    <w:p w14:paraId="708AAC97" w14:textId="77777777" w:rsidR="00EA58A8" w:rsidRPr="00260464" w:rsidRDefault="00615D43" w:rsidP="00B850AB">
      <w:pPr>
        <w:spacing w:line="360" w:lineRule="atLeast"/>
        <w:rPr>
          <w:bCs/>
          <w:i/>
          <w:iCs/>
        </w:rPr>
      </w:pPr>
      <w:r w:rsidRPr="00260464">
        <w:rPr>
          <w:bCs/>
          <w:i/>
          <w:iCs/>
        </w:rPr>
        <w:t xml:space="preserve">Db – dochody bieżące </w:t>
      </w:r>
      <w:r w:rsidRPr="00260464">
        <w:rPr>
          <w:bCs/>
          <w:i/>
        </w:rPr>
        <w:t>(</w:t>
      </w:r>
      <w:r w:rsidRPr="00260464">
        <w:rPr>
          <w:i/>
        </w:rPr>
        <w:t>dochody niebędące dochodami majątkowymi)</w:t>
      </w:r>
      <w:r w:rsidR="00EA58A8" w:rsidRPr="00260464">
        <w:rPr>
          <w:bCs/>
          <w:i/>
          <w:iCs/>
        </w:rPr>
        <w:t>.</w:t>
      </w:r>
    </w:p>
    <w:p w14:paraId="130C0C94" w14:textId="05E08F1E" w:rsidR="00EA1514" w:rsidRPr="00260464" w:rsidRDefault="006417F6" w:rsidP="00B850AB">
      <w:pPr>
        <w:spacing w:before="480" w:line="360" w:lineRule="exact"/>
        <w:rPr>
          <w:bCs/>
        </w:rPr>
      </w:pPr>
      <w:r>
        <w:rPr>
          <w:bCs/>
        </w:rPr>
        <w:t>N</w:t>
      </w:r>
      <w:r w:rsidRPr="00260464">
        <w:rPr>
          <w:bCs/>
        </w:rPr>
        <w:t>adwyżka operacyjna</w:t>
      </w:r>
      <w:r>
        <w:rPr>
          <w:bCs/>
          <w:iCs/>
        </w:rPr>
        <w:t xml:space="preserve"> </w:t>
      </w:r>
      <w:r w:rsidR="00FF1388" w:rsidRPr="00260464">
        <w:rPr>
          <w:bCs/>
        </w:rPr>
        <w:t xml:space="preserve">wskazuje na </w:t>
      </w:r>
      <w:r w:rsidR="00EA58A8" w:rsidRPr="00260464">
        <w:rPr>
          <w:bCs/>
        </w:rPr>
        <w:t>potencjalne zdolności i</w:t>
      </w:r>
      <w:r w:rsidR="00641075" w:rsidRPr="00260464">
        <w:rPr>
          <w:bCs/>
        </w:rPr>
        <w:t xml:space="preserve"> </w:t>
      </w:r>
      <w:r w:rsidR="00EA58A8" w:rsidRPr="00260464">
        <w:rPr>
          <w:bCs/>
        </w:rPr>
        <w:t xml:space="preserve">możliwości jednostki samorządu terytorialnego do spłaty zobowiązań </w:t>
      </w:r>
      <w:r w:rsidR="00F4248F">
        <w:rPr>
          <w:bCs/>
        </w:rPr>
        <w:t>oraz do </w:t>
      </w:r>
      <w:r w:rsidR="00641075" w:rsidRPr="00260464">
        <w:rPr>
          <w:bCs/>
        </w:rPr>
        <w:t>finansowania wydatków o</w:t>
      </w:r>
      <w:r w:rsidR="00BC22F5">
        <w:rPr>
          <w:bCs/>
        </w:rPr>
        <w:t> </w:t>
      </w:r>
      <w:r w:rsidR="00EA58A8" w:rsidRPr="00260464">
        <w:rPr>
          <w:bCs/>
        </w:rPr>
        <w:t xml:space="preserve">charakterze inwestycyjnym. </w:t>
      </w:r>
    </w:p>
    <w:p w14:paraId="504B36A6" w14:textId="7A675CCD" w:rsidR="00EA58A8" w:rsidRPr="00260464" w:rsidRDefault="00EA58A8" w:rsidP="00B850AB">
      <w:pPr>
        <w:spacing w:after="120" w:line="360" w:lineRule="atLeast"/>
        <w:rPr>
          <w:bCs/>
        </w:rPr>
      </w:pPr>
      <w:r w:rsidRPr="00260464">
        <w:rPr>
          <w:bCs/>
        </w:rPr>
        <w:lastRenderedPageBreak/>
        <w:t xml:space="preserve">Udział nadwyżki operacyjnej w dochodach </w:t>
      </w:r>
      <w:r w:rsidR="00D51B56">
        <w:rPr>
          <w:bCs/>
        </w:rPr>
        <w:t>bieżących</w:t>
      </w:r>
      <w:r w:rsidRPr="00260464">
        <w:rPr>
          <w:bCs/>
        </w:rPr>
        <w:t xml:space="preserve"> (</w:t>
      </w:r>
      <w:r w:rsidRPr="00260464">
        <w:rPr>
          <w:bCs/>
          <w:i/>
          <w:iCs/>
        </w:rPr>
        <w:t>W</w:t>
      </w:r>
      <w:r w:rsidRPr="00260464">
        <w:rPr>
          <w:bCs/>
          <w:i/>
          <w:iCs/>
          <w:vertAlign w:val="subscript"/>
        </w:rPr>
        <w:t>B</w:t>
      </w:r>
      <w:r w:rsidR="00641075" w:rsidRPr="00260464">
        <w:rPr>
          <w:bCs/>
          <w:i/>
          <w:iCs/>
          <w:vertAlign w:val="subscript"/>
        </w:rPr>
        <w:t>3</w:t>
      </w:r>
      <w:r w:rsidRPr="00260464">
        <w:rPr>
          <w:bCs/>
        </w:rPr>
        <w:t xml:space="preserve">) </w:t>
      </w:r>
      <w:r w:rsidR="00971F3A" w:rsidRPr="00260464">
        <w:rPr>
          <w:bCs/>
        </w:rPr>
        <w:t>określa</w:t>
      </w:r>
      <w:r w:rsidRPr="00260464">
        <w:rPr>
          <w:bCs/>
        </w:rPr>
        <w:t xml:space="preserve"> </w:t>
      </w:r>
      <w:r w:rsidR="00125CAA" w:rsidRPr="00260464">
        <w:rPr>
          <w:bCs/>
        </w:rPr>
        <w:t>stopień, w jakim</w:t>
      </w:r>
      <w:r w:rsidRPr="00260464">
        <w:rPr>
          <w:bCs/>
        </w:rPr>
        <w:t xml:space="preserve"> jednostka mogłaby zaciągnąć nowe zobowiązania</w:t>
      </w:r>
      <w:r w:rsidR="008D0983" w:rsidRPr="00260464">
        <w:rPr>
          <w:bCs/>
        </w:rPr>
        <w:t>,</w:t>
      </w:r>
      <w:r w:rsidRPr="00260464">
        <w:rPr>
          <w:bCs/>
        </w:rPr>
        <w:t xml:space="preserve"> w stosunku do osiąganych dochodów</w:t>
      </w:r>
      <w:r w:rsidR="00B84D47">
        <w:rPr>
          <w:bCs/>
        </w:rPr>
        <w:t xml:space="preserve"> bieżących</w:t>
      </w:r>
      <w:r w:rsidRPr="00260464">
        <w:rPr>
          <w:bCs/>
        </w:rPr>
        <w:t>. Im wyższa jest wartość tego wskaźnika</w:t>
      </w:r>
      <w:r w:rsidR="00281F98">
        <w:rPr>
          <w:bCs/>
        </w:rPr>
        <w:t>,</w:t>
      </w:r>
      <w:r w:rsidRPr="00260464">
        <w:rPr>
          <w:bCs/>
        </w:rPr>
        <w:t xml:space="preserve"> tym większe są możliwości inwestycyjne lub większa możliwość zwiększenia wydatków bieżących.</w:t>
      </w:r>
    </w:p>
    <w:p w14:paraId="707C5093" w14:textId="77777777" w:rsidR="00304BF2" w:rsidRPr="00260464" w:rsidRDefault="0015708B" w:rsidP="00B850AB">
      <w:pPr>
        <w:spacing w:after="120" w:line="360" w:lineRule="atLeast"/>
        <w:rPr>
          <w:bCs/>
        </w:rPr>
      </w:pPr>
      <w:r w:rsidRPr="00260464">
        <w:rPr>
          <w:bCs/>
          <w:iCs/>
        </w:rPr>
        <w:t xml:space="preserve">Ujemna wartość </w:t>
      </w:r>
      <w:r w:rsidRPr="00260464">
        <w:rPr>
          <w:bCs/>
        </w:rPr>
        <w:t>wskaźnika wskazuje na to, że jednost</w:t>
      </w:r>
      <w:r w:rsidR="00DA3392">
        <w:rPr>
          <w:bCs/>
        </w:rPr>
        <w:t>ka samorządu terytorialnego nie </w:t>
      </w:r>
      <w:r w:rsidRPr="00260464">
        <w:rPr>
          <w:bCs/>
        </w:rPr>
        <w:t>wypracowuje nadwyżki operacyjnej</w:t>
      </w:r>
      <w:r w:rsidRPr="00260464">
        <w:rPr>
          <w:bCs/>
          <w:iCs/>
        </w:rPr>
        <w:t>.</w:t>
      </w:r>
    </w:p>
    <w:p w14:paraId="6C2C022C" w14:textId="77777777" w:rsidR="001B346A" w:rsidRPr="00260464" w:rsidRDefault="001B346A" w:rsidP="00B850AB">
      <w:pPr>
        <w:pStyle w:val="Tekstpodstawowy2"/>
        <w:spacing w:before="480" w:after="120" w:line="360" w:lineRule="exact"/>
        <w:ind w:left="2160" w:hanging="2160"/>
        <w:rPr>
          <w:rFonts w:cs="Arial"/>
          <w:sz w:val="24"/>
          <w:szCs w:val="24"/>
        </w:rPr>
      </w:pPr>
      <w:r w:rsidRPr="00516CE2">
        <w:rPr>
          <w:rFonts w:cs="Arial"/>
          <w:b/>
          <w:sz w:val="24"/>
          <w:szCs w:val="24"/>
        </w:rPr>
        <w:t xml:space="preserve">4. Wskaźnik </w:t>
      </w:r>
      <w:r w:rsidRPr="00516CE2">
        <w:rPr>
          <w:rFonts w:cs="Arial"/>
          <w:b/>
          <w:bCs/>
          <w:i/>
          <w:iCs/>
          <w:sz w:val="24"/>
          <w:szCs w:val="24"/>
        </w:rPr>
        <w:t>W</w:t>
      </w:r>
      <w:r w:rsidRPr="00516CE2">
        <w:rPr>
          <w:rFonts w:cs="Arial"/>
          <w:b/>
          <w:bCs/>
          <w:i/>
          <w:iCs/>
          <w:sz w:val="24"/>
          <w:szCs w:val="24"/>
          <w:vertAlign w:val="subscript"/>
        </w:rPr>
        <w:t>B4</w:t>
      </w:r>
      <w:r w:rsidRPr="00260464">
        <w:rPr>
          <w:rFonts w:cs="Arial"/>
          <w:sz w:val="24"/>
          <w:szCs w:val="24"/>
        </w:rPr>
        <w:t xml:space="preserve">  –  Udział wydatków majątkowych w wydatkach ogółem </w:t>
      </w:r>
    </w:p>
    <w:p w14:paraId="6F5C4C0A" w14:textId="28F7B324" w:rsidR="00EA350B" w:rsidRPr="003C1574" w:rsidRDefault="005476CB" w:rsidP="003C1574">
      <w:pPr>
        <w:spacing w:before="360" w:after="360" w:line="240" w:lineRule="atLeast"/>
        <w:rPr>
          <w:i/>
        </w:rPr>
      </w:pPr>
      <w:r w:rsidRPr="00260464">
        <w:rPr>
          <w:i/>
        </w:rPr>
        <w:t>W</w:t>
      </w:r>
      <w:r w:rsidR="00B20FAB" w:rsidRPr="00B20FAB">
        <w:rPr>
          <w:i/>
          <w:vertAlign w:val="subscript"/>
        </w:rPr>
        <w:t xml:space="preserve"> </w:t>
      </w:r>
      <w:r w:rsidR="00B20FAB" w:rsidRPr="00260464">
        <w:rPr>
          <w:i/>
          <w:vertAlign w:val="subscript"/>
        </w:rPr>
        <w:t>B</w:t>
      </w:r>
      <w:r w:rsidR="00B20FAB">
        <w:rPr>
          <w:i/>
          <w:vertAlign w:val="subscript"/>
        </w:rPr>
        <w:t>4</w:t>
      </w:r>
      <w:r w:rsidRPr="003C1574">
        <w:rPr>
          <w:i/>
        </w:rPr>
        <w:t xml:space="preserve">  </w:t>
      </w:r>
      <w:r w:rsidRPr="00260464">
        <w:rPr>
          <w:i/>
        </w:rPr>
        <w:t>=</w:t>
      </w:r>
      <w:r w:rsidR="008E42C5">
        <w:rPr>
          <w:i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Wm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Wo</m:t>
            </m:r>
          </m:den>
        </m:f>
      </m:oMath>
      <w:r w:rsidR="008E42C5">
        <w:rPr>
          <w:i/>
        </w:rPr>
        <w:t xml:space="preserve">, </w:t>
      </w:r>
      <w:r w:rsidR="00EA350B" w:rsidRPr="003C1574">
        <w:rPr>
          <w:i/>
        </w:rPr>
        <w:t>gdzie</w:t>
      </w:r>
      <w:r w:rsidR="00A25278" w:rsidRPr="003C1574">
        <w:rPr>
          <w:i/>
        </w:rPr>
        <w:t>:</w:t>
      </w:r>
    </w:p>
    <w:p w14:paraId="42DE17CA" w14:textId="77777777" w:rsidR="00EA350B" w:rsidRPr="00260464" w:rsidRDefault="00EA350B" w:rsidP="00B850AB">
      <w:pPr>
        <w:spacing w:line="360" w:lineRule="atLeast"/>
        <w:rPr>
          <w:bCs/>
          <w:i/>
          <w:iCs/>
        </w:rPr>
      </w:pPr>
      <w:proofErr w:type="spellStart"/>
      <w:r w:rsidRPr="00260464">
        <w:rPr>
          <w:bCs/>
          <w:i/>
          <w:iCs/>
        </w:rPr>
        <w:t>W</w:t>
      </w:r>
      <w:r w:rsidR="001B346A" w:rsidRPr="00260464">
        <w:rPr>
          <w:bCs/>
          <w:i/>
          <w:iCs/>
        </w:rPr>
        <w:t>m</w:t>
      </w:r>
      <w:proofErr w:type="spellEnd"/>
      <w:r w:rsidRPr="00260464">
        <w:rPr>
          <w:bCs/>
          <w:i/>
          <w:iCs/>
        </w:rPr>
        <w:t xml:space="preserve"> –</w:t>
      </w:r>
      <w:r w:rsidR="00BA739F" w:rsidRPr="00260464">
        <w:rPr>
          <w:bCs/>
          <w:i/>
          <w:iCs/>
        </w:rPr>
        <w:t xml:space="preserve"> </w:t>
      </w:r>
      <w:r w:rsidRPr="00260464">
        <w:rPr>
          <w:bCs/>
          <w:i/>
          <w:iCs/>
        </w:rPr>
        <w:t>wydatki majątkowe</w:t>
      </w:r>
      <w:r w:rsidRPr="00260464">
        <w:rPr>
          <w:bCs/>
          <w:i/>
          <w:iCs/>
          <w:color w:val="0000FF"/>
        </w:rPr>
        <w:t>,</w:t>
      </w:r>
    </w:p>
    <w:p w14:paraId="5D437979" w14:textId="77777777" w:rsidR="00EA350B" w:rsidRPr="00260464" w:rsidRDefault="00EA350B" w:rsidP="00B850AB">
      <w:pPr>
        <w:spacing w:line="360" w:lineRule="atLeast"/>
        <w:rPr>
          <w:bCs/>
          <w:i/>
          <w:iCs/>
        </w:rPr>
      </w:pPr>
      <w:proofErr w:type="spellStart"/>
      <w:r w:rsidRPr="00260464">
        <w:rPr>
          <w:bCs/>
          <w:i/>
          <w:iCs/>
        </w:rPr>
        <w:t>W</w:t>
      </w:r>
      <w:r w:rsidR="001B346A" w:rsidRPr="00260464">
        <w:rPr>
          <w:bCs/>
          <w:i/>
          <w:iCs/>
        </w:rPr>
        <w:t>o</w:t>
      </w:r>
      <w:proofErr w:type="spellEnd"/>
      <w:r w:rsidRPr="00260464">
        <w:rPr>
          <w:bCs/>
          <w:i/>
          <w:iCs/>
        </w:rPr>
        <w:t xml:space="preserve"> –</w:t>
      </w:r>
      <w:r w:rsidR="00BA739F" w:rsidRPr="00260464">
        <w:rPr>
          <w:bCs/>
          <w:i/>
          <w:iCs/>
        </w:rPr>
        <w:t xml:space="preserve"> </w:t>
      </w:r>
      <w:r w:rsidRPr="00260464">
        <w:rPr>
          <w:bCs/>
          <w:i/>
        </w:rPr>
        <w:t xml:space="preserve">wydatki ogółem. </w:t>
      </w:r>
    </w:p>
    <w:p w14:paraId="0097EFAD" w14:textId="77777777" w:rsidR="00EA350B" w:rsidRPr="00260464" w:rsidRDefault="00EA350B" w:rsidP="00B850AB">
      <w:pPr>
        <w:spacing w:before="240" w:after="120" w:line="360" w:lineRule="exact"/>
        <w:rPr>
          <w:bCs/>
        </w:rPr>
      </w:pPr>
      <w:r w:rsidRPr="00260464">
        <w:rPr>
          <w:bCs/>
        </w:rPr>
        <w:t>Wskaźnik</w:t>
      </w:r>
      <w:r w:rsidRPr="00260464">
        <w:rPr>
          <w:bCs/>
          <w:i/>
          <w:iCs/>
        </w:rPr>
        <w:t xml:space="preserve"> </w:t>
      </w:r>
      <w:r w:rsidR="001B346A" w:rsidRPr="00260464">
        <w:rPr>
          <w:bCs/>
          <w:i/>
          <w:iCs/>
        </w:rPr>
        <w:t>W</w:t>
      </w:r>
      <w:r w:rsidR="001B346A" w:rsidRPr="00260464">
        <w:rPr>
          <w:bCs/>
          <w:i/>
          <w:iCs/>
          <w:vertAlign w:val="subscript"/>
        </w:rPr>
        <w:t>B4</w:t>
      </w:r>
      <w:r w:rsidRPr="00260464">
        <w:rPr>
          <w:bCs/>
          <w:i/>
          <w:iCs/>
          <w:vertAlign w:val="subscript"/>
        </w:rPr>
        <w:t xml:space="preserve">  </w:t>
      </w:r>
      <w:r w:rsidRPr="00260464">
        <w:rPr>
          <w:bCs/>
        </w:rPr>
        <w:t>wskazuje</w:t>
      </w:r>
      <w:r w:rsidR="006F5A8D">
        <w:rPr>
          <w:bCs/>
        </w:rPr>
        <w:t>,</w:t>
      </w:r>
      <w:r w:rsidRPr="00260464">
        <w:rPr>
          <w:bCs/>
        </w:rPr>
        <w:t xml:space="preserve"> jaką cz</w:t>
      </w:r>
      <w:r w:rsidR="008D0983" w:rsidRPr="00260464">
        <w:rPr>
          <w:bCs/>
        </w:rPr>
        <w:t>ę</w:t>
      </w:r>
      <w:r w:rsidRPr="00260464">
        <w:rPr>
          <w:bCs/>
        </w:rPr>
        <w:t>ść wydatków ogółem stanowią wydatki majątkowe.</w:t>
      </w:r>
    </w:p>
    <w:p w14:paraId="5FD275B8" w14:textId="77777777" w:rsidR="00516CE2" w:rsidRPr="003C1574" w:rsidRDefault="00A442A8" w:rsidP="00BC22F5">
      <w:pPr>
        <w:pStyle w:val="Tekstpodstawowy2"/>
        <w:spacing w:before="480" w:after="120" w:line="360" w:lineRule="exact"/>
        <w:ind w:left="2160" w:hanging="2160"/>
        <w:rPr>
          <w:rFonts w:cs="Arial"/>
          <w:sz w:val="24"/>
          <w:szCs w:val="24"/>
        </w:rPr>
      </w:pPr>
      <w:r w:rsidRPr="003C1574">
        <w:rPr>
          <w:rFonts w:cs="Arial"/>
          <w:b/>
          <w:sz w:val="24"/>
          <w:szCs w:val="24"/>
        </w:rPr>
        <w:t xml:space="preserve">5. Wskaźnik </w:t>
      </w:r>
      <w:r w:rsidRPr="003C1574">
        <w:rPr>
          <w:rFonts w:cs="Arial"/>
          <w:b/>
          <w:bCs/>
          <w:i/>
          <w:iCs/>
          <w:sz w:val="24"/>
          <w:szCs w:val="24"/>
        </w:rPr>
        <w:t>W</w:t>
      </w:r>
      <w:r w:rsidRPr="003C1574">
        <w:rPr>
          <w:rFonts w:cs="Arial"/>
          <w:b/>
          <w:bCs/>
          <w:i/>
          <w:iCs/>
          <w:sz w:val="24"/>
          <w:szCs w:val="24"/>
          <w:vertAlign w:val="subscript"/>
        </w:rPr>
        <w:t>B5</w:t>
      </w:r>
      <w:r w:rsidRPr="00260464">
        <w:rPr>
          <w:rFonts w:cs="Arial"/>
          <w:sz w:val="24"/>
          <w:szCs w:val="24"/>
        </w:rPr>
        <w:t xml:space="preserve"> – Obciążenie wydatków bieżących wydatkami na wyn</w:t>
      </w:r>
      <w:r w:rsidR="00125CAA" w:rsidRPr="00260464">
        <w:rPr>
          <w:rFonts w:cs="Arial"/>
          <w:sz w:val="24"/>
          <w:szCs w:val="24"/>
        </w:rPr>
        <w:t>agrodzenia i </w:t>
      </w:r>
      <w:r w:rsidRPr="00260464">
        <w:rPr>
          <w:rFonts w:cs="Arial"/>
          <w:sz w:val="24"/>
          <w:szCs w:val="24"/>
        </w:rPr>
        <w:t>pochodne od wynagrodzeń</w:t>
      </w:r>
    </w:p>
    <w:p w14:paraId="27FB04B0" w14:textId="0B708C2E" w:rsidR="00D35A1D" w:rsidRPr="003C1574" w:rsidRDefault="005476CB" w:rsidP="003C1574">
      <w:pPr>
        <w:spacing w:before="360" w:after="360" w:line="240" w:lineRule="atLeast"/>
        <w:rPr>
          <w:i/>
        </w:rPr>
      </w:pPr>
      <w:r w:rsidRPr="00260464">
        <w:rPr>
          <w:i/>
        </w:rPr>
        <w:t>W</w:t>
      </w:r>
      <w:r w:rsidR="00B20FAB" w:rsidRPr="00B20FAB">
        <w:rPr>
          <w:i/>
          <w:vertAlign w:val="subscript"/>
        </w:rPr>
        <w:t xml:space="preserve"> </w:t>
      </w:r>
      <w:r w:rsidR="00B20FAB" w:rsidRPr="00260464">
        <w:rPr>
          <w:i/>
          <w:vertAlign w:val="subscript"/>
        </w:rPr>
        <w:t>B</w:t>
      </w:r>
      <w:r w:rsidR="00B20FAB">
        <w:rPr>
          <w:i/>
          <w:vertAlign w:val="subscript"/>
        </w:rPr>
        <w:t>5</w:t>
      </w:r>
      <w:r w:rsidRPr="003C1574">
        <w:rPr>
          <w:i/>
        </w:rPr>
        <w:t xml:space="preserve"> </w:t>
      </w:r>
      <w:r w:rsidRPr="00260464">
        <w:rPr>
          <w:i/>
        </w:rPr>
        <w:t>=</w:t>
      </w:r>
      <w:r w:rsidR="00B20FAB">
        <w:rPr>
          <w:i/>
        </w:rPr>
        <w:t xml:space="preserve"> </w:t>
      </w:r>
      <w:r w:rsidR="003C1574">
        <w:rPr>
          <w:i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Ww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Wb</m:t>
            </m:r>
          </m:den>
        </m:f>
      </m:oMath>
      <w:r w:rsidR="00304BF2" w:rsidRPr="00260464">
        <w:rPr>
          <w:i/>
        </w:rPr>
        <w:t>,</w:t>
      </w:r>
      <w:r w:rsidR="00FD2C56" w:rsidRPr="00260464">
        <w:rPr>
          <w:i/>
        </w:rPr>
        <w:t xml:space="preserve"> gdzie:</w:t>
      </w:r>
      <w:r w:rsidR="00D35A1D" w:rsidRPr="003C1574">
        <w:rPr>
          <w:i/>
        </w:rPr>
        <w:t xml:space="preserve"> </w:t>
      </w:r>
    </w:p>
    <w:p w14:paraId="63EFA801" w14:textId="63AC8261" w:rsidR="00D35A1D" w:rsidRPr="00260464" w:rsidRDefault="00D35A1D" w:rsidP="00B850AB">
      <w:pPr>
        <w:spacing w:line="360" w:lineRule="atLeast"/>
        <w:ind w:left="720" w:hanging="720"/>
        <w:rPr>
          <w:bCs/>
          <w:i/>
          <w:iCs/>
        </w:rPr>
      </w:pPr>
      <w:proofErr w:type="spellStart"/>
      <w:r w:rsidRPr="00260464">
        <w:rPr>
          <w:bCs/>
          <w:i/>
          <w:iCs/>
        </w:rPr>
        <w:t>W</w:t>
      </w:r>
      <w:r w:rsidR="00AE0084" w:rsidRPr="00260464">
        <w:rPr>
          <w:bCs/>
          <w:i/>
          <w:iCs/>
        </w:rPr>
        <w:t>w</w:t>
      </w:r>
      <w:proofErr w:type="spellEnd"/>
      <w:r w:rsidRPr="00260464">
        <w:rPr>
          <w:bCs/>
          <w:i/>
          <w:iCs/>
        </w:rPr>
        <w:t xml:space="preserve"> –</w:t>
      </w:r>
      <w:r w:rsidR="00845E66" w:rsidRPr="00260464">
        <w:rPr>
          <w:bCs/>
          <w:i/>
          <w:iCs/>
        </w:rPr>
        <w:t xml:space="preserve"> </w:t>
      </w:r>
      <w:r w:rsidRPr="00260464">
        <w:rPr>
          <w:bCs/>
          <w:i/>
          <w:iCs/>
        </w:rPr>
        <w:t xml:space="preserve">wydatki </w:t>
      </w:r>
      <w:r w:rsidR="00304BF2" w:rsidRPr="00260464">
        <w:rPr>
          <w:i/>
        </w:rPr>
        <w:t>na wynagrodzenia i pochodne od wynagrodze</w:t>
      </w:r>
      <w:r w:rsidR="007D5DF6">
        <w:rPr>
          <w:bCs/>
          <w:i/>
          <w:iCs/>
        </w:rPr>
        <w:t xml:space="preserve">ń </w:t>
      </w:r>
      <w:r w:rsidR="007D5DF6" w:rsidRPr="007D5DF6">
        <w:rPr>
          <w:bCs/>
          <w:i/>
          <w:iCs/>
        </w:rPr>
        <w:t>z wyłączeniem wynagrodzeń finansowanych lub współfinansowanych środkami, o których mowa w art. 5 ust. 1 pkt 2 i 3</w:t>
      </w:r>
      <w:r w:rsidR="007D5DF6">
        <w:rPr>
          <w:bCs/>
          <w:i/>
          <w:iCs/>
        </w:rPr>
        <w:t xml:space="preserve"> ustawy o finansach publicznych,</w:t>
      </w:r>
    </w:p>
    <w:p w14:paraId="7C0D26EB" w14:textId="77777777" w:rsidR="003D343D" w:rsidRDefault="00D35A1D" w:rsidP="003D343D">
      <w:pPr>
        <w:spacing w:after="100" w:afterAutospacing="1" w:line="320" w:lineRule="atLeast"/>
        <w:rPr>
          <w:bCs/>
          <w:i/>
        </w:rPr>
      </w:pPr>
      <w:proofErr w:type="spellStart"/>
      <w:r w:rsidRPr="00260464">
        <w:rPr>
          <w:bCs/>
          <w:i/>
          <w:iCs/>
        </w:rPr>
        <w:t>W</w:t>
      </w:r>
      <w:r w:rsidR="001B346A" w:rsidRPr="00260464">
        <w:rPr>
          <w:bCs/>
          <w:i/>
          <w:iCs/>
        </w:rPr>
        <w:t>b</w:t>
      </w:r>
      <w:proofErr w:type="spellEnd"/>
      <w:r w:rsidRPr="00260464">
        <w:rPr>
          <w:bCs/>
          <w:i/>
          <w:iCs/>
        </w:rPr>
        <w:t xml:space="preserve"> –</w:t>
      </w:r>
      <w:r w:rsidR="00845E66" w:rsidRPr="00260464">
        <w:rPr>
          <w:bCs/>
          <w:i/>
          <w:iCs/>
        </w:rPr>
        <w:t xml:space="preserve"> </w:t>
      </w:r>
      <w:r w:rsidRPr="00260464">
        <w:rPr>
          <w:bCs/>
          <w:i/>
        </w:rPr>
        <w:t xml:space="preserve">wydatki </w:t>
      </w:r>
      <w:r w:rsidR="00304BF2" w:rsidRPr="00260464">
        <w:rPr>
          <w:bCs/>
          <w:i/>
        </w:rPr>
        <w:t>bieżące (wydatki</w:t>
      </w:r>
      <w:r w:rsidR="00FB1B75">
        <w:rPr>
          <w:i/>
        </w:rPr>
        <w:t xml:space="preserve"> niebędące wydatkami</w:t>
      </w:r>
      <w:r w:rsidR="00304BF2" w:rsidRPr="00260464">
        <w:rPr>
          <w:i/>
        </w:rPr>
        <w:t xml:space="preserve"> majątkowymi)</w:t>
      </w:r>
      <w:r w:rsidRPr="00260464">
        <w:rPr>
          <w:bCs/>
          <w:i/>
        </w:rPr>
        <w:t xml:space="preserve">. </w:t>
      </w:r>
    </w:p>
    <w:p w14:paraId="1F9B0F8B" w14:textId="3C6DD0F0" w:rsidR="003D343D" w:rsidRPr="003D343D" w:rsidRDefault="003D343D" w:rsidP="003D343D">
      <w:pPr>
        <w:spacing w:before="120" w:after="120" w:line="360" w:lineRule="exact"/>
        <w:rPr>
          <w:bCs/>
        </w:rPr>
      </w:pPr>
      <w:r w:rsidRPr="00260464">
        <w:rPr>
          <w:bCs/>
        </w:rPr>
        <w:t>Wskaźnik</w:t>
      </w:r>
      <w:r w:rsidRPr="00260464">
        <w:rPr>
          <w:bCs/>
          <w:i/>
          <w:iCs/>
        </w:rPr>
        <w:t xml:space="preserve"> W</w:t>
      </w:r>
      <w:r>
        <w:rPr>
          <w:bCs/>
          <w:i/>
          <w:iCs/>
          <w:vertAlign w:val="subscript"/>
        </w:rPr>
        <w:t>B5</w:t>
      </w:r>
      <w:r w:rsidRPr="00260464">
        <w:rPr>
          <w:bCs/>
          <w:i/>
          <w:iCs/>
          <w:vertAlign w:val="subscript"/>
        </w:rPr>
        <w:t xml:space="preserve">  </w:t>
      </w:r>
      <w:r>
        <w:rPr>
          <w:bCs/>
        </w:rPr>
        <w:t>po</w:t>
      </w:r>
      <w:r w:rsidRPr="00260464">
        <w:rPr>
          <w:bCs/>
        </w:rPr>
        <w:t>kazuje</w:t>
      </w:r>
      <w:r>
        <w:rPr>
          <w:bCs/>
        </w:rPr>
        <w:t>,</w:t>
      </w:r>
      <w:r w:rsidRPr="00260464">
        <w:rPr>
          <w:bCs/>
        </w:rPr>
        <w:t xml:space="preserve"> jaką czę</w:t>
      </w:r>
      <w:r>
        <w:rPr>
          <w:bCs/>
        </w:rPr>
        <w:t>ść wydatków bieżących</w:t>
      </w:r>
      <w:r w:rsidRPr="00260464">
        <w:rPr>
          <w:bCs/>
        </w:rPr>
        <w:t xml:space="preserve"> </w:t>
      </w:r>
      <w:r w:rsidR="007D5DF6">
        <w:rPr>
          <w:bCs/>
        </w:rPr>
        <w:t xml:space="preserve">jednostki samorządu terytorialnego </w:t>
      </w:r>
      <w:r w:rsidRPr="00260464">
        <w:rPr>
          <w:bCs/>
        </w:rPr>
        <w:t xml:space="preserve">stanowią wydatki </w:t>
      </w:r>
      <w:r w:rsidRPr="003D343D">
        <w:rPr>
          <w:bCs/>
        </w:rPr>
        <w:t>na wynagrodzenia i pochodne od wynagrodzeń</w:t>
      </w:r>
      <w:r w:rsidRPr="00260464">
        <w:rPr>
          <w:bCs/>
        </w:rPr>
        <w:t>.</w:t>
      </w:r>
    </w:p>
    <w:p w14:paraId="1AAFF8E0" w14:textId="77777777" w:rsidR="00513367" w:rsidRPr="00260464" w:rsidRDefault="00513367" w:rsidP="00BC22F5">
      <w:pPr>
        <w:pStyle w:val="Tekstpodstawowy2"/>
        <w:spacing w:before="480" w:after="120" w:line="360" w:lineRule="exact"/>
        <w:ind w:left="2160" w:hanging="2160"/>
        <w:rPr>
          <w:rFonts w:cs="Arial"/>
          <w:sz w:val="24"/>
          <w:szCs w:val="24"/>
        </w:rPr>
      </w:pPr>
      <w:r w:rsidRPr="003C1574">
        <w:rPr>
          <w:rFonts w:cs="Arial"/>
          <w:b/>
          <w:sz w:val="24"/>
          <w:szCs w:val="24"/>
        </w:rPr>
        <w:t xml:space="preserve">6. Wskaźnik </w:t>
      </w:r>
      <w:r w:rsidRPr="003C1574">
        <w:rPr>
          <w:rFonts w:cs="Arial"/>
          <w:b/>
          <w:bCs/>
          <w:i/>
          <w:iCs/>
          <w:sz w:val="24"/>
          <w:szCs w:val="24"/>
        </w:rPr>
        <w:t>W</w:t>
      </w:r>
      <w:r w:rsidRPr="003C1574">
        <w:rPr>
          <w:rFonts w:cs="Arial"/>
          <w:b/>
          <w:bCs/>
          <w:i/>
          <w:iCs/>
          <w:sz w:val="24"/>
          <w:szCs w:val="24"/>
          <w:vertAlign w:val="subscript"/>
        </w:rPr>
        <w:t>B6</w:t>
      </w:r>
      <w:r w:rsidRPr="00260464">
        <w:rPr>
          <w:rFonts w:cs="Arial"/>
          <w:sz w:val="24"/>
          <w:szCs w:val="24"/>
        </w:rPr>
        <w:t xml:space="preserve"> – </w:t>
      </w:r>
      <w:r w:rsidR="00A82C2E" w:rsidRPr="00260464">
        <w:rPr>
          <w:rFonts w:cs="Arial"/>
          <w:sz w:val="24"/>
          <w:szCs w:val="24"/>
        </w:rPr>
        <w:t xml:space="preserve">Udział nadwyżki operacyjnej i dochodów ze sprzedaży </w:t>
      </w:r>
      <w:r w:rsidR="00125CAA" w:rsidRPr="00260464">
        <w:rPr>
          <w:rFonts w:cs="Arial"/>
          <w:sz w:val="24"/>
          <w:szCs w:val="24"/>
        </w:rPr>
        <w:t xml:space="preserve">majątku </w:t>
      </w:r>
      <w:r w:rsidR="00125CAA" w:rsidRPr="00260464">
        <w:t>w </w:t>
      </w:r>
      <w:r w:rsidR="00A82C2E" w:rsidRPr="00260464">
        <w:t>dochodach</w:t>
      </w:r>
      <w:r w:rsidR="00A82C2E" w:rsidRPr="00260464">
        <w:rPr>
          <w:rFonts w:cs="Arial"/>
          <w:sz w:val="24"/>
          <w:szCs w:val="24"/>
        </w:rPr>
        <w:t xml:space="preserve"> ogółem</w:t>
      </w:r>
    </w:p>
    <w:p w14:paraId="6BEB77BF" w14:textId="6C12AFA8" w:rsidR="00FD2C56" w:rsidRPr="00260464" w:rsidRDefault="00F80BA7" w:rsidP="003C1574">
      <w:pPr>
        <w:spacing w:before="360" w:after="360" w:line="240" w:lineRule="atLeast"/>
        <w:rPr>
          <w:i/>
        </w:rPr>
      </w:pPr>
      <w:r w:rsidRPr="00260464">
        <w:rPr>
          <w:i/>
        </w:rPr>
        <w:t>W</w:t>
      </w:r>
      <w:r w:rsidR="00B20FAB" w:rsidRPr="00B20FAB">
        <w:rPr>
          <w:i/>
          <w:vertAlign w:val="subscript"/>
        </w:rPr>
        <w:t xml:space="preserve"> </w:t>
      </w:r>
      <w:r w:rsidR="00B20FAB" w:rsidRPr="00260464">
        <w:rPr>
          <w:i/>
          <w:vertAlign w:val="subscript"/>
        </w:rPr>
        <w:t>B</w:t>
      </w:r>
      <w:r w:rsidR="00B20FAB">
        <w:rPr>
          <w:i/>
          <w:vertAlign w:val="subscript"/>
        </w:rPr>
        <w:t>6</w:t>
      </w:r>
      <w:r w:rsidRPr="003C1574">
        <w:rPr>
          <w:i/>
        </w:rPr>
        <w:t xml:space="preserve">  </w:t>
      </w:r>
      <w:r w:rsidRPr="00260464">
        <w:rPr>
          <w:i/>
        </w:rPr>
        <w:t>=</w:t>
      </w:r>
      <w:r w:rsidR="00B20FAB">
        <w:rPr>
          <w:i/>
        </w:rPr>
        <w:t xml:space="preserve"> </w:t>
      </w:r>
      <w:r w:rsidRPr="003C1574">
        <w:rPr>
          <w:i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No+Sm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Do</m:t>
            </m:r>
          </m:den>
        </m:f>
      </m:oMath>
      <w:r w:rsidR="003C1574" w:rsidRPr="003C1574">
        <w:rPr>
          <w:i/>
        </w:rPr>
        <w:t>,</w:t>
      </w:r>
      <w:r w:rsidR="00FD2C56" w:rsidRPr="00260464">
        <w:rPr>
          <w:i/>
        </w:rPr>
        <w:t xml:space="preserve"> gdzie: </w:t>
      </w:r>
    </w:p>
    <w:p w14:paraId="435DDA70" w14:textId="77777777" w:rsidR="00513367" w:rsidRPr="00260464" w:rsidRDefault="00513367" w:rsidP="00B850AB">
      <w:pPr>
        <w:spacing w:line="360" w:lineRule="atLeast"/>
        <w:rPr>
          <w:bCs/>
          <w:i/>
          <w:iCs/>
        </w:rPr>
      </w:pPr>
      <w:r w:rsidRPr="00260464">
        <w:rPr>
          <w:bCs/>
          <w:i/>
          <w:iCs/>
        </w:rPr>
        <w:t>Do –</w:t>
      </w:r>
      <w:r w:rsidR="00CC1EE9" w:rsidRPr="00260464">
        <w:rPr>
          <w:bCs/>
          <w:i/>
          <w:iCs/>
        </w:rPr>
        <w:t xml:space="preserve"> </w:t>
      </w:r>
      <w:r w:rsidRPr="00260464">
        <w:rPr>
          <w:bCs/>
          <w:i/>
          <w:iCs/>
        </w:rPr>
        <w:t>dochody ogółem</w:t>
      </w:r>
      <w:r w:rsidR="00994D89">
        <w:rPr>
          <w:bCs/>
          <w:i/>
          <w:iCs/>
        </w:rPr>
        <w:t>;</w:t>
      </w:r>
    </w:p>
    <w:p w14:paraId="0291E4DD" w14:textId="77777777" w:rsidR="00513367" w:rsidRPr="00260464" w:rsidRDefault="00513367" w:rsidP="00B850AB">
      <w:pPr>
        <w:pStyle w:val="Tekstpodstawowy2"/>
        <w:spacing w:line="360" w:lineRule="exact"/>
        <w:rPr>
          <w:rFonts w:cs="Arial"/>
          <w:i/>
          <w:sz w:val="24"/>
          <w:szCs w:val="24"/>
        </w:rPr>
      </w:pPr>
      <w:r w:rsidRPr="00260464">
        <w:rPr>
          <w:rFonts w:cs="Arial"/>
          <w:i/>
          <w:sz w:val="24"/>
          <w:szCs w:val="24"/>
        </w:rPr>
        <w:t>Sm – dochody z</w:t>
      </w:r>
      <w:r w:rsidR="003359CB" w:rsidRPr="00260464">
        <w:rPr>
          <w:rFonts w:cs="Arial"/>
          <w:i/>
          <w:sz w:val="24"/>
          <w:szCs w:val="24"/>
        </w:rPr>
        <w:t>e</w:t>
      </w:r>
      <w:r w:rsidRPr="00260464">
        <w:rPr>
          <w:rFonts w:cs="Arial"/>
          <w:i/>
          <w:sz w:val="24"/>
          <w:szCs w:val="24"/>
        </w:rPr>
        <w:t xml:space="preserve"> </w:t>
      </w:r>
      <w:r w:rsidR="003359CB" w:rsidRPr="00260464">
        <w:rPr>
          <w:rFonts w:cs="Arial"/>
          <w:i/>
          <w:sz w:val="24"/>
          <w:szCs w:val="24"/>
        </w:rPr>
        <w:t xml:space="preserve">sprzedaży </w:t>
      </w:r>
      <w:r w:rsidRPr="00260464">
        <w:rPr>
          <w:rFonts w:cs="Arial"/>
          <w:i/>
          <w:sz w:val="24"/>
          <w:szCs w:val="24"/>
        </w:rPr>
        <w:t>majątku</w:t>
      </w:r>
      <w:r w:rsidR="00994D89">
        <w:rPr>
          <w:rFonts w:cs="Arial"/>
          <w:i/>
          <w:sz w:val="24"/>
          <w:szCs w:val="24"/>
        </w:rPr>
        <w:t>;</w:t>
      </w:r>
    </w:p>
    <w:p w14:paraId="3205B486" w14:textId="77777777" w:rsidR="00513367" w:rsidRPr="00260464" w:rsidRDefault="00513367" w:rsidP="00B850AB">
      <w:pPr>
        <w:spacing w:line="360" w:lineRule="atLeast"/>
        <w:rPr>
          <w:bCs/>
          <w:i/>
          <w:iCs/>
        </w:rPr>
      </w:pPr>
      <w:r w:rsidRPr="00260464">
        <w:rPr>
          <w:bCs/>
          <w:i/>
          <w:iCs/>
        </w:rPr>
        <w:t>No – nadwyżka operacyjna.</w:t>
      </w:r>
    </w:p>
    <w:p w14:paraId="1FEB420A" w14:textId="77777777" w:rsidR="00196F82" w:rsidRPr="00260464" w:rsidRDefault="00196F82" w:rsidP="00B850AB">
      <w:pPr>
        <w:pStyle w:val="Tekstpodstawowy2"/>
        <w:spacing w:before="240" w:after="120" w:line="360" w:lineRule="exact"/>
        <w:rPr>
          <w:rFonts w:cs="Arial"/>
          <w:sz w:val="24"/>
          <w:szCs w:val="24"/>
        </w:rPr>
      </w:pPr>
      <w:r w:rsidRPr="00260464">
        <w:rPr>
          <w:rFonts w:cs="Arial"/>
          <w:bCs/>
          <w:sz w:val="24"/>
          <w:szCs w:val="24"/>
        </w:rPr>
        <w:lastRenderedPageBreak/>
        <w:t>Wskaźnik</w:t>
      </w:r>
      <w:r w:rsidRPr="00260464">
        <w:rPr>
          <w:rFonts w:cs="Arial"/>
          <w:bCs/>
          <w:i/>
          <w:iCs/>
          <w:sz w:val="24"/>
          <w:szCs w:val="24"/>
        </w:rPr>
        <w:t xml:space="preserve"> W</w:t>
      </w:r>
      <w:r w:rsidRPr="00260464">
        <w:rPr>
          <w:rFonts w:cs="Arial"/>
          <w:bCs/>
          <w:i/>
          <w:iCs/>
          <w:sz w:val="24"/>
          <w:szCs w:val="24"/>
          <w:vertAlign w:val="subscript"/>
        </w:rPr>
        <w:t>B6</w:t>
      </w:r>
      <w:r w:rsidRPr="00260464">
        <w:rPr>
          <w:rFonts w:cs="Arial"/>
          <w:bCs/>
          <w:sz w:val="24"/>
          <w:szCs w:val="24"/>
        </w:rPr>
        <w:t xml:space="preserve"> wskazuje udział nadwyżki operacyjnej powiększonej o dochod</w:t>
      </w:r>
      <w:r w:rsidR="001F1BCD">
        <w:rPr>
          <w:rFonts w:cs="Arial"/>
          <w:bCs/>
          <w:sz w:val="24"/>
          <w:szCs w:val="24"/>
        </w:rPr>
        <w:t>y ze </w:t>
      </w:r>
      <w:r w:rsidRPr="00260464">
        <w:rPr>
          <w:rFonts w:cs="Arial"/>
          <w:bCs/>
          <w:sz w:val="24"/>
          <w:szCs w:val="24"/>
        </w:rPr>
        <w:t>sprzedaży majątku</w:t>
      </w:r>
      <w:r w:rsidR="008D0983" w:rsidRPr="00260464">
        <w:rPr>
          <w:rFonts w:cs="Arial"/>
          <w:bCs/>
          <w:sz w:val="24"/>
          <w:szCs w:val="24"/>
        </w:rPr>
        <w:t xml:space="preserve"> w dochodach ogółem.</w:t>
      </w:r>
    </w:p>
    <w:p w14:paraId="1F513D72" w14:textId="77777777" w:rsidR="0050578C" w:rsidRPr="00260464" w:rsidRDefault="0050578C" w:rsidP="00B850AB">
      <w:pPr>
        <w:pStyle w:val="Tekstpodstawowy2"/>
        <w:spacing w:before="120" w:after="120" w:line="360" w:lineRule="exact"/>
        <w:rPr>
          <w:rFonts w:cs="Arial"/>
          <w:sz w:val="24"/>
          <w:szCs w:val="24"/>
        </w:rPr>
      </w:pPr>
      <w:r w:rsidRPr="00260464">
        <w:rPr>
          <w:rFonts w:cs="Arial"/>
          <w:sz w:val="24"/>
          <w:szCs w:val="24"/>
        </w:rPr>
        <w:t>Ujemn</w:t>
      </w:r>
      <w:r w:rsidR="000930FF" w:rsidRPr="00260464">
        <w:rPr>
          <w:rFonts w:cs="Arial"/>
          <w:sz w:val="24"/>
          <w:szCs w:val="24"/>
        </w:rPr>
        <w:t>a</w:t>
      </w:r>
      <w:r w:rsidRPr="00260464">
        <w:rPr>
          <w:rFonts w:cs="Arial"/>
          <w:sz w:val="24"/>
          <w:szCs w:val="24"/>
        </w:rPr>
        <w:t xml:space="preserve"> wartoś</w:t>
      </w:r>
      <w:r w:rsidR="00DD0B21" w:rsidRPr="00260464">
        <w:rPr>
          <w:bCs/>
          <w:sz w:val="24"/>
          <w:szCs w:val="24"/>
        </w:rPr>
        <w:t>ć</w:t>
      </w:r>
      <w:r w:rsidRPr="00260464">
        <w:rPr>
          <w:rFonts w:cs="Arial"/>
          <w:sz w:val="24"/>
          <w:szCs w:val="24"/>
        </w:rPr>
        <w:t xml:space="preserve"> wskaźnika wskazuj</w:t>
      </w:r>
      <w:r w:rsidR="008D0983" w:rsidRPr="00260464">
        <w:rPr>
          <w:rFonts w:cs="Arial"/>
          <w:sz w:val="24"/>
          <w:szCs w:val="24"/>
        </w:rPr>
        <w:t>e</w:t>
      </w:r>
      <w:r w:rsidRPr="00260464">
        <w:rPr>
          <w:rFonts w:cs="Arial"/>
          <w:sz w:val="24"/>
          <w:szCs w:val="24"/>
        </w:rPr>
        <w:t>, że jednostk</w:t>
      </w:r>
      <w:r w:rsidR="000930FF" w:rsidRPr="00260464">
        <w:rPr>
          <w:rFonts w:cs="Arial"/>
          <w:sz w:val="24"/>
          <w:szCs w:val="24"/>
        </w:rPr>
        <w:t>a</w:t>
      </w:r>
      <w:r w:rsidR="00B10909">
        <w:rPr>
          <w:rFonts w:cs="Arial"/>
          <w:sz w:val="24"/>
          <w:szCs w:val="24"/>
        </w:rPr>
        <w:t xml:space="preserve"> samorządu terytorialnego nie </w:t>
      </w:r>
      <w:r w:rsidRPr="00260464">
        <w:rPr>
          <w:rFonts w:cs="Arial"/>
          <w:sz w:val="24"/>
          <w:szCs w:val="24"/>
        </w:rPr>
        <w:t>wypracowuj</w:t>
      </w:r>
      <w:r w:rsidR="008D0983" w:rsidRPr="00260464">
        <w:rPr>
          <w:rFonts w:cs="Arial"/>
          <w:sz w:val="24"/>
          <w:szCs w:val="24"/>
        </w:rPr>
        <w:t>e</w:t>
      </w:r>
      <w:r w:rsidRPr="00260464">
        <w:rPr>
          <w:rFonts w:cs="Arial"/>
          <w:sz w:val="24"/>
          <w:szCs w:val="24"/>
        </w:rPr>
        <w:t xml:space="preserve"> nadwyżki operacyjnej</w:t>
      </w:r>
      <w:r w:rsidR="008D0983" w:rsidRPr="00260464">
        <w:rPr>
          <w:rFonts w:cs="Arial"/>
          <w:sz w:val="24"/>
          <w:szCs w:val="24"/>
        </w:rPr>
        <w:t>,</w:t>
      </w:r>
      <w:r w:rsidR="009336CE" w:rsidRPr="00260464">
        <w:rPr>
          <w:rFonts w:cs="Arial"/>
          <w:sz w:val="24"/>
          <w:szCs w:val="24"/>
        </w:rPr>
        <w:t xml:space="preserve"> </w:t>
      </w:r>
      <w:r w:rsidR="00D55586" w:rsidRPr="00260464">
        <w:rPr>
          <w:rFonts w:cs="Arial"/>
          <w:sz w:val="24"/>
          <w:szCs w:val="24"/>
        </w:rPr>
        <w:t>a osiągnięte d</w:t>
      </w:r>
      <w:r w:rsidR="00B10909">
        <w:rPr>
          <w:rFonts w:cs="Arial"/>
          <w:sz w:val="24"/>
          <w:szCs w:val="24"/>
        </w:rPr>
        <w:t>ochody ze sprzedaży majątku nie </w:t>
      </w:r>
      <w:r w:rsidR="00D55586" w:rsidRPr="00260464">
        <w:rPr>
          <w:rFonts w:cs="Arial"/>
          <w:sz w:val="24"/>
          <w:szCs w:val="24"/>
        </w:rPr>
        <w:t xml:space="preserve">wystarczają na pokrycie </w:t>
      </w:r>
      <w:r w:rsidR="005751F2" w:rsidRPr="00260464">
        <w:rPr>
          <w:rFonts w:cs="Arial"/>
          <w:sz w:val="24"/>
          <w:szCs w:val="24"/>
        </w:rPr>
        <w:t>deficytu operacyjnego.</w:t>
      </w:r>
    </w:p>
    <w:p w14:paraId="0AAF00A7" w14:textId="49AAE0A1" w:rsidR="00113414" w:rsidRPr="0001334F" w:rsidRDefault="002A768F" w:rsidP="00BC22F5">
      <w:pPr>
        <w:pStyle w:val="Tekstpodstawowy2"/>
        <w:spacing w:before="480" w:after="240" w:line="360" w:lineRule="exact"/>
        <w:ind w:left="1979" w:hanging="1979"/>
        <w:rPr>
          <w:rFonts w:cs="Arial"/>
          <w:sz w:val="24"/>
          <w:szCs w:val="24"/>
        </w:rPr>
      </w:pPr>
      <w:r w:rsidRPr="00260464">
        <w:rPr>
          <w:rFonts w:cs="Arial"/>
          <w:b/>
          <w:sz w:val="24"/>
          <w:szCs w:val="24"/>
        </w:rPr>
        <w:t xml:space="preserve">7. Wskaźnik </w:t>
      </w:r>
      <w:r w:rsidRPr="00260464">
        <w:rPr>
          <w:rFonts w:cs="Arial"/>
          <w:b/>
          <w:bCs/>
          <w:i/>
          <w:iCs/>
          <w:sz w:val="24"/>
          <w:szCs w:val="24"/>
        </w:rPr>
        <w:t>W</w:t>
      </w:r>
      <w:r w:rsidRPr="00260464">
        <w:rPr>
          <w:rFonts w:cs="Arial"/>
          <w:b/>
          <w:bCs/>
          <w:i/>
          <w:iCs/>
          <w:sz w:val="24"/>
          <w:szCs w:val="24"/>
          <w:vertAlign w:val="subscript"/>
        </w:rPr>
        <w:t>B7</w:t>
      </w:r>
      <w:r w:rsidRPr="00260464">
        <w:rPr>
          <w:rFonts w:cs="Arial"/>
          <w:sz w:val="24"/>
          <w:szCs w:val="24"/>
        </w:rPr>
        <w:t xml:space="preserve"> – </w:t>
      </w:r>
      <w:r w:rsidR="00113414" w:rsidRPr="00260464">
        <w:rPr>
          <w:rFonts w:cs="Arial"/>
          <w:sz w:val="24"/>
          <w:szCs w:val="24"/>
        </w:rPr>
        <w:t xml:space="preserve"> </w:t>
      </w:r>
      <w:r w:rsidR="006F1317" w:rsidRPr="0001334F">
        <w:rPr>
          <w:rFonts w:cs="Arial"/>
          <w:sz w:val="24"/>
          <w:szCs w:val="24"/>
        </w:rPr>
        <w:t xml:space="preserve">Udział </w:t>
      </w:r>
      <w:r w:rsidR="006F1317" w:rsidRPr="006E4F4C">
        <w:rPr>
          <w:color w:val="000000"/>
          <w:sz w:val="24"/>
          <w:szCs w:val="24"/>
        </w:rPr>
        <w:t>nadwyżki operac</w:t>
      </w:r>
      <w:r w:rsidR="00BC22F5">
        <w:rPr>
          <w:color w:val="000000"/>
          <w:sz w:val="24"/>
          <w:szCs w:val="24"/>
        </w:rPr>
        <w:t>yjnej i dochodów majątkowych w  </w:t>
      </w:r>
      <w:r w:rsidR="006F1317" w:rsidRPr="006E4F4C">
        <w:rPr>
          <w:color w:val="000000"/>
          <w:sz w:val="24"/>
          <w:szCs w:val="24"/>
        </w:rPr>
        <w:t>wydatkach majątkowych (</w:t>
      </w:r>
      <w:r w:rsidR="006F1317" w:rsidRPr="0001334F">
        <w:rPr>
          <w:rFonts w:cs="Arial"/>
          <w:sz w:val="24"/>
          <w:szCs w:val="24"/>
        </w:rPr>
        <w:t>w</w:t>
      </w:r>
      <w:r w:rsidR="00252413" w:rsidRPr="0001334F">
        <w:rPr>
          <w:rFonts w:cs="Arial"/>
          <w:sz w:val="24"/>
          <w:szCs w:val="24"/>
        </w:rPr>
        <w:t xml:space="preserve">skaźnik </w:t>
      </w:r>
      <w:r w:rsidR="00113414" w:rsidRPr="0001334F">
        <w:rPr>
          <w:rFonts w:cs="Arial"/>
          <w:sz w:val="24"/>
          <w:szCs w:val="24"/>
        </w:rPr>
        <w:t>samofinansowania</w:t>
      </w:r>
      <w:r w:rsidR="006F1317" w:rsidRPr="0001334F">
        <w:rPr>
          <w:rFonts w:cs="Arial"/>
          <w:sz w:val="24"/>
          <w:szCs w:val="24"/>
        </w:rPr>
        <w:t>)</w:t>
      </w:r>
    </w:p>
    <w:p w14:paraId="76B8D005" w14:textId="77777777" w:rsidR="00E00121" w:rsidRPr="00260464" w:rsidRDefault="00113414" w:rsidP="00B850AB">
      <w:pPr>
        <w:pStyle w:val="Tekstpodstawowy2"/>
        <w:spacing w:before="120" w:after="120" w:line="240" w:lineRule="atLeast"/>
        <w:rPr>
          <w:rFonts w:cs="Arial"/>
          <w:i/>
          <w:sz w:val="24"/>
          <w:szCs w:val="24"/>
        </w:rPr>
      </w:pPr>
      <w:r w:rsidRPr="00260464">
        <w:rPr>
          <w:rFonts w:cs="Arial"/>
          <w:i/>
          <w:sz w:val="24"/>
          <w:szCs w:val="24"/>
        </w:rPr>
        <w:t>W</w:t>
      </w:r>
      <w:r w:rsidRPr="00260464">
        <w:rPr>
          <w:rFonts w:cs="Arial"/>
          <w:i/>
          <w:sz w:val="24"/>
          <w:szCs w:val="24"/>
          <w:vertAlign w:val="subscript"/>
        </w:rPr>
        <w:t>B</w:t>
      </w:r>
      <w:r w:rsidR="003A68BC" w:rsidRPr="00260464">
        <w:rPr>
          <w:rFonts w:cs="Arial"/>
          <w:i/>
          <w:sz w:val="24"/>
          <w:szCs w:val="24"/>
          <w:vertAlign w:val="subscript"/>
        </w:rPr>
        <w:t>7</w:t>
      </w:r>
      <w:r w:rsidRPr="00260464">
        <w:rPr>
          <w:rFonts w:cs="Arial"/>
          <w:i/>
          <w:sz w:val="24"/>
          <w:szCs w:val="24"/>
          <w:vertAlign w:val="subscript"/>
        </w:rPr>
        <w:t xml:space="preserve">  </w:t>
      </w:r>
      <w:r w:rsidRPr="00260464">
        <w:rPr>
          <w:rFonts w:cs="Arial"/>
          <w:i/>
          <w:sz w:val="24"/>
          <w:szCs w:val="24"/>
        </w:rPr>
        <w:t>=</w:t>
      </w:r>
      <w:r w:rsidR="003C1574">
        <w:rPr>
          <w:rFonts w:cs="Arial"/>
          <w:i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No+Dm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Wm</m:t>
            </m:r>
          </m:den>
        </m:f>
      </m:oMath>
      <w:r w:rsidR="00242C63">
        <w:rPr>
          <w:rFonts w:cs="Arial"/>
          <w:sz w:val="24"/>
          <w:szCs w:val="24"/>
        </w:rPr>
        <w:t>,</w:t>
      </w:r>
      <w:r w:rsidR="00E00121" w:rsidRPr="00260464">
        <w:rPr>
          <w:rFonts w:cs="Arial"/>
          <w:sz w:val="24"/>
          <w:szCs w:val="24"/>
        </w:rPr>
        <w:t xml:space="preserve"> </w:t>
      </w:r>
      <w:r w:rsidR="00E00121" w:rsidRPr="00260464">
        <w:rPr>
          <w:rFonts w:cs="Arial"/>
          <w:i/>
          <w:sz w:val="24"/>
          <w:szCs w:val="24"/>
        </w:rPr>
        <w:t xml:space="preserve">gdzie: </w:t>
      </w:r>
    </w:p>
    <w:p w14:paraId="2B11495A" w14:textId="77777777" w:rsidR="00E00121" w:rsidRPr="00260464" w:rsidRDefault="00E00121" w:rsidP="00B850AB">
      <w:pPr>
        <w:pStyle w:val="Tekstpodstawowy2"/>
        <w:spacing w:line="360" w:lineRule="exact"/>
        <w:rPr>
          <w:rFonts w:cs="Arial"/>
          <w:i/>
          <w:sz w:val="24"/>
          <w:szCs w:val="24"/>
        </w:rPr>
      </w:pPr>
      <w:proofErr w:type="spellStart"/>
      <w:r w:rsidRPr="00260464">
        <w:rPr>
          <w:rFonts w:cs="Arial"/>
          <w:i/>
          <w:sz w:val="24"/>
          <w:szCs w:val="24"/>
        </w:rPr>
        <w:t>Dm</w:t>
      </w:r>
      <w:proofErr w:type="spellEnd"/>
      <w:r w:rsidRPr="00260464">
        <w:rPr>
          <w:rFonts w:cs="Arial"/>
          <w:i/>
          <w:sz w:val="24"/>
          <w:szCs w:val="24"/>
        </w:rPr>
        <w:t xml:space="preserve"> – dochody majątkowe;</w:t>
      </w:r>
    </w:p>
    <w:p w14:paraId="5137CD26" w14:textId="77777777" w:rsidR="00E00121" w:rsidRPr="00260464" w:rsidRDefault="00E00121" w:rsidP="00B850AB">
      <w:pPr>
        <w:spacing w:line="360" w:lineRule="atLeast"/>
        <w:rPr>
          <w:bCs/>
          <w:i/>
          <w:iCs/>
        </w:rPr>
      </w:pPr>
      <w:r w:rsidRPr="00260464">
        <w:rPr>
          <w:bCs/>
          <w:i/>
          <w:iCs/>
        </w:rPr>
        <w:t>No – nadwyżka operacyjna;</w:t>
      </w:r>
    </w:p>
    <w:p w14:paraId="64C60145" w14:textId="77777777" w:rsidR="00E00121" w:rsidRPr="00260464" w:rsidRDefault="00E00121" w:rsidP="00B850AB">
      <w:pPr>
        <w:spacing w:line="360" w:lineRule="atLeast"/>
        <w:rPr>
          <w:bCs/>
          <w:i/>
          <w:iCs/>
        </w:rPr>
      </w:pPr>
      <w:proofErr w:type="spellStart"/>
      <w:r w:rsidRPr="00260464">
        <w:rPr>
          <w:bCs/>
          <w:i/>
          <w:iCs/>
        </w:rPr>
        <w:t>Wm</w:t>
      </w:r>
      <w:proofErr w:type="spellEnd"/>
      <w:r w:rsidRPr="00260464">
        <w:rPr>
          <w:bCs/>
          <w:i/>
          <w:iCs/>
        </w:rPr>
        <w:t xml:space="preserve"> – wydatki majątkowe.</w:t>
      </w:r>
    </w:p>
    <w:p w14:paraId="1B2BA56F" w14:textId="77777777" w:rsidR="00A77542" w:rsidRDefault="00A77542" w:rsidP="00B850AB">
      <w:pPr>
        <w:spacing w:before="360" w:line="360" w:lineRule="atLeast"/>
        <w:rPr>
          <w:bCs/>
        </w:rPr>
      </w:pPr>
      <w:r w:rsidRPr="00260464">
        <w:rPr>
          <w:bCs/>
        </w:rPr>
        <w:t xml:space="preserve">Wartość wskaźnika </w:t>
      </w:r>
      <w:r w:rsidRPr="00260464">
        <w:rPr>
          <w:bCs/>
          <w:i/>
          <w:iCs/>
        </w:rPr>
        <w:t>W</w:t>
      </w:r>
      <w:r w:rsidRPr="00260464">
        <w:rPr>
          <w:bCs/>
          <w:i/>
          <w:iCs/>
          <w:vertAlign w:val="subscript"/>
        </w:rPr>
        <w:t>B7</w:t>
      </w:r>
      <w:r w:rsidRPr="00260464">
        <w:rPr>
          <w:bCs/>
        </w:rPr>
        <w:t xml:space="preserve"> </w:t>
      </w:r>
      <w:r w:rsidR="00B30101">
        <w:rPr>
          <w:bCs/>
        </w:rPr>
        <w:t>wskaz</w:t>
      </w:r>
      <w:r w:rsidRPr="00260464">
        <w:rPr>
          <w:bCs/>
        </w:rPr>
        <w:t>uje stopień</w:t>
      </w:r>
      <w:r w:rsidR="00FE3D1D">
        <w:rPr>
          <w:bCs/>
        </w:rPr>
        <w:t>,</w:t>
      </w:r>
      <w:r w:rsidRPr="00260464">
        <w:rPr>
          <w:bCs/>
        </w:rPr>
        <w:t xml:space="preserve"> w jakim jednostka samorządu terytorialnego finansuje inwestycje środkami własnymi, czyli z</w:t>
      </w:r>
      <w:r w:rsidR="00904FBB">
        <w:rPr>
          <w:bCs/>
        </w:rPr>
        <w:t>dolność do samofinansowania. Im</w:t>
      </w:r>
      <w:r w:rsidR="0021669A">
        <w:rPr>
          <w:bCs/>
        </w:rPr>
        <w:t xml:space="preserve"> </w:t>
      </w:r>
      <w:r w:rsidRPr="00260464">
        <w:rPr>
          <w:bCs/>
        </w:rPr>
        <w:t>wyższa jest ta relacja</w:t>
      </w:r>
      <w:r w:rsidR="00FE3D1D">
        <w:rPr>
          <w:bCs/>
        </w:rPr>
        <w:t>,</w:t>
      </w:r>
      <w:r w:rsidRPr="00260464">
        <w:rPr>
          <w:bCs/>
        </w:rPr>
        <w:t xml:space="preserve"> tym mniejsze ryzyk</w:t>
      </w:r>
      <w:r w:rsidR="00411B72">
        <w:rPr>
          <w:bCs/>
        </w:rPr>
        <w:t>o utraty płynności finansowej w</w:t>
      </w:r>
      <w:r w:rsidR="0021669A">
        <w:rPr>
          <w:bCs/>
        </w:rPr>
        <w:t xml:space="preserve"> </w:t>
      </w:r>
      <w:r w:rsidRPr="00260464">
        <w:rPr>
          <w:bCs/>
        </w:rPr>
        <w:t>związku</w:t>
      </w:r>
      <w:r w:rsidR="0021669A">
        <w:rPr>
          <w:bCs/>
        </w:rPr>
        <w:t xml:space="preserve"> </w:t>
      </w:r>
      <w:r w:rsidR="00904FBB">
        <w:rPr>
          <w:bCs/>
        </w:rPr>
        <w:t>z</w:t>
      </w:r>
      <w:r w:rsidR="0021669A">
        <w:rPr>
          <w:bCs/>
        </w:rPr>
        <w:t xml:space="preserve"> </w:t>
      </w:r>
      <w:r w:rsidRPr="00260464">
        <w:rPr>
          <w:bCs/>
        </w:rPr>
        <w:t>nadmiernymi kosztami obsługi zadłużenia</w:t>
      </w:r>
      <w:r w:rsidR="00FE3D1D">
        <w:rPr>
          <w:bCs/>
        </w:rPr>
        <w:t>;</w:t>
      </w:r>
      <w:r w:rsidRPr="00260464">
        <w:rPr>
          <w:bCs/>
        </w:rPr>
        <w:t xml:space="preserve"> jednak jego wysoka wartość może również świadczyć o niskim poziomie realizo</w:t>
      </w:r>
      <w:r w:rsidR="0021669A">
        <w:rPr>
          <w:bCs/>
        </w:rPr>
        <w:t xml:space="preserve">wanych inwestycji w stosunku do </w:t>
      </w:r>
      <w:r w:rsidRPr="00260464">
        <w:rPr>
          <w:bCs/>
        </w:rPr>
        <w:t>własnych możliwości.</w:t>
      </w:r>
    </w:p>
    <w:p w14:paraId="74766658" w14:textId="285704F8" w:rsidR="006F1317" w:rsidRDefault="00E779B0" w:rsidP="00BC22F5">
      <w:pPr>
        <w:spacing w:before="480" w:line="360" w:lineRule="atLeast"/>
        <w:rPr>
          <w:bCs/>
        </w:rPr>
      </w:pPr>
      <w:r w:rsidRPr="004C4394">
        <w:rPr>
          <w:b/>
        </w:rPr>
        <w:t xml:space="preserve">8. </w:t>
      </w:r>
      <w:r w:rsidR="006F1317" w:rsidRPr="004C4394">
        <w:rPr>
          <w:b/>
        </w:rPr>
        <w:t xml:space="preserve">Wskaźnik </w:t>
      </w:r>
      <w:r w:rsidR="006F1317" w:rsidRPr="004C4394">
        <w:rPr>
          <w:b/>
          <w:bCs/>
          <w:i/>
          <w:iCs/>
        </w:rPr>
        <w:t>W</w:t>
      </w:r>
      <w:r w:rsidR="006F1317" w:rsidRPr="004C4394">
        <w:rPr>
          <w:b/>
          <w:bCs/>
          <w:i/>
          <w:iCs/>
          <w:vertAlign w:val="subscript"/>
        </w:rPr>
        <w:t>B8</w:t>
      </w:r>
      <w:r w:rsidR="006F1317">
        <w:rPr>
          <w:b/>
          <w:bCs/>
          <w:i/>
          <w:iCs/>
          <w:color w:val="FF0000"/>
          <w:vertAlign w:val="subscript"/>
        </w:rPr>
        <w:t xml:space="preserve"> </w:t>
      </w:r>
      <w:r w:rsidR="006F1317">
        <w:rPr>
          <w:bCs/>
        </w:rPr>
        <w:t xml:space="preserve">- </w:t>
      </w:r>
      <w:r w:rsidR="006F1317" w:rsidRPr="006F1317">
        <w:rPr>
          <w:bCs/>
        </w:rPr>
        <w:t>Odsetek dochodów ogółem pozostający po zakończeniu roku budżetowego</w:t>
      </w:r>
      <w:r w:rsidR="00A52D4A">
        <w:rPr>
          <w:bCs/>
        </w:rPr>
        <w:t xml:space="preserve">  </w:t>
      </w:r>
    </w:p>
    <w:p w14:paraId="7D4121B2" w14:textId="51ECDBCB" w:rsidR="004B2BA5" w:rsidRPr="004B2BA5" w:rsidRDefault="004B2BA5" w:rsidP="004B2BA5">
      <w:pPr>
        <w:spacing w:before="360" w:after="240" w:line="360" w:lineRule="atLeast"/>
        <w:rPr>
          <w:i/>
        </w:rPr>
      </w:pPr>
      <w:r>
        <w:rPr>
          <w:bCs/>
        </w:rPr>
        <w:t>W</w:t>
      </w:r>
      <w:r w:rsidRPr="00260464">
        <w:rPr>
          <w:i/>
          <w:vertAlign w:val="subscript"/>
        </w:rPr>
        <w:t>B</w:t>
      </w:r>
      <w:r>
        <w:rPr>
          <w:i/>
          <w:vertAlign w:val="subscript"/>
        </w:rPr>
        <w:t xml:space="preserve">8 </w:t>
      </w:r>
      <w:r>
        <w:rPr>
          <w:bCs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bCs/>
                    <w:i/>
                    <w:sz w:val="32"/>
                    <w:szCs w:val="32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Do+P</m:t>
                    </m:r>
                  </m:e>
                </m:d>
                <m:r>
                  <w:rPr>
                    <w:rFonts w:ascii="Cambria Math" w:hAnsi="Cambria Math" w:hint="eastAsia"/>
                    <w:sz w:val="32"/>
                    <w:szCs w:val="32"/>
                  </w:rPr>
                  <m:t>–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Wo+R</m:t>
                    </m:r>
                  </m:e>
                </m:d>
              </m:e>
            </m:d>
          </m:num>
          <m:den>
            <m:r>
              <w:rPr>
                <w:rFonts w:ascii="Cambria Math" w:hAnsi="Cambria Math"/>
                <w:sz w:val="32"/>
                <w:szCs w:val="32"/>
              </w:rPr>
              <m:t>Do</m:t>
            </m:r>
          </m:den>
        </m:f>
      </m:oMath>
      <w:r>
        <w:rPr>
          <w:bCs/>
        </w:rPr>
        <w:t xml:space="preserve">, </w:t>
      </w:r>
      <w:r w:rsidRPr="00260464">
        <w:rPr>
          <w:i/>
        </w:rPr>
        <w:t>gdzie:</w:t>
      </w:r>
    </w:p>
    <w:p w14:paraId="46B6A0E0" w14:textId="77777777" w:rsidR="004B2BA5" w:rsidRPr="004B2BA5" w:rsidRDefault="004B2BA5" w:rsidP="004B2BA5">
      <w:pPr>
        <w:pStyle w:val="Tekstpodstawowy2"/>
        <w:spacing w:line="360" w:lineRule="exact"/>
        <w:rPr>
          <w:rFonts w:cs="Arial"/>
          <w:i/>
          <w:sz w:val="24"/>
          <w:szCs w:val="24"/>
        </w:rPr>
      </w:pPr>
      <w:r w:rsidRPr="004B2BA5">
        <w:rPr>
          <w:rFonts w:cs="Arial"/>
          <w:i/>
          <w:sz w:val="24"/>
          <w:szCs w:val="24"/>
        </w:rPr>
        <w:t>Do – dochody ogółem;</w:t>
      </w:r>
    </w:p>
    <w:p w14:paraId="67468AEA" w14:textId="77777777" w:rsidR="004B2BA5" w:rsidRPr="004B2BA5" w:rsidRDefault="004B2BA5" w:rsidP="004B2BA5">
      <w:pPr>
        <w:pStyle w:val="Tekstpodstawowy2"/>
        <w:spacing w:line="360" w:lineRule="exact"/>
        <w:rPr>
          <w:rFonts w:cs="Arial"/>
          <w:i/>
          <w:sz w:val="24"/>
          <w:szCs w:val="24"/>
        </w:rPr>
      </w:pPr>
      <w:r w:rsidRPr="004B2BA5">
        <w:rPr>
          <w:rFonts w:cs="Arial"/>
          <w:i/>
          <w:sz w:val="24"/>
          <w:szCs w:val="24"/>
        </w:rPr>
        <w:t>P –  przychody;</w:t>
      </w:r>
    </w:p>
    <w:p w14:paraId="184C0F2C" w14:textId="77777777" w:rsidR="004B2BA5" w:rsidRPr="004B2BA5" w:rsidRDefault="004B2BA5" w:rsidP="004B2BA5">
      <w:pPr>
        <w:pStyle w:val="Tekstpodstawowy2"/>
        <w:spacing w:line="360" w:lineRule="exact"/>
        <w:rPr>
          <w:rFonts w:cs="Arial"/>
          <w:i/>
          <w:sz w:val="24"/>
          <w:szCs w:val="24"/>
        </w:rPr>
      </w:pPr>
      <w:proofErr w:type="spellStart"/>
      <w:r w:rsidRPr="004B2BA5">
        <w:rPr>
          <w:rFonts w:cs="Arial"/>
          <w:i/>
          <w:sz w:val="24"/>
          <w:szCs w:val="24"/>
        </w:rPr>
        <w:t>Wo</w:t>
      </w:r>
      <w:proofErr w:type="spellEnd"/>
      <w:r w:rsidRPr="004B2BA5">
        <w:rPr>
          <w:rFonts w:cs="Arial"/>
          <w:i/>
          <w:sz w:val="24"/>
          <w:szCs w:val="24"/>
        </w:rPr>
        <w:t xml:space="preserve"> – wydatki ogółem;</w:t>
      </w:r>
    </w:p>
    <w:p w14:paraId="38EECE7F" w14:textId="588C3A9C" w:rsidR="004B2BA5" w:rsidRDefault="004B2BA5" w:rsidP="004B2BA5">
      <w:pPr>
        <w:pStyle w:val="Tekstpodstawowy2"/>
        <w:spacing w:line="360" w:lineRule="exact"/>
        <w:rPr>
          <w:rFonts w:cs="Arial"/>
          <w:i/>
          <w:sz w:val="24"/>
          <w:szCs w:val="24"/>
        </w:rPr>
      </w:pPr>
      <w:r w:rsidRPr="004B2BA5">
        <w:rPr>
          <w:rFonts w:cs="Arial"/>
          <w:i/>
          <w:sz w:val="24"/>
          <w:szCs w:val="24"/>
        </w:rPr>
        <w:t xml:space="preserve">R –  </w:t>
      </w:r>
      <w:r w:rsidR="00642551">
        <w:rPr>
          <w:rFonts w:cs="Arial"/>
          <w:i/>
          <w:sz w:val="24"/>
          <w:szCs w:val="24"/>
        </w:rPr>
        <w:t>rozchody</w:t>
      </w:r>
      <w:r>
        <w:rPr>
          <w:rFonts w:cs="Arial"/>
          <w:i/>
          <w:sz w:val="24"/>
          <w:szCs w:val="24"/>
        </w:rPr>
        <w:t>.</w:t>
      </w:r>
    </w:p>
    <w:p w14:paraId="2D666966" w14:textId="77777777" w:rsidR="00A52D4A" w:rsidRDefault="00A52D4A" w:rsidP="004B2BA5">
      <w:pPr>
        <w:pStyle w:val="Tekstpodstawowy2"/>
        <w:spacing w:line="360" w:lineRule="exact"/>
        <w:rPr>
          <w:rFonts w:cs="Arial"/>
          <w:i/>
          <w:sz w:val="24"/>
          <w:szCs w:val="24"/>
        </w:rPr>
      </w:pPr>
    </w:p>
    <w:p w14:paraId="4CE63696" w14:textId="7DBB63E4" w:rsidR="00A52D4A" w:rsidRPr="006E4F4C" w:rsidRDefault="00A52D4A" w:rsidP="004B2BA5">
      <w:pPr>
        <w:pStyle w:val="Tekstpodstawowy2"/>
        <w:spacing w:line="36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Wskaźnik pokazuje jaka część dochodów </w:t>
      </w:r>
      <w:r w:rsidR="005475BD">
        <w:rPr>
          <w:rFonts w:cs="Arial"/>
          <w:sz w:val="24"/>
          <w:szCs w:val="24"/>
        </w:rPr>
        <w:t xml:space="preserve">ogółem </w:t>
      </w:r>
      <w:r>
        <w:rPr>
          <w:rFonts w:cs="Arial"/>
          <w:sz w:val="24"/>
          <w:szCs w:val="24"/>
        </w:rPr>
        <w:t xml:space="preserve">jednostki samorządu terytorialnego pozostaje </w:t>
      </w:r>
      <w:r w:rsidR="005475BD">
        <w:rPr>
          <w:rFonts w:cs="Arial"/>
          <w:sz w:val="24"/>
          <w:szCs w:val="24"/>
        </w:rPr>
        <w:t>p</w:t>
      </w:r>
      <w:r w:rsidR="00642551">
        <w:rPr>
          <w:rFonts w:cs="Arial"/>
          <w:sz w:val="24"/>
          <w:szCs w:val="24"/>
        </w:rPr>
        <w:t>o zakończeniu roku budżetowego. Wskaźnik uwzględnia przychody jednostek samorządu terytorialnego obejm</w:t>
      </w:r>
      <w:r w:rsidR="00BC22F5">
        <w:rPr>
          <w:rFonts w:cs="Arial"/>
          <w:sz w:val="24"/>
          <w:szCs w:val="24"/>
        </w:rPr>
        <w:t>ujące m.in. środki pochodzące z </w:t>
      </w:r>
      <w:r w:rsidR="00642551">
        <w:rPr>
          <w:rFonts w:cs="Arial"/>
          <w:sz w:val="24"/>
          <w:szCs w:val="24"/>
        </w:rPr>
        <w:t>otrzymanych pożyczek i kredytów, ze sprzedaż</w:t>
      </w:r>
      <w:r w:rsidR="00BC22F5">
        <w:rPr>
          <w:rFonts w:cs="Arial"/>
          <w:sz w:val="24"/>
          <w:szCs w:val="24"/>
        </w:rPr>
        <w:t>y papierów wartościowych czy ze </w:t>
      </w:r>
      <w:r w:rsidR="00642551">
        <w:rPr>
          <w:rFonts w:cs="Arial"/>
          <w:sz w:val="24"/>
          <w:szCs w:val="24"/>
        </w:rPr>
        <w:t>spłaty udzielonych pożyczek</w:t>
      </w:r>
      <w:r w:rsidR="007C228E">
        <w:rPr>
          <w:rFonts w:cs="Arial"/>
          <w:sz w:val="24"/>
          <w:szCs w:val="24"/>
        </w:rPr>
        <w:t>,</w:t>
      </w:r>
      <w:r w:rsidR="00642551">
        <w:rPr>
          <w:rFonts w:cs="Arial"/>
          <w:sz w:val="24"/>
          <w:szCs w:val="24"/>
        </w:rPr>
        <w:t xml:space="preserve"> a także rozchody budżetu obejmujące spłaty </w:t>
      </w:r>
      <w:r w:rsidR="00642551">
        <w:rPr>
          <w:rFonts w:cs="Arial"/>
          <w:sz w:val="24"/>
          <w:szCs w:val="24"/>
        </w:rPr>
        <w:lastRenderedPageBreak/>
        <w:t>otrzymanych pożyczek i kredytów</w:t>
      </w:r>
      <w:r w:rsidR="007C228E">
        <w:rPr>
          <w:rFonts w:cs="Arial"/>
          <w:sz w:val="24"/>
          <w:szCs w:val="24"/>
        </w:rPr>
        <w:t xml:space="preserve">, wykup papierów wartościowych, udzielone kredyty i pożyczki. </w:t>
      </w:r>
    </w:p>
    <w:p w14:paraId="3C74AADD" w14:textId="77777777" w:rsidR="006F1317" w:rsidRDefault="000B2712" w:rsidP="00BC22F5">
      <w:pPr>
        <w:spacing w:before="480" w:line="360" w:lineRule="atLeast"/>
        <w:rPr>
          <w:bCs/>
        </w:rPr>
      </w:pPr>
      <w:r w:rsidRPr="008B7FF0">
        <w:rPr>
          <w:b/>
        </w:rPr>
        <w:t xml:space="preserve">9. Wskaźnik </w:t>
      </w:r>
      <w:r w:rsidRPr="008B7FF0">
        <w:rPr>
          <w:b/>
          <w:bCs/>
          <w:i/>
          <w:iCs/>
        </w:rPr>
        <w:t>W</w:t>
      </w:r>
      <w:r w:rsidRPr="008B7FF0">
        <w:rPr>
          <w:b/>
          <w:bCs/>
          <w:i/>
          <w:iCs/>
          <w:vertAlign w:val="subscript"/>
        </w:rPr>
        <w:t>B9</w:t>
      </w:r>
      <w:r>
        <w:rPr>
          <w:b/>
          <w:bCs/>
          <w:i/>
          <w:iCs/>
          <w:color w:val="FF0000"/>
          <w:vertAlign w:val="subscript"/>
        </w:rPr>
        <w:t xml:space="preserve"> </w:t>
      </w:r>
      <w:r>
        <w:rPr>
          <w:bCs/>
        </w:rPr>
        <w:t xml:space="preserve">- </w:t>
      </w:r>
      <w:r w:rsidRPr="000B2712">
        <w:rPr>
          <w:bCs/>
        </w:rPr>
        <w:t>potencjał rozwojowy w relacji do wydatków majątkowych i spłat kapitału</w:t>
      </w:r>
    </w:p>
    <w:p w14:paraId="62CBBA1F" w14:textId="3A39752D" w:rsidR="004B2BA5" w:rsidRDefault="004B2BA5" w:rsidP="004B2BA5">
      <w:pPr>
        <w:spacing w:before="240" w:after="360" w:line="360" w:lineRule="atLeast"/>
        <w:rPr>
          <w:i/>
        </w:rPr>
      </w:pPr>
      <w:r>
        <w:rPr>
          <w:bCs/>
        </w:rPr>
        <w:t>W</w:t>
      </w:r>
      <w:r w:rsidRPr="00260464">
        <w:rPr>
          <w:i/>
          <w:vertAlign w:val="subscript"/>
        </w:rPr>
        <w:t>B</w:t>
      </w:r>
      <w:r>
        <w:rPr>
          <w:i/>
          <w:vertAlign w:val="subscript"/>
        </w:rPr>
        <w:t xml:space="preserve">9 </w:t>
      </w:r>
      <w:r>
        <w:rPr>
          <w:bCs/>
        </w:rPr>
        <w:t>=</w:t>
      </w:r>
      <w:r w:rsidRPr="00BF09C1">
        <w:rPr>
          <w:bCs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Pbzwr+(Do-Wb)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Wm+Rs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,   </m:t>
        </m:r>
      </m:oMath>
      <w:r w:rsidRPr="00260464">
        <w:rPr>
          <w:i/>
        </w:rPr>
        <w:t>gdzie:</w:t>
      </w:r>
    </w:p>
    <w:p w14:paraId="3CB02F4C" w14:textId="77777777" w:rsidR="00E0465A" w:rsidRDefault="004B2BA5" w:rsidP="004B2BA5">
      <w:pPr>
        <w:pStyle w:val="Tekstpodstawowy2"/>
        <w:spacing w:line="360" w:lineRule="exact"/>
        <w:rPr>
          <w:rFonts w:cs="Arial"/>
          <w:i/>
          <w:sz w:val="24"/>
          <w:szCs w:val="24"/>
        </w:rPr>
      </w:pPr>
      <w:proofErr w:type="spellStart"/>
      <w:r w:rsidRPr="004B2BA5">
        <w:rPr>
          <w:rFonts w:cs="Arial"/>
          <w:i/>
          <w:sz w:val="24"/>
          <w:szCs w:val="24"/>
        </w:rPr>
        <w:t>Pbzwr</w:t>
      </w:r>
      <w:proofErr w:type="spellEnd"/>
      <w:r w:rsidRPr="004B2BA5">
        <w:rPr>
          <w:rFonts w:cs="Arial"/>
          <w:i/>
          <w:sz w:val="24"/>
          <w:szCs w:val="24"/>
        </w:rPr>
        <w:t xml:space="preserve"> – przychody budżetu z wyłączeniem kredytów, pożyczek, emisji papierów wartościowych</w:t>
      </w:r>
      <w:r>
        <w:rPr>
          <w:rFonts w:cs="Arial"/>
          <w:i/>
          <w:sz w:val="24"/>
          <w:szCs w:val="24"/>
        </w:rPr>
        <w:t>;</w:t>
      </w:r>
    </w:p>
    <w:p w14:paraId="4E135000" w14:textId="77777777" w:rsidR="004B2BA5" w:rsidRPr="004B2BA5" w:rsidRDefault="004B2BA5" w:rsidP="004B2BA5">
      <w:pPr>
        <w:pStyle w:val="Tekstpodstawowy2"/>
        <w:spacing w:line="360" w:lineRule="exact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Do</w:t>
      </w:r>
      <w:r w:rsidRPr="00260464">
        <w:rPr>
          <w:rFonts w:cs="Arial"/>
          <w:i/>
          <w:sz w:val="24"/>
          <w:szCs w:val="24"/>
        </w:rPr>
        <w:t xml:space="preserve"> – dochody </w:t>
      </w:r>
      <w:r w:rsidRPr="004B2BA5">
        <w:rPr>
          <w:rFonts w:cs="Arial"/>
          <w:i/>
          <w:sz w:val="24"/>
          <w:szCs w:val="24"/>
        </w:rPr>
        <w:t>ogółem</w:t>
      </w:r>
      <w:r w:rsidRPr="00260464">
        <w:rPr>
          <w:rFonts w:cs="Arial"/>
          <w:i/>
          <w:sz w:val="24"/>
          <w:szCs w:val="24"/>
        </w:rPr>
        <w:t>;</w:t>
      </w:r>
    </w:p>
    <w:p w14:paraId="55F0DE39" w14:textId="77777777" w:rsidR="004B2BA5" w:rsidRDefault="004B2BA5" w:rsidP="004B2BA5">
      <w:pPr>
        <w:spacing w:line="360" w:lineRule="atLeast"/>
        <w:rPr>
          <w:bCs/>
          <w:i/>
          <w:iCs/>
        </w:rPr>
      </w:pPr>
      <w:proofErr w:type="spellStart"/>
      <w:r>
        <w:rPr>
          <w:bCs/>
          <w:i/>
          <w:iCs/>
        </w:rPr>
        <w:t>Wb</w:t>
      </w:r>
      <w:proofErr w:type="spellEnd"/>
      <w:r w:rsidRPr="00260464">
        <w:rPr>
          <w:bCs/>
          <w:i/>
          <w:iCs/>
        </w:rPr>
        <w:t xml:space="preserve"> – wydatki </w:t>
      </w:r>
      <w:r>
        <w:rPr>
          <w:bCs/>
          <w:i/>
          <w:iCs/>
        </w:rPr>
        <w:t>bieżące;</w:t>
      </w:r>
    </w:p>
    <w:p w14:paraId="148A22D3" w14:textId="77777777" w:rsidR="004B2BA5" w:rsidRDefault="004B2BA5" w:rsidP="004B2BA5">
      <w:pPr>
        <w:spacing w:line="360" w:lineRule="atLeast"/>
        <w:rPr>
          <w:bCs/>
          <w:i/>
          <w:iCs/>
        </w:rPr>
      </w:pPr>
      <w:proofErr w:type="spellStart"/>
      <w:r>
        <w:rPr>
          <w:bCs/>
          <w:i/>
          <w:iCs/>
        </w:rPr>
        <w:t>Wm</w:t>
      </w:r>
      <w:proofErr w:type="spellEnd"/>
      <w:r>
        <w:rPr>
          <w:bCs/>
          <w:i/>
          <w:iCs/>
        </w:rPr>
        <w:t xml:space="preserve"> – wydatki majątkowe;</w:t>
      </w:r>
    </w:p>
    <w:p w14:paraId="1266C4A2" w14:textId="4950FFC9" w:rsidR="004B2BA5" w:rsidRDefault="004B2BA5" w:rsidP="004B2BA5">
      <w:pPr>
        <w:pStyle w:val="Tekstpodstawowy2"/>
        <w:spacing w:line="360" w:lineRule="exact"/>
        <w:rPr>
          <w:rFonts w:cs="Arial"/>
          <w:i/>
          <w:sz w:val="24"/>
          <w:szCs w:val="24"/>
        </w:rPr>
      </w:pPr>
      <w:proofErr w:type="spellStart"/>
      <w:r w:rsidRPr="004B2BA5">
        <w:rPr>
          <w:rFonts w:cs="Arial"/>
          <w:i/>
          <w:sz w:val="24"/>
          <w:szCs w:val="24"/>
        </w:rPr>
        <w:t>R</w:t>
      </w:r>
      <w:r w:rsidR="001C28B1">
        <w:rPr>
          <w:rFonts w:cs="Arial"/>
          <w:i/>
          <w:sz w:val="24"/>
          <w:szCs w:val="24"/>
        </w:rPr>
        <w:t>s</w:t>
      </w:r>
      <w:proofErr w:type="spellEnd"/>
      <w:r w:rsidRPr="004B2BA5">
        <w:rPr>
          <w:rFonts w:cs="Arial"/>
          <w:i/>
          <w:sz w:val="24"/>
          <w:szCs w:val="24"/>
        </w:rPr>
        <w:t xml:space="preserve"> –  spłata rat kapitałowych od zaciągniętych kredytów i pożyczek</w:t>
      </w:r>
      <w:r>
        <w:rPr>
          <w:rFonts w:cs="Arial"/>
          <w:i/>
          <w:sz w:val="24"/>
          <w:szCs w:val="24"/>
        </w:rPr>
        <w:t>.</w:t>
      </w:r>
    </w:p>
    <w:p w14:paraId="0AFF1D14" w14:textId="77777777" w:rsidR="00E31281" w:rsidRDefault="00E31281" w:rsidP="004B2BA5">
      <w:pPr>
        <w:pStyle w:val="Tekstpodstawowy2"/>
        <w:spacing w:line="360" w:lineRule="exact"/>
        <w:rPr>
          <w:rFonts w:cs="Arial"/>
          <w:i/>
          <w:sz w:val="24"/>
          <w:szCs w:val="24"/>
        </w:rPr>
      </w:pPr>
    </w:p>
    <w:p w14:paraId="780B3871" w14:textId="5AAFF172" w:rsidR="00E31281" w:rsidRDefault="0036579A" w:rsidP="004B2BA5">
      <w:pPr>
        <w:pStyle w:val="Tekstpodstawowy2"/>
        <w:spacing w:line="360" w:lineRule="exact"/>
        <w:rPr>
          <w:rFonts w:cs="Arial"/>
          <w:sz w:val="24"/>
          <w:szCs w:val="24"/>
        </w:rPr>
      </w:pPr>
      <w:r w:rsidRPr="0036579A">
        <w:rPr>
          <w:rFonts w:cs="Arial"/>
          <w:sz w:val="24"/>
          <w:szCs w:val="24"/>
        </w:rPr>
        <w:t>Potencjał rozwojowy to środki publiczne, które faktycznie pozostają w budżecie JST po sfinansowaniu wydatków bieżących i mogą być przeznaczane na działania prorozwojowe tj. m.in. na wydatki majątkowe (np. inwestycje) lub na spłatę wcześniej zaciągniętego zadłużenia - bez konieczności zaciągania nowego długu.</w:t>
      </w:r>
    </w:p>
    <w:p w14:paraId="3289C565" w14:textId="28FD0AA3" w:rsidR="0038552C" w:rsidRPr="001C5006" w:rsidRDefault="00415218" w:rsidP="0038552C">
      <w:pPr>
        <w:spacing w:line="360" w:lineRule="atLeast"/>
      </w:pPr>
      <w:r>
        <w:t xml:space="preserve">Wskaźnik </w:t>
      </w:r>
      <w:r>
        <w:rPr>
          <w:bCs/>
        </w:rPr>
        <w:t>W</w:t>
      </w:r>
      <w:r w:rsidRPr="00260464">
        <w:rPr>
          <w:i/>
          <w:vertAlign w:val="subscript"/>
        </w:rPr>
        <w:t>B</w:t>
      </w:r>
      <w:r>
        <w:rPr>
          <w:i/>
          <w:vertAlign w:val="subscript"/>
        </w:rPr>
        <w:t xml:space="preserve">9 </w:t>
      </w:r>
      <w:r w:rsidR="00D97EF0">
        <w:rPr>
          <w:i/>
          <w:vertAlign w:val="subscript"/>
        </w:rPr>
        <w:t xml:space="preserve"> </w:t>
      </w:r>
      <w:r w:rsidR="00D97EF0" w:rsidRPr="00D97EF0">
        <w:t xml:space="preserve">pokazuje </w:t>
      </w:r>
      <w:r w:rsidR="00634877">
        <w:t xml:space="preserve">jaka część wydatków majątkowych </w:t>
      </w:r>
      <w:r w:rsidR="004137C1">
        <w:t xml:space="preserve">powiększonych o rozchody z tytułu </w:t>
      </w:r>
      <w:r w:rsidR="00634877">
        <w:t xml:space="preserve">spłaty długu </w:t>
      </w:r>
      <w:r w:rsidR="004137C1">
        <w:t xml:space="preserve">mogła zostać w danym roku budżetowym </w:t>
      </w:r>
      <w:r w:rsidR="00634877">
        <w:t xml:space="preserve">sfinansowania </w:t>
      </w:r>
      <w:r w:rsidR="004137C1">
        <w:t xml:space="preserve">dochodami budżetu powiększonymi o przychody bezzwrotne (tj. z </w:t>
      </w:r>
      <w:r w:rsidR="009A14DD">
        <w:t>wyłączeniem kredytów, pożyczek i emisji papierów wartościowych</w:t>
      </w:r>
      <w:r w:rsidR="004137C1">
        <w:t>)</w:t>
      </w:r>
      <w:r w:rsidR="009A14DD">
        <w:t xml:space="preserve"> </w:t>
      </w:r>
      <w:r w:rsidR="00634877">
        <w:t>po sfinansowaniu wydatków bieżących.</w:t>
      </w:r>
      <w:r w:rsidR="0038552C">
        <w:t xml:space="preserve"> Wartość wskaźnika większa niż 100</w:t>
      </w:r>
      <w:r w:rsidR="00F11D78">
        <w:t>% ws</w:t>
      </w:r>
      <w:r w:rsidR="0038552C">
        <w:t>kazuje, że jednostka samorządu terytorialnego mo</w:t>
      </w:r>
      <w:r w:rsidR="00F11D78">
        <w:t>gła w danym roku s</w:t>
      </w:r>
      <w:r w:rsidR="0038552C">
        <w:t xml:space="preserve">finansować </w:t>
      </w:r>
      <w:r w:rsidR="00F11D78">
        <w:t xml:space="preserve">wszystkie </w:t>
      </w:r>
      <w:r w:rsidR="0038552C">
        <w:t xml:space="preserve">wydatki majątkowe oraz spłatę </w:t>
      </w:r>
      <w:r w:rsidR="00F11D78">
        <w:t xml:space="preserve">rat </w:t>
      </w:r>
      <w:r w:rsidR="0038552C">
        <w:t xml:space="preserve">długu bez </w:t>
      </w:r>
      <w:r w:rsidR="00F11D78">
        <w:t xml:space="preserve">konieczności </w:t>
      </w:r>
      <w:r w:rsidR="0038552C">
        <w:t>zaciągania nowych kredytów.</w:t>
      </w:r>
    </w:p>
    <w:p w14:paraId="2C64349E" w14:textId="460AC079" w:rsidR="00634877" w:rsidRPr="00D97EF0" w:rsidRDefault="00634877" w:rsidP="00634877">
      <w:pPr>
        <w:pStyle w:val="Tekstpodstawowy2"/>
        <w:spacing w:line="360" w:lineRule="exact"/>
        <w:rPr>
          <w:rFonts w:cs="Arial"/>
          <w:sz w:val="24"/>
          <w:szCs w:val="24"/>
        </w:rPr>
      </w:pPr>
    </w:p>
    <w:p w14:paraId="0B923560" w14:textId="77777777" w:rsidR="000B2712" w:rsidRDefault="000B2712" w:rsidP="00BC22F5">
      <w:pPr>
        <w:spacing w:before="480" w:line="360" w:lineRule="atLeast"/>
        <w:rPr>
          <w:color w:val="000000"/>
        </w:rPr>
      </w:pPr>
      <w:r w:rsidRPr="008B7FF0">
        <w:rPr>
          <w:b/>
        </w:rPr>
        <w:t xml:space="preserve">10. Wskaźnik </w:t>
      </w:r>
      <w:r w:rsidRPr="008B7FF0">
        <w:rPr>
          <w:b/>
          <w:bCs/>
          <w:i/>
          <w:iCs/>
        </w:rPr>
        <w:t>W</w:t>
      </w:r>
      <w:r w:rsidRPr="008B7FF0">
        <w:rPr>
          <w:b/>
          <w:bCs/>
          <w:i/>
          <w:iCs/>
          <w:vertAlign w:val="subscript"/>
        </w:rPr>
        <w:t>B10</w:t>
      </w:r>
      <w:r>
        <w:rPr>
          <w:b/>
          <w:bCs/>
          <w:i/>
          <w:iCs/>
          <w:color w:val="FF0000"/>
          <w:vertAlign w:val="subscript"/>
        </w:rPr>
        <w:t xml:space="preserve"> </w:t>
      </w:r>
      <w:r>
        <w:rPr>
          <w:bCs/>
        </w:rPr>
        <w:t xml:space="preserve">- </w:t>
      </w:r>
      <w:r>
        <w:rPr>
          <w:color w:val="000000"/>
        </w:rPr>
        <w:t>potencjał inwestycyjny w relacji do wydatków majątkowych</w:t>
      </w:r>
      <w:r w:rsidR="004B7616">
        <w:rPr>
          <w:color w:val="000000"/>
        </w:rPr>
        <w:t xml:space="preserve"> </w:t>
      </w:r>
    </w:p>
    <w:p w14:paraId="03165209" w14:textId="00F17378" w:rsidR="00407475" w:rsidRPr="00D63584" w:rsidRDefault="0059517E" w:rsidP="00D63584">
      <w:pPr>
        <w:spacing w:before="240" w:after="360" w:line="360" w:lineRule="atLeast"/>
        <w:rPr>
          <w:bCs/>
        </w:rPr>
      </w:pPr>
      <w:r>
        <w:rPr>
          <w:bCs/>
        </w:rPr>
        <w:t>W</w:t>
      </w:r>
      <w:r w:rsidRPr="00260464">
        <w:rPr>
          <w:i/>
          <w:vertAlign w:val="subscript"/>
        </w:rPr>
        <w:t>B</w:t>
      </w:r>
      <w:r>
        <w:rPr>
          <w:i/>
          <w:vertAlign w:val="subscript"/>
        </w:rPr>
        <w:t>10</w:t>
      </w:r>
      <w:r w:rsidR="00407475" w:rsidRPr="00D63584">
        <w:rPr>
          <w:bCs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Pbzwr+(Do-Wb-Rs)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Wm</m:t>
            </m:r>
          </m:den>
        </m:f>
      </m:oMath>
      <w:r w:rsidR="00407475" w:rsidRPr="00D63584">
        <w:rPr>
          <w:bCs/>
        </w:rPr>
        <w:t xml:space="preserve"> </w:t>
      </w:r>
      <w:r>
        <w:rPr>
          <w:bCs/>
        </w:rPr>
        <w:t xml:space="preserve">, </w:t>
      </w:r>
      <w:r w:rsidR="00407475" w:rsidRPr="00D63584">
        <w:rPr>
          <w:bCs/>
        </w:rPr>
        <w:t>gdzie:</w:t>
      </w:r>
    </w:p>
    <w:p w14:paraId="0A55D28E" w14:textId="77777777" w:rsidR="00407475" w:rsidRDefault="00407475" w:rsidP="00407475">
      <w:pPr>
        <w:pStyle w:val="Tekstpodstawowy2"/>
        <w:spacing w:line="360" w:lineRule="exact"/>
        <w:rPr>
          <w:rFonts w:cs="Arial"/>
          <w:i/>
          <w:sz w:val="24"/>
          <w:szCs w:val="24"/>
        </w:rPr>
      </w:pPr>
      <w:proofErr w:type="spellStart"/>
      <w:r w:rsidRPr="004B2BA5">
        <w:rPr>
          <w:rFonts w:cs="Arial"/>
          <w:i/>
          <w:sz w:val="24"/>
          <w:szCs w:val="24"/>
        </w:rPr>
        <w:t>Pbzwr</w:t>
      </w:r>
      <w:proofErr w:type="spellEnd"/>
      <w:r w:rsidRPr="004B2BA5">
        <w:rPr>
          <w:rFonts w:cs="Arial"/>
          <w:i/>
          <w:sz w:val="24"/>
          <w:szCs w:val="24"/>
        </w:rPr>
        <w:t xml:space="preserve"> – przychody budżetu z wyłączeniem kredytów, pożyczek, emisji papierów wartościowych</w:t>
      </w:r>
      <w:r>
        <w:rPr>
          <w:rFonts w:cs="Arial"/>
          <w:i/>
          <w:sz w:val="24"/>
          <w:szCs w:val="24"/>
        </w:rPr>
        <w:t>;</w:t>
      </w:r>
    </w:p>
    <w:p w14:paraId="197B364E" w14:textId="77777777" w:rsidR="00407475" w:rsidRPr="004B2BA5" w:rsidRDefault="00407475" w:rsidP="00407475">
      <w:pPr>
        <w:pStyle w:val="Tekstpodstawowy2"/>
        <w:spacing w:line="360" w:lineRule="exact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Do</w:t>
      </w:r>
      <w:r w:rsidRPr="00260464">
        <w:rPr>
          <w:rFonts w:cs="Arial"/>
          <w:i/>
          <w:sz w:val="24"/>
          <w:szCs w:val="24"/>
        </w:rPr>
        <w:t xml:space="preserve"> – dochody </w:t>
      </w:r>
      <w:r w:rsidRPr="004B2BA5">
        <w:rPr>
          <w:rFonts w:cs="Arial"/>
          <w:i/>
          <w:sz w:val="24"/>
          <w:szCs w:val="24"/>
        </w:rPr>
        <w:t>ogółem</w:t>
      </w:r>
      <w:r w:rsidRPr="00260464">
        <w:rPr>
          <w:rFonts w:cs="Arial"/>
          <w:i/>
          <w:sz w:val="24"/>
          <w:szCs w:val="24"/>
        </w:rPr>
        <w:t>;</w:t>
      </w:r>
    </w:p>
    <w:p w14:paraId="26DF18F5" w14:textId="77777777" w:rsidR="00407475" w:rsidRDefault="00407475" w:rsidP="00407475">
      <w:pPr>
        <w:spacing w:line="360" w:lineRule="atLeast"/>
        <w:rPr>
          <w:bCs/>
          <w:i/>
          <w:iCs/>
        </w:rPr>
      </w:pPr>
      <w:proofErr w:type="spellStart"/>
      <w:r>
        <w:rPr>
          <w:bCs/>
          <w:i/>
          <w:iCs/>
        </w:rPr>
        <w:t>Wb</w:t>
      </w:r>
      <w:proofErr w:type="spellEnd"/>
      <w:r w:rsidRPr="00260464">
        <w:rPr>
          <w:bCs/>
          <w:i/>
          <w:iCs/>
        </w:rPr>
        <w:t xml:space="preserve"> – wydatki </w:t>
      </w:r>
      <w:r>
        <w:rPr>
          <w:bCs/>
          <w:i/>
          <w:iCs/>
        </w:rPr>
        <w:t>bieżące;</w:t>
      </w:r>
    </w:p>
    <w:p w14:paraId="57CD364C" w14:textId="77777777" w:rsidR="00407475" w:rsidRDefault="00407475" w:rsidP="00407475">
      <w:pPr>
        <w:spacing w:line="360" w:lineRule="atLeast"/>
        <w:rPr>
          <w:bCs/>
          <w:i/>
          <w:iCs/>
        </w:rPr>
      </w:pPr>
      <w:proofErr w:type="spellStart"/>
      <w:r>
        <w:rPr>
          <w:bCs/>
          <w:i/>
          <w:iCs/>
        </w:rPr>
        <w:t>Wm</w:t>
      </w:r>
      <w:proofErr w:type="spellEnd"/>
      <w:r>
        <w:rPr>
          <w:bCs/>
          <w:i/>
          <w:iCs/>
        </w:rPr>
        <w:t xml:space="preserve"> – wydatki majątkowe;</w:t>
      </w:r>
    </w:p>
    <w:p w14:paraId="76A8E825" w14:textId="3B27CD08" w:rsidR="00407475" w:rsidRPr="00407475" w:rsidRDefault="00407475" w:rsidP="00407475">
      <w:pPr>
        <w:spacing w:line="360" w:lineRule="atLeast"/>
        <w:rPr>
          <w:bCs/>
          <w:i/>
          <w:iCs/>
        </w:rPr>
      </w:pPr>
      <w:proofErr w:type="spellStart"/>
      <w:r w:rsidRPr="004B2BA5">
        <w:rPr>
          <w:i/>
        </w:rPr>
        <w:t>R</w:t>
      </w:r>
      <w:r w:rsidR="00F113AE">
        <w:rPr>
          <w:i/>
        </w:rPr>
        <w:t>s</w:t>
      </w:r>
      <w:proofErr w:type="spellEnd"/>
      <w:r w:rsidRPr="004B2BA5">
        <w:rPr>
          <w:i/>
        </w:rPr>
        <w:t xml:space="preserve"> –  spłata rat kapitałowych od zaciągniętych kredytów i pożyczek</w:t>
      </w:r>
      <w:r>
        <w:rPr>
          <w:i/>
        </w:rPr>
        <w:t>.</w:t>
      </w:r>
    </w:p>
    <w:p w14:paraId="2ACE8BFD" w14:textId="63672427" w:rsidR="0036579A" w:rsidRDefault="0036579A" w:rsidP="006F1317">
      <w:pPr>
        <w:spacing w:before="360" w:line="360" w:lineRule="atLeast"/>
        <w:rPr>
          <w:color w:val="000000"/>
        </w:rPr>
      </w:pPr>
      <w:r w:rsidRPr="0036579A">
        <w:rPr>
          <w:color w:val="000000"/>
        </w:rPr>
        <w:lastRenderedPageBreak/>
        <w:t>Potencjał inwestycyjny to potencjał rozwojowy po</w:t>
      </w:r>
      <w:r w:rsidR="0038552C">
        <w:rPr>
          <w:color w:val="000000"/>
        </w:rPr>
        <w:t>mniejszony o spłatę</w:t>
      </w:r>
      <w:r w:rsidRPr="0036579A">
        <w:rPr>
          <w:color w:val="000000"/>
        </w:rPr>
        <w:t xml:space="preserve"> pożyczonego (w formie kredytu, pożyczki, obligacji) kapitału.</w:t>
      </w:r>
      <w:r w:rsidR="009A14DD">
        <w:rPr>
          <w:color w:val="000000"/>
        </w:rPr>
        <w:t xml:space="preserve"> </w:t>
      </w:r>
    </w:p>
    <w:p w14:paraId="0ABE151F" w14:textId="7FC2CF17" w:rsidR="009A14DD" w:rsidRDefault="009A14DD" w:rsidP="00156940">
      <w:pPr>
        <w:spacing w:line="360" w:lineRule="atLeast"/>
      </w:pPr>
      <w:r>
        <w:t xml:space="preserve">Wskaźnik </w:t>
      </w:r>
      <w:r>
        <w:rPr>
          <w:bCs/>
        </w:rPr>
        <w:t>W</w:t>
      </w:r>
      <w:r w:rsidRPr="00260464">
        <w:rPr>
          <w:i/>
          <w:vertAlign w:val="subscript"/>
        </w:rPr>
        <w:t>B</w:t>
      </w:r>
      <w:r>
        <w:rPr>
          <w:i/>
          <w:vertAlign w:val="subscript"/>
        </w:rPr>
        <w:t xml:space="preserve">9  </w:t>
      </w:r>
      <w:r w:rsidRPr="00D97EF0">
        <w:t>pokaz</w:t>
      </w:r>
      <w:r w:rsidR="00156940">
        <w:t>uje w jakim stopniu przychody budżetu jednostki (z</w:t>
      </w:r>
      <w:r w:rsidR="00BC22F5">
        <w:t> </w:t>
      </w:r>
      <w:r w:rsidR="00156940">
        <w:t>wyłączeniem kredytów, pożyczek i em</w:t>
      </w:r>
      <w:r w:rsidR="00BC22F5">
        <w:t>isji papierów wartościowych) po </w:t>
      </w:r>
      <w:r w:rsidR="00156940">
        <w:t>sfinansowaniu wydatków bieżących i spłacie długu pokrywają wydatki majątkowe.</w:t>
      </w:r>
    </w:p>
    <w:p w14:paraId="7571DCFA" w14:textId="51F01B86" w:rsidR="009A14DD" w:rsidRPr="001C5006" w:rsidRDefault="00156940" w:rsidP="001C5006">
      <w:pPr>
        <w:spacing w:line="360" w:lineRule="atLeast"/>
      </w:pPr>
      <w:r>
        <w:t>Wartość wskaźnika mniejsza niż 100% może oznaczać potrzebę zaciągnięcia nowego kredytu/pożyczk</w:t>
      </w:r>
      <w:r w:rsidR="0038552C">
        <w:t>i w celu sfinansowania działań inwestycyjnych</w:t>
      </w:r>
      <w:r>
        <w:t>. Wartość wskaźnika większa niż 100</w:t>
      </w:r>
      <w:r w:rsidR="001C5006">
        <w:t>% pokazuje, że jednostka samorządu terytorialnego może finansować inwestycje bez potrzeby zaciągania nowych kredytów.</w:t>
      </w:r>
    </w:p>
    <w:p w14:paraId="27DA4DB9" w14:textId="77777777" w:rsidR="000B2712" w:rsidRDefault="000B2712" w:rsidP="00BC22F5">
      <w:pPr>
        <w:spacing w:before="360" w:line="360" w:lineRule="atLeast"/>
        <w:rPr>
          <w:bCs/>
        </w:rPr>
      </w:pPr>
      <w:r w:rsidRPr="008B7FF0">
        <w:rPr>
          <w:b/>
        </w:rPr>
        <w:t xml:space="preserve">11. Wskaźnik </w:t>
      </w:r>
      <w:r w:rsidRPr="008B7FF0">
        <w:rPr>
          <w:b/>
          <w:bCs/>
          <w:i/>
          <w:iCs/>
        </w:rPr>
        <w:t>W</w:t>
      </w:r>
      <w:r w:rsidRPr="008B7FF0">
        <w:rPr>
          <w:b/>
          <w:bCs/>
          <w:i/>
          <w:iCs/>
          <w:vertAlign w:val="subscript"/>
        </w:rPr>
        <w:t xml:space="preserve">B11 </w:t>
      </w:r>
      <w:r w:rsidRPr="008B7FF0">
        <w:rPr>
          <w:bCs/>
        </w:rPr>
        <w:t xml:space="preserve">- </w:t>
      </w:r>
      <w:r>
        <w:rPr>
          <w:bCs/>
        </w:rPr>
        <w:t>wykorzystanie potencjał</w:t>
      </w:r>
      <w:r w:rsidRPr="000B2712">
        <w:rPr>
          <w:bCs/>
        </w:rPr>
        <w:t>u inwestycyjnego</w:t>
      </w:r>
    </w:p>
    <w:p w14:paraId="7CE46BE6" w14:textId="14CBFA62" w:rsidR="00407475" w:rsidRDefault="00407475" w:rsidP="00407475">
      <w:pPr>
        <w:spacing w:before="360" w:after="360" w:line="360" w:lineRule="atLeast"/>
        <w:rPr>
          <w:bCs/>
        </w:rPr>
      </w:pPr>
      <w:r>
        <w:rPr>
          <w:bCs/>
        </w:rPr>
        <w:t>W</w:t>
      </w:r>
      <w:r w:rsidRPr="00260464">
        <w:rPr>
          <w:i/>
          <w:vertAlign w:val="subscript"/>
        </w:rPr>
        <w:t>B</w:t>
      </w:r>
      <w:r>
        <w:rPr>
          <w:i/>
          <w:vertAlign w:val="subscript"/>
        </w:rPr>
        <w:t xml:space="preserve">11 = </w:t>
      </w:r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Wm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Pbzwr+(Do-Wb-Rs)</m:t>
            </m:r>
          </m:den>
        </m:f>
      </m:oMath>
      <w:r>
        <w:rPr>
          <w:bCs/>
        </w:rPr>
        <w:t xml:space="preserve"> </w:t>
      </w:r>
      <w:r w:rsidR="00142BD6">
        <w:rPr>
          <w:bCs/>
        </w:rPr>
        <w:t xml:space="preserve">, </w:t>
      </w:r>
      <w:r>
        <w:rPr>
          <w:bCs/>
        </w:rPr>
        <w:t>gdzie:</w:t>
      </w:r>
    </w:p>
    <w:p w14:paraId="620C5183" w14:textId="77777777" w:rsidR="00407475" w:rsidRDefault="00407475" w:rsidP="00407475">
      <w:pPr>
        <w:pStyle w:val="Tekstpodstawowy2"/>
        <w:spacing w:line="360" w:lineRule="exact"/>
        <w:rPr>
          <w:rFonts w:cs="Arial"/>
          <w:i/>
          <w:sz w:val="24"/>
          <w:szCs w:val="24"/>
        </w:rPr>
      </w:pPr>
      <w:proofErr w:type="spellStart"/>
      <w:r w:rsidRPr="004B2BA5">
        <w:rPr>
          <w:rFonts w:cs="Arial"/>
          <w:i/>
          <w:sz w:val="24"/>
          <w:szCs w:val="24"/>
        </w:rPr>
        <w:t>Pbzwr</w:t>
      </w:r>
      <w:proofErr w:type="spellEnd"/>
      <w:r w:rsidRPr="004B2BA5">
        <w:rPr>
          <w:rFonts w:cs="Arial"/>
          <w:i/>
          <w:sz w:val="24"/>
          <w:szCs w:val="24"/>
        </w:rPr>
        <w:t xml:space="preserve"> – przychody budżetu z wyłączeniem kredytów, pożyczek, emisji papierów wartościowych</w:t>
      </w:r>
      <w:r>
        <w:rPr>
          <w:rFonts w:cs="Arial"/>
          <w:i/>
          <w:sz w:val="24"/>
          <w:szCs w:val="24"/>
        </w:rPr>
        <w:t>;</w:t>
      </w:r>
    </w:p>
    <w:p w14:paraId="0D9FEB48" w14:textId="77777777" w:rsidR="00407475" w:rsidRPr="004B2BA5" w:rsidRDefault="00407475" w:rsidP="00407475">
      <w:pPr>
        <w:pStyle w:val="Tekstpodstawowy2"/>
        <w:spacing w:line="360" w:lineRule="exact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Do</w:t>
      </w:r>
      <w:r w:rsidRPr="00260464">
        <w:rPr>
          <w:rFonts w:cs="Arial"/>
          <w:i/>
          <w:sz w:val="24"/>
          <w:szCs w:val="24"/>
        </w:rPr>
        <w:t xml:space="preserve"> – dochody </w:t>
      </w:r>
      <w:r w:rsidRPr="004B2BA5">
        <w:rPr>
          <w:rFonts w:cs="Arial"/>
          <w:i/>
          <w:sz w:val="24"/>
          <w:szCs w:val="24"/>
        </w:rPr>
        <w:t>ogółem</w:t>
      </w:r>
      <w:r w:rsidRPr="00260464">
        <w:rPr>
          <w:rFonts w:cs="Arial"/>
          <w:i/>
          <w:sz w:val="24"/>
          <w:szCs w:val="24"/>
        </w:rPr>
        <w:t>;</w:t>
      </w:r>
    </w:p>
    <w:p w14:paraId="4B11D0B8" w14:textId="77777777" w:rsidR="00407475" w:rsidRDefault="00407475" w:rsidP="00407475">
      <w:pPr>
        <w:spacing w:line="360" w:lineRule="atLeast"/>
        <w:rPr>
          <w:bCs/>
          <w:i/>
          <w:iCs/>
        </w:rPr>
      </w:pPr>
      <w:proofErr w:type="spellStart"/>
      <w:r>
        <w:rPr>
          <w:bCs/>
          <w:i/>
          <w:iCs/>
        </w:rPr>
        <w:t>Wb</w:t>
      </w:r>
      <w:proofErr w:type="spellEnd"/>
      <w:r w:rsidRPr="00260464">
        <w:rPr>
          <w:bCs/>
          <w:i/>
          <w:iCs/>
        </w:rPr>
        <w:t xml:space="preserve"> – wydatki </w:t>
      </w:r>
      <w:r>
        <w:rPr>
          <w:bCs/>
          <w:i/>
          <w:iCs/>
        </w:rPr>
        <w:t>bieżące;</w:t>
      </w:r>
    </w:p>
    <w:p w14:paraId="0580F917" w14:textId="77777777" w:rsidR="00407475" w:rsidRDefault="00407475" w:rsidP="00407475">
      <w:pPr>
        <w:spacing w:line="360" w:lineRule="atLeast"/>
        <w:rPr>
          <w:bCs/>
          <w:i/>
          <w:iCs/>
        </w:rPr>
      </w:pPr>
      <w:proofErr w:type="spellStart"/>
      <w:r>
        <w:rPr>
          <w:bCs/>
          <w:i/>
          <w:iCs/>
        </w:rPr>
        <w:t>Wm</w:t>
      </w:r>
      <w:proofErr w:type="spellEnd"/>
      <w:r>
        <w:rPr>
          <w:bCs/>
          <w:i/>
          <w:iCs/>
        </w:rPr>
        <w:t xml:space="preserve"> – wydatki majątkowe;</w:t>
      </w:r>
    </w:p>
    <w:p w14:paraId="3FE09D74" w14:textId="1AB2BC10" w:rsidR="00407475" w:rsidRDefault="00407475" w:rsidP="00407475">
      <w:pPr>
        <w:spacing w:line="360" w:lineRule="atLeast"/>
        <w:rPr>
          <w:i/>
        </w:rPr>
      </w:pPr>
      <w:proofErr w:type="spellStart"/>
      <w:r w:rsidRPr="004B2BA5">
        <w:rPr>
          <w:i/>
        </w:rPr>
        <w:t>R</w:t>
      </w:r>
      <w:r w:rsidR="00BE4773">
        <w:rPr>
          <w:i/>
        </w:rPr>
        <w:t>s</w:t>
      </w:r>
      <w:proofErr w:type="spellEnd"/>
      <w:r w:rsidRPr="004B2BA5">
        <w:rPr>
          <w:i/>
        </w:rPr>
        <w:t xml:space="preserve"> –  spłata rat kapitałowych od zaciągniętych kredytów i pożyczek</w:t>
      </w:r>
      <w:r>
        <w:rPr>
          <w:i/>
        </w:rPr>
        <w:t>.</w:t>
      </w:r>
    </w:p>
    <w:p w14:paraId="27054A87" w14:textId="77777777" w:rsidR="00CD14C5" w:rsidRDefault="00CD14C5" w:rsidP="00407475">
      <w:pPr>
        <w:spacing w:line="360" w:lineRule="atLeast"/>
        <w:rPr>
          <w:bCs/>
        </w:rPr>
      </w:pPr>
    </w:p>
    <w:p w14:paraId="1108D94A" w14:textId="4996D0C9" w:rsidR="003307B8" w:rsidRDefault="00CD14C5" w:rsidP="003307B8">
      <w:pPr>
        <w:spacing w:line="360" w:lineRule="atLeast"/>
        <w:rPr>
          <w:color w:val="000000"/>
        </w:rPr>
      </w:pPr>
      <w:r>
        <w:rPr>
          <w:bCs/>
        </w:rPr>
        <w:t>Wart</w:t>
      </w:r>
      <w:r w:rsidRPr="00260464">
        <w:rPr>
          <w:bCs/>
        </w:rPr>
        <w:t xml:space="preserve">ość wskaźnika </w:t>
      </w:r>
      <w:r w:rsidRPr="00260464">
        <w:rPr>
          <w:bCs/>
          <w:i/>
          <w:iCs/>
        </w:rPr>
        <w:t>W</w:t>
      </w:r>
      <w:r w:rsidRPr="00260464">
        <w:rPr>
          <w:bCs/>
          <w:i/>
          <w:iCs/>
          <w:vertAlign w:val="subscript"/>
        </w:rPr>
        <w:t>B</w:t>
      </w:r>
      <w:r>
        <w:rPr>
          <w:bCs/>
          <w:i/>
          <w:iCs/>
          <w:vertAlign w:val="subscript"/>
        </w:rPr>
        <w:t xml:space="preserve">11  </w:t>
      </w:r>
      <w:r>
        <w:rPr>
          <w:bCs/>
        </w:rPr>
        <w:t>pokazuje w jakim stopniu jednostka samorządu</w:t>
      </w:r>
      <w:r w:rsidR="003307B8">
        <w:rPr>
          <w:bCs/>
        </w:rPr>
        <w:t xml:space="preserve"> terytorialnego wykorzystuje potencjał inwestycyjny</w:t>
      </w:r>
      <w:r w:rsidR="00F11D78">
        <w:rPr>
          <w:bCs/>
        </w:rPr>
        <w:t xml:space="preserve"> wynikający z wykonania danego roku budżetowego oraz środków z lat ubiegłych</w:t>
      </w:r>
      <w:r w:rsidR="003307B8">
        <w:rPr>
          <w:bCs/>
        </w:rPr>
        <w:t xml:space="preserve">. </w:t>
      </w:r>
      <w:r>
        <w:rPr>
          <w:bCs/>
        </w:rPr>
        <w:t xml:space="preserve"> </w:t>
      </w:r>
      <w:r w:rsidR="004D0C90">
        <w:rPr>
          <w:bCs/>
        </w:rPr>
        <w:t>Przy interpretacji tego wskaźnika (zwłaszcza niskich jego wartości) trzeba pamiętać, że jednostki samorządu terytorialnego mogą pozostawić</w:t>
      </w:r>
      <w:bookmarkStart w:id="1" w:name="_GoBack"/>
      <w:bookmarkEnd w:id="1"/>
      <w:r w:rsidR="004D0C90">
        <w:rPr>
          <w:bCs/>
        </w:rPr>
        <w:t xml:space="preserve"> część swoich przychodów bezzwrotnych (środków pozostałych z wykonania budżetów lat ubiegłych) na finansowanie inwestycji w latach kolejnych.</w:t>
      </w:r>
    </w:p>
    <w:p w14:paraId="1B84A0DC" w14:textId="1262B0C7" w:rsidR="008E6D04" w:rsidRPr="00407475" w:rsidRDefault="003307B8" w:rsidP="00BC22F5">
      <w:pPr>
        <w:spacing w:before="360" w:line="360" w:lineRule="atLeast"/>
        <w:rPr>
          <w:bCs/>
          <w:color w:val="FF0000"/>
        </w:rPr>
      </w:pPr>
      <w:r w:rsidRPr="008B7FF0">
        <w:rPr>
          <w:b/>
        </w:rPr>
        <w:t>1</w:t>
      </w:r>
      <w:r>
        <w:rPr>
          <w:b/>
        </w:rPr>
        <w:t>2</w:t>
      </w:r>
      <w:r w:rsidRPr="008B7FF0">
        <w:rPr>
          <w:b/>
        </w:rPr>
        <w:t xml:space="preserve">. Wskaźnik </w:t>
      </w:r>
      <w:r w:rsidRPr="008B7FF0">
        <w:rPr>
          <w:b/>
          <w:bCs/>
          <w:i/>
          <w:iCs/>
        </w:rPr>
        <w:t>W</w:t>
      </w:r>
      <w:r w:rsidRPr="008B7FF0">
        <w:rPr>
          <w:b/>
          <w:bCs/>
          <w:i/>
          <w:iCs/>
          <w:vertAlign w:val="subscript"/>
        </w:rPr>
        <w:t xml:space="preserve">B12 </w:t>
      </w:r>
      <w:r>
        <w:rPr>
          <w:bCs/>
        </w:rPr>
        <w:t xml:space="preserve">– </w:t>
      </w:r>
      <w:r>
        <w:rPr>
          <w:color w:val="000000"/>
        </w:rPr>
        <w:t xml:space="preserve">wskaźnik jednoroczny średniej </w:t>
      </w:r>
      <w:r w:rsidR="000420A5">
        <w:rPr>
          <w:color w:val="000000"/>
        </w:rPr>
        <w:t>z art. 243</w:t>
      </w:r>
      <w:r w:rsidR="00CD429D">
        <w:rPr>
          <w:color w:val="000000"/>
        </w:rPr>
        <w:t xml:space="preserve"> ustawy o finansach publicznych</w:t>
      </w:r>
      <w:r w:rsidR="00CD14C5">
        <w:rPr>
          <w:color w:val="000000"/>
        </w:rPr>
        <w:t xml:space="preserve"> (z uwzględnieniem dochodów ze sprzedaży majątku)</w:t>
      </w:r>
    </w:p>
    <w:p w14:paraId="4A1BDB82" w14:textId="6B335820" w:rsidR="000420A5" w:rsidRDefault="008E6D04" w:rsidP="000420A5">
      <w:pPr>
        <w:spacing w:before="360" w:after="360" w:line="360" w:lineRule="atLeast"/>
        <w:rPr>
          <w:bCs/>
        </w:rPr>
      </w:pPr>
      <w:r>
        <w:rPr>
          <w:bCs/>
        </w:rPr>
        <w:t>W</w:t>
      </w:r>
      <w:r w:rsidRPr="00260464">
        <w:rPr>
          <w:i/>
          <w:vertAlign w:val="subscript"/>
        </w:rPr>
        <w:t>B</w:t>
      </w:r>
      <w:r>
        <w:rPr>
          <w:i/>
          <w:vertAlign w:val="subscript"/>
        </w:rPr>
        <w:t xml:space="preserve">12 </w:t>
      </w:r>
      <w:r>
        <w:rPr>
          <w:bCs/>
        </w:rPr>
        <w:t xml:space="preserve">= </w:t>
      </w:r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bCs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Db-Dbe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-</m:t>
            </m:r>
            <m:d>
              <m:dPr>
                <m:ctrlPr>
                  <w:rPr>
                    <w:rFonts w:ascii="Cambria Math" w:hAnsi="Cambria Math"/>
                    <w:bCs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Wb-Wbe-Wbd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+Sm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 xml:space="preserve">Db </m:t>
            </m:r>
            <m:r>
              <w:rPr>
                <w:rFonts w:ascii="Cambria Math" w:hAnsi="Cambria Math" w:hint="eastAsia"/>
                <w:sz w:val="32"/>
                <w:szCs w:val="32"/>
              </w:rPr>
              <m:t>–</m:t>
            </m:r>
            <m:r>
              <w:rPr>
                <w:rFonts w:ascii="Cambria Math" w:hAnsi="Cambria Math"/>
                <w:sz w:val="32"/>
                <w:szCs w:val="32"/>
              </w:rPr>
              <m:t xml:space="preserve"> Dbd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  </m:t>
            </m:r>
          </m:den>
        </m:f>
      </m:oMath>
      <w:r w:rsidR="00C11DE6">
        <w:rPr>
          <w:bCs/>
        </w:rPr>
        <w:t>, gdzie</w:t>
      </w:r>
      <w:r w:rsidR="00752E26">
        <w:rPr>
          <w:bCs/>
        </w:rPr>
        <w:t>;</w:t>
      </w:r>
      <w:r w:rsidR="00C11DE6" w:rsidRPr="00C11DE6">
        <w:rPr>
          <w:bCs/>
        </w:rPr>
        <w:t xml:space="preserve"> </w:t>
      </w:r>
    </w:p>
    <w:p w14:paraId="29C0DDEC" w14:textId="77777777" w:rsidR="000420A5" w:rsidRPr="00260464" w:rsidRDefault="000420A5" w:rsidP="000420A5">
      <w:pPr>
        <w:spacing w:line="360" w:lineRule="atLeast"/>
        <w:rPr>
          <w:bCs/>
          <w:i/>
          <w:iCs/>
        </w:rPr>
      </w:pPr>
      <w:r w:rsidRPr="00260464">
        <w:rPr>
          <w:bCs/>
          <w:i/>
          <w:iCs/>
        </w:rPr>
        <w:t xml:space="preserve">Db – dochody bieżące </w:t>
      </w:r>
      <w:r w:rsidRPr="00260464">
        <w:rPr>
          <w:bCs/>
          <w:i/>
        </w:rPr>
        <w:t>(</w:t>
      </w:r>
      <w:r w:rsidRPr="00260464">
        <w:rPr>
          <w:i/>
        </w:rPr>
        <w:t>dochody niebędące dochodami majątkowymi)</w:t>
      </w:r>
      <w:r w:rsidRPr="00260464">
        <w:rPr>
          <w:bCs/>
          <w:i/>
          <w:iCs/>
        </w:rPr>
        <w:t>.</w:t>
      </w:r>
    </w:p>
    <w:p w14:paraId="670E7C73" w14:textId="77777777" w:rsidR="000420A5" w:rsidRDefault="00236924" w:rsidP="000420A5">
      <w:pPr>
        <w:spacing w:line="360" w:lineRule="atLeast"/>
        <w:rPr>
          <w:bCs/>
          <w:i/>
          <w:iCs/>
        </w:rPr>
      </w:pPr>
      <w:proofErr w:type="spellStart"/>
      <w:r>
        <w:rPr>
          <w:bCs/>
          <w:i/>
          <w:iCs/>
        </w:rPr>
        <w:t>Dbe</w:t>
      </w:r>
      <w:proofErr w:type="spellEnd"/>
      <w:r w:rsidR="000420A5">
        <w:rPr>
          <w:bCs/>
          <w:i/>
          <w:iCs/>
        </w:rPr>
        <w:t xml:space="preserve"> – dotacje i środki o charakterze bieżącym na realizację programu, projektu lub zadania finansowanego z udziałem środków, o których mowa w art. 5 ust. 1 pkt 2 ustawy o finansach publicznych;</w:t>
      </w:r>
    </w:p>
    <w:p w14:paraId="31C94030" w14:textId="77777777" w:rsidR="000420A5" w:rsidRDefault="000420A5" w:rsidP="000420A5">
      <w:pPr>
        <w:spacing w:line="360" w:lineRule="atLeast"/>
        <w:rPr>
          <w:bCs/>
          <w:i/>
          <w:iCs/>
        </w:rPr>
      </w:pPr>
      <w:proofErr w:type="spellStart"/>
      <w:r>
        <w:rPr>
          <w:bCs/>
          <w:i/>
          <w:iCs/>
        </w:rPr>
        <w:lastRenderedPageBreak/>
        <w:t>Wb</w:t>
      </w:r>
      <w:proofErr w:type="spellEnd"/>
      <w:r w:rsidRPr="00260464">
        <w:rPr>
          <w:bCs/>
          <w:i/>
          <w:iCs/>
        </w:rPr>
        <w:t xml:space="preserve"> – wydatki </w:t>
      </w:r>
      <w:r>
        <w:rPr>
          <w:bCs/>
          <w:i/>
          <w:iCs/>
        </w:rPr>
        <w:t>bieżące;</w:t>
      </w:r>
    </w:p>
    <w:p w14:paraId="10B0474F" w14:textId="77777777" w:rsidR="004169A8" w:rsidRDefault="00236924" w:rsidP="004169A8">
      <w:pPr>
        <w:spacing w:line="360" w:lineRule="atLeast"/>
        <w:rPr>
          <w:bCs/>
          <w:i/>
          <w:iCs/>
        </w:rPr>
      </w:pPr>
      <w:proofErr w:type="spellStart"/>
      <w:r>
        <w:rPr>
          <w:bCs/>
          <w:i/>
          <w:iCs/>
        </w:rPr>
        <w:t>Wbe</w:t>
      </w:r>
      <w:proofErr w:type="spellEnd"/>
      <w:r w:rsidR="000420A5">
        <w:rPr>
          <w:bCs/>
          <w:i/>
          <w:iCs/>
        </w:rPr>
        <w:t xml:space="preserve"> – wydatki bieżące </w:t>
      </w:r>
      <w:r w:rsidR="004169A8">
        <w:rPr>
          <w:bCs/>
          <w:i/>
          <w:iCs/>
        </w:rPr>
        <w:t>na programy, projekty lub zadania finansowane z udziałem środków, o których mowa w art. 5 ust. 1 pkt 2 ustawy o finansach publicznych;</w:t>
      </w:r>
    </w:p>
    <w:p w14:paraId="55AC5B51" w14:textId="77777777" w:rsidR="000420A5" w:rsidRDefault="00142BD6" w:rsidP="000420A5">
      <w:pPr>
        <w:spacing w:line="360" w:lineRule="atLeast"/>
        <w:rPr>
          <w:bCs/>
          <w:i/>
          <w:iCs/>
        </w:rPr>
      </w:pPr>
      <w:proofErr w:type="spellStart"/>
      <w:r>
        <w:rPr>
          <w:bCs/>
          <w:i/>
          <w:iCs/>
        </w:rPr>
        <w:t>Wbd</w:t>
      </w:r>
      <w:proofErr w:type="spellEnd"/>
      <w:r w:rsidR="004169A8">
        <w:rPr>
          <w:bCs/>
          <w:i/>
          <w:iCs/>
        </w:rPr>
        <w:t xml:space="preserve"> - s</w:t>
      </w:r>
      <w:r w:rsidR="004169A8" w:rsidRPr="004169A8">
        <w:rPr>
          <w:bCs/>
          <w:i/>
          <w:iCs/>
        </w:rPr>
        <w:t xml:space="preserve">płaty zobowiązań dłużnych </w:t>
      </w:r>
      <w:r w:rsidR="004169A8">
        <w:rPr>
          <w:bCs/>
          <w:i/>
          <w:iCs/>
        </w:rPr>
        <w:t>zaciągniętych po 1 stycznia</w:t>
      </w:r>
      <w:r w:rsidR="004169A8" w:rsidRPr="004169A8">
        <w:rPr>
          <w:bCs/>
          <w:i/>
          <w:iCs/>
        </w:rPr>
        <w:t xml:space="preserve"> 2019 r. </w:t>
      </w:r>
      <w:r w:rsidR="004169A8">
        <w:rPr>
          <w:bCs/>
          <w:i/>
          <w:iCs/>
        </w:rPr>
        <w:t>dokonywane w formie wydatku bieżącego;</w:t>
      </w:r>
    </w:p>
    <w:p w14:paraId="5038266A" w14:textId="5A2A97B3" w:rsidR="004D1FC6" w:rsidRDefault="004D1FC6" w:rsidP="000420A5">
      <w:pPr>
        <w:spacing w:line="360" w:lineRule="atLeast"/>
        <w:rPr>
          <w:bCs/>
          <w:i/>
          <w:iCs/>
        </w:rPr>
      </w:pPr>
      <w:r>
        <w:rPr>
          <w:bCs/>
          <w:i/>
          <w:iCs/>
        </w:rPr>
        <w:t>S</w:t>
      </w:r>
      <w:r w:rsidR="00483873">
        <w:rPr>
          <w:bCs/>
          <w:i/>
          <w:iCs/>
        </w:rPr>
        <w:t>m</w:t>
      </w:r>
      <w:r>
        <w:rPr>
          <w:bCs/>
          <w:i/>
          <w:iCs/>
        </w:rPr>
        <w:t xml:space="preserve"> – dochody ze sprzedaży majątku;</w:t>
      </w:r>
    </w:p>
    <w:p w14:paraId="1526913E" w14:textId="2BC8ACFA" w:rsidR="004D1FC6" w:rsidRPr="004D1FC6" w:rsidRDefault="004D1FC6" w:rsidP="004D1FC6">
      <w:pPr>
        <w:spacing w:line="360" w:lineRule="atLeast"/>
        <w:rPr>
          <w:bCs/>
          <w:i/>
          <w:iCs/>
        </w:rPr>
      </w:pPr>
      <w:proofErr w:type="spellStart"/>
      <w:r w:rsidRPr="004D1FC6">
        <w:rPr>
          <w:bCs/>
          <w:i/>
          <w:iCs/>
        </w:rPr>
        <w:t>D</w:t>
      </w:r>
      <w:r w:rsidR="008925B6">
        <w:rPr>
          <w:bCs/>
          <w:i/>
          <w:iCs/>
        </w:rPr>
        <w:t>bd</w:t>
      </w:r>
      <w:proofErr w:type="spellEnd"/>
      <w:r w:rsidRPr="004D1FC6">
        <w:rPr>
          <w:bCs/>
          <w:i/>
          <w:iCs/>
        </w:rPr>
        <w:t xml:space="preserve"> – dochody z tytułu dotacji i środków przeznaczonych na cele bieżące.</w:t>
      </w:r>
    </w:p>
    <w:p w14:paraId="039EBE1C" w14:textId="2504D45E" w:rsidR="008E6D04" w:rsidRDefault="00530BFF" w:rsidP="006F1317">
      <w:pPr>
        <w:spacing w:before="360" w:line="360" w:lineRule="atLeast"/>
        <w:rPr>
          <w:bCs/>
        </w:rPr>
      </w:pPr>
      <w:r>
        <w:rPr>
          <w:bCs/>
        </w:rPr>
        <w:t xml:space="preserve">Wskaźnik przedstawia udział </w:t>
      </w:r>
      <w:r w:rsidR="00C11DE6" w:rsidRPr="00CD429D">
        <w:rPr>
          <w:bCs/>
        </w:rPr>
        <w:t>nadwyżki</w:t>
      </w:r>
      <w:r>
        <w:rPr>
          <w:bCs/>
        </w:rPr>
        <w:t xml:space="preserve"> operacyjnej</w:t>
      </w:r>
      <w:r w:rsidR="00C11DE6" w:rsidRPr="00CD429D">
        <w:rPr>
          <w:bCs/>
        </w:rPr>
        <w:t xml:space="preserve"> </w:t>
      </w:r>
      <w:r>
        <w:rPr>
          <w:bCs/>
        </w:rPr>
        <w:t>(z wyłączeniem środków UE</w:t>
      </w:r>
      <w:r w:rsidR="00C969B9" w:rsidRPr="00C969B9">
        <w:rPr>
          <w:bCs/>
        </w:rPr>
        <w:t xml:space="preserve"> </w:t>
      </w:r>
      <w:r w:rsidR="00BC22F5">
        <w:rPr>
          <w:bCs/>
        </w:rPr>
        <w:t>i </w:t>
      </w:r>
      <w:r w:rsidR="00C969B9">
        <w:rPr>
          <w:bCs/>
        </w:rPr>
        <w:t xml:space="preserve">spłaty </w:t>
      </w:r>
      <w:r w:rsidR="00C969B9" w:rsidRPr="00CD429D">
        <w:rPr>
          <w:bCs/>
        </w:rPr>
        <w:t xml:space="preserve">zobowiązań dłużnych </w:t>
      </w:r>
      <w:r w:rsidR="00C969B9">
        <w:rPr>
          <w:bCs/>
        </w:rPr>
        <w:t xml:space="preserve">zaciągniętych po 1 stycznia  2019 r. dokonywanych </w:t>
      </w:r>
      <w:r w:rsidR="00C969B9" w:rsidRPr="00CD429D">
        <w:rPr>
          <w:bCs/>
        </w:rPr>
        <w:t>w</w:t>
      </w:r>
      <w:r w:rsidR="00BC22F5">
        <w:rPr>
          <w:bCs/>
        </w:rPr>
        <w:t> </w:t>
      </w:r>
      <w:r w:rsidR="00C969B9">
        <w:rPr>
          <w:bCs/>
        </w:rPr>
        <w:t>formie wydatków</w:t>
      </w:r>
      <w:r w:rsidR="00C969B9" w:rsidRPr="00CD429D">
        <w:rPr>
          <w:bCs/>
        </w:rPr>
        <w:t xml:space="preserve"> bieżących</w:t>
      </w:r>
      <w:r>
        <w:rPr>
          <w:bCs/>
        </w:rPr>
        <w:t xml:space="preserve">) </w:t>
      </w:r>
      <w:r w:rsidR="00C11DE6" w:rsidRPr="00CD429D">
        <w:rPr>
          <w:bCs/>
        </w:rPr>
        <w:t xml:space="preserve">i </w:t>
      </w:r>
      <w:r>
        <w:rPr>
          <w:bCs/>
        </w:rPr>
        <w:t xml:space="preserve">dochodów ze </w:t>
      </w:r>
      <w:r w:rsidR="00C11DE6" w:rsidRPr="00CD429D">
        <w:rPr>
          <w:bCs/>
        </w:rPr>
        <w:t xml:space="preserve">sprzedaży majątku </w:t>
      </w:r>
      <w:r w:rsidR="00C969B9">
        <w:rPr>
          <w:bCs/>
        </w:rPr>
        <w:t xml:space="preserve">w dochodach </w:t>
      </w:r>
      <w:r>
        <w:rPr>
          <w:bCs/>
        </w:rPr>
        <w:t>bieżących</w:t>
      </w:r>
      <w:r w:rsidR="00FD58BC">
        <w:rPr>
          <w:bCs/>
        </w:rPr>
        <w:t>.</w:t>
      </w:r>
    </w:p>
    <w:p w14:paraId="7BEFEFB1" w14:textId="77777777" w:rsidR="00B50F49" w:rsidRPr="00260464" w:rsidRDefault="00B50F49" w:rsidP="00BC22F5">
      <w:pPr>
        <w:spacing w:before="360" w:after="360"/>
        <w:rPr>
          <w:b/>
          <w:u w:val="single"/>
        </w:rPr>
      </w:pPr>
      <w:r w:rsidRPr="00260464">
        <w:rPr>
          <w:b/>
          <w:u w:val="single"/>
        </w:rPr>
        <w:t>Wskaźniki na mieszkańca</w:t>
      </w:r>
    </w:p>
    <w:p w14:paraId="3ECB49FE" w14:textId="4CA0C0AC" w:rsidR="0066640D" w:rsidRPr="00260464" w:rsidRDefault="000B2712" w:rsidP="00BC22F5">
      <w:pPr>
        <w:pStyle w:val="Tekstpodstawowy2"/>
        <w:spacing w:before="480" w:line="360" w:lineRule="exact"/>
        <w:ind w:left="1979" w:hanging="1979"/>
        <w:rPr>
          <w:rFonts w:cs="Arial"/>
          <w:sz w:val="24"/>
          <w:szCs w:val="24"/>
        </w:rPr>
      </w:pPr>
      <w:r w:rsidRPr="008B7FF0">
        <w:rPr>
          <w:rFonts w:cs="Arial"/>
          <w:b/>
          <w:sz w:val="24"/>
          <w:szCs w:val="24"/>
        </w:rPr>
        <w:t>1</w:t>
      </w:r>
      <w:r w:rsidR="00B55C68">
        <w:rPr>
          <w:rFonts w:cs="Arial"/>
          <w:b/>
          <w:sz w:val="24"/>
          <w:szCs w:val="24"/>
        </w:rPr>
        <w:t>3</w:t>
      </w:r>
      <w:r w:rsidR="0066640D" w:rsidRPr="008B7FF0">
        <w:rPr>
          <w:rFonts w:cs="Arial"/>
          <w:b/>
          <w:sz w:val="24"/>
          <w:szCs w:val="24"/>
        </w:rPr>
        <w:t xml:space="preserve">. Wskaźnik </w:t>
      </w:r>
      <w:r w:rsidR="0066640D" w:rsidRPr="008B7FF0">
        <w:rPr>
          <w:rFonts w:cs="Arial"/>
          <w:b/>
          <w:bCs/>
          <w:i/>
          <w:iCs/>
          <w:sz w:val="24"/>
          <w:szCs w:val="24"/>
        </w:rPr>
        <w:t>W</w:t>
      </w:r>
      <w:r w:rsidR="0066640D" w:rsidRPr="008B7FF0">
        <w:rPr>
          <w:rFonts w:cs="Arial"/>
          <w:b/>
          <w:bCs/>
          <w:i/>
          <w:iCs/>
          <w:sz w:val="24"/>
          <w:szCs w:val="24"/>
          <w:vertAlign w:val="subscript"/>
        </w:rPr>
        <w:t>L1</w:t>
      </w:r>
      <w:r w:rsidR="0066640D" w:rsidRPr="008B7FF0">
        <w:rPr>
          <w:rFonts w:cs="Arial"/>
          <w:sz w:val="24"/>
          <w:szCs w:val="24"/>
        </w:rPr>
        <w:t xml:space="preserve"> –  </w:t>
      </w:r>
      <w:r w:rsidR="0066640D" w:rsidRPr="00260464">
        <w:rPr>
          <w:rFonts w:cs="Arial"/>
          <w:sz w:val="24"/>
          <w:szCs w:val="24"/>
        </w:rPr>
        <w:t xml:space="preserve">Transfery </w:t>
      </w:r>
      <w:r w:rsidR="0046179D" w:rsidRPr="00260464">
        <w:rPr>
          <w:rFonts w:cs="Arial"/>
          <w:sz w:val="24"/>
          <w:szCs w:val="24"/>
        </w:rPr>
        <w:t xml:space="preserve">bieżące </w:t>
      </w:r>
      <w:r w:rsidR="0066640D" w:rsidRPr="00260464">
        <w:rPr>
          <w:rFonts w:cs="Arial"/>
          <w:sz w:val="24"/>
          <w:szCs w:val="24"/>
        </w:rPr>
        <w:t>na mieszkańca</w:t>
      </w:r>
    </w:p>
    <w:p w14:paraId="17E2764F" w14:textId="77777777" w:rsidR="004C4E6F" w:rsidRPr="00554913" w:rsidRDefault="001942E3" w:rsidP="00554913">
      <w:pPr>
        <w:spacing w:before="360" w:after="360" w:line="240" w:lineRule="atLeast"/>
        <w:rPr>
          <w:i/>
        </w:rPr>
      </w:pPr>
      <w:r w:rsidRPr="00260464">
        <w:rPr>
          <w:i/>
        </w:rPr>
        <w:t>W</w:t>
      </w:r>
      <w:r w:rsidR="00554913" w:rsidRPr="00554913">
        <w:rPr>
          <w:i/>
          <w:vertAlign w:val="subscript"/>
        </w:rPr>
        <w:t xml:space="preserve"> </w:t>
      </w:r>
      <w:r w:rsidR="00554913" w:rsidRPr="00260464">
        <w:rPr>
          <w:i/>
          <w:vertAlign w:val="subscript"/>
        </w:rPr>
        <w:t>L</w:t>
      </w:r>
      <w:r w:rsidR="00554913">
        <w:rPr>
          <w:i/>
          <w:vertAlign w:val="subscript"/>
        </w:rPr>
        <w:t>1</w:t>
      </w:r>
      <w:r w:rsidRPr="00554913">
        <w:rPr>
          <w:i/>
        </w:rPr>
        <w:t xml:space="preserve">  </w:t>
      </w:r>
      <w:r w:rsidRPr="00260464">
        <w:rPr>
          <w:i/>
        </w:rPr>
        <w:t>=</w:t>
      </w:r>
      <w:r w:rsidR="006251C4">
        <w:rPr>
          <w:i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Tb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L</m:t>
            </m:r>
          </m:den>
        </m:f>
        <m:r>
          <w:rPr>
            <w:rFonts w:ascii="Cambria Math" w:hAnsi="Cambria Math"/>
          </w:rPr>
          <m:t xml:space="preserve">  </m:t>
        </m:r>
      </m:oMath>
      <w:r w:rsidR="0046179D" w:rsidRPr="00260464">
        <w:rPr>
          <w:i/>
        </w:rPr>
        <w:t>,</w:t>
      </w:r>
      <w:r w:rsidR="004C4E6F" w:rsidRPr="00260464">
        <w:rPr>
          <w:i/>
        </w:rPr>
        <w:t xml:space="preserve"> </w:t>
      </w:r>
      <w:r w:rsidR="004C4E6F" w:rsidRPr="00554913">
        <w:rPr>
          <w:i/>
        </w:rPr>
        <w:t>gdzie:</w:t>
      </w:r>
    </w:p>
    <w:p w14:paraId="65E170CA" w14:textId="2243E3A2" w:rsidR="004C4E6F" w:rsidRPr="00260464" w:rsidRDefault="0066640D" w:rsidP="00B850AB">
      <w:pPr>
        <w:spacing w:line="360" w:lineRule="atLeast"/>
        <w:rPr>
          <w:bCs/>
          <w:i/>
          <w:iCs/>
        </w:rPr>
      </w:pPr>
      <w:r w:rsidRPr="00260464">
        <w:rPr>
          <w:bCs/>
          <w:i/>
          <w:iCs/>
        </w:rPr>
        <w:t>Tb</w:t>
      </w:r>
      <w:r w:rsidR="004C4E6F" w:rsidRPr="00260464">
        <w:rPr>
          <w:bCs/>
          <w:i/>
          <w:iCs/>
        </w:rPr>
        <w:t xml:space="preserve"> – </w:t>
      </w:r>
      <w:r w:rsidR="00610581" w:rsidRPr="00260464">
        <w:rPr>
          <w:bCs/>
          <w:i/>
          <w:iCs/>
        </w:rPr>
        <w:t xml:space="preserve">transfery </w:t>
      </w:r>
      <w:r w:rsidR="0046179D" w:rsidRPr="006E4F4C">
        <w:rPr>
          <w:bCs/>
          <w:i/>
          <w:iCs/>
        </w:rPr>
        <w:t>bieżące</w:t>
      </w:r>
    </w:p>
    <w:p w14:paraId="14B0E926" w14:textId="77777777" w:rsidR="004C4E6F" w:rsidRDefault="004C4E6F" w:rsidP="00B850AB">
      <w:pPr>
        <w:spacing w:line="360" w:lineRule="atLeast"/>
        <w:ind w:left="360" w:hanging="360"/>
        <w:rPr>
          <w:bCs/>
          <w:i/>
          <w:iCs/>
        </w:rPr>
      </w:pPr>
      <w:r w:rsidRPr="00260464">
        <w:rPr>
          <w:bCs/>
          <w:i/>
          <w:iCs/>
        </w:rPr>
        <w:t>L – liczba mieszkańców jednostki samorządu terytorialnego</w:t>
      </w:r>
      <w:r w:rsidR="004D1D86" w:rsidRPr="00260464">
        <w:rPr>
          <w:bCs/>
          <w:i/>
          <w:iCs/>
        </w:rPr>
        <w:t>.</w:t>
      </w:r>
    </w:p>
    <w:p w14:paraId="61ED22A1" w14:textId="4E0C55C2" w:rsidR="00F7253F" w:rsidRPr="00260464" w:rsidRDefault="000B2712" w:rsidP="00BC22F5">
      <w:pPr>
        <w:pStyle w:val="Tekstpodstawowy2"/>
        <w:spacing w:before="360" w:line="360" w:lineRule="exact"/>
        <w:ind w:left="1979" w:hanging="1979"/>
        <w:rPr>
          <w:rFonts w:cs="Arial"/>
          <w:sz w:val="24"/>
          <w:szCs w:val="24"/>
        </w:rPr>
      </w:pPr>
      <w:r w:rsidRPr="008B7FF0">
        <w:rPr>
          <w:rFonts w:cs="Arial"/>
          <w:b/>
          <w:sz w:val="24"/>
          <w:szCs w:val="24"/>
        </w:rPr>
        <w:t>1</w:t>
      </w:r>
      <w:r w:rsidR="00B55C68">
        <w:rPr>
          <w:rFonts w:cs="Arial"/>
          <w:b/>
          <w:sz w:val="24"/>
          <w:szCs w:val="24"/>
        </w:rPr>
        <w:t>4</w:t>
      </w:r>
      <w:r w:rsidRPr="008B7FF0">
        <w:rPr>
          <w:rFonts w:cs="Arial"/>
          <w:b/>
          <w:sz w:val="24"/>
          <w:szCs w:val="24"/>
        </w:rPr>
        <w:t>.</w:t>
      </w:r>
      <w:r w:rsidR="00F7253F" w:rsidRPr="008B7FF0">
        <w:rPr>
          <w:rFonts w:cs="Arial"/>
          <w:b/>
          <w:sz w:val="24"/>
          <w:szCs w:val="24"/>
        </w:rPr>
        <w:t xml:space="preserve"> Wskaźnik </w:t>
      </w:r>
      <w:r w:rsidR="00F7253F" w:rsidRPr="008B7FF0">
        <w:rPr>
          <w:rFonts w:cs="Arial"/>
          <w:b/>
          <w:bCs/>
          <w:i/>
          <w:iCs/>
          <w:sz w:val="24"/>
          <w:szCs w:val="24"/>
        </w:rPr>
        <w:t>W</w:t>
      </w:r>
      <w:r w:rsidR="00F7253F" w:rsidRPr="008B7FF0">
        <w:rPr>
          <w:rFonts w:cs="Arial"/>
          <w:b/>
          <w:bCs/>
          <w:i/>
          <w:iCs/>
          <w:sz w:val="24"/>
          <w:szCs w:val="24"/>
          <w:vertAlign w:val="subscript"/>
        </w:rPr>
        <w:t>L2</w:t>
      </w:r>
      <w:r w:rsidR="00F7253F" w:rsidRPr="008B7FF0">
        <w:rPr>
          <w:rFonts w:cs="Arial"/>
          <w:sz w:val="24"/>
          <w:szCs w:val="24"/>
        </w:rPr>
        <w:t xml:space="preserve"> –  </w:t>
      </w:r>
      <w:r w:rsidR="00F7253F" w:rsidRPr="00260464">
        <w:rPr>
          <w:rFonts w:cs="Arial"/>
          <w:sz w:val="24"/>
          <w:szCs w:val="24"/>
        </w:rPr>
        <w:t>Nadwyżka operacyjna na mieszkańca</w:t>
      </w:r>
    </w:p>
    <w:p w14:paraId="615673CC" w14:textId="77777777" w:rsidR="004C4E6F" w:rsidRPr="00F72B0B" w:rsidRDefault="00F950B9" w:rsidP="00F72B0B">
      <w:pPr>
        <w:spacing w:before="360" w:after="360" w:line="240" w:lineRule="atLeast"/>
        <w:rPr>
          <w:i/>
        </w:rPr>
      </w:pPr>
      <w:r w:rsidRPr="00260464">
        <w:rPr>
          <w:i/>
        </w:rPr>
        <w:t>W</w:t>
      </w:r>
      <w:r w:rsidR="00F72B0B" w:rsidRPr="00260464">
        <w:rPr>
          <w:i/>
          <w:vertAlign w:val="subscript"/>
        </w:rPr>
        <w:t>L</w:t>
      </w:r>
      <w:r w:rsidR="00F72B0B">
        <w:rPr>
          <w:i/>
          <w:vertAlign w:val="subscript"/>
        </w:rPr>
        <w:t>2</w:t>
      </w:r>
      <w:r w:rsidRPr="00F72B0B">
        <w:rPr>
          <w:i/>
        </w:rPr>
        <w:t xml:space="preserve">  </w:t>
      </w:r>
      <w:r w:rsidRPr="00260464">
        <w:rPr>
          <w:i/>
        </w:rPr>
        <w:t>=</w:t>
      </w:r>
      <w:r w:rsidR="00EE0C96">
        <w:rPr>
          <w:i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No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L</m:t>
            </m:r>
          </m:den>
        </m:f>
      </m:oMath>
      <w:r w:rsidR="00242C63">
        <w:rPr>
          <w:i/>
        </w:rPr>
        <w:t>,</w:t>
      </w:r>
      <w:r w:rsidR="004C4E6F" w:rsidRPr="00260464">
        <w:rPr>
          <w:i/>
        </w:rPr>
        <w:t xml:space="preserve"> </w:t>
      </w:r>
      <w:r w:rsidR="004C4E6F" w:rsidRPr="00F72B0B">
        <w:rPr>
          <w:i/>
        </w:rPr>
        <w:t>gdzie:</w:t>
      </w:r>
    </w:p>
    <w:p w14:paraId="4CA535DF" w14:textId="77777777" w:rsidR="004C4E6F" w:rsidRPr="00260464" w:rsidRDefault="004C4E6F" w:rsidP="00B850AB">
      <w:pPr>
        <w:spacing w:line="360" w:lineRule="atLeast"/>
        <w:rPr>
          <w:bCs/>
          <w:i/>
          <w:iCs/>
        </w:rPr>
      </w:pPr>
      <w:r w:rsidRPr="00260464">
        <w:rPr>
          <w:bCs/>
          <w:i/>
          <w:iCs/>
        </w:rPr>
        <w:t>N</w:t>
      </w:r>
      <w:r w:rsidR="006251C4">
        <w:rPr>
          <w:bCs/>
          <w:i/>
          <w:iCs/>
        </w:rPr>
        <w:t>o</w:t>
      </w:r>
      <w:r w:rsidRPr="00260464">
        <w:rPr>
          <w:bCs/>
          <w:i/>
          <w:iCs/>
        </w:rPr>
        <w:t xml:space="preserve"> – nadwyżka operacyjna,</w:t>
      </w:r>
    </w:p>
    <w:p w14:paraId="791080E7" w14:textId="77777777" w:rsidR="004C4E6F" w:rsidRPr="00260464" w:rsidRDefault="004C4E6F" w:rsidP="00B850AB">
      <w:pPr>
        <w:spacing w:line="360" w:lineRule="atLeast"/>
        <w:ind w:left="360" w:hanging="360"/>
        <w:rPr>
          <w:bCs/>
          <w:i/>
          <w:iCs/>
        </w:rPr>
      </w:pPr>
      <w:r w:rsidRPr="00260464">
        <w:rPr>
          <w:bCs/>
          <w:i/>
          <w:iCs/>
        </w:rPr>
        <w:t>L – liczba mieszkańców jednostki samorządu</w:t>
      </w:r>
      <w:r w:rsidR="004D1D86" w:rsidRPr="00260464">
        <w:rPr>
          <w:bCs/>
          <w:i/>
          <w:iCs/>
        </w:rPr>
        <w:t xml:space="preserve"> terytorialnego</w:t>
      </w:r>
      <w:r w:rsidRPr="00260464">
        <w:rPr>
          <w:bCs/>
          <w:i/>
          <w:iCs/>
        </w:rPr>
        <w:t>.</w:t>
      </w:r>
    </w:p>
    <w:p w14:paraId="092E1668" w14:textId="4A42D40F" w:rsidR="004932D2" w:rsidRPr="00260464" w:rsidRDefault="000B2712" w:rsidP="00BC22F5">
      <w:pPr>
        <w:pStyle w:val="Tekstpodstawowy2"/>
        <w:spacing w:before="360" w:line="360" w:lineRule="exact"/>
        <w:ind w:left="1979" w:hanging="1979"/>
        <w:rPr>
          <w:rFonts w:cs="Arial"/>
          <w:sz w:val="24"/>
          <w:szCs w:val="24"/>
        </w:rPr>
      </w:pPr>
      <w:r w:rsidRPr="008B7FF0">
        <w:rPr>
          <w:rFonts w:cs="Arial"/>
          <w:b/>
          <w:sz w:val="24"/>
          <w:szCs w:val="24"/>
        </w:rPr>
        <w:t>1</w:t>
      </w:r>
      <w:r w:rsidR="00B55C68">
        <w:rPr>
          <w:rFonts w:cs="Arial"/>
          <w:b/>
          <w:sz w:val="24"/>
          <w:szCs w:val="24"/>
        </w:rPr>
        <w:t>5</w:t>
      </w:r>
      <w:r w:rsidR="004932D2" w:rsidRPr="008B7FF0">
        <w:rPr>
          <w:rFonts w:cs="Arial"/>
          <w:b/>
          <w:sz w:val="24"/>
          <w:szCs w:val="24"/>
        </w:rPr>
        <w:t xml:space="preserve">. Wskaźnik </w:t>
      </w:r>
      <w:r w:rsidR="004932D2" w:rsidRPr="008B7FF0">
        <w:rPr>
          <w:rFonts w:cs="Arial"/>
          <w:b/>
          <w:bCs/>
          <w:i/>
          <w:iCs/>
          <w:sz w:val="24"/>
          <w:szCs w:val="24"/>
        </w:rPr>
        <w:t>W</w:t>
      </w:r>
      <w:r w:rsidR="004932D2" w:rsidRPr="008B7FF0">
        <w:rPr>
          <w:rFonts w:cs="Arial"/>
          <w:b/>
          <w:bCs/>
          <w:i/>
          <w:iCs/>
          <w:sz w:val="24"/>
          <w:szCs w:val="24"/>
          <w:vertAlign w:val="subscript"/>
        </w:rPr>
        <w:t>L3</w:t>
      </w:r>
      <w:r w:rsidR="004932D2" w:rsidRPr="008B7FF0">
        <w:rPr>
          <w:rFonts w:cs="Arial"/>
          <w:sz w:val="24"/>
          <w:szCs w:val="24"/>
        </w:rPr>
        <w:t xml:space="preserve"> </w:t>
      </w:r>
      <w:r w:rsidR="004932D2" w:rsidRPr="00260464">
        <w:rPr>
          <w:rFonts w:cs="Arial"/>
          <w:sz w:val="24"/>
          <w:szCs w:val="24"/>
        </w:rPr>
        <w:t>–  Zobowiązania ogółem na mieszkańca</w:t>
      </w:r>
    </w:p>
    <w:p w14:paraId="481E4A41" w14:textId="77777777" w:rsidR="004C4E6F" w:rsidRPr="00BF09C1" w:rsidRDefault="001942E3" w:rsidP="00B4489E">
      <w:pPr>
        <w:spacing w:before="360" w:after="360" w:line="240" w:lineRule="atLeast"/>
        <w:rPr>
          <w:i/>
        </w:rPr>
      </w:pPr>
      <w:r w:rsidRPr="00260464">
        <w:rPr>
          <w:i/>
        </w:rPr>
        <w:t>W</w:t>
      </w:r>
      <w:r w:rsidRPr="006E4F4C">
        <w:rPr>
          <w:i/>
          <w:vertAlign w:val="subscript"/>
        </w:rPr>
        <w:t>L</w:t>
      </w:r>
      <w:r w:rsidR="00F950B9" w:rsidRPr="006E4F4C">
        <w:rPr>
          <w:i/>
          <w:vertAlign w:val="subscript"/>
        </w:rPr>
        <w:t>3</w:t>
      </w:r>
      <w:r w:rsidRPr="00B4489E">
        <w:rPr>
          <w:i/>
        </w:rPr>
        <w:t xml:space="preserve">  </w:t>
      </w:r>
      <w:r w:rsidRPr="00260464">
        <w:rPr>
          <w:i/>
        </w:rPr>
        <w:t>=</w:t>
      </w:r>
      <w:r w:rsidR="00F72B0B">
        <w:rPr>
          <w:i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Zo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L</m:t>
            </m:r>
          </m:den>
        </m:f>
      </m:oMath>
      <w:r w:rsidR="00AC404E">
        <w:rPr>
          <w:i/>
        </w:rPr>
        <w:t xml:space="preserve">  </w:t>
      </w:r>
      <w:r w:rsidR="00242C63">
        <w:rPr>
          <w:i/>
        </w:rPr>
        <w:t>,</w:t>
      </w:r>
      <w:r w:rsidR="004C4E6F" w:rsidRPr="00260464">
        <w:rPr>
          <w:i/>
        </w:rPr>
        <w:t xml:space="preserve"> </w:t>
      </w:r>
      <w:r w:rsidR="004C4E6F" w:rsidRPr="00BF09C1">
        <w:rPr>
          <w:i/>
        </w:rPr>
        <w:t>gdzie:</w:t>
      </w:r>
    </w:p>
    <w:p w14:paraId="4D137B7A" w14:textId="77777777" w:rsidR="004C4E6F" w:rsidRPr="00260464" w:rsidRDefault="002A68FF" w:rsidP="00B850AB">
      <w:pPr>
        <w:spacing w:before="120" w:line="360" w:lineRule="atLeast"/>
        <w:rPr>
          <w:bCs/>
          <w:i/>
          <w:iCs/>
        </w:rPr>
      </w:pPr>
      <w:proofErr w:type="spellStart"/>
      <w:r w:rsidRPr="00260464">
        <w:rPr>
          <w:bCs/>
          <w:i/>
          <w:iCs/>
        </w:rPr>
        <w:t>Zo</w:t>
      </w:r>
      <w:proofErr w:type="spellEnd"/>
      <w:r w:rsidR="004C4E6F" w:rsidRPr="00260464">
        <w:rPr>
          <w:bCs/>
          <w:i/>
          <w:iCs/>
        </w:rPr>
        <w:t xml:space="preserve"> – </w:t>
      </w:r>
      <w:r w:rsidRPr="00260464">
        <w:rPr>
          <w:bCs/>
          <w:i/>
          <w:iCs/>
        </w:rPr>
        <w:t xml:space="preserve">zobowiązania </w:t>
      </w:r>
      <w:r w:rsidR="00B526D3" w:rsidRPr="00260464">
        <w:rPr>
          <w:bCs/>
          <w:i/>
          <w:iCs/>
        </w:rPr>
        <w:t>według tytułów dłużnych</w:t>
      </w:r>
      <w:r w:rsidR="004C4E6F" w:rsidRPr="00260464">
        <w:rPr>
          <w:bCs/>
          <w:i/>
          <w:iCs/>
        </w:rPr>
        <w:t>,</w:t>
      </w:r>
    </w:p>
    <w:p w14:paraId="7F74C551" w14:textId="77777777" w:rsidR="004C4E6F" w:rsidRDefault="004C4E6F" w:rsidP="00B850AB">
      <w:pPr>
        <w:spacing w:line="360" w:lineRule="atLeast"/>
        <w:ind w:left="360" w:hanging="360"/>
        <w:rPr>
          <w:bCs/>
          <w:i/>
          <w:iCs/>
        </w:rPr>
      </w:pPr>
      <w:r w:rsidRPr="00260464">
        <w:rPr>
          <w:bCs/>
          <w:i/>
          <w:iCs/>
        </w:rPr>
        <w:t>L – liczba mieszkańców jednostki samorządu terytorialnego</w:t>
      </w:r>
      <w:r w:rsidR="004D1D86" w:rsidRPr="00260464">
        <w:rPr>
          <w:bCs/>
          <w:i/>
          <w:iCs/>
        </w:rPr>
        <w:t>.</w:t>
      </w:r>
    </w:p>
    <w:p w14:paraId="7219B056" w14:textId="00CE2276" w:rsidR="00A87749" w:rsidRDefault="000B2712" w:rsidP="00BC22F5">
      <w:pPr>
        <w:spacing w:before="360" w:line="360" w:lineRule="atLeast"/>
        <w:ind w:left="357" w:hanging="357"/>
      </w:pPr>
      <w:r w:rsidRPr="008B7FF0">
        <w:rPr>
          <w:b/>
        </w:rPr>
        <w:t>1</w:t>
      </w:r>
      <w:r w:rsidR="00B55C68">
        <w:rPr>
          <w:b/>
        </w:rPr>
        <w:t>6</w:t>
      </w:r>
      <w:r w:rsidRPr="008B7FF0">
        <w:rPr>
          <w:b/>
        </w:rPr>
        <w:t xml:space="preserve">. Wskaźnik </w:t>
      </w:r>
      <w:r w:rsidRPr="008B7FF0">
        <w:rPr>
          <w:b/>
          <w:bCs/>
          <w:i/>
          <w:iCs/>
        </w:rPr>
        <w:t>W</w:t>
      </w:r>
      <w:r w:rsidRPr="008B7FF0">
        <w:rPr>
          <w:b/>
          <w:bCs/>
          <w:i/>
          <w:iCs/>
          <w:vertAlign w:val="subscript"/>
        </w:rPr>
        <w:t>L4</w:t>
      </w:r>
      <w:r>
        <w:rPr>
          <w:b/>
          <w:bCs/>
          <w:i/>
          <w:iCs/>
          <w:color w:val="FF0000"/>
          <w:vertAlign w:val="subscript"/>
        </w:rPr>
        <w:t xml:space="preserve"> </w:t>
      </w:r>
      <w:r>
        <w:rPr>
          <w:bCs/>
          <w:i/>
          <w:iCs/>
        </w:rPr>
        <w:t xml:space="preserve">- </w:t>
      </w:r>
      <w:r w:rsidRPr="000B2712">
        <w:t xml:space="preserve">potencjał rozwojowy </w:t>
      </w:r>
      <w:r>
        <w:t>na mieszkańca</w:t>
      </w:r>
    </w:p>
    <w:p w14:paraId="5E8ED95D" w14:textId="2F0A99DA" w:rsidR="00A87749" w:rsidRDefault="00A87749" w:rsidP="00EE0C96">
      <w:pPr>
        <w:spacing w:before="360" w:after="360" w:line="360" w:lineRule="atLeast"/>
        <w:ind w:left="357" w:hanging="357"/>
      </w:pPr>
      <w:r w:rsidRPr="00260464">
        <w:rPr>
          <w:i/>
        </w:rPr>
        <w:lastRenderedPageBreak/>
        <w:t>W</w:t>
      </w:r>
      <w:r w:rsidRPr="00260464">
        <w:rPr>
          <w:i/>
          <w:vertAlign w:val="subscript"/>
        </w:rPr>
        <w:t>L</w:t>
      </w:r>
      <w:r>
        <w:rPr>
          <w:i/>
          <w:vertAlign w:val="subscript"/>
        </w:rPr>
        <w:t xml:space="preserve">4 </w:t>
      </w:r>
      <w:r>
        <w:t xml:space="preserve">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Pbzwr+(Do-Wb)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L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 </m:t>
        </m:r>
      </m:oMath>
      <w:r>
        <w:t>, gdzie:</w:t>
      </w:r>
    </w:p>
    <w:p w14:paraId="2935A405" w14:textId="77777777" w:rsidR="00A87749" w:rsidRDefault="00A87749" w:rsidP="00A87749">
      <w:pPr>
        <w:pStyle w:val="Tekstpodstawowy2"/>
        <w:spacing w:line="360" w:lineRule="exact"/>
        <w:rPr>
          <w:rFonts w:cs="Arial"/>
          <w:i/>
          <w:sz w:val="24"/>
          <w:szCs w:val="24"/>
        </w:rPr>
      </w:pPr>
      <w:proofErr w:type="spellStart"/>
      <w:r w:rsidRPr="004B2BA5">
        <w:rPr>
          <w:rFonts w:cs="Arial"/>
          <w:i/>
          <w:sz w:val="24"/>
          <w:szCs w:val="24"/>
        </w:rPr>
        <w:t>Pbzwr</w:t>
      </w:r>
      <w:proofErr w:type="spellEnd"/>
      <w:r w:rsidRPr="004B2BA5">
        <w:rPr>
          <w:rFonts w:cs="Arial"/>
          <w:i/>
          <w:sz w:val="24"/>
          <w:szCs w:val="24"/>
        </w:rPr>
        <w:t xml:space="preserve"> – przychody budżetu z wyłączeniem kredytów, pożyczek, emisji papierów wartościowych</w:t>
      </w:r>
      <w:r>
        <w:rPr>
          <w:rFonts w:cs="Arial"/>
          <w:i/>
          <w:sz w:val="24"/>
          <w:szCs w:val="24"/>
        </w:rPr>
        <w:t>;</w:t>
      </w:r>
    </w:p>
    <w:p w14:paraId="09E2287D" w14:textId="77777777" w:rsidR="00A87749" w:rsidRPr="004B2BA5" w:rsidRDefault="00A87749" w:rsidP="00A87749">
      <w:pPr>
        <w:pStyle w:val="Tekstpodstawowy2"/>
        <w:spacing w:line="360" w:lineRule="exact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Do</w:t>
      </w:r>
      <w:r w:rsidRPr="00260464">
        <w:rPr>
          <w:rFonts w:cs="Arial"/>
          <w:i/>
          <w:sz w:val="24"/>
          <w:szCs w:val="24"/>
        </w:rPr>
        <w:t xml:space="preserve"> – dochody </w:t>
      </w:r>
      <w:r w:rsidRPr="004B2BA5">
        <w:rPr>
          <w:rFonts w:cs="Arial"/>
          <w:i/>
          <w:sz w:val="24"/>
          <w:szCs w:val="24"/>
        </w:rPr>
        <w:t>ogółem</w:t>
      </w:r>
      <w:r w:rsidRPr="00260464">
        <w:rPr>
          <w:rFonts w:cs="Arial"/>
          <w:i/>
          <w:sz w:val="24"/>
          <w:szCs w:val="24"/>
        </w:rPr>
        <w:t>;</w:t>
      </w:r>
    </w:p>
    <w:p w14:paraId="443800A0" w14:textId="77777777" w:rsidR="00A87749" w:rsidRPr="00A87749" w:rsidRDefault="00A87749" w:rsidP="00A87749">
      <w:pPr>
        <w:spacing w:line="360" w:lineRule="atLeast"/>
        <w:rPr>
          <w:bCs/>
          <w:i/>
          <w:iCs/>
        </w:rPr>
      </w:pPr>
      <w:proofErr w:type="spellStart"/>
      <w:r>
        <w:rPr>
          <w:bCs/>
          <w:i/>
          <w:iCs/>
        </w:rPr>
        <w:t>Wb</w:t>
      </w:r>
      <w:proofErr w:type="spellEnd"/>
      <w:r w:rsidRPr="00260464">
        <w:rPr>
          <w:bCs/>
          <w:i/>
          <w:iCs/>
        </w:rPr>
        <w:t xml:space="preserve"> – wydatki </w:t>
      </w:r>
      <w:r>
        <w:rPr>
          <w:bCs/>
          <w:i/>
          <w:iCs/>
        </w:rPr>
        <w:t>bieżące;</w:t>
      </w:r>
    </w:p>
    <w:p w14:paraId="337CE353" w14:textId="77777777" w:rsidR="00A87749" w:rsidRDefault="00A87749" w:rsidP="00B850AB">
      <w:pPr>
        <w:spacing w:line="360" w:lineRule="atLeast"/>
        <w:ind w:left="360" w:hanging="360"/>
      </w:pPr>
      <w:r w:rsidRPr="00260464">
        <w:rPr>
          <w:bCs/>
          <w:i/>
          <w:iCs/>
        </w:rPr>
        <w:t>L – liczba mieszkańców jednostki samorządu terytorialnego.</w:t>
      </w:r>
    </w:p>
    <w:p w14:paraId="5929C1E4" w14:textId="77777777" w:rsidR="000B2712" w:rsidRDefault="000B2712" w:rsidP="00B850AB">
      <w:pPr>
        <w:spacing w:line="360" w:lineRule="atLeast"/>
        <w:ind w:left="360" w:hanging="360"/>
      </w:pPr>
    </w:p>
    <w:p w14:paraId="32002065" w14:textId="7F0CC8A1" w:rsidR="000B2712" w:rsidRDefault="000B2712" w:rsidP="00B850AB">
      <w:pPr>
        <w:spacing w:line="360" w:lineRule="atLeast"/>
        <w:ind w:left="360" w:hanging="360"/>
      </w:pPr>
      <w:r w:rsidRPr="008B7FF0">
        <w:rPr>
          <w:b/>
        </w:rPr>
        <w:t>1</w:t>
      </w:r>
      <w:r w:rsidR="00B55C68">
        <w:rPr>
          <w:b/>
        </w:rPr>
        <w:t>7</w:t>
      </w:r>
      <w:r w:rsidRPr="008B7FF0">
        <w:rPr>
          <w:b/>
        </w:rPr>
        <w:t xml:space="preserve">. Wskaźnik </w:t>
      </w:r>
      <w:r w:rsidRPr="008B7FF0">
        <w:rPr>
          <w:b/>
          <w:bCs/>
          <w:i/>
          <w:iCs/>
        </w:rPr>
        <w:t>W</w:t>
      </w:r>
      <w:r w:rsidRPr="008B7FF0">
        <w:rPr>
          <w:b/>
          <w:bCs/>
          <w:i/>
          <w:iCs/>
          <w:vertAlign w:val="subscript"/>
        </w:rPr>
        <w:t>L5 -</w:t>
      </w:r>
      <w:r>
        <w:rPr>
          <w:bCs/>
          <w:i/>
          <w:iCs/>
        </w:rPr>
        <w:t xml:space="preserve"> </w:t>
      </w:r>
      <w:r>
        <w:rPr>
          <w:color w:val="000000"/>
        </w:rPr>
        <w:t xml:space="preserve">potencjał inwestycyjny </w:t>
      </w:r>
      <w:r>
        <w:t>na mieszkańca</w:t>
      </w:r>
    </w:p>
    <w:p w14:paraId="49E790FE" w14:textId="77777777" w:rsidR="00A87749" w:rsidRDefault="00A87749" w:rsidP="00B850AB">
      <w:pPr>
        <w:spacing w:line="360" w:lineRule="atLeast"/>
        <w:ind w:left="360" w:hanging="360"/>
        <w:rPr>
          <w:bCs/>
          <w:i/>
          <w:iCs/>
        </w:rPr>
      </w:pPr>
    </w:p>
    <w:p w14:paraId="53B232FE" w14:textId="44BD0248" w:rsidR="00A87749" w:rsidRPr="00B4489E" w:rsidRDefault="00A87749" w:rsidP="00B850AB">
      <w:pPr>
        <w:spacing w:line="360" w:lineRule="atLeast"/>
        <w:ind w:left="360" w:hanging="360"/>
        <w:rPr>
          <w:bCs/>
          <w:i/>
          <w:iCs/>
          <w:sz w:val="32"/>
          <w:szCs w:val="32"/>
        </w:rPr>
      </w:pPr>
      <w:r w:rsidRPr="00260464">
        <w:rPr>
          <w:i/>
        </w:rPr>
        <w:t>W</w:t>
      </w:r>
      <w:r w:rsidRPr="00260464">
        <w:rPr>
          <w:i/>
          <w:vertAlign w:val="subscript"/>
        </w:rPr>
        <w:t>L</w:t>
      </w:r>
      <w:r>
        <w:rPr>
          <w:i/>
          <w:vertAlign w:val="subscript"/>
        </w:rPr>
        <w:t>5</w:t>
      </w:r>
      <w:r w:rsidRPr="00A87749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= </w:t>
      </w:r>
      <m:oMath>
        <m:f>
          <m:fPr>
            <m:ctrlPr>
              <w:rPr>
                <w:rFonts w:ascii="Cambria Math" w:hAnsi="Cambria Math"/>
                <w:bCs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Pbzwr+(Do-Wb-Rs)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L</m:t>
            </m:r>
          </m:den>
        </m:f>
      </m:oMath>
      <w:r w:rsidRPr="00B4489E">
        <w:rPr>
          <w:bCs/>
          <w:i/>
          <w:iCs/>
          <w:sz w:val="32"/>
          <w:szCs w:val="32"/>
        </w:rPr>
        <w:t xml:space="preserve"> </w:t>
      </w:r>
      <w:r w:rsidR="00EE2CCC" w:rsidRPr="00B4489E">
        <w:rPr>
          <w:bCs/>
          <w:i/>
          <w:iCs/>
          <w:sz w:val="32"/>
          <w:szCs w:val="32"/>
        </w:rPr>
        <w:t xml:space="preserve">  </w:t>
      </w:r>
      <w:r w:rsidR="00EE2CCC" w:rsidRPr="00EE2CCC">
        <w:rPr>
          <w:bCs/>
          <w:i/>
          <w:iCs/>
        </w:rPr>
        <w:t xml:space="preserve">, </w:t>
      </w:r>
      <w:r w:rsidRPr="00EE2CCC">
        <w:rPr>
          <w:bCs/>
          <w:i/>
          <w:iCs/>
        </w:rPr>
        <w:t>gdzie:</w:t>
      </w:r>
    </w:p>
    <w:p w14:paraId="765B287D" w14:textId="77777777" w:rsidR="00A87749" w:rsidRDefault="00A87749" w:rsidP="00B850AB">
      <w:pPr>
        <w:spacing w:line="360" w:lineRule="atLeast"/>
        <w:ind w:left="360" w:hanging="360"/>
        <w:rPr>
          <w:bCs/>
          <w:i/>
          <w:iCs/>
        </w:rPr>
      </w:pPr>
    </w:p>
    <w:p w14:paraId="222D4B08" w14:textId="744A2795" w:rsidR="00A87749" w:rsidRDefault="00A87749" w:rsidP="00A87749">
      <w:pPr>
        <w:pStyle w:val="Tekstpodstawowy2"/>
        <w:spacing w:line="360" w:lineRule="exact"/>
        <w:rPr>
          <w:rFonts w:cs="Arial"/>
          <w:i/>
          <w:sz w:val="24"/>
          <w:szCs w:val="24"/>
        </w:rPr>
      </w:pPr>
      <w:proofErr w:type="spellStart"/>
      <w:r w:rsidRPr="004B2BA5">
        <w:rPr>
          <w:rFonts w:cs="Arial"/>
          <w:i/>
          <w:sz w:val="24"/>
          <w:szCs w:val="24"/>
        </w:rPr>
        <w:t>Pbzwr</w:t>
      </w:r>
      <w:proofErr w:type="spellEnd"/>
      <w:r w:rsidRPr="004B2BA5">
        <w:rPr>
          <w:rFonts w:cs="Arial"/>
          <w:i/>
          <w:sz w:val="24"/>
          <w:szCs w:val="24"/>
        </w:rPr>
        <w:t xml:space="preserve"> – przychody budżetu z wyłączeniem kredytów, pożyczek, emisji papierów wartościowych</w:t>
      </w:r>
      <w:r>
        <w:rPr>
          <w:rFonts w:cs="Arial"/>
          <w:i/>
          <w:sz w:val="24"/>
          <w:szCs w:val="24"/>
        </w:rPr>
        <w:t>;</w:t>
      </w:r>
    </w:p>
    <w:p w14:paraId="3EA4430E" w14:textId="77777777" w:rsidR="00A87749" w:rsidRPr="004B2BA5" w:rsidRDefault="00A87749" w:rsidP="00A87749">
      <w:pPr>
        <w:pStyle w:val="Tekstpodstawowy2"/>
        <w:spacing w:line="360" w:lineRule="exact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Do</w:t>
      </w:r>
      <w:r w:rsidRPr="00260464">
        <w:rPr>
          <w:rFonts w:cs="Arial"/>
          <w:i/>
          <w:sz w:val="24"/>
          <w:szCs w:val="24"/>
        </w:rPr>
        <w:t xml:space="preserve"> – dochody </w:t>
      </w:r>
      <w:r w:rsidRPr="004B2BA5">
        <w:rPr>
          <w:rFonts w:cs="Arial"/>
          <w:i/>
          <w:sz w:val="24"/>
          <w:szCs w:val="24"/>
        </w:rPr>
        <w:t>ogółem</w:t>
      </w:r>
      <w:r w:rsidRPr="00260464">
        <w:rPr>
          <w:rFonts w:cs="Arial"/>
          <w:i/>
          <w:sz w:val="24"/>
          <w:szCs w:val="24"/>
        </w:rPr>
        <w:t>;</w:t>
      </w:r>
    </w:p>
    <w:p w14:paraId="3EAD3F10" w14:textId="77777777" w:rsidR="00A87749" w:rsidRPr="00A87749" w:rsidRDefault="00A87749" w:rsidP="00A87749">
      <w:pPr>
        <w:spacing w:line="360" w:lineRule="atLeast"/>
        <w:rPr>
          <w:bCs/>
          <w:i/>
          <w:iCs/>
        </w:rPr>
      </w:pPr>
      <w:proofErr w:type="spellStart"/>
      <w:r>
        <w:rPr>
          <w:bCs/>
          <w:i/>
          <w:iCs/>
        </w:rPr>
        <w:t>Wb</w:t>
      </w:r>
      <w:proofErr w:type="spellEnd"/>
      <w:r w:rsidRPr="00260464">
        <w:rPr>
          <w:bCs/>
          <w:i/>
          <w:iCs/>
        </w:rPr>
        <w:t xml:space="preserve"> – wydatki </w:t>
      </w:r>
      <w:r>
        <w:rPr>
          <w:bCs/>
          <w:i/>
          <w:iCs/>
        </w:rPr>
        <w:t>bieżące;</w:t>
      </w:r>
    </w:p>
    <w:p w14:paraId="17590D86" w14:textId="09D592A2" w:rsidR="00A87749" w:rsidRPr="00407475" w:rsidRDefault="00A87749" w:rsidP="00A87749">
      <w:pPr>
        <w:spacing w:line="360" w:lineRule="atLeast"/>
        <w:rPr>
          <w:bCs/>
          <w:i/>
          <w:iCs/>
        </w:rPr>
      </w:pPr>
      <w:proofErr w:type="spellStart"/>
      <w:r w:rsidRPr="004B2BA5">
        <w:rPr>
          <w:i/>
        </w:rPr>
        <w:t>R</w:t>
      </w:r>
      <w:r w:rsidR="00D41DAA">
        <w:rPr>
          <w:i/>
        </w:rPr>
        <w:t>s</w:t>
      </w:r>
      <w:proofErr w:type="spellEnd"/>
      <w:r w:rsidRPr="004B2BA5">
        <w:rPr>
          <w:i/>
        </w:rPr>
        <w:t xml:space="preserve"> –  spłata rat kapitałowych od zaciągniętych kredytów i pożyczek</w:t>
      </w:r>
      <w:r>
        <w:rPr>
          <w:i/>
        </w:rPr>
        <w:t>,</w:t>
      </w:r>
    </w:p>
    <w:p w14:paraId="1D6E67D5" w14:textId="220D65F1" w:rsidR="00A87749" w:rsidRDefault="00A87749">
      <w:pPr>
        <w:spacing w:line="360" w:lineRule="atLeast"/>
        <w:ind w:left="360" w:hanging="360"/>
        <w:rPr>
          <w:bCs/>
          <w:i/>
          <w:iCs/>
        </w:rPr>
      </w:pPr>
      <w:r w:rsidRPr="00260464">
        <w:rPr>
          <w:bCs/>
          <w:i/>
          <w:iCs/>
        </w:rPr>
        <w:t>L – liczba mieszkańców jednostki samorządu terytorialnego</w:t>
      </w:r>
      <w:r>
        <w:rPr>
          <w:bCs/>
          <w:i/>
          <w:iCs/>
        </w:rPr>
        <w:t>.</w:t>
      </w:r>
    </w:p>
    <w:p w14:paraId="2F9207AF" w14:textId="77777777" w:rsidR="00E9527B" w:rsidRPr="00260464" w:rsidRDefault="00E9527B" w:rsidP="00B850AB">
      <w:pPr>
        <w:spacing w:before="480" w:after="120"/>
        <w:rPr>
          <w:b/>
          <w:u w:val="single"/>
        </w:rPr>
      </w:pPr>
      <w:r w:rsidRPr="00260464">
        <w:rPr>
          <w:b/>
          <w:u w:val="single"/>
        </w:rPr>
        <w:t xml:space="preserve">Wskaźniki </w:t>
      </w:r>
      <w:r w:rsidR="001C77FC" w:rsidRPr="00260464">
        <w:rPr>
          <w:b/>
          <w:u w:val="single"/>
        </w:rPr>
        <w:t>dla zobowiązań</w:t>
      </w:r>
      <w:r w:rsidR="00061982" w:rsidRPr="00260464">
        <w:rPr>
          <w:b/>
          <w:u w:val="single"/>
        </w:rPr>
        <w:t xml:space="preserve"> według tytułów dłużnych</w:t>
      </w:r>
    </w:p>
    <w:p w14:paraId="103D8BFC" w14:textId="2879B86F" w:rsidR="002F6B7B" w:rsidRPr="00260464" w:rsidRDefault="00FB7272" w:rsidP="00B850AB">
      <w:pPr>
        <w:pStyle w:val="Tekstpodstawowy2"/>
        <w:spacing w:before="360" w:line="360" w:lineRule="exact"/>
        <w:ind w:left="1979" w:hanging="1979"/>
        <w:rPr>
          <w:rFonts w:cs="Arial"/>
          <w:sz w:val="24"/>
          <w:szCs w:val="24"/>
        </w:rPr>
      </w:pPr>
      <w:r w:rsidRPr="008B7FF0">
        <w:rPr>
          <w:rFonts w:cs="Arial"/>
          <w:b/>
          <w:sz w:val="24"/>
          <w:szCs w:val="24"/>
        </w:rPr>
        <w:t>1</w:t>
      </w:r>
      <w:r w:rsidR="00B55C68">
        <w:rPr>
          <w:rFonts w:cs="Arial"/>
          <w:b/>
          <w:sz w:val="24"/>
          <w:szCs w:val="24"/>
        </w:rPr>
        <w:t>8</w:t>
      </w:r>
      <w:r w:rsidR="002F6B7B" w:rsidRPr="008B7FF0">
        <w:rPr>
          <w:rFonts w:cs="Arial"/>
          <w:b/>
          <w:sz w:val="24"/>
          <w:szCs w:val="24"/>
        </w:rPr>
        <w:t xml:space="preserve">. Wskaźnik </w:t>
      </w:r>
      <w:r w:rsidR="002F6B7B" w:rsidRPr="008B7FF0">
        <w:rPr>
          <w:rFonts w:cs="Arial"/>
          <w:b/>
          <w:bCs/>
          <w:i/>
          <w:iCs/>
          <w:sz w:val="24"/>
          <w:szCs w:val="24"/>
        </w:rPr>
        <w:t>W</w:t>
      </w:r>
      <w:r w:rsidR="00C04D7E" w:rsidRPr="008B7FF0">
        <w:rPr>
          <w:rFonts w:cs="Arial"/>
          <w:b/>
          <w:bCs/>
          <w:i/>
          <w:iCs/>
          <w:sz w:val="24"/>
          <w:szCs w:val="24"/>
          <w:vertAlign w:val="subscript"/>
        </w:rPr>
        <w:t>Z1</w:t>
      </w:r>
      <w:r w:rsidR="002F6B7B" w:rsidRPr="008B7FF0">
        <w:rPr>
          <w:rFonts w:cs="Arial"/>
          <w:sz w:val="24"/>
          <w:szCs w:val="24"/>
        </w:rPr>
        <w:t xml:space="preserve"> – </w:t>
      </w:r>
      <w:r w:rsidR="00D67938" w:rsidRPr="00260464">
        <w:rPr>
          <w:rFonts w:cs="Arial"/>
          <w:sz w:val="24"/>
          <w:szCs w:val="24"/>
        </w:rPr>
        <w:t>Udział z</w:t>
      </w:r>
      <w:r w:rsidR="002F6B7B" w:rsidRPr="00260464">
        <w:rPr>
          <w:rFonts w:cs="Arial"/>
          <w:sz w:val="24"/>
          <w:szCs w:val="24"/>
        </w:rPr>
        <w:t>obowiąza</w:t>
      </w:r>
      <w:r w:rsidR="00D67938" w:rsidRPr="00260464">
        <w:rPr>
          <w:rFonts w:cs="Arial"/>
          <w:sz w:val="24"/>
          <w:szCs w:val="24"/>
        </w:rPr>
        <w:t>ń</w:t>
      </w:r>
      <w:r w:rsidR="002F6B7B" w:rsidRPr="00260464">
        <w:rPr>
          <w:rFonts w:cs="Arial"/>
          <w:sz w:val="24"/>
          <w:szCs w:val="24"/>
        </w:rPr>
        <w:t xml:space="preserve"> ogółem </w:t>
      </w:r>
      <w:r w:rsidR="00D67938" w:rsidRPr="00260464">
        <w:rPr>
          <w:rFonts w:cs="Arial"/>
          <w:sz w:val="24"/>
          <w:szCs w:val="24"/>
        </w:rPr>
        <w:t>w dochodach ogółem</w:t>
      </w:r>
    </w:p>
    <w:p w14:paraId="242FF9FF" w14:textId="77777777" w:rsidR="001417A5" w:rsidRPr="00260464" w:rsidRDefault="00577AC8" w:rsidP="002359E3">
      <w:pPr>
        <w:spacing w:before="360" w:after="360" w:line="240" w:lineRule="atLeast"/>
        <w:rPr>
          <w:bCs/>
          <w:i/>
          <w:iCs/>
        </w:rPr>
      </w:pPr>
      <w:r w:rsidRPr="00260464">
        <w:rPr>
          <w:i/>
        </w:rPr>
        <w:t>W</w:t>
      </w:r>
      <w:r w:rsidRPr="00260464">
        <w:rPr>
          <w:i/>
          <w:vertAlign w:val="subscript"/>
        </w:rPr>
        <w:t xml:space="preserve">Z1 </w:t>
      </w:r>
      <w:r w:rsidRPr="00260464">
        <w:rPr>
          <w:i/>
        </w:rPr>
        <w:t>=</w:t>
      </w:r>
      <w:r w:rsidR="009F6785">
        <w:rPr>
          <w:i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Zo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Do</m:t>
            </m:r>
          </m:den>
        </m:f>
      </m:oMath>
      <w:r w:rsidR="00EE2CCC" w:rsidRPr="00BF09C1">
        <w:rPr>
          <w:bCs/>
          <w:i/>
          <w:iCs/>
        </w:rPr>
        <w:t xml:space="preserve">  </w:t>
      </w:r>
      <w:r w:rsidR="001417A5" w:rsidRPr="00260464">
        <w:rPr>
          <w:bCs/>
          <w:i/>
          <w:iCs/>
        </w:rPr>
        <w:t>, gdzie:</w:t>
      </w:r>
    </w:p>
    <w:p w14:paraId="5F966EFF" w14:textId="77777777" w:rsidR="00655D50" w:rsidRPr="00260464" w:rsidRDefault="00655D50" w:rsidP="00B850AB">
      <w:pPr>
        <w:spacing w:line="360" w:lineRule="atLeast"/>
        <w:rPr>
          <w:bCs/>
          <w:i/>
          <w:iCs/>
        </w:rPr>
      </w:pPr>
      <w:r w:rsidRPr="00260464">
        <w:rPr>
          <w:bCs/>
          <w:i/>
          <w:iCs/>
        </w:rPr>
        <w:t>Do – dochody ogółem</w:t>
      </w:r>
      <w:r w:rsidR="000112A3" w:rsidRPr="00260464">
        <w:rPr>
          <w:bCs/>
          <w:i/>
          <w:iCs/>
        </w:rPr>
        <w:t>,</w:t>
      </w:r>
    </w:p>
    <w:p w14:paraId="292D11CB" w14:textId="77777777" w:rsidR="001417A5" w:rsidRPr="00260464" w:rsidRDefault="00D67938" w:rsidP="00B850AB">
      <w:pPr>
        <w:spacing w:line="360" w:lineRule="atLeast"/>
        <w:rPr>
          <w:bCs/>
          <w:i/>
          <w:iCs/>
        </w:rPr>
      </w:pPr>
      <w:proofErr w:type="spellStart"/>
      <w:r w:rsidRPr="00260464">
        <w:rPr>
          <w:bCs/>
          <w:i/>
          <w:iCs/>
        </w:rPr>
        <w:t>Zo</w:t>
      </w:r>
      <w:proofErr w:type="spellEnd"/>
      <w:r w:rsidR="001417A5" w:rsidRPr="00260464">
        <w:rPr>
          <w:bCs/>
          <w:i/>
          <w:iCs/>
          <w:vertAlign w:val="subscript"/>
        </w:rPr>
        <w:t xml:space="preserve"> </w:t>
      </w:r>
      <w:r w:rsidR="001417A5" w:rsidRPr="00260464">
        <w:rPr>
          <w:bCs/>
          <w:i/>
          <w:iCs/>
        </w:rPr>
        <w:t xml:space="preserve">– zobowiązania </w:t>
      </w:r>
      <w:r w:rsidR="004652D3" w:rsidRPr="00260464">
        <w:rPr>
          <w:bCs/>
          <w:i/>
          <w:iCs/>
        </w:rPr>
        <w:t>według tytułów dłużnych</w:t>
      </w:r>
      <w:r w:rsidR="000112A3" w:rsidRPr="00260464">
        <w:rPr>
          <w:bCs/>
          <w:i/>
          <w:iCs/>
        </w:rPr>
        <w:t>.</w:t>
      </w:r>
    </w:p>
    <w:p w14:paraId="41105477" w14:textId="60A54793" w:rsidR="00410BCA" w:rsidRPr="00837B40" w:rsidRDefault="00410BCA" w:rsidP="00B850AB">
      <w:pPr>
        <w:pStyle w:val="Tekstpodstawowy2"/>
        <w:spacing w:before="360" w:line="360" w:lineRule="exact"/>
        <w:ind w:left="1979" w:hanging="1979"/>
        <w:rPr>
          <w:rFonts w:cs="Arial"/>
          <w:sz w:val="24"/>
          <w:szCs w:val="24"/>
        </w:rPr>
      </w:pPr>
      <w:r w:rsidRPr="008B7FF0">
        <w:rPr>
          <w:rFonts w:cs="Arial"/>
          <w:b/>
          <w:sz w:val="24"/>
          <w:szCs w:val="24"/>
        </w:rPr>
        <w:t>1</w:t>
      </w:r>
      <w:r w:rsidR="00B55C68">
        <w:rPr>
          <w:rFonts w:cs="Arial"/>
          <w:b/>
          <w:sz w:val="24"/>
          <w:szCs w:val="24"/>
        </w:rPr>
        <w:t>9</w:t>
      </w:r>
      <w:r w:rsidRPr="008B7FF0">
        <w:rPr>
          <w:rFonts w:cs="Arial"/>
          <w:b/>
          <w:sz w:val="24"/>
          <w:szCs w:val="24"/>
        </w:rPr>
        <w:t xml:space="preserve">. Wskaźnik </w:t>
      </w:r>
      <w:r w:rsidRPr="008B7FF0">
        <w:rPr>
          <w:rFonts w:cs="Arial"/>
          <w:b/>
          <w:bCs/>
          <w:i/>
          <w:iCs/>
          <w:sz w:val="24"/>
          <w:szCs w:val="24"/>
        </w:rPr>
        <w:t>W</w:t>
      </w:r>
      <w:r w:rsidRPr="008B7FF0">
        <w:rPr>
          <w:rFonts w:cs="Arial"/>
          <w:b/>
          <w:bCs/>
          <w:i/>
          <w:iCs/>
          <w:sz w:val="24"/>
          <w:szCs w:val="24"/>
          <w:vertAlign w:val="subscript"/>
        </w:rPr>
        <w:t>Z</w:t>
      </w:r>
      <w:r w:rsidR="00923C56" w:rsidRPr="008B7FF0">
        <w:rPr>
          <w:rFonts w:cs="Arial"/>
          <w:b/>
          <w:bCs/>
          <w:i/>
          <w:iCs/>
          <w:sz w:val="24"/>
          <w:szCs w:val="24"/>
          <w:vertAlign w:val="subscript"/>
        </w:rPr>
        <w:t>3</w:t>
      </w:r>
      <w:r w:rsidRPr="008B7FF0">
        <w:rPr>
          <w:rFonts w:cs="Arial"/>
          <w:b/>
          <w:sz w:val="24"/>
          <w:szCs w:val="24"/>
        </w:rPr>
        <w:t xml:space="preserve"> – </w:t>
      </w:r>
      <w:r w:rsidR="00F94B42" w:rsidRPr="00837B40">
        <w:rPr>
          <w:rFonts w:cs="Arial"/>
          <w:sz w:val="24"/>
          <w:szCs w:val="24"/>
        </w:rPr>
        <w:t>Obciążenie dochodów ogółem obsługą zadłużenia</w:t>
      </w:r>
    </w:p>
    <w:p w14:paraId="2A852A28" w14:textId="5A8232EA" w:rsidR="001417A5" w:rsidRPr="002359E3" w:rsidRDefault="0007759D" w:rsidP="002359E3">
      <w:pPr>
        <w:spacing w:before="360" w:after="360" w:line="240" w:lineRule="atLeast"/>
        <w:rPr>
          <w:i/>
        </w:rPr>
      </w:pPr>
      <w:r w:rsidRPr="002359E3">
        <w:rPr>
          <w:i/>
        </w:rPr>
        <w:t>W</w:t>
      </w:r>
      <w:r w:rsidRPr="000363E3">
        <w:rPr>
          <w:i/>
          <w:vertAlign w:val="subscript"/>
        </w:rPr>
        <w:t>Z</w:t>
      </w:r>
      <w:r>
        <w:rPr>
          <w:i/>
          <w:vertAlign w:val="subscript"/>
        </w:rPr>
        <w:t>3</w:t>
      </w:r>
      <w:r w:rsidR="00577AC8" w:rsidRPr="002359E3">
        <w:rPr>
          <w:i/>
        </w:rPr>
        <w:t xml:space="preserve"> </w:t>
      </w:r>
      <w:r w:rsidR="00577AC8" w:rsidRPr="00260464">
        <w:rPr>
          <w:i/>
        </w:rPr>
        <w:t>=</w:t>
      </w:r>
      <w:r w:rsidR="009F6785">
        <w:rPr>
          <w:i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O+Rs</m:t>
                </m:r>
              </m:e>
            </m:d>
          </m:num>
          <m:den>
            <m:r>
              <w:rPr>
                <w:rFonts w:ascii="Cambria Math" w:hAnsi="Cambria Math"/>
                <w:sz w:val="32"/>
                <w:szCs w:val="32"/>
              </w:rPr>
              <m:t>Do</m:t>
            </m:r>
          </m:den>
        </m:f>
      </m:oMath>
      <w:r w:rsidR="00EE2CCC">
        <w:rPr>
          <w:i/>
        </w:rPr>
        <w:t xml:space="preserve">   </w:t>
      </w:r>
      <w:r w:rsidR="00970700" w:rsidRPr="00260464">
        <w:rPr>
          <w:i/>
        </w:rPr>
        <w:t>,</w:t>
      </w:r>
      <w:r w:rsidR="001417A5" w:rsidRPr="00260464">
        <w:rPr>
          <w:i/>
        </w:rPr>
        <w:t xml:space="preserve"> </w:t>
      </w:r>
      <w:r w:rsidR="001417A5" w:rsidRPr="002359E3">
        <w:rPr>
          <w:i/>
        </w:rPr>
        <w:t>gdzie:</w:t>
      </w:r>
    </w:p>
    <w:p w14:paraId="51AEFA9A" w14:textId="77777777" w:rsidR="001417A5" w:rsidRPr="00260464" w:rsidRDefault="001417A5" w:rsidP="00B850AB">
      <w:pPr>
        <w:spacing w:line="360" w:lineRule="atLeast"/>
        <w:rPr>
          <w:bCs/>
          <w:i/>
          <w:iCs/>
        </w:rPr>
      </w:pPr>
      <w:r w:rsidRPr="00260464">
        <w:rPr>
          <w:bCs/>
          <w:i/>
          <w:iCs/>
        </w:rPr>
        <w:t>O – odsetki od zaciągniętych kredytów i pożyczek</w:t>
      </w:r>
      <w:r w:rsidR="00663330" w:rsidRPr="00260464">
        <w:rPr>
          <w:bCs/>
          <w:i/>
          <w:iCs/>
        </w:rPr>
        <w:t>,</w:t>
      </w:r>
    </w:p>
    <w:p w14:paraId="40D0B705" w14:textId="485199DC" w:rsidR="001417A5" w:rsidRPr="00260464" w:rsidRDefault="00431024" w:rsidP="00B850AB">
      <w:pPr>
        <w:spacing w:line="360" w:lineRule="atLeast"/>
        <w:rPr>
          <w:bCs/>
          <w:i/>
          <w:iCs/>
        </w:rPr>
      </w:pPr>
      <w:proofErr w:type="spellStart"/>
      <w:r w:rsidRPr="00260464">
        <w:rPr>
          <w:bCs/>
          <w:i/>
          <w:iCs/>
        </w:rPr>
        <w:t>R</w:t>
      </w:r>
      <w:r w:rsidR="00D41DAA">
        <w:rPr>
          <w:bCs/>
          <w:i/>
          <w:iCs/>
        </w:rPr>
        <w:t>s</w:t>
      </w:r>
      <w:proofErr w:type="spellEnd"/>
      <w:r w:rsidR="001417A5" w:rsidRPr="00260464">
        <w:rPr>
          <w:bCs/>
          <w:i/>
          <w:iCs/>
        </w:rPr>
        <w:t xml:space="preserve"> – spłata rat kapitałowych od zaciągniętych kredytów i pożyczek</w:t>
      </w:r>
      <w:r w:rsidR="00663330" w:rsidRPr="00260464">
        <w:rPr>
          <w:bCs/>
          <w:i/>
          <w:iCs/>
        </w:rPr>
        <w:t>,</w:t>
      </w:r>
      <w:r w:rsidR="001417A5" w:rsidRPr="00260464">
        <w:rPr>
          <w:bCs/>
          <w:i/>
          <w:iCs/>
        </w:rPr>
        <w:t xml:space="preserve"> </w:t>
      </w:r>
    </w:p>
    <w:p w14:paraId="220A02D3" w14:textId="77777777" w:rsidR="001417A5" w:rsidRPr="00260464" w:rsidRDefault="001417A5" w:rsidP="00B850AB">
      <w:pPr>
        <w:spacing w:line="360" w:lineRule="atLeast"/>
        <w:rPr>
          <w:bCs/>
          <w:i/>
          <w:iCs/>
        </w:rPr>
      </w:pPr>
      <w:r w:rsidRPr="00260464">
        <w:rPr>
          <w:bCs/>
          <w:i/>
          <w:iCs/>
        </w:rPr>
        <w:t>D</w:t>
      </w:r>
      <w:r w:rsidR="00431024" w:rsidRPr="00260464">
        <w:rPr>
          <w:bCs/>
          <w:i/>
          <w:iCs/>
        </w:rPr>
        <w:t>o</w:t>
      </w:r>
      <w:r w:rsidRPr="00260464">
        <w:rPr>
          <w:bCs/>
          <w:i/>
          <w:iCs/>
        </w:rPr>
        <w:t xml:space="preserve"> –</w:t>
      </w:r>
      <w:r w:rsidR="00663330" w:rsidRPr="00260464">
        <w:rPr>
          <w:bCs/>
          <w:i/>
          <w:iCs/>
        </w:rPr>
        <w:t xml:space="preserve"> </w:t>
      </w:r>
      <w:r w:rsidRPr="00260464">
        <w:rPr>
          <w:bCs/>
          <w:i/>
          <w:iCs/>
        </w:rPr>
        <w:t>dochody ogółem.</w:t>
      </w:r>
    </w:p>
    <w:p w14:paraId="751B217B" w14:textId="3FB7B6A8" w:rsidR="00C74712" w:rsidRPr="007270E3" w:rsidRDefault="00B55C68" w:rsidP="00B850AB">
      <w:pPr>
        <w:pStyle w:val="Tekstpodstawowy2"/>
        <w:spacing w:before="360" w:line="360" w:lineRule="exact"/>
        <w:ind w:left="1979" w:hanging="1979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20</w:t>
      </w:r>
      <w:r w:rsidR="00C74712" w:rsidRPr="008B7FF0">
        <w:rPr>
          <w:rFonts w:cs="Arial"/>
          <w:b/>
          <w:sz w:val="24"/>
          <w:szCs w:val="24"/>
        </w:rPr>
        <w:t xml:space="preserve">. Wskaźnik </w:t>
      </w:r>
      <w:r w:rsidR="00C74712" w:rsidRPr="008B7FF0">
        <w:rPr>
          <w:rFonts w:cs="Arial"/>
          <w:b/>
          <w:bCs/>
          <w:i/>
          <w:iCs/>
          <w:sz w:val="24"/>
          <w:szCs w:val="24"/>
        </w:rPr>
        <w:t>W</w:t>
      </w:r>
      <w:r w:rsidR="00C74712" w:rsidRPr="008B7FF0">
        <w:rPr>
          <w:rFonts w:cs="Arial"/>
          <w:b/>
          <w:bCs/>
          <w:i/>
          <w:iCs/>
          <w:sz w:val="24"/>
          <w:szCs w:val="24"/>
          <w:vertAlign w:val="subscript"/>
        </w:rPr>
        <w:t>Z</w:t>
      </w:r>
      <w:r w:rsidR="00B72827" w:rsidRPr="008B7FF0">
        <w:rPr>
          <w:rFonts w:cs="Arial"/>
          <w:b/>
          <w:bCs/>
          <w:i/>
          <w:iCs/>
          <w:sz w:val="24"/>
          <w:szCs w:val="24"/>
          <w:vertAlign w:val="subscript"/>
        </w:rPr>
        <w:t>5</w:t>
      </w:r>
      <w:r w:rsidR="00C74712" w:rsidRPr="008B7FF0">
        <w:rPr>
          <w:rFonts w:cs="Arial"/>
          <w:sz w:val="24"/>
          <w:szCs w:val="24"/>
        </w:rPr>
        <w:t xml:space="preserve"> –</w:t>
      </w:r>
      <w:r w:rsidR="00C74712" w:rsidRPr="007270E3">
        <w:rPr>
          <w:rFonts w:cs="Arial"/>
          <w:sz w:val="24"/>
          <w:szCs w:val="24"/>
        </w:rPr>
        <w:t xml:space="preserve"> Obciążenie dochodów </w:t>
      </w:r>
      <w:r w:rsidR="00923C56">
        <w:rPr>
          <w:rFonts w:cs="Arial"/>
          <w:sz w:val="24"/>
          <w:szCs w:val="24"/>
        </w:rPr>
        <w:t>bieżących</w:t>
      </w:r>
      <w:r w:rsidR="003A498B">
        <w:rPr>
          <w:rFonts w:cs="Arial"/>
          <w:sz w:val="24"/>
          <w:szCs w:val="24"/>
        </w:rPr>
        <w:t xml:space="preserve"> </w:t>
      </w:r>
      <w:r w:rsidR="00C74712" w:rsidRPr="007270E3">
        <w:rPr>
          <w:rFonts w:cs="Arial"/>
          <w:sz w:val="24"/>
          <w:szCs w:val="24"/>
        </w:rPr>
        <w:t xml:space="preserve">obsługą zadłużenia </w:t>
      </w:r>
    </w:p>
    <w:p w14:paraId="2CE05ACE" w14:textId="05E72639" w:rsidR="00B72827" w:rsidRPr="002359E3" w:rsidRDefault="001942E3" w:rsidP="002359E3">
      <w:pPr>
        <w:spacing w:before="360" w:after="360" w:line="240" w:lineRule="atLeast"/>
        <w:rPr>
          <w:i/>
        </w:rPr>
      </w:pPr>
      <w:r w:rsidRPr="002359E3">
        <w:rPr>
          <w:i/>
        </w:rPr>
        <w:lastRenderedPageBreak/>
        <w:t>W</w:t>
      </w:r>
      <w:r w:rsidRPr="006E4F4C">
        <w:rPr>
          <w:i/>
          <w:vertAlign w:val="subscript"/>
        </w:rPr>
        <w:t>Z</w:t>
      </w:r>
      <w:r w:rsidR="00E609CC" w:rsidRPr="006E4F4C">
        <w:rPr>
          <w:i/>
          <w:vertAlign w:val="subscript"/>
        </w:rPr>
        <w:t>5</w:t>
      </w:r>
      <w:r w:rsidRPr="002359E3">
        <w:rPr>
          <w:i/>
        </w:rPr>
        <w:t xml:space="preserve"> =</w:t>
      </w:r>
      <w:r w:rsidR="003A498B" w:rsidRPr="002359E3">
        <w:rPr>
          <w:i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O+Rs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Db-Dbd</m:t>
            </m:r>
          </m:den>
        </m:f>
      </m:oMath>
      <w:r w:rsidR="003A498B" w:rsidRPr="002359E3">
        <w:rPr>
          <w:i/>
        </w:rPr>
        <w:t xml:space="preserve">  </w:t>
      </w:r>
      <w:r w:rsidR="00EE2CCC">
        <w:rPr>
          <w:i/>
        </w:rPr>
        <w:t xml:space="preserve">, </w:t>
      </w:r>
      <w:r w:rsidR="00B72827" w:rsidRPr="002359E3">
        <w:rPr>
          <w:i/>
        </w:rPr>
        <w:t>gdzie:</w:t>
      </w:r>
    </w:p>
    <w:p w14:paraId="360852B3" w14:textId="77777777" w:rsidR="00B72827" w:rsidRDefault="00B72827" w:rsidP="003A498B">
      <w:pPr>
        <w:spacing w:line="360" w:lineRule="atLeast"/>
        <w:rPr>
          <w:bCs/>
          <w:i/>
          <w:iCs/>
        </w:rPr>
      </w:pPr>
      <w:r w:rsidRPr="007270E3">
        <w:rPr>
          <w:bCs/>
          <w:i/>
          <w:iCs/>
        </w:rPr>
        <w:t>D</w:t>
      </w:r>
      <w:r w:rsidR="003A498B">
        <w:rPr>
          <w:bCs/>
          <w:i/>
          <w:iCs/>
        </w:rPr>
        <w:t>b</w:t>
      </w:r>
      <w:r w:rsidRPr="007270E3">
        <w:rPr>
          <w:bCs/>
          <w:i/>
          <w:iCs/>
        </w:rPr>
        <w:t xml:space="preserve"> –</w:t>
      </w:r>
      <w:r w:rsidR="00B1683C" w:rsidRPr="007270E3">
        <w:rPr>
          <w:bCs/>
          <w:i/>
          <w:iCs/>
        </w:rPr>
        <w:t xml:space="preserve"> </w:t>
      </w:r>
      <w:r w:rsidRPr="007270E3">
        <w:rPr>
          <w:bCs/>
          <w:i/>
          <w:iCs/>
        </w:rPr>
        <w:t xml:space="preserve">dochody </w:t>
      </w:r>
      <w:r w:rsidR="003A498B">
        <w:rPr>
          <w:bCs/>
          <w:i/>
          <w:iCs/>
        </w:rPr>
        <w:t>bieżące</w:t>
      </w:r>
      <w:r w:rsidR="00B1683C" w:rsidRPr="007270E3">
        <w:rPr>
          <w:bCs/>
          <w:i/>
          <w:iCs/>
        </w:rPr>
        <w:t>,</w:t>
      </w:r>
    </w:p>
    <w:p w14:paraId="785969E7" w14:textId="0FB20E5C" w:rsidR="003A498B" w:rsidRPr="007270E3" w:rsidRDefault="003A498B" w:rsidP="003A498B">
      <w:pPr>
        <w:spacing w:line="360" w:lineRule="atLeast"/>
        <w:rPr>
          <w:bCs/>
          <w:i/>
          <w:iCs/>
        </w:rPr>
      </w:pPr>
      <w:proofErr w:type="spellStart"/>
      <w:r>
        <w:rPr>
          <w:bCs/>
          <w:i/>
          <w:iCs/>
        </w:rPr>
        <w:t>D</w:t>
      </w:r>
      <w:r w:rsidR="008925B6">
        <w:rPr>
          <w:bCs/>
          <w:i/>
          <w:iCs/>
        </w:rPr>
        <w:t>bd</w:t>
      </w:r>
      <w:proofErr w:type="spellEnd"/>
      <w:r>
        <w:rPr>
          <w:bCs/>
          <w:i/>
          <w:iCs/>
        </w:rPr>
        <w:t xml:space="preserve"> – dochody z tytułu dotacji i środków przeznaczonych na cele bieżące</w:t>
      </w:r>
    </w:p>
    <w:p w14:paraId="1940AAB2" w14:textId="77777777" w:rsidR="00B72827" w:rsidRPr="007270E3" w:rsidRDefault="00B72827" w:rsidP="00B850AB">
      <w:pPr>
        <w:spacing w:line="360" w:lineRule="atLeast"/>
        <w:rPr>
          <w:bCs/>
          <w:i/>
          <w:iCs/>
        </w:rPr>
      </w:pPr>
      <w:r w:rsidRPr="007270E3">
        <w:rPr>
          <w:bCs/>
          <w:i/>
          <w:iCs/>
        </w:rPr>
        <w:t>O – odsetki od zaciągniętych kredytów i pożyczek</w:t>
      </w:r>
      <w:r w:rsidR="00B1683C" w:rsidRPr="007270E3">
        <w:rPr>
          <w:bCs/>
          <w:i/>
          <w:iCs/>
        </w:rPr>
        <w:t>,</w:t>
      </w:r>
    </w:p>
    <w:p w14:paraId="60E1382B" w14:textId="752B94E3" w:rsidR="00B72827" w:rsidRPr="007270E3" w:rsidRDefault="00B72827" w:rsidP="00B850AB">
      <w:pPr>
        <w:spacing w:line="360" w:lineRule="atLeast"/>
        <w:ind w:left="1080" w:hanging="1080"/>
        <w:rPr>
          <w:i/>
        </w:rPr>
      </w:pPr>
      <w:proofErr w:type="spellStart"/>
      <w:r w:rsidRPr="007270E3">
        <w:rPr>
          <w:bCs/>
          <w:i/>
          <w:iCs/>
        </w:rPr>
        <w:t>R</w:t>
      </w:r>
      <w:r w:rsidR="00D41DAA">
        <w:rPr>
          <w:bCs/>
          <w:i/>
          <w:iCs/>
        </w:rPr>
        <w:t>s</w:t>
      </w:r>
      <w:proofErr w:type="spellEnd"/>
      <w:r w:rsidRPr="007270E3">
        <w:rPr>
          <w:bCs/>
          <w:i/>
          <w:iCs/>
        </w:rPr>
        <w:t xml:space="preserve"> – spłata rat kapitałowych od zaciągniętych kredytów i pożyczek</w:t>
      </w:r>
      <w:r w:rsidR="00B1683C" w:rsidRPr="007270E3">
        <w:rPr>
          <w:i/>
        </w:rPr>
        <w:t>.</w:t>
      </w:r>
    </w:p>
    <w:p w14:paraId="3B34AABB" w14:textId="77777777" w:rsidR="00744CFF" w:rsidRPr="007270E3" w:rsidRDefault="00744CFF" w:rsidP="00B850AB">
      <w:pPr>
        <w:spacing w:before="120" w:line="360" w:lineRule="atLeast"/>
        <w:rPr>
          <w:bCs/>
          <w:i/>
          <w:iCs/>
        </w:rPr>
      </w:pPr>
      <w:r w:rsidRPr="007270E3">
        <w:rPr>
          <w:bCs/>
        </w:rPr>
        <w:t xml:space="preserve">Wskaźnik </w:t>
      </w:r>
      <w:r w:rsidR="00A350FC" w:rsidRPr="007270E3">
        <w:rPr>
          <w:bCs/>
          <w:i/>
          <w:iCs/>
        </w:rPr>
        <w:t>W</w:t>
      </w:r>
      <w:r w:rsidR="00A350FC" w:rsidRPr="007270E3">
        <w:rPr>
          <w:bCs/>
          <w:i/>
          <w:iCs/>
          <w:vertAlign w:val="subscript"/>
        </w:rPr>
        <w:t>Z5</w:t>
      </w:r>
      <w:r w:rsidR="00B30101">
        <w:rPr>
          <w:bCs/>
          <w:i/>
          <w:iCs/>
          <w:vertAlign w:val="subscript"/>
        </w:rPr>
        <w:t xml:space="preserve"> </w:t>
      </w:r>
      <w:r w:rsidR="00B30101" w:rsidRPr="007270E3">
        <w:t>–</w:t>
      </w:r>
      <w:r w:rsidR="00B30101">
        <w:rPr>
          <w:bCs/>
          <w:i/>
          <w:iCs/>
          <w:vertAlign w:val="subscript"/>
        </w:rPr>
        <w:t xml:space="preserve"> </w:t>
      </w:r>
      <w:r w:rsidRPr="007270E3">
        <w:rPr>
          <w:bCs/>
        </w:rPr>
        <w:t xml:space="preserve">obciążenie dochodów </w:t>
      </w:r>
      <w:r w:rsidR="003A498B">
        <w:rPr>
          <w:bCs/>
        </w:rPr>
        <w:t xml:space="preserve">bieżących </w:t>
      </w:r>
      <w:r w:rsidR="003A0AD9" w:rsidRPr="007270E3">
        <w:rPr>
          <w:bCs/>
        </w:rPr>
        <w:t>obsługą zadłużenia</w:t>
      </w:r>
      <w:r w:rsidR="009465BF" w:rsidRPr="007270E3">
        <w:rPr>
          <w:bCs/>
        </w:rPr>
        <w:t>. Im </w:t>
      </w:r>
      <w:r w:rsidR="00B12804">
        <w:rPr>
          <w:bCs/>
        </w:rPr>
        <w:t>większa </w:t>
      </w:r>
      <w:r w:rsidRPr="007270E3">
        <w:rPr>
          <w:bCs/>
        </w:rPr>
        <w:t>jest wartość tej relacji</w:t>
      </w:r>
      <w:r w:rsidR="00FE3D1D">
        <w:rPr>
          <w:bCs/>
        </w:rPr>
        <w:t>,</w:t>
      </w:r>
      <w:r w:rsidRPr="007270E3">
        <w:rPr>
          <w:bCs/>
        </w:rPr>
        <w:t xml:space="preserve"> tym większe jest ryzyko wystąpienia niewypłacalności jednostki samorządu terytorialnego. </w:t>
      </w:r>
    </w:p>
    <w:p w14:paraId="6E868AFE" w14:textId="3CDD94FF" w:rsidR="00EE29EF" w:rsidRPr="007270E3" w:rsidRDefault="006D7135" w:rsidP="00B850AB">
      <w:pPr>
        <w:pStyle w:val="Tekstpodstawowy2"/>
        <w:spacing w:before="360" w:line="360" w:lineRule="exact"/>
        <w:ind w:left="1979" w:hanging="1979"/>
        <w:rPr>
          <w:rFonts w:cs="Arial"/>
          <w:sz w:val="24"/>
          <w:szCs w:val="24"/>
        </w:rPr>
      </w:pPr>
      <w:r w:rsidRPr="008B7FF0">
        <w:rPr>
          <w:rFonts w:cs="Arial"/>
          <w:b/>
          <w:sz w:val="24"/>
          <w:szCs w:val="24"/>
        </w:rPr>
        <w:t>2</w:t>
      </w:r>
      <w:r w:rsidR="00B55C68">
        <w:rPr>
          <w:rFonts w:cs="Arial"/>
          <w:b/>
          <w:sz w:val="24"/>
          <w:szCs w:val="24"/>
        </w:rPr>
        <w:t>1</w:t>
      </w:r>
      <w:r w:rsidR="00EE29EF" w:rsidRPr="008B7FF0">
        <w:rPr>
          <w:rFonts w:cs="Arial"/>
          <w:b/>
          <w:sz w:val="24"/>
          <w:szCs w:val="24"/>
        </w:rPr>
        <w:t xml:space="preserve">. Wskaźnik </w:t>
      </w:r>
      <w:r w:rsidR="00EE29EF" w:rsidRPr="008B7FF0">
        <w:rPr>
          <w:rFonts w:cs="Arial"/>
          <w:b/>
          <w:bCs/>
          <w:i/>
          <w:iCs/>
          <w:sz w:val="24"/>
          <w:szCs w:val="24"/>
        </w:rPr>
        <w:t>W</w:t>
      </w:r>
      <w:r w:rsidR="00EE29EF" w:rsidRPr="008B7FF0">
        <w:rPr>
          <w:rFonts w:cs="Arial"/>
          <w:b/>
          <w:bCs/>
          <w:i/>
          <w:iCs/>
          <w:sz w:val="24"/>
          <w:szCs w:val="24"/>
          <w:vertAlign w:val="subscript"/>
        </w:rPr>
        <w:t>Z7</w:t>
      </w:r>
      <w:r w:rsidR="00EE29EF" w:rsidRPr="007270E3">
        <w:rPr>
          <w:rFonts w:cs="Arial"/>
          <w:sz w:val="24"/>
          <w:szCs w:val="24"/>
        </w:rPr>
        <w:t xml:space="preserve"> – Udział zobowiązań wymagalnych w zobowiązaniach ogółem</w:t>
      </w:r>
    </w:p>
    <w:p w14:paraId="3A8F21EB" w14:textId="187417FA" w:rsidR="009A081B" w:rsidRPr="002359E3" w:rsidRDefault="003237BC" w:rsidP="002359E3">
      <w:pPr>
        <w:spacing w:before="360" w:after="360" w:line="240" w:lineRule="atLeast"/>
        <w:rPr>
          <w:i/>
        </w:rPr>
      </w:pPr>
      <w:r w:rsidRPr="002359E3">
        <w:rPr>
          <w:i/>
        </w:rPr>
        <w:t>W</w:t>
      </w:r>
      <w:r w:rsidRPr="000363E3">
        <w:rPr>
          <w:i/>
          <w:vertAlign w:val="subscript"/>
        </w:rPr>
        <w:t>Z</w:t>
      </w:r>
      <w:r>
        <w:rPr>
          <w:i/>
          <w:vertAlign w:val="subscript"/>
        </w:rPr>
        <w:t>7</w:t>
      </w:r>
      <w:r w:rsidR="001942E3" w:rsidRPr="002359E3">
        <w:rPr>
          <w:i/>
        </w:rPr>
        <w:t xml:space="preserve">  </w:t>
      </w:r>
      <w:r w:rsidR="001942E3" w:rsidRPr="007270E3">
        <w:rPr>
          <w:i/>
        </w:rPr>
        <w:t>=</w:t>
      </w:r>
      <w:r w:rsidR="002359E3" w:rsidRPr="00B4489E">
        <w:rPr>
          <w:i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Zw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Zo</m:t>
            </m:r>
          </m:den>
        </m:f>
      </m:oMath>
      <w:r w:rsidR="00EE2CCC" w:rsidRPr="00B4489E">
        <w:rPr>
          <w:i/>
          <w:sz w:val="32"/>
          <w:szCs w:val="32"/>
        </w:rPr>
        <w:t xml:space="preserve">  </w:t>
      </w:r>
      <w:r w:rsidR="002359E3">
        <w:rPr>
          <w:i/>
        </w:rPr>
        <w:t xml:space="preserve">, </w:t>
      </w:r>
      <w:r w:rsidR="009A081B" w:rsidRPr="002359E3">
        <w:rPr>
          <w:i/>
        </w:rPr>
        <w:t>gdzie:</w:t>
      </w:r>
    </w:p>
    <w:p w14:paraId="27A3AFC3" w14:textId="0D930A9C" w:rsidR="00B06747" w:rsidRDefault="00B06747" w:rsidP="00B850AB">
      <w:pPr>
        <w:spacing w:line="360" w:lineRule="atLeast"/>
        <w:rPr>
          <w:bCs/>
          <w:i/>
          <w:iCs/>
        </w:rPr>
      </w:pPr>
      <w:proofErr w:type="spellStart"/>
      <w:r w:rsidRPr="007270E3">
        <w:rPr>
          <w:bCs/>
          <w:i/>
          <w:iCs/>
        </w:rPr>
        <w:t>Zw</w:t>
      </w:r>
      <w:proofErr w:type="spellEnd"/>
      <w:r w:rsidRPr="007270E3">
        <w:rPr>
          <w:bCs/>
          <w:i/>
          <w:iCs/>
        </w:rPr>
        <w:t xml:space="preserve"> – zobowiązania wymagalne</w:t>
      </w:r>
      <w:r>
        <w:rPr>
          <w:bCs/>
          <w:i/>
          <w:iCs/>
        </w:rPr>
        <w:t>,</w:t>
      </w:r>
      <w:r w:rsidRPr="007270E3">
        <w:rPr>
          <w:bCs/>
          <w:i/>
          <w:iCs/>
        </w:rPr>
        <w:t xml:space="preserve"> </w:t>
      </w:r>
    </w:p>
    <w:p w14:paraId="201500BA" w14:textId="38C89110" w:rsidR="00EE29EF" w:rsidRPr="007270E3" w:rsidRDefault="00EE29EF" w:rsidP="00B850AB">
      <w:pPr>
        <w:spacing w:line="360" w:lineRule="atLeast"/>
        <w:rPr>
          <w:bCs/>
          <w:i/>
          <w:iCs/>
        </w:rPr>
      </w:pPr>
      <w:proofErr w:type="spellStart"/>
      <w:r w:rsidRPr="007270E3">
        <w:rPr>
          <w:bCs/>
          <w:i/>
          <w:iCs/>
        </w:rPr>
        <w:t>Zo</w:t>
      </w:r>
      <w:proofErr w:type="spellEnd"/>
      <w:r w:rsidRPr="007270E3">
        <w:rPr>
          <w:bCs/>
          <w:i/>
          <w:iCs/>
        </w:rPr>
        <w:t xml:space="preserve"> –</w:t>
      </w:r>
      <w:r w:rsidR="008422E3" w:rsidRPr="007270E3">
        <w:rPr>
          <w:bCs/>
          <w:i/>
          <w:iCs/>
        </w:rPr>
        <w:t xml:space="preserve"> </w:t>
      </w:r>
      <w:r w:rsidR="00A74661" w:rsidRPr="007270E3">
        <w:rPr>
          <w:bCs/>
          <w:i/>
          <w:iCs/>
        </w:rPr>
        <w:t xml:space="preserve">zobowiązania </w:t>
      </w:r>
      <w:r w:rsidR="0062696C" w:rsidRPr="007270E3">
        <w:rPr>
          <w:bCs/>
          <w:i/>
          <w:iCs/>
        </w:rPr>
        <w:t>według tytułów dłużnych</w:t>
      </w:r>
      <w:r w:rsidR="00B06747">
        <w:rPr>
          <w:bCs/>
          <w:i/>
          <w:iCs/>
        </w:rPr>
        <w:t>.</w:t>
      </w:r>
    </w:p>
    <w:p w14:paraId="60C99691" w14:textId="06914262" w:rsidR="009A081B" w:rsidRPr="007270E3" w:rsidRDefault="009A081B" w:rsidP="00B850AB">
      <w:pPr>
        <w:spacing w:line="360" w:lineRule="atLeast"/>
        <w:rPr>
          <w:bCs/>
          <w:i/>
          <w:iCs/>
        </w:rPr>
      </w:pPr>
    </w:p>
    <w:p w14:paraId="30A21EF4" w14:textId="77777777" w:rsidR="0085180C" w:rsidRPr="007270E3" w:rsidRDefault="0085180C" w:rsidP="00B850AB">
      <w:pPr>
        <w:pStyle w:val="Tekstpodstawowy2"/>
        <w:spacing w:before="120" w:line="360" w:lineRule="exact"/>
        <w:rPr>
          <w:rFonts w:cs="Arial"/>
          <w:bCs/>
          <w:sz w:val="24"/>
          <w:szCs w:val="24"/>
        </w:rPr>
      </w:pPr>
      <w:r w:rsidRPr="007270E3">
        <w:rPr>
          <w:rFonts w:cs="Arial"/>
          <w:bCs/>
          <w:sz w:val="24"/>
          <w:szCs w:val="24"/>
        </w:rPr>
        <w:t xml:space="preserve">Konsekwencją braku płynności finansowej w jednostce jest nieterminowe regulowanie zobowiązań. </w:t>
      </w:r>
    </w:p>
    <w:p w14:paraId="568A4E28" w14:textId="4DB0565A" w:rsidR="00552B6D" w:rsidRPr="007270E3" w:rsidRDefault="00552B6D" w:rsidP="00B850AB">
      <w:pPr>
        <w:pStyle w:val="Tekstpodstawowy2"/>
        <w:spacing w:before="120" w:line="360" w:lineRule="exact"/>
        <w:rPr>
          <w:rFonts w:cs="Arial"/>
          <w:bCs/>
          <w:sz w:val="24"/>
          <w:szCs w:val="24"/>
        </w:rPr>
      </w:pPr>
      <w:r w:rsidRPr="007270E3">
        <w:rPr>
          <w:rFonts w:cs="Arial"/>
          <w:bCs/>
          <w:sz w:val="24"/>
          <w:szCs w:val="24"/>
        </w:rPr>
        <w:t xml:space="preserve">Wskaźnik </w:t>
      </w:r>
      <w:r w:rsidRPr="007270E3">
        <w:rPr>
          <w:i/>
          <w:sz w:val="24"/>
          <w:szCs w:val="24"/>
        </w:rPr>
        <w:t>W</w:t>
      </w:r>
      <w:r w:rsidRPr="007270E3">
        <w:rPr>
          <w:i/>
          <w:sz w:val="24"/>
          <w:szCs w:val="24"/>
          <w:vertAlign w:val="subscript"/>
        </w:rPr>
        <w:t>Z7</w:t>
      </w:r>
      <w:r w:rsidR="00B30101">
        <w:rPr>
          <w:i/>
          <w:sz w:val="24"/>
          <w:szCs w:val="24"/>
          <w:vertAlign w:val="subscript"/>
        </w:rPr>
        <w:t xml:space="preserve"> </w:t>
      </w:r>
      <w:r w:rsidR="00B30101" w:rsidRPr="007270E3">
        <w:rPr>
          <w:rFonts w:cs="Arial"/>
          <w:sz w:val="24"/>
          <w:szCs w:val="24"/>
        </w:rPr>
        <w:t>–</w:t>
      </w:r>
      <w:r w:rsidRPr="007270E3">
        <w:rPr>
          <w:rFonts w:cs="Arial"/>
          <w:bCs/>
          <w:sz w:val="24"/>
          <w:szCs w:val="24"/>
        </w:rPr>
        <w:t xml:space="preserve"> udział zobowiązań wyma</w:t>
      </w:r>
      <w:r w:rsidR="00B30101">
        <w:rPr>
          <w:rFonts w:cs="Arial"/>
          <w:bCs/>
          <w:sz w:val="24"/>
          <w:szCs w:val="24"/>
        </w:rPr>
        <w:t xml:space="preserve">galnych w zobowiązaniach ogółem, wskaźnik ten </w:t>
      </w:r>
      <w:r w:rsidRPr="007270E3">
        <w:rPr>
          <w:rFonts w:cs="Arial"/>
          <w:bCs/>
          <w:sz w:val="24"/>
          <w:szCs w:val="24"/>
        </w:rPr>
        <w:t xml:space="preserve">większy od </w:t>
      </w:r>
      <w:r w:rsidR="00135F3D" w:rsidRPr="007270E3">
        <w:rPr>
          <w:rFonts w:cs="Arial"/>
          <w:bCs/>
          <w:sz w:val="24"/>
          <w:szCs w:val="24"/>
        </w:rPr>
        <w:t>zera</w:t>
      </w:r>
      <w:r w:rsidRPr="007270E3">
        <w:rPr>
          <w:rFonts w:cs="Arial"/>
          <w:bCs/>
          <w:sz w:val="24"/>
          <w:szCs w:val="24"/>
        </w:rPr>
        <w:t xml:space="preserve"> świadczy o n</w:t>
      </w:r>
      <w:r w:rsidR="00BC22F5">
        <w:rPr>
          <w:rFonts w:cs="Arial"/>
          <w:bCs/>
          <w:sz w:val="24"/>
          <w:szCs w:val="24"/>
        </w:rPr>
        <w:t>ieterminowym wywiązywaniu się z </w:t>
      </w:r>
      <w:r w:rsidRPr="007270E3">
        <w:rPr>
          <w:rFonts w:cs="Arial"/>
          <w:bCs/>
          <w:sz w:val="24"/>
          <w:szCs w:val="24"/>
        </w:rPr>
        <w:t xml:space="preserve">płatności. </w:t>
      </w:r>
      <w:r w:rsidR="009465BF" w:rsidRPr="007270E3">
        <w:rPr>
          <w:rFonts w:cs="Arial"/>
          <w:bCs/>
          <w:sz w:val="24"/>
          <w:szCs w:val="24"/>
        </w:rPr>
        <w:t>Im</w:t>
      </w:r>
      <w:r w:rsidR="0021669A">
        <w:rPr>
          <w:rFonts w:cs="Arial"/>
          <w:bCs/>
          <w:sz w:val="24"/>
          <w:szCs w:val="24"/>
        </w:rPr>
        <w:t xml:space="preserve"> </w:t>
      </w:r>
      <w:r w:rsidR="00135F3D" w:rsidRPr="007270E3">
        <w:rPr>
          <w:rFonts w:cs="Arial"/>
          <w:bCs/>
          <w:sz w:val="24"/>
          <w:szCs w:val="24"/>
        </w:rPr>
        <w:t xml:space="preserve">większa </w:t>
      </w:r>
      <w:r w:rsidRPr="007270E3">
        <w:rPr>
          <w:rFonts w:cs="Arial"/>
          <w:bCs/>
          <w:sz w:val="24"/>
          <w:szCs w:val="24"/>
        </w:rPr>
        <w:t>wartość</w:t>
      </w:r>
      <w:r w:rsidR="00121A59">
        <w:rPr>
          <w:rFonts w:cs="Arial"/>
          <w:bCs/>
          <w:sz w:val="24"/>
          <w:szCs w:val="24"/>
        </w:rPr>
        <w:t>,</w:t>
      </w:r>
      <w:r w:rsidRPr="007270E3">
        <w:rPr>
          <w:rFonts w:cs="Arial"/>
          <w:bCs/>
          <w:sz w:val="24"/>
          <w:szCs w:val="24"/>
        </w:rPr>
        <w:t xml:space="preserve"> </w:t>
      </w:r>
      <w:r w:rsidR="00135F3D" w:rsidRPr="007270E3">
        <w:rPr>
          <w:rFonts w:cs="Arial"/>
          <w:bCs/>
          <w:sz w:val="24"/>
          <w:szCs w:val="24"/>
        </w:rPr>
        <w:t>tym większ</w:t>
      </w:r>
      <w:r w:rsidR="00DF4495">
        <w:rPr>
          <w:rFonts w:cs="Arial"/>
          <w:bCs/>
          <w:sz w:val="24"/>
          <w:szCs w:val="24"/>
        </w:rPr>
        <w:t>a</w:t>
      </w:r>
      <w:r w:rsidRPr="007270E3">
        <w:rPr>
          <w:rFonts w:cs="Arial"/>
          <w:bCs/>
          <w:sz w:val="24"/>
          <w:szCs w:val="24"/>
        </w:rPr>
        <w:t xml:space="preserve"> skal</w:t>
      </w:r>
      <w:r w:rsidR="00135F3D" w:rsidRPr="007270E3">
        <w:rPr>
          <w:rFonts w:cs="Arial"/>
          <w:bCs/>
          <w:sz w:val="24"/>
          <w:szCs w:val="24"/>
        </w:rPr>
        <w:t>a</w:t>
      </w:r>
      <w:r w:rsidRPr="007270E3">
        <w:rPr>
          <w:rFonts w:cs="Arial"/>
          <w:bCs/>
          <w:sz w:val="24"/>
          <w:szCs w:val="24"/>
        </w:rPr>
        <w:t xml:space="preserve"> tego zjawiska. </w:t>
      </w:r>
    </w:p>
    <w:sectPr w:rsidR="00552B6D" w:rsidRPr="007270E3" w:rsidSect="00BE5596"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418" w:right="1418" w:bottom="1134" w:left="1418" w:header="709" w:footer="748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8DE73" w14:textId="77777777" w:rsidR="00A653F2" w:rsidRDefault="00A653F2">
      <w:r>
        <w:separator/>
      </w:r>
    </w:p>
  </w:endnote>
  <w:endnote w:type="continuationSeparator" w:id="0">
    <w:p w14:paraId="4755D4EE" w14:textId="77777777" w:rsidR="00A653F2" w:rsidRDefault="00A6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A35FD" w14:textId="77777777" w:rsidR="00FB2974" w:rsidRDefault="00FB2974" w:rsidP="00BB59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25D000" w14:textId="77777777" w:rsidR="00FB2974" w:rsidRDefault="00FB2974" w:rsidP="001942E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CD49A" w14:textId="77777777" w:rsidR="00FB2974" w:rsidRDefault="00FB2974" w:rsidP="00590FEC">
    <w:pPr>
      <w:pStyle w:val="Stopka"/>
      <w:framePr w:wrap="around" w:vAnchor="text" w:hAnchor="margin" w:xAlign="right" w:y="1"/>
      <w:rPr>
        <w:rStyle w:val="Numerstrony"/>
      </w:rPr>
    </w:pPr>
  </w:p>
  <w:p w14:paraId="6204C49A" w14:textId="77777777" w:rsidR="00FB2974" w:rsidRPr="00BB59A6" w:rsidRDefault="00FB2974" w:rsidP="00BB59A6">
    <w:pPr>
      <w:pStyle w:val="Stopka"/>
      <w:ind w:right="360"/>
      <w:jc w:val="center"/>
      <w:rPr>
        <w:sz w:val="20"/>
        <w:szCs w:val="20"/>
      </w:rPr>
    </w:pPr>
    <w:r>
      <w:rPr>
        <w:rStyle w:val="Numerstrony"/>
        <w:sz w:val="20"/>
        <w:szCs w:val="20"/>
      </w:rPr>
      <w:fldChar w:fldCharType="begin"/>
    </w:r>
    <w:r>
      <w:rPr>
        <w:rStyle w:val="Numerstrony"/>
        <w:sz w:val="20"/>
        <w:szCs w:val="20"/>
      </w:rPr>
      <w:instrText xml:space="preserve"> PAGE  \* ArabicDash </w:instrText>
    </w:r>
    <w:r>
      <w:rPr>
        <w:rStyle w:val="Numerstrony"/>
        <w:sz w:val="20"/>
        <w:szCs w:val="20"/>
      </w:rPr>
      <w:fldChar w:fldCharType="separate"/>
    </w:r>
    <w:r w:rsidR="004D0C90">
      <w:rPr>
        <w:rStyle w:val="Numerstrony"/>
        <w:noProof/>
        <w:sz w:val="20"/>
        <w:szCs w:val="20"/>
      </w:rPr>
      <w:t>- 13 -</w:t>
    </w:r>
    <w:r>
      <w:rPr>
        <w:rStyle w:val="Numerstron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95556" w14:textId="77777777" w:rsidR="00A653F2" w:rsidRDefault="00A653F2">
      <w:r>
        <w:separator/>
      </w:r>
    </w:p>
  </w:footnote>
  <w:footnote w:type="continuationSeparator" w:id="0">
    <w:p w14:paraId="64B884AC" w14:textId="77777777" w:rsidR="00A653F2" w:rsidRDefault="00A65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2646E" w14:textId="77777777" w:rsidR="00313556" w:rsidRPr="006E4F4C" w:rsidRDefault="00313556">
    <w:pPr>
      <w:pStyle w:val="Nagwek"/>
      <w:rPr>
        <w:rFonts w:asciiTheme="minorHAnsi" w:hAnsiTheme="minorHAnsi" w:cstheme="minorHAnsi"/>
        <w:sz w:val="22"/>
        <w:szCs w:val="22"/>
      </w:rPr>
    </w:pPr>
  </w:p>
  <w:p w14:paraId="39A43EFC" w14:textId="6D111B5E" w:rsidR="00313556" w:rsidRPr="006E4F4C" w:rsidRDefault="00313556" w:rsidP="006E4F4C">
    <w:pPr>
      <w:pStyle w:val="Nagwek"/>
      <w:pBdr>
        <w:bottom w:val="single" w:sz="4" w:space="1" w:color="auto"/>
      </w:pBdr>
      <w:rPr>
        <w:rFonts w:asciiTheme="minorHAnsi" w:hAnsiTheme="minorHAnsi" w:cstheme="minorHAnsi"/>
        <w:sz w:val="22"/>
        <w:szCs w:val="22"/>
      </w:rPr>
    </w:pPr>
    <w:r w:rsidRPr="006E4F4C">
      <w:rPr>
        <w:rFonts w:asciiTheme="minorHAnsi" w:hAnsiTheme="minorHAnsi" w:cstheme="minorHAnsi"/>
        <w:sz w:val="22"/>
        <w:szCs w:val="22"/>
      </w:rPr>
      <w:tab/>
    </w:r>
    <w:r w:rsidRPr="006E4F4C">
      <w:rPr>
        <w:rFonts w:asciiTheme="minorHAnsi" w:hAnsiTheme="minorHAnsi" w:cstheme="minorHAnsi"/>
        <w:sz w:val="22"/>
        <w:szCs w:val="22"/>
      </w:rPr>
      <w:tab/>
      <w:t>Ministerstwo Finansów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0F948" w14:textId="32551534" w:rsidR="00D34A97" w:rsidRDefault="00D34A97">
    <w:pPr>
      <w:pStyle w:val="Nagwek"/>
    </w:pPr>
    <w:r w:rsidRPr="009C0B1C">
      <w:rPr>
        <w:noProof/>
      </w:rPr>
      <w:drawing>
        <wp:inline distT="0" distB="0" distL="0" distR="0" wp14:anchorId="051B3DF1" wp14:editId="0123F60F">
          <wp:extent cx="1333500" cy="656648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7560" cy="663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195B"/>
    <w:multiLevelType w:val="hybridMultilevel"/>
    <w:tmpl w:val="643A8014"/>
    <w:lvl w:ilvl="0" w:tplc="C35050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004177"/>
    <w:multiLevelType w:val="multilevel"/>
    <w:tmpl w:val="B8C03256"/>
    <w:lvl w:ilvl="0">
      <w:start w:val="1"/>
      <w:numFmt w:val="bullet"/>
      <w:lvlText w:val=""/>
      <w:lvlJc w:val="left"/>
      <w:pPr>
        <w:tabs>
          <w:tab w:val="num" w:pos="530"/>
        </w:tabs>
        <w:ind w:left="5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B179A1"/>
    <w:multiLevelType w:val="hybridMultilevel"/>
    <w:tmpl w:val="D80E3E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214E92"/>
    <w:multiLevelType w:val="hybridMultilevel"/>
    <w:tmpl w:val="DD9C3A1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475926"/>
    <w:multiLevelType w:val="hybridMultilevel"/>
    <w:tmpl w:val="94CAA8BC"/>
    <w:lvl w:ilvl="0" w:tplc="0415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5">
    <w:nsid w:val="220A0544"/>
    <w:multiLevelType w:val="hybridMultilevel"/>
    <w:tmpl w:val="C50614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852BB2"/>
    <w:multiLevelType w:val="hybridMultilevel"/>
    <w:tmpl w:val="09E4E370"/>
    <w:lvl w:ilvl="0" w:tplc="0A06E664">
      <w:numFmt w:val="bullet"/>
      <w:lvlText w:val="–"/>
      <w:lvlJc w:val="left"/>
      <w:pPr>
        <w:tabs>
          <w:tab w:val="num" w:pos="820"/>
        </w:tabs>
        <w:ind w:left="8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7">
    <w:nsid w:val="2504385F"/>
    <w:multiLevelType w:val="hybridMultilevel"/>
    <w:tmpl w:val="D31C4F5E"/>
    <w:lvl w:ilvl="0" w:tplc="041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384935"/>
    <w:multiLevelType w:val="hybridMultilevel"/>
    <w:tmpl w:val="E7040B6A"/>
    <w:lvl w:ilvl="0" w:tplc="252665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9045F8"/>
    <w:multiLevelType w:val="hybridMultilevel"/>
    <w:tmpl w:val="01706A9E"/>
    <w:lvl w:ilvl="0" w:tplc="0415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10">
    <w:nsid w:val="339B7AB0"/>
    <w:multiLevelType w:val="hybridMultilevel"/>
    <w:tmpl w:val="262CCD7A"/>
    <w:lvl w:ilvl="0" w:tplc="0A06E664">
      <w:numFmt w:val="bullet"/>
      <w:lvlText w:val="–"/>
      <w:lvlJc w:val="left"/>
      <w:pPr>
        <w:tabs>
          <w:tab w:val="num" w:pos="820"/>
        </w:tabs>
        <w:ind w:left="8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11">
    <w:nsid w:val="35ED7926"/>
    <w:multiLevelType w:val="hybridMultilevel"/>
    <w:tmpl w:val="00E494DA"/>
    <w:lvl w:ilvl="0" w:tplc="B9A215B8">
      <w:start w:val="1"/>
      <w:numFmt w:val="bullet"/>
      <w:lvlText w:val="–"/>
      <w:lvlJc w:val="left"/>
      <w:pPr>
        <w:tabs>
          <w:tab w:val="num" w:pos="530"/>
        </w:tabs>
        <w:ind w:left="53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EA0E29"/>
    <w:multiLevelType w:val="hybridMultilevel"/>
    <w:tmpl w:val="B8C03256"/>
    <w:lvl w:ilvl="0" w:tplc="0BC00ECC">
      <w:start w:val="1"/>
      <w:numFmt w:val="bullet"/>
      <w:lvlText w:val=""/>
      <w:lvlJc w:val="left"/>
      <w:pPr>
        <w:tabs>
          <w:tab w:val="num" w:pos="530"/>
        </w:tabs>
        <w:ind w:left="5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C84C32"/>
    <w:multiLevelType w:val="multilevel"/>
    <w:tmpl w:val="00E494DA"/>
    <w:lvl w:ilvl="0">
      <w:start w:val="1"/>
      <w:numFmt w:val="bullet"/>
      <w:lvlText w:val="–"/>
      <w:lvlJc w:val="left"/>
      <w:pPr>
        <w:tabs>
          <w:tab w:val="num" w:pos="530"/>
        </w:tabs>
        <w:ind w:left="53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824461"/>
    <w:multiLevelType w:val="hybridMultilevel"/>
    <w:tmpl w:val="E58820DC"/>
    <w:lvl w:ilvl="0" w:tplc="BB7AC9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3E45D9"/>
    <w:multiLevelType w:val="hybridMultilevel"/>
    <w:tmpl w:val="916E9058"/>
    <w:lvl w:ilvl="0" w:tplc="041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6">
    <w:nsid w:val="60DF179D"/>
    <w:multiLevelType w:val="hybridMultilevel"/>
    <w:tmpl w:val="2CCAB894"/>
    <w:lvl w:ilvl="0" w:tplc="83A48AD4">
      <w:start w:val="1"/>
      <w:numFmt w:val="bullet"/>
      <w:lvlText w:val="–"/>
      <w:lvlJc w:val="left"/>
      <w:pPr>
        <w:tabs>
          <w:tab w:val="num" w:pos="397"/>
        </w:tabs>
        <w:ind w:left="397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7A1799"/>
    <w:multiLevelType w:val="hybridMultilevel"/>
    <w:tmpl w:val="F5BCE53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EA038E"/>
    <w:multiLevelType w:val="hybridMultilevel"/>
    <w:tmpl w:val="969665CC"/>
    <w:lvl w:ilvl="0" w:tplc="86226E50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AA733A"/>
    <w:multiLevelType w:val="hybridMultilevel"/>
    <w:tmpl w:val="9F5646B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CF5F69"/>
    <w:multiLevelType w:val="hybridMultilevel"/>
    <w:tmpl w:val="0602E26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2E74BC"/>
    <w:multiLevelType w:val="hybridMultilevel"/>
    <w:tmpl w:val="67B64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8"/>
  </w:num>
  <w:num w:numId="7">
    <w:abstractNumId w:val="14"/>
  </w:num>
  <w:num w:numId="8">
    <w:abstractNumId w:val="0"/>
  </w:num>
  <w:num w:numId="9">
    <w:abstractNumId w:val="12"/>
  </w:num>
  <w:num w:numId="10">
    <w:abstractNumId w:val="1"/>
  </w:num>
  <w:num w:numId="11">
    <w:abstractNumId w:val="11"/>
  </w:num>
  <w:num w:numId="12">
    <w:abstractNumId w:val="13"/>
  </w:num>
  <w:num w:numId="13">
    <w:abstractNumId w:val="16"/>
  </w:num>
  <w:num w:numId="14">
    <w:abstractNumId w:val="2"/>
  </w:num>
  <w:num w:numId="15">
    <w:abstractNumId w:val="8"/>
  </w:num>
  <w:num w:numId="16">
    <w:abstractNumId w:val="10"/>
  </w:num>
  <w:num w:numId="17">
    <w:abstractNumId w:val="6"/>
  </w:num>
  <w:num w:numId="18">
    <w:abstractNumId w:val="9"/>
  </w:num>
  <w:num w:numId="19">
    <w:abstractNumId w:val="4"/>
  </w:num>
  <w:num w:numId="20">
    <w:abstractNumId w:val="3"/>
  </w:num>
  <w:num w:numId="21">
    <w:abstractNumId w:val="17"/>
  </w:num>
  <w:num w:numId="22">
    <w:abstractNumId w:val="1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color="none [1951]" stroke="f" strokecolor="none [660]">
      <v:fill color="none [1951]"/>
      <v:stroke color="none [660]"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E3"/>
    <w:rsid w:val="000002B2"/>
    <w:rsid w:val="00000383"/>
    <w:rsid w:val="000009E4"/>
    <w:rsid w:val="00001811"/>
    <w:rsid w:val="00002761"/>
    <w:rsid w:val="00004C7B"/>
    <w:rsid w:val="00006F56"/>
    <w:rsid w:val="00007849"/>
    <w:rsid w:val="00007BF1"/>
    <w:rsid w:val="000112A3"/>
    <w:rsid w:val="00012732"/>
    <w:rsid w:val="00012A76"/>
    <w:rsid w:val="0001334F"/>
    <w:rsid w:val="00014099"/>
    <w:rsid w:val="00014E7A"/>
    <w:rsid w:val="00017733"/>
    <w:rsid w:val="00017F8F"/>
    <w:rsid w:val="000205C1"/>
    <w:rsid w:val="00021031"/>
    <w:rsid w:val="000222AD"/>
    <w:rsid w:val="0002251E"/>
    <w:rsid w:val="000264B8"/>
    <w:rsid w:val="000272AF"/>
    <w:rsid w:val="000312DD"/>
    <w:rsid w:val="000313E9"/>
    <w:rsid w:val="0003197A"/>
    <w:rsid w:val="0003629B"/>
    <w:rsid w:val="000420A5"/>
    <w:rsid w:val="000421B0"/>
    <w:rsid w:val="000439E1"/>
    <w:rsid w:val="000462E3"/>
    <w:rsid w:val="00051349"/>
    <w:rsid w:val="00052D1C"/>
    <w:rsid w:val="00056FDB"/>
    <w:rsid w:val="00057584"/>
    <w:rsid w:val="00061982"/>
    <w:rsid w:val="0006238D"/>
    <w:rsid w:val="00065114"/>
    <w:rsid w:val="000658D5"/>
    <w:rsid w:val="00065C1E"/>
    <w:rsid w:val="00066B45"/>
    <w:rsid w:val="0007731F"/>
    <w:rsid w:val="0007759D"/>
    <w:rsid w:val="0008293F"/>
    <w:rsid w:val="00084D91"/>
    <w:rsid w:val="0008783B"/>
    <w:rsid w:val="0009251B"/>
    <w:rsid w:val="00092549"/>
    <w:rsid w:val="000930FF"/>
    <w:rsid w:val="00095CFE"/>
    <w:rsid w:val="0009714E"/>
    <w:rsid w:val="000A1C59"/>
    <w:rsid w:val="000A1F2B"/>
    <w:rsid w:val="000A27A3"/>
    <w:rsid w:val="000A2C24"/>
    <w:rsid w:val="000A6174"/>
    <w:rsid w:val="000B00AC"/>
    <w:rsid w:val="000B00E3"/>
    <w:rsid w:val="000B069E"/>
    <w:rsid w:val="000B06D3"/>
    <w:rsid w:val="000B2712"/>
    <w:rsid w:val="000B2FFC"/>
    <w:rsid w:val="000B3167"/>
    <w:rsid w:val="000B3FB2"/>
    <w:rsid w:val="000C1B21"/>
    <w:rsid w:val="000C1E3D"/>
    <w:rsid w:val="000C6440"/>
    <w:rsid w:val="000D053E"/>
    <w:rsid w:val="000D457A"/>
    <w:rsid w:val="000D4B1C"/>
    <w:rsid w:val="000D6185"/>
    <w:rsid w:val="000D6FA0"/>
    <w:rsid w:val="000D7232"/>
    <w:rsid w:val="000E0EA6"/>
    <w:rsid w:val="000E1BD7"/>
    <w:rsid w:val="000E2B32"/>
    <w:rsid w:val="000E3926"/>
    <w:rsid w:val="000E4984"/>
    <w:rsid w:val="000E4C1E"/>
    <w:rsid w:val="000E554E"/>
    <w:rsid w:val="000E6004"/>
    <w:rsid w:val="000E6C00"/>
    <w:rsid w:val="000E705D"/>
    <w:rsid w:val="000E7F86"/>
    <w:rsid w:val="000F1365"/>
    <w:rsid w:val="000F34D4"/>
    <w:rsid w:val="000F5ABF"/>
    <w:rsid w:val="000F751E"/>
    <w:rsid w:val="00102AE8"/>
    <w:rsid w:val="0010467F"/>
    <w:rsid w:val="00107D1D"/>
    <w:rsid w:val="00107E7B"/>
    <w:rsid w:val="001106DB"/>
    <w:rsid w:val="00110A52"/>
    <w:rsid w:val="00110EF0"/>
    <w:rsid w:val="00113414"/>
    <w:rsid w:val="001143EB"/>
    <w:rsid w:val="001209A6"/>
    <w:rsid w:val="00121A59"/>
    <w:rsid w:val="00122337"/>
    <w:rsid w:val="00123B1D"/>
    <w:rsid w:val="0012480B"/>
    <w:rsid w:val="00125CAA"/>
    <w:rsid w:val="00127291"/>
    <w:rsid w:val="00132732"/>
    <w:rsid w:val="0013384A"/>
    <w:rsid w:val="00135DCB"/>
    <w:rsid w:val="00135F3D"/>
    <w:rsid w:val="00137899"/>
    <w:rsid w:val="00140E3D"/>
    <w:rsid w:val="001417A5"/>
    <w:rsid w:val="00142BD6"/>
    <w:rsid w:val="001431BA"/>
    <w:rsid w:val="00147A8B"/>
    <w:rsid w:val="00150CE6"/>
    <w:rsid w:val="00151789"/>
    <w:rsid w:val="0015246B"/>
    <w:rsid w:val="00153141"/>
    <w:rsid w:val="00154749"/>
    <w:rsid w:val="00156531"/>
    <w:rsid w:val="00156940"/>
    <w:rsid w:val="0015708B"/>
    <w:rsid w:val="00160BA7"/>
    <w:rsid w:val="00161372"/>
    <w:rsid w:val="001622BF"/>
    <w:rsid w:val="00162622"/>
    <w:rsid w:val="0016394B"/>
    <w:rsid w:val="00163AF4"/>
    <w:rsid w:val="00163CFB"/>
    <w:rsid w:val="00166AAE"/>
    <w:rsid w:val="00170321"/>
    <w:rsid w:val="00170533"/>
    <w:rsid w:val="0017389C"/>
    <w:rsid w:val="00177A9B"/>
    <w:rsid w:val="00183111"/>
    <w:rsid w:val="00183FA2"/>
    <w:rsid w:val="001942E3"/>
    <w:rsid w:val="00194472"/>
    <w:rsid w:val="001954C8"/>
    <w:rsid w:val="00196F82"/>
    <w:rsid w:val="001A0E23"/>
    <w:rsid w:val="001A1F87"/>
    <w:rsid w:val="001A2D9A"/>
    <w:rsid w:val="001A520B"/>
    <w:rsid w:val="001A5667"/>
    <w:rsid w:val="001A75BB"/>
    <w:rsid w:val="001B1D56"/>
    <w:rsid w:val="001B28BD"/>
    <w:rsid w:val="001B346A"/>
    <w:rsid w:val="001B5308"/>
    <w:rsid w:val="001B564B"/>
    <w:rsid w:val="001B5E5E"/>
    <w:rsid w:val="001C02E0"/>
    <w:rsid w:val="001C08FA"/>
    <w:rsid w:val="001C28B1"/>
    <w:rsid w:val="001C28D6"/>
    <w:rsid w:val="001C2E82"/>
    <w:rsid w:val="001C4BEB"/>
    <w:rsid w:val="001C5006"/>
    <w:rsid w:val="001C6E0B"/>
    <w:rsid w:val="001C77FC"/>
    <w:rsid w:val="001C7ADA"/>
    <w:rsid w:val="001D04E4"/>
    <w:rsid w:val="001D3D34"/>
    <w:rsid w:val="001D4EA1"/>
    <w:rsid w:val="001D69E3"/>
    <w:rsid w:val="001D7255"/>
    <w:rsid w:val="001E0852"/>
    <w:rsid w:val="001E2605"/>
    <w:rsid w:val="001E2A73"/>
    <w:rsid w:val="001E7469"/>
    <w:rsid w:val="001F1BCD"/>
    <w:rsid w:val="001F3DDE"/>
    <w:rsid w:val="001F5345"/>
    <w:rsid w:val="001F7B07"/>
    <w:rsid w:val="002005A0"/>
    <w:rsid w:val="0020138E"/>
    <w:rsid w:val="0020515F"/>
    <w:rsid w:val="00206F57"/>
    <w:rsid w:val="00207E3D"/>
    <w:rsid w:val="00214B84"/>
    <w:rsid w:val="0021639A"/>
    <w:rsid w:val="0021669A"/>
    <w:rsid w:val="00216DF3"/>
    <w:rsid w:val="00217F26"/>
    <w:rsid w:val="0022302F"/>
    <w:rsid w:val="00223F97"/>
    <w:rsid w:val="00231C06"/>
    <w:rsid w:val="002349BE"/>
    <w:rsid w:val="00234A0B"/>
    <w:rsid w:val="002350FB"/>
    <w:rsid w:val="002359E3"/>
    <w:rsid w:val="0023628B"/>
    <w:rsid w:val="00236924"/>
    <w:rsid w:val="0023799A"/>
    <w:rsid w:val="00240032"/>
    <w:rsid w:val="0024075C"/>
    <w:rsid w:val="00242A6A"/>
    <w:rsid w:val="00242C63"/>
    <w:rsid w:val="00242E7A"/>
    <w:rsid w:val="0024613B"/>
    <w:rsid w:val="002503B7"/>
    <w:rsid w:val="00252413"/>
    <w:rsid w:val="002561E9"/>
    <w:rsid w:val="00257012"/>
    <w:rsid w:val="00260464"/>
    <w:rsid w:val="00260632"/>
    <w:rsid w:val="002774B6"/>
    <w:rsid w:val="00277CC2"/>
    <w:rsid w:val="00281F98"/>
    <w:rsid w:val="0028203E"/>
    <w:rsid w:val="00285B2E"/>
    <w:rsid w:val="00286286"/>
    <w:rsid w:val="0029160D"/>
    <w:rsid w:val="002937EC"/>
    <w:rsid w:val="00293E7C"/>
    <w:rsid w:val="002946AC"/>
    <w:rsid w:val="00295BFF"/>
    <w:rsid w:val="00296612"/>
    <w:rsid w:val="002A2226"/>
    <w:rsid w:val="002A3513"/>
    <w:rsid w:val="002A481A"/>
    <w:rsid w:val="002A68FF"/>
    <w:rsid w:val="002A768F"/>
    <w:rsid w:val="002B3394"/>
    <w:rsid w:val="002B3A31"/>
    <w:rsid w:val="002B450B"/>
    <w:rsid w:val="002B4D65"/>
    <w:rsid w:val="002B713E"/>
    <w:rsid w:val="002B73FD"/>
    <w:rsid w:val="002C39FD"/>
    <w:rsid w:val="002C46DD"/>
    <w:rsid w:val="002C4FFE"/>
    <w:rsid w:val="002C6E36"/>
    <w:rsid w:val="002D18C5"/>
    <w:rsid w:val="002D23B2"/>
    <w:rsid w:val="002E0A16"/>
    <w:rsid w:val="002E721D"/>
    <w:rsid w:val="002F0736"/>
    <w:rsid w:val="002F096B"/>
    <w:rsid w:val="002F0E19"/>
    <w:rsid w:val="002F11BC"/>
    <w:rsid w:val="002F6B7B"/>
    <w:rsid w:val="00301451"/>
    <w:rsid w:val="00301B31"/>
    <w:rsid w:val="00304BF2"/>
    <w:rsid w:val="00307FBD"/>
    <w:rsid w:val="00312833"/>
    <w:rsid w:val="00313556"/>
    <w:rsid w:val="00313AFC"/>
    <w:rsid w:val="00314B9D"/>
    <w:rsid w:val="00315217"/>
    <w:rsid w:val="003152B5"/>
    <w:rsid w:val="00315E09"/>
    <w:rsid w:val="00316B0C"/>
    <w:rsid w:val="00317AFD"/>
    <w:rsid w:val="0032062D"/>
    <w:rsid w:val="00322218"/>
    <w:rsid w:val="0032221F"/>
    <w:rsid w:val="00322969"/>
    <w:rsid w:val="003237BC"/>
    <w:rsid w:val="0033040B"/>
    <w:rsid w:val="003307B8"/>
    <w:rsid w:val="003312B0"/>
    <w:rsid w:val="00332C04"/>
    <w:rsid w:val="003359CB"/>
    <w:rsid w:val="00337B69"/>
    <w:rsid w:val="00342F1A"/>
    <w:rsid w:val="00342F47"/>
    <w:rsid w:val="003469D9"/>
    <w:rsid w:val="00347F3E"/>
    <w:rsid w:val="003515CB"/>
    <w:rsid w:val="0035179F"/>
    <w:rsid w:val="00362EF0"/>
    <w:rsid w:val="00365030"/>
    <w:rsid w:val="0036579A"/>
    <w:rsid w:val="00365B1E"/>
    <w:rsid w:val="003669D4"/>
    <w:rsid w:val="00370A4D"/>
    <w:rsid w:val="00372B0D"/>
    <w:rsid w:val="00380B70"/>
    <w:rsid w:val="003841F8"/>
    <w:rsid w:val="0038552C"/>
    <w:rsid w:val="003856B6"/>
    <w:rsid w:val="00385B3C"/>
    <w:rsid w:val="0038724B"/>
    <w:rsid w:val="003877DF"/>
    <w:rsid w:val="003878E9"/>
    <w:rsid w:val="0039250F"/>
    <w:rsid w:val="00393F39"/>
    <w:rsid w:val="00394CCB"/>
    <w:rsid w:val="0039592C"/>
    <w:rsid w:val="003967F0"/>
    <w:rsid w:val="00396A5A"/>
    <w:rsid w:val="003A0AD9"/>
    <w:rsid w:val="003A2D87"/>
    <w:rsid w:val="003A498B"/>
    <w:rsid w:val="003A68BC"/>
    <w:rsid w:val="003B2386"/>
    <w:rsid w:val="003B5049"/>
    <w:rsid w:val="003B6A02"/>
    <w:rsid w:val="003C1350"/>
    <w:rsid w:val="003C1574"/>
    <w:rsid w:val="003C3E03"/>
    <w:rsid w:val="003D1C8C"/>
    <w:rsid w:val="003D2041"/>
    <w:rsid w:val="003D343D"/>
    <w:rsid w:val="003D6CFE"/>
    <w:rsid w:val="003E128A"/>
    <w:rsid w:val="003E2486"/>
    <w:rsid w:val="003E25D5"/>
    <w:rsid w:val="003E2B42"/>
    <w:rsid w:val="003F306A"/>
    <w:rsid w:val="003F3750"/>
    <w:rsid w:val="003F3DD7"/>
    <w:rsid w:val="003F4099"/>
    <w:rsid w:val="003F4DBE"/>
    <w:rsid w:val="00405A19"/>
    <w:rsid w:val="00407177"/>
    <w:rsid w:val="00407475"/>
    <w:rsid w:val="00407D37"/>
    <w:rsid w:val="00410BCA"/>
    <w:rsid w:val="00411B72"/>
    <w:rsid w:val="004137C1"/>
    <w:rsid w:val="0041490C"/>
    <w:rsid w:val="00414EAD"/>
    <w:rsid w:val="00415218"/>
    <w:rsid w:val="004169A8"/>
    <w:rsid w:val="00417905"/>
    <w:rsid w:val="00417C36"/>
    <w:rsid w:val="00425D57"/>
    <w:rsid w:val="0042693C"/>
    <w:rsid w:val="00431024"/>
    <w:rsid w:val="00432FEC"/>
    <w:rsid w:val="00434F35"/>
    <w:rsid w:val="00437321"/>
    <w:rsid w:val="0043745C"/>
    <w:rsid w:val="00437BAF"/>
    <w:rsid w:val="00443E03"/>
    <w:rsid w:val="00445E05"/>
    <w:rsid w:val="004460CF"/>
    <w:rsid w:val="00450874"/>
    <w:rsid w:val="00450E7E"/>
    <w:rsid w:val="00451440"/>
    <w:rsid w:val="00451E6B"/>
    <w:rsid w:val="0045207D"/>
    <w:rsid w:val="004540D4"/>
    <w:rsid w:val="00460DAA"/>
    <w:rsid w:val="0046179D"/>
    <w:rsid w:val="00461AFD"/>
    <w:rsid w:val="00463C58"/>
    <w:rsid w:val="004645C5"/>
    <w:rsid w:val="00464D86"/>
    <w:rsid w:val="00464DF1"/>
    <w:rsid w:val="004652D3"/>
    <w:rsid w:val="00465E6E"/>
    <w:rsid w:val="00470173"/>
    <w:rsid w:val="00473590"/>
    <w:rsid w:val="0047453B"/>
    <w:rsid w:val="0048163F"/>
    <w:rsid w:val="00482B6D"/>
    <w:rsid w:val="004836FD"/>
    <w:rsid w:val="00483873"/>
    <w:rsid w:val="004843E4"/>
    <w:rsid w:val="00484A4B"/>
    <w:rsid w:val="00486B6D"/>
    <w:rsid w:val="00491BFE"/>
    <w:rsid w:val="00492B18"/>
    <w:rsid w:val="004932D2"/>
    <w:rsid w:val="00497E18"/>
    <w:rsid w:val="00497FC6"/>
    <w:rsid w:val="004A0A7F"/>
    <w:rsid w:val="004A37CF"/>
    <w:rsid w:val="004A3BC6"/>
    <w:rsid w:val="004A5819"/>
    <w:rsid w:val="004A6E8C"/>
    <w:rsid w:val="004A75B6"/>
    <w:rsid w:val="004A7D30"/>
    <w:rsid w:val="004B291E"/>
    <w:rsid w:val="004B2BA5"/>
    <w:rsid w:val="004B3AC9"/>
    <w:rsid w:val="004B3E99"/>
    <w:rsid w:val="004B4DC8"/>
    <w:rsid w:val="004B4F75"/>
    <w:rsid w:val="004B5DA2"/>
    <w:rsid w:val="004B7616"/>
    <w:rsid w:val="004C20EE"/>
    <w:rsid w:val="004C2445"/>
    <w:rsid w:val="004C2ED5"/>
    <w:rsid w:val="004C4394"/>
    <w:rsid w:val="004C4E6F"/>
    <w:rsid w:val="004C6A66"/>
    <w:rsid w:val="004D0C90"/>
    <w:rsid w:val="004D1231"/>
    <w:rsid w:val="004D165B"/>
    <w:rsid w:val="004D1D86"/>
    <w:rsid w:val="004D1FC6"/>
    <w:rsid w:val="004D2F88"/>
    <w:rsid w:val="004D6A4F"/>
    <w:rsid w:val="004E0EC0"/>
    <w:rsid w:val="004E37C6"/>
    <w:rsid w:val="004E4209"/>
    <w:rsid w:val="004E7111"/>
    <w:rsid w:val="004F11FF"/>
    <w:rsid w:val="004F3D95"/>
    <w:rsid w:val="004F4178"/>
    <w:rsid w:val="004F4592"/>
    <w:rsid w:val="004F6DF5"/>
    <w:rsid w:val="004F7001"/>
    <w:rsid w:val="00500FD9"/>
    <w:rsid w:val="0050578C"/>
    <w:rsid w:val="0050614C"/>
    <w:rsid w:val="005078F3"/>
    <w:rsid w:val="00513367"/>
    <w:rsid w:val="00513B7E"/>
    <w:rsid w:val="00516A1E"/>
    <w:rsid w:val="00516CE2"/>
    <w:rsid w:val="00517852"/>
    <w:rsid w:val="005211D0"/>
    <w:rsid w:val="00521453"/>
    <w:rsid w:val="005252BC"/>
    <w:rsid w:val="00527A3F"/>
    <w:rsid w:val="00530BFF"/>
    <w:rsid w:val="005316C8"/>
    <w:rsid w:val="00532046"/>
    <w:rsid w:val="00532474"/>
    <w:rsid w:val="00532A2A"/>
    <w:rsid w:val="00536D8D"/>
    <w:rsid w:val="0053725A"/>
    <w:rsid w:val="00541E08"/>
    <w:rsid w:val="0054476A"/>
    <w:rsid w:val="0054670B"/>
    <w:rsid w:val="005475BD"/>
    <w:rsid w:val="005476CB"/>
    <w:rsid w:val="00547E49"/>
    <w:rsid w:val="00551386"/>
    <w:rsid w:val="00552220"/>
    <w:rsid w:val="005529C8"/>
    <w:rsid w:val="00552B6D"/>
    <w:rsid w:val="00552B88"/>
    <w:rsid w:val="00554132"/>
    <w:rsid w:val="00554913"/>
    <w:rsid w:val="00554B48"/>
    <w:rsid w:val="0055565C"/>
    <w:rsid w:val="0055590F"/>
    <w:rsid w:val="00557509"/>
    <w:rsid w:val="00561ADE"/>
    <w:rsid w:val="005620A9"/>
    <w:rsid w:val="0056536B"/>
    <w:rsid w:val="00566BB4"/>
    <w:rsid w:val="00567AEC"/>
    <w:rsid w:val="00571B46"/>
    <w:rsid w:val="005739AB"/>
    <w:rsid w:val="00574244"/>
    <w:rsid w:val="005751F2"/>
    <w:rsid w:val="00577AC8"/>
    <w:rsid w:val="00580FA9"/>
    <w:rsid w:val="005866B0"/>
    <w:rsid w:val="00590D8A"/>
    <w:rsid w:val="00590FEC"/>
    <w:rsid w:val="0059517E"/>
    <w:rsid w:val="005953E4"/>
    <w:rsid w:val="005A139B"/>
    <w:rsid w:val="005B7C13"/>
    <w:rsid w:val="005B7F2B"/>
    <w:rsid w:val="005C2C12"/>
    <w:rsid w:val="005C3228"/>
    <w:rsid w:val="005C51BE"/>
    <w:rsid w:val="005D44F6"/>
    <w:rsid w:val="005D609B"/>
    <w:rsid w:val="005D6D99"/>
    <w:rsid w:val="005D7BAB"/>
    <w:rsid w:val="005E249F"/>
    <w:rsid w:val="005E366A"/>
    <w:rsid w:val="005E4BF4"/>
    <w:rsid w:val="005E5626"/>
    <w:rsid w:val="005E5D85"/>
    <w:rsid w:val="005E7A6E"/>
    <w:rsid w:val="005E7ABE"/>
    <w:rsid w:val="005F256B"/>
    <w:rsid w:val="005F29F6"/>
    <w:rsid w:val="005F485B"/>
    <w:rsid w:val="005F5F9C"/>
    <w:rsid w:val="005F616B"/>
    <w:rsid w:val="00600DC2"/>
    <w:rsid w:val="00601894"/>
    <w:rsid w:val="00610581"/>
    <w:rsid w:val="0061172B"/>
    <w:rsid w:val="00612F5A"/>
    <w:rsid w:val="006140F4"/>
    <w:rsid w:val="00615D43"/>
    <w:rsid w:val="00617E62"/>
    <w:rsid w:val="00620F08"/>
    <w:rsid w:val="00623B31"/>
    <w:rsid w:val="006251C4"/>
    <w:rsid w:val="006254E1"/>
    <w:rsid w:val="006256F0"/>
    <w:rsid w:val="00625BA9"/>
    <w:rsid w:val="00625C6A"/>
    <w:rsid w:val="0062696C"/>
    <w:rsid w:val="006272D3"/>
    <w:rsid w:val="00630BD8"/>
    <w:rsid w:val="00633317"/>
    <w:rsid w:val="00633EB6"/>
    <w:rsid w:val="00634877"/>
    <w:rsid w:val="006351AC"/>
    <w:rsid w:val="00635530"/>
    <w:rsid w:val="006401FD"/>
    <w:rsid w:val="0064065E"/>
    <w:rsid w:val="00641075"/>
    <w:rsid w:val="006417F6"/>
    <w:rsid w:val="00642551"/>
    <w:rsid w:val="00644BAA"/>
    <w:rsid w:val="00645AB3"/>
    <w:rsid w:val="00645F1E"/>
    <w:rsid w:val="00646B1D"/>
    <w:rsid w:val="00647388"/>
    <w:rsid w:val="00650BC3"/>
    <w:rsid w:val="006525C8"/>
    <w:rsid w:val="00654E26"/>
    <w:rsid w:val="00655D50"/>
    <w:rsid w:val="00656697"/>
    <w:rsid w:val="00657D19"/>
    <w:rsid w:val="00663330"/>
    <w:rsid w:val="0066640D"/>
    <w:rsid w:val="0067067D"/>
    <w:rsid w:val="006706B6"/>
    <w:rsid w:val="0067125F"/>
    <w:rsid w:val="00671667"/>
    <w:rsid w:val="00672012"/>
    <w:rsid w:val="0068229D"/>
    <w:rsid w:val="00683987"/>
    <w:rsid w:val="00684D22"/>
    <w:rsid w:val="00685EA8"/>
    <w:rsid w:val="00690AE2"/>
    <w:rsid w:val="00690D3F"/>
    <w:rsid w:val="00693F6A"/>
    <w:rsid w:val="00695DF6"/>
    <w:rsid w:val="00696616"/>
    <w:rsid w:val="00697996"/>
    <w:rsid w:val="006A201B"/>
    <w:rsid w:val="006A641A"/>
    <w:rsid w:val="006B0556"/>
    <w:rsid w:val="006B065B"/>
    <w:rsid w:val="006B0755"/>
    <w:rsid w:val="006B0B23"/>
    <w:rsid w:val="006B54FB"/>
    <w:rsid w:val="006B6695"/>
    <w:rsid w:val="006B761B"/>
    <w:rsid w:val="006C0729"/>
    <w:rsid w:val="006C2481"/>
    <w:rsid w:val="006D5579"/>
    <w:rsid w:val="006D5C1B"/>
    <w:rsid w:val="006D7135"/>
    <w:rsid w:val="006D7707"/>
    <w:rsid w:val="006D77D2"/>
    <w:rsid w:val="006E04AF"/>
    <w:rsid w:val="006E1C2A"/>
    <w:rsid w:val="006E3D36"/>
    <w:rsid w:val="006E42A9"/>
    <w:rsid w:val="006E4659"/>
    <w:rsid w:val="006E4F4C"/>
    <w:rsid w:val="006E508D"/>
    <w:rsid w:val="006E6B43"/>
    <w:rsid w:val="006F1317"/>
    <w:rsid w:val="006F3E83"/>
    <w:rsid w:val="006F5A8D"/>
    <w:rsid w:val="006F612C"/>
    <w:rsid w:val="00700CF7"/>
    <w:rsid w:val="00701500"/>
    <w:rsid w:val="00702811"/>
    <w:rsid w:val="0070428B"/>
    <w:rsid w:val="00705693"/>
    <w:rsid w:val="0071343C"/>
    <w:rsid w:val="007162B4"/>
    <w:rsid w:val="00716B6F"/>
    <w:rsid w:val="00726A8F"/>
    <w:rsid w:val="00726B0E"/>
    <w:rsid w:val="007270E3"/>
    <w:rsid w:val="00727612"/>
    <w:rsid w:val="00733DAF"/>
    <w:rsid w:val="007344E1"/>
    <w:rsid w:val="00735C66"/>
    <w:rsid w:val="0074003F"/>
    <w:rsid w:val="00742E20"/>
    <w:rsid w:val="00744CFF"/>
    <w:rsid w:val="007452BC"/>
    <w:rsid w:val="00747EE0"/>
    <w:rsid w:val="00750235"/>
    <w:rsid w:val="007506D1"/>
    <w:rsid w:val="007506E9"/>
    <w:rsid w:val="00752E26"/>
    <w:rsid w:val="00752FC1"/>
    <w:rsid w:val="0075360B"/>
    <w:rsid w:val="00753DD3"/>
    <w:rsid w:val="00754296"/>
    <w:rsid w:val="00756336"/>
    <w:rsid w:val="007602BD"/>
    <w:rsid w:val="00761ACA"/>
    <w:rsid w:val="00761B18"/>
    <w:rsid w:val="00765051"/>
    <w:rsid w:val="00765F7C"/>
    <w:rsid w:val="00767460"/>
    <w:rsid w:val="00772082"/>
    <w:rsid w:val="00772C62"/>
    <w:rsid w:val="007819C6"/>
    <w:rsid w:val="00783462"/>
    <w:rsid w:val="007840F8"/>
    <w:rsid w:val="00786008"/>
    <w:rsid w:val="007862EC"/>
    <w:rsid w:val="007919F3"/>
    <w:rsid w:val="00792F13"/>
    <w:rsid w:val="0079465B"/>
    <w:rsid w:val="00795331"/>
    <w:rsid w:val="00797401"/>
    <w:rsid w:val="007A0C49"/>
    <w:rsid w:val="007A497C"/>
    <w:rsid w:val="007A49A0"/>
    <w:rsid w:val="007A6823"/>
    <w:rsid w:val="007A7C83"/>
    <w:rsid w:val="007B1E55"/>
    <w:rsid w:val="007B668A"/>
    <w:rsid w:val="007C228E"/>
    <w:rsid w:val="007C3463"/>
    <w:rsid w:val="007C5A55"/>
    <w:rsid w:val="007C6302"/>
    <w:rsid w:val="007C6A83"/>
    <w:rsid w:val="007C6C7E"/>
    <w:rsid w:val="007D0F10"/>
    <w:rsid w:val="007D3215"/>
    <w:rsid w:val="007D5DF6"/>
    <w:rsid w:val="007E0C45"/>
    <w:rsid w:val="007E1E5E"/>
    <w:rsid w:val="007E2C6A"/>
    <w:rsid w:val="007E3B55"/>
    <w:rsid w:val="007E6575"/>
    <w:rsid w:val="007F0A07"/>
    <w:rsid w:val="007F77F7"/>
    <w:rsid w:val="00800025"/>
    <w:rsid w:val="0080006D"/>
    <w:rsid w:val="00800105"/>
    <w:rsid w:val="008004AE"/>
    <w:rsid w:val="00800FD1"/>
    <w:rsid w:val="00805909"/>
    <w:rsid w:val="00805D73"/>
    <w:rsid w:val="00807034"/>
    <w:rsid w:val="0081013C"/>
    <w:rsid w:val="0081015A"/>
    <w:rsid w:val="008101AF"/>
    <w:rsid w:val="00811374"/>
    <w:rsid w:val="0081199D"/>
    <w:rsid w:val="00812628"/>
    <w:rsid w:val="008145CA"/>
    <w:rsid w:val="00814AD2"/>
    <w:rsid w:val="00817EA2"/>
    <w:rsid w:val="00822C5B"/>
    <w:rsid w:val="00824330"/>
    <w:rsid w:val="00826940"/>
    <w:rsid w:val="0082714C"/>
    <w:rsid w:val="00830B56"/>
    <w:rsid w:val="00832B70"/>
    <w:rsid w:val="00832FE5"/>
    <w:rsid w:val="008332DB"/>
    <w:rsid w:val="00835CD6"/>
    <w:rsid w:val="00836685"/>
    <w:rsid w:val="00837B40"/>
    <w:rsid w:val="008422E3"/>
    <w:rsid w:val="008438D8"/>
    <w:rsid w:val="00843FEA"/>
    <w:rsid w:val="00845755"/>
    <w:rsid w:val="00845E66"/>
    <w:rsid w:val="008461F6"/>
    <w:rsid w:val="00846B48"/>
    <w:rsid w:val="0085180C"/>
    <w:rsid w:val="00855DCB"/>
    <w:rsid w:val="00860CB9"/>
    <w:rsid w:val="00860CC9"/>
    <w:rsid w:val="00860D3E"/>
    <w:rsid w:val="008621AE"/>
    <w:rsid w:val="008622D3"/>
    <w:rsid w:val="008652A3"/>
    <w:rsid w:val="00870A4D"/>
    <w:rsid w:val="00877E5E"/>
    <w:rsid w:val="00884EAD"/>
    <w:rsid w:val="008925B6"/>
    <w:rsid w:val="008974DF"/>
    <w:rsid w:val="008A0294"/>
    <w:rsid w:val="008A0E49"/>
    <w:rsid w:val="008A0F32"/>
    <w:rsid w:val="008A2763"/>
    <w:rsid w:val="008A41CD"/>
    <w:rsid w:val="008A4375"/>
    <w:rsid w:val="008A5CFD"/>
    <w:rsid w:val="008A7217"/>
    <w:rsid w:val="008A794E"/>
    <w:rsid w:val="008B008D"/>
    <w:rsid w:val="008B2327"/>
    <w:rsid w:val="008B3E6C"/>
    <w:rsid w:val="008B654A"/>
    <w:rsid w:val="008B7FF0"/>
    <w:rsid w:val="008C6896"/>
    <w:rsid w:val="008D0983"/>
    <w:rsid w:val="008D0AEB"/>
    <w:rsid w:val="008D2C6B"/>
    <w:rsid w:val="008D5409"/>
    <w:rsid w:val="008D61C5"/>
    <w:rsid w:val="008E0FB4"/>
    <w:rsid w:val="008E18AA"/>
    <w:rsid w:val="008E2E63"/>
    <w:rsid w:val="008E42C5"/>
    <w:rsid w:val="008E46BE"/>
    <w:rsid w:val="008E6411"/>
    <w:rsid w:val="008E6D04"/>
    <w:rsid w:val="008F0E9D"/>
    <w:rsid w:val="008F28B4"/>
    <w:rsid w:val="008F2F78"/>
    <w:rsid w:val="009006BE"/>
    <w:rsid w:val="00903E2F"/>
    <w:rsid w:val="00904921"/>
    <w:rsid w:val="00904E06"/>
    <w:rsid w:val="00904FBB"/>
    <w:rsid w:val="00906305"/>
    <w:rsid w:val="00907357"/>
    <w:rsid w:val="00907EF7"/>
    <w:rsid w:val="00913788"/>
    <w:rsid w:val="0091687E"/>
    <w:rsid w:val="00923C56"/>
    <w:rsid w:val="00925EB5"/>
    <w:rsid w:val="00931D3A"/>
    <w:rsid w:val="00931D7B"/>
    <w:rsid w:val="009336CE"/>
    <w:rsid w:val="00933A3D"/>
    <w:rsid w:val="009375F6"/>
    <w:rsid w:val="0094269A"/>
    <w:rsid w:val="0094305C"/>
    <w:rsid w:val="009436C6"/>
    <w:rsid w:val="00944EE6"/>
    <w:rsid w:val="00945604"/>
    <w:rsid w:val="00945D23"/>
    <w:rsid w:val="00946111"/>
    <w:rsid w:val="009465BF"/>
    <w:rsid w:val="009505CF"/>
    <w:rsid w:val="00950643"/>
    <w:rsid w:val="0095313D"/>
    <w:rsid w:val="00953DDF"/>
    <w:rsid w:val="00957D90"/>
    <w:rsid w:val="009625E0"/>
    <w:rsid w:val="0096341A"/>
    <w:rsid w:val="00964ADD"/>
    <w:rsid w:val="00965839"/>
    <w:rsid w:val="00970700"/>
    <w:rsid w:val="00970837"/>
    <w:rsid w:val="00971F3A"/>
    <w:rsid w:val="00973282"/>
    <w:rsid w:val="009752AB"/>
    <w:rsid w:val="00976891"/>
    <w:rsid w:val="009770D3"/>
    <w:rsid w:val="00980BD9"/>
    <w:rsid w:val="00981A57"/>
    <w:rsid w:val="00982DDB"/>
    <w:rsid w:val="009856C3"/>
    <w:rsid w:val="00987DCE"/>
    <w:rsid w:val="0099365F"/>
    <w:rsid w:val="00994D89"/>
    <w:rsid w:val="009953D2"/>
    <w:rsid w:val="009957ED"/>
    <w:rsid w:val="009967BB"/>
    <w:rsid w:val="009A081B"/>
    <w:rsid w:val="009A14DD"/>
    <w:rsid w:val="009A1533"/>
    <w:rsid w:val="009B2D6E"/>
    <w:rsid w:val="009B55F8"/>
    <w:rsid w:val="009B6014"/>
    <w:rsid w:val="009B7319"/>
    <w:rsid w:val="009C0141"/>
    <w:rsid w:val="009C14B7"/>
    <w:rsid w:val="009C5961"/>
    <w:rsid w:val="009D1A7C"/>
    <w:rsid w:val="009E271A"/>
    <w:rsid w:val="009E6832"/>
    <w:rsid w:val="009F0520"/>
    <w:rsid w:val="009F136F"/>
    <w:rsid w:val="009F20C1"/>
    <w:rsid w:val="009F4135"/>
    <w:rsid w:val="009F4F78"/>
    <w:rsid w:val="009F574F"/>
    <w:rsid w:val="009F5A5E"/>
    <w:rsid w:val="009F6785"/>
    <w:rsid w:val="00A000D6"/>
    <w:rsid w:val="00A007C9"/>
    <w:rsid w:val="00A03410"/>
    <w:rsid w:val="00A03648"/>
    <w:rsid w:val="00A03957"/>
    <w:rsid w:val="00A044B3"/>
    <w:rsid w:val="00A0624C"/>
    <w:rsid w:val="00A1074B"/>
    <w:rsid w:val="00A111CE"/>
    <w:rsid w:val="00A142B0"/>
    <w:rsid w:val="00A177BA"/>
    <w:rsid w:val="00A2309C"/>
    <w:rsid w:val="00A23411"/>
    <w:rsid w:val="00A25278"/>
    <w:rsid w:val="00A27C31"/>
    <w:rsid w:val="00A3150A"/>
    <w:rsid w:val="00A32098"/>
    <w:rsid w:val="00A32FF1"/>
    <w:rsid w:val="00A350FC"/>
    <w:rsid w:val="00A364BF"/>
    <w:rsid w:val="00A37720"/>
    <w:rsid w:val="00A403FC"/>
    <w:rsid w:val="00A4126A"/>
    <w:rsid w:val="00A41CC2"/>
    <w:rsid w:val="00A41FB3"/>
    <w:rsid w:val="00A442A8"/>
    <w:rsid w:val="00A47F15"/>
    <w:rsid w:val="00A52091"/>
    <w:rsid w:val="00A52C5E"/>
    <w:rsid w:val="00A52D4A"/>
    <w:rsid w:val="00A532EA"/>
    <w:rsid w:val="00A546DA"/>
    <w:rsid w:val="00A54BEB"/>
    <w:rsid w:val="00A57085"/>
    <w:rsid w:val="00A633A3"/>
    <w:rsid w:val="00A63C08"/>
    <w:rsid w:val="00A653F2"/>
    <w:rsid w:val="00A6583D"/>
    <w:rsid w:val="00A723DD"/>
    <w:rsid w:val="00A74661"/>
    <w:rsid w:val="00A77542"/>
    <w:rsid w:val="00A7764E"/>
    <w:rsid w:val="00A77F69"/>
    <w:rsid w:val="00A804EE"/>
    <w:rsid w:val="00A80F0F"/>
    <w:rsid w:val="00A81927"/>
    <w:rsid w:val="00A82A4E"/>
    <w:rsid w:val="00A82C2E"/>
    <w:rsid w:val="00A85C8E"/>
    <w:rsid w:val="00A87749"/>
    <w:rsid w:val="00A90388"/>
    <w:rsid w:val="00A914DD"/>
    <w:rsid w:val="00A92013"/>
    <w:rsid w:val="00A92FE0"/>
    <w:rsid w:val="00A93C11"/>
    <w:rsid w:val="00A963A0"/>
    <w:rsid w:val="00A97F80"/>
    <w:rsid w:val="00AA09B8"/>
    <w:rsid w:val="00AA1877"/>
    <w:rsid w:val="00AA18C9"/>
    <w:rsid w:val="00AA33D5"/>
    <w:rsid w:val="00AA3CD3"/>
    <w:rsid w:val="00AA5259"/>
    <w:rsid w:val="00AA5C62"/>
    <w:rsid w:val="00AA5DAA"/>
    <w:rsid w:val="00AA62EF"/>
    <w:rsid w:val="00AA65FF"/>
    <w:rsid w:val="00AA6FAA"/>
    <w:rsid w:val="00AA7B45"/>
    <w:rsid w:val="00AB7DAF"/>
    <w:rsid w:val="00AC404E"/>
    <w:rsid w:val="00AC4424"/>
    <w:rsid w:val="00AC4F39"/>
    <w:rsid w:val="00AC7A1A"/>
    <w:rsid w:val="00AD01CE"/>
    <w:rsid w:val="00AD140E"/>
    <w:rsid w:val="00AD3447"/>
    <w:rsid w:val="00AD4E37"/>
    <w:rsid w:val="00AD5FE0"/>
    <w:rsid w:val="00AD72FA"/>
    <w:rsid w:val="00AE0084"/>
    <w:rsid w:val="00AE2F63"/>
    <w:rsid w:val="00AE34EB"/>
    <w:rsid w:val="00AE53AC"/>
    <w:rsid w:val="00AE5670"/>
    <w:rsid w:val="00AF10ED"/>
    <w:rsid w:val="00AF129C"/>
    <w:rsid w:val="00AF1F3F"/>
    <w:rsid w:val="00AF2715"/>
    <w:rsid w:val="00AF42F8"/>
    <w:rsid w:val="00B06130"/>
    <w:rsid w:val="00B06747"/>
    <w:rsid w:val="00B10909"/>
    <w:rsid w:val="00B12804"/>
    <w:rsid w:val="00B13A9F"/>
    <w:rsid w:val="00B1683C"/>
    <w:rsid w:val="00B16D2D"/>
    <w:rsid w:val="00B17332"/>
    <w:rsid w:val="00B20FAB"/>
    <w:rsid w:val="00B25AA0"/>
    <w:rsid w:val="00B25DCC"/>
    <w:rsid w:val="00B2722A"/>
    <w:rsid w:val="00B30101"/>
    <w:rsid w:val="00B30CC5"/>
    <w:rsid w:val="00B33515"/>
    <w:rsid w:val="00B33D38"/>
    <w:rsid w:val="00B340EF"/>
    <w:rsid w:val="00B35D38"/>
    <w:rsid w:val="00B42DF8"/>
    <w:rsid w:val="00B42EB5"/>
    <w:rsid w:val="00B4412B"/>
    <w:rsid w:val="00B4489E"/>
    <w:rsid w:val="00B44BC0"/>
    <w:rsid w:val="00B46957"/>
    <w:rsid w:val="00B47049"/>
    <w:rsid w:val="00B4788C"/>
    <w:rsid w:val="00B50F49"/>
    <w:rsid w:val="00B526D3"/>
    <w:rsid w:val="00B538AD"/>
    <w:rsid w:val="00B55C68"/>
    <w:rsid w:val="00B55EE3"/>
    <w:rsid w:val="00B56279"/>
    <w:rsid w:val="00B5688D"/>
    <w:rsid w:val="00B57204"/>
    <w:rsid w:val="00B61BE2"/>
    <w:rsid w:val="00B62837"/>
    <w:rsid w:val="00B62CE1"/>
    <w:rsid w:val="00B62FB2"/>
    <w:rsid w:val="00B663AD"/>
    <w:rsid w:val="00B66596"/>
    <w:rsid w:val="00B70CBB"/>
    <w:rsid w:val="00B72827"/>
    <w:rsid w:val="00B805DA"/>
    <w:rsid w:val="00B84D47"/>
    <w:rsid w:val="00B850AB"/>
    <w:rsid w:val="00B85FBD"/>
    <w:rsid w:val="00B86482"/>
    <w:rsid w:val="00B867C5"/>
    <w:rsid w:val="00B86DB3"/>
    <w:rsid w:val="00B8788B"/>
    <w:rsid w:val="00BA03B8"/>
    <w:rsid w:val="00BA1972"/>
    <w:rsid w:val="00BA3C15"/>
    <w:rsid w:val="00BA64DC"/>
    <w:rsid w:val="00BA664B"/>
    <w:rsid w:val="00BA739F"/>
    <w:rsid w:val="00BB11AD"/>
    <w:rsid w:val="00BB1E45"/>
    <w:rsid w:val="00BB36D7"/>
    <w:rsid w:val="00BB400B"/>
    <w:rsid w:val="00BB4E3E"/>
    <w:rsid w:val="00BB59A6"/>
    <w:rsid w:val="00BB5E60"/>
    <w:rsid w:val="00BB712A"/>
    <w:rsid w:val="00BC22F5"/>
    <w:rsid w:val="00BC525B"/>
    <w:rsid w:val="00BC5713"/>
    <w:rsid w:val="00BC7DD4"/>
    <w:rsid w:val="00BD32B6"/>
    <w:rsid w:val="00BD7621"/>
    <w:rsid w:val="00BE16F9"/>
    <w:rsid w:val="00BE2CF0"/>
    <w:rsid w:val="00BE35D5"/>
    <w:rsid w:val="00BE4773"/>
    <w:rsid w:val="00BE4CA5"/>
    <w:rsid w:val="00BE5596"/>
    <w:rsid w:val="00BE609A"/>
    <w:rsid w:val="00BF09C1"/>
    <w:rsid w:val="00BF69D3"/>
    <w:rsid w:val="00C00866"/>
    <w:rsid w:val="00C02694"/>
    <w:rsid w:val="00C04D7E"/>
    <w:rsid w:val="00C05C13"/>
    <w:rsid w:val="00C10402"/>
    <w:rsid w:val="00C1046B"/>
    <w:rsid w:val="00C10BBC"/>
    <w:rsid w:val="00C11DE6"/>
    <w:rsid w:val="00C13B64"/>
    <w:rsid w:val="00C1720D"/>
    <w:rsid w:val="00C17F11"/>
    <w:rsid w:val="00C200AF"/>
    <w:rsid w:val="00C20EAF"/>
    <w:rsid w:val="00C23750"/>
    <w:rsid w:val="00C25128"/>
    <w:rsid w:val="00C2518A"/>
    <w:rsid w:val="00C26B32"/>
    <w:rsid w:val="00C326A7"/>
    <w:rsid w:val="00C32D07"/>
    <w:rsid w:val="00C40425"/>
    <w:rsid w:val="00C45547"/>
    <w:rsid w:val="00C45908"/>
    <w:rsid w:val="00C549DC"/>
    <w:rsid w:val="00C5572C"/>
    <w:rsid w:val="00C57B7D"/>
    <w:rsid w:val="00C615CB"/>
    <w:rsid w:val="00C63918"/>
    <w:rsid w:val="00C645A0"/>
    <w:rsid w:val="00C737C5"/>
    <w:rsid w:val="00C74712"/>
    <w:rsid w:val="00C74928"/>
    <w:rsid w:val="00C8039F"/>
    <w:rsid w:val="00C80670"/>
    <w:rsid w:val="00C82801"/>
    <w:rsid w:val="00C838C4"/>
    <w:rsid w:val="00C86180"/>
    <w:rsid w:val="00C8670D"/>
    <w:rsid w:val="00C9136D"/>
    <w:rsid w:val="00C91ECC"/>
    <w:rsid w:val="00C9395E"/>
    <w:rsid w:val="00C969B9"/>
    <w:rsid w:val="00C96D93"/>
    <w:rsid w:val="00C975D3"/>
    <w:rsid w:val="00CA2884"/>
    <w:rsid w:val="00CA3C40"/>
    <w:rsid w:val="00CA3F9A"/>
    <w:rsid w:val="00CA50B5"/>
    <w:rsid w:val="00CA5A34"/>
    <w:rsid w:val="00CA77BD"/>
    <w:rsid w:val="00CB0DD5"/>
    <w:rsid w:val="00CB2CD0"/>
    <w:rsid w:val="00CB343A"/>
    <w:rsid w:val="00CB566B"/>
    <w:rsid w:val="00CB6035"/>
    <w:rsid w:val="00CC1B19"/>
    <w:rsid w:val="00CC1EE9"/>
    <w:rsid w:val="00CC2CA8"/>
    <w:rsid w:val="00CC2EFC"/>
    <w:rsid w:val="00CC406B"/>
    <w:rsid w:val="00CC42BE"/>
    <w:rsid w:val="00CC4EAD"/>
    <w:rsid w:val="00CC5295"/>
    <w:rsid w:val="00CD14C5"/>
    <w:rsid w:val="00CD298A"/>
    <w:rsid w:val="00CD2F9D"/>
    <w:rsid w:val="00CD2FC9"/>
    <w:rsid w:val="00CD429D"/>
    <w:rsid w:val="00CD5B5D"/>
    <w:rsid w:val="00CD5DB3"/>
    <w:rsid w:val="00CD71B2"/>
    <w:rsid w:val="00CD7A73"/>
    <w:rsid w:val="00CE2047"/>
    <w:rsid w:val="00CE374A"/>
    <w:rsid w:val="00CE37F3"/>
    <w:rsid w:val="00CE3C08"/>
    <w:rsid w:val="00CE4E89"/>
    <w:rsid w:val="00CE514E"/>
    <w:rsid w:val="00CE7992"/>
    <w:rsid w:val="00CF096C"/>
    <w:rsid w:val="00CF1307"/>
    <w:rsid w:val="00CF1C7D"/>
    <w:rsid w:val="00CF4AEC"/>
    <w:rsid w:val="00CF51C0"/>
    <w:rsid w:val="00CF7AB8"/>
    <w:rsid w:val="00D0227A"/>
    <w:rsid w:val="00D0355C"/>
    <w:rsid w:val="00D0698D"/>
    <w:rsid w:val="00D10466"/>
    <w:rsid w:val="00D1393A"/>
    <w:rsid w:val="00D1422D"/>
    <w:rsid w:val="00D17798"/>
    <w:rsid w:val="00D17E11"/>
    <w:rsid w:val="00D237B1"/>
    <w:rsid w:val="00D33AD4"/>
    <w:rsid w:val="00D341EF"/>
    <w:rsid w:val="00D342FA"/>
    <w:rsid w:val="00D34993"/>
    <w:rsid w:val="00D34A97"/>
    <w:rsid w:val="00D35267"/>
    <w:rsid w:val="00D356DD"/>
    <w:rsid w:val="00D35A1D"/>
    <w:rsid w:val="00D4109E"/>
    <w:rsid w:val="00D411F3"/>
    <w:rsid w:val="00D41DAA"/>
    <w:rsid w:val="00D420A6"/>
    <w:rsid w:val="00D4220D"/>
    <w:rsid w:val="00D42B47"/>
    <w:rsid w:val="00D43477"/>
    <w:rsid w:val="00D4360A"/>
    <w:rsid w:val="00D46E2B"/>
    <w:rsid w:val="00D50F6A"/>
    <w:rsid w:val="00D51B56"/>
    <w:rsid w:val="00D52DF1"/>
    <w:rsid w:val="00D52F89"/>
    <w:rsid w:val="00D546CF"/>
    <w:rsid w:val="00D55586"/>
    <w:rsid w:val="00D56A35"/>
    <w:rsid w:val="00D63584"/>
    <w:rsid w:val="00D63C99"/>
    <w:rsid w:val="00D67718"/>
    <w:rsid w:val="00D67808"/>
    <w:rsid w:val="00D67938"/>
    <w:rsid w:val="00D71FBE"/>
    <w:rsid w:val="00D74921"/>
    <w:rsid w:val="00D74EAE"/>
    <w:rsid w:val="00D778E5"/>
    <w:rsid w:val="00D8492F"/>
    <w:rsid w:val="00D854DA"/>
    <w:rsid w:val="00D86FCC"/>
    <w:rsid w:val="00D87603"/>
    <w:rsid w:val="00D95175"/>
    <w:rsid w:val="00D971C0"/>
    <w:rsid w:val="00D97E29"/>
    <w:rsid w:val="00D97EF0"/>
    <w:rsid w:val="00DA05AE"/>
    <w:rsid w:val="00DA2187"/>
    <w:rsid w:val="00DA2AE8"/>
    <w:rsid w:val="00DA3392"/>
    <w:rsid w:val="00DA486B"/>
    <w:rsid w:val="00DA70D5"/>
    <w:rsid w:val="00DA73E2"/>
    <w:rsid w:val="00DB2F92"/>
    <w:rsid w:val="00DB4D91"/>
    <w:rsid w:val="00DB55E7"/>
    <w:rsid w:val="00DC23D8"/>
    <w:rsid w:val="00DC326F"/>
    <w:rsid w:val="00DC492A"/>
    <w:rsid w:val="00DC5839"/>
    <w:rsid w:val="00DD0B21"/>
    <w:rsid w:val="00DD0EA9"/>
    <w:rsid w:val="00DD1136"/>
    <w:rsid w:val="00DD12A0"/>
    <w:rsid w:val="00DD564E"/>
    <w:rsid w:val="00DD5BE2"/>
    <w:rsid w:val="00DD6939"/>
    <w:rsid w:val="00DE07DE"/>
    <w:rsid w:val="00DE0ECF"/>
    <w:rsid w:val="00DE3FE9"/>
    <w:rsid w:val="00DE5BC7"/>
    <w:rsid w:val="00DE7348"/>
    <w:rsid w:val="00DF3DDB"/>
    <w:rsid w:val="00DF4495"/>
    <w:rsid w:val="00DF4AD7"/>
    <w:rsid w:val="00DF6D0A"/>
    <w:rsid w:val="00E00121"/>
    <w:rsid w:val="00E01647"/>
    <w:rsid w:val="00E0186E"/>
    <w:rsid w:val="00E0465A"/>
    <w:rsid w:val="00E11599"/>
    <w:rsid w:val="00E14139"/>
    <w:rsid w:val="00E161DA"/>
    <w:rsid w:val="00E22A4A"/>
    <w:rsid w:val="00E2403A"/>
    <w:rsid w:val="00E2644C"/>
    <w:rsid w:val="00E26C95"/>
    <w:rsid w:val="00E274F5"/>
    <w:rsid w:val="00E31281"/>
    <w:rsid w:val="00E31F89"/>
    <w:rsid w:val="00E32981"/>
    <w:rsid w:val="00E32FF2"/>
    <w:rsid w:val="00E33427"/>
    <w:rsid w:val="00E335A6"/>
    <w:rsid w:val="00E34E5F"/>
    <w:rsid w:val="00E36549"/>
    <w:rsid w:val="00E369BA"/>
    <w:rsid w:val="00E40CF3"/>
    <w:rsid w:val="00E41493"/>
    <w:rsid w:val="00E424C4"/>
    <w:rsid w:val="00E50116"/>
    <w:rsid w:val="00E54360"/>
    <w:rsid w:val="00E56CF3"/>
    <w:rsid w:val="00E609CC"/>
    <w:rsid w:val="00E62A7E"/>
    <w:rsid w:val="00E63B30"/>
    <w:rsid w:val="00E662EC"/>
    <w:rsid w:val="00E71172"/>
    <w:rsid w:val="00E728F4"/>
    <w:rsid w:val="00E72BA8"/>
    <w:rsid w:val="00E75789"/>
    <w:rsid w:val="00E76156"/>
    <w:rsid w:val="00E775F9"/>
    <w:rsid w:val="00E779B0"/>
    <w:rsid w:val="00E833AA"/>
    <w:rsid w:val="00E83798"/>
    <w:rsid w:val="00E9291F"/>
    <w:rsid w:val="00E93195"/>
    <w:rsid w:val="00E94D11"/>
    <w:rsid w:val="00E9506B"/>
    <w:rsid w:val="00E9527B"/>
    <w:rsid w:val="00E95B95"/>
    <w:rsid w:val="00E96350"/>
    <w:rsid w:val="00E97182"/>
    <w:rsid w:val="00EA1514"/>
    <w:rsid w:val="00EA17B8"/>
    <w:rsid w:val="00EA350B"/>
    <w:rsid w:val="00EA58A8"/>
    <w:rsid w:val="00EA79F9"/>
    <w:rsid w:val="00EB3C6B"/>
    <w:rsid w:val="00EB3FDB"/>
    <w:rsid w:val="00EC0FE5"/>
    <w:rsid w:val="00EC4345"/>
    <w:rsid w:val="00ED0F10"/>
    <w:rsid w:val="00ED1BE9"/>
    <w:rsid w:val="00ED2A4C"/>
    <w:rsid w:val="00ED2D72"/>
    <w:rsid w:val="00ED6174"/>
    <w:rsid w:val="00EE0C96"/>
    <w:rsid w:val="00EE29EF"/>
    <w:rsid w:val="00EE2CCC"/>
    <w:rsid w:val="00EE7F8C"/>
    <w:rsid w:val="00EF18FE"/>
    <w:rsid w:val="00EF3C9C"/>
    <w:rsid w:val="00EF6FB6"/>
    <w:rsid w:val="00EF7692"/>
    <w:rsid w:val="00F02506"/>
    <w:rsid w:val="00F03B2B"/>
    <w:rsid w:val="00F06C2A"/>
    <w:rsid w:val="00F07BE8"/>
    <w:rsid w:val="00F106F8"/>
    <w:rsid w:val="00F113AE"/>
    <w:rsid w:val="00F11D78"/>
    <w:rsid w:val="00F13348"/>
    <w:rsid w:val="00F133FA"/>
    <w:rsid w:val="00F13630"/>
    <w:rsid w:val="00F13B17"/>
    <w:rsid w:val="00F15D1A"/>
    <w:rsid w:val="00F16082"/>
    <w:rsid w:val="00F17B22"/>
    <w:rsid w:val="00F27392"/>
    <w:rsid w:val="00F312DF"/>
    <w:rsid w:val="00F33C56"/>
    <w:rsid w:val="00F3451E"/>
    <w:rsid w:val="00F3544F"/>
    <w:rsid w:val="00F4248F"/>
    <w:rsid w:val="00F43212"/>
    <w:rsid w:val="00F44081"/>
    <w:rsid w:val="00F4571B"/>
    <w:rsid w:val="00F46543"/>
    <w:rsid w:val="00F47FB9"/>
    <w:rsid w:val="00F56A20"/>
    <w:rsid w:val="00F56E6C"/>
    <w:rsid w:val="00F56FB8"/>
    <w:rsid w:val="00F603CD"/>
    <w:rsid w:val="00F61A12"/>
    <w:rsid w:val="00F63F3B"/>
    <w:rsid w:val="00F6480C"/>
    <w:rsid w:val="00F7065D"/>
    <w:rsid w:val="00F70C22"/>
    <w:rsid w:val="00F7249A"/>
    <w:rsid w:val="00F7253F"/>
    <w:rsid w:val="00F7268A"/>
    <w:rsid w:val="00F72B0B"/>
    <w:rsid w:val="00F72EE9"/>
    <w:rsid w:val="00F732ED"/>
    <w:rsid w:val="00F761C0"/>
    <w:rsid w:val="00F767A9"/>
    <w:rsid w:val="00F768C3"/>
    <w:rsid w:val="00F80BA7"/>
    <w:rsid w:val="00F80FF6"/>
    <w:rsid w:val="00F8215F"/>
    <w:rsid w:val="00F90ABF"/>
    <w:rsid w:val="00F93BD1"/>
    <w:rsid w:val="00F94B42"/>
    <w:rsid w:val="00F950B9"/>
    <w:rsid w:val="00F96791"/>
    <w:rsid w:val="00F97346"/>
    <w:rsid w:val="00FA55B2"/>
    <w:rsid w:val="00FA72D2"/>
    <w:rsid w:val="00FA7527"/>
    <w:rsid w:val="00FB1B75"/>
    <w:rsid w:val="00FB2686"/>
    <w:rsid w:val="00FB2974"/>
    <w:rsid w:val="00FB32CF"/>
    <w:rsid w:val="00FB3586"/>
    <w:rsid w:val="00FB473D"/>
    <w:rsid w:val="00FB4933"/>
    <w:rsid w:val="00FB5ED3"/>
    <w:rsid w:val="00FB7272"/>
    <w:rsid w:val="00FB750A"/>
    <w:rsid w:val="00FB786C"/>
    <w:rsid w:val="00FB7E9A"/>
    <w:rsid w:val="00FC319C"/>
    <w:rsid w:val="00FC5213"/>
    <w:rsid w:val="00FD02E2"/>
    <w:rsid w:val="00FD2C56"/>
    <w:rsid w:val="00FD305C"/>
    <w:rsid w:val="00FD3EFE"/>
    <w:rsid w:val="00FD4403"/>
    <w:rsid w:val="00FD56B0"/>
    <w:rsid w:val="00FD58BC"/>
    <w:rsid w:val="00FD70C2"/>
    <w:rsid w:val="00FD7123"/>
    <w:rsid w:val="00FE1EC9"/>
    <w:rsid w:val="00FE3D1D"/>
    <w:rsid w:val="00FE4A78"/>
    <w:rsid w:val="00FF1388"/>
    <w:rsid w:val="00FF2518"/>
    <w:rsid w:val="00FF6AD7"/>
    <w:rsid w:val="00FF7525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1951]" stroke="f" strokecolor="none [660]">
      <v:fill color="none [1951]"/>
      <v:stroke color="none [660]"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7C700707"/>
  <w15:chartTrackingRefBased/>
  <w15:docId w15:val="{4AABDA42-9810-4666-86B8-811611D0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42E3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1720D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942E3"/>
    <w:pPr>
      <w:keepNext/>
      <w:outlineLvl w:val="1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1942E3"/>
    <w:pPr>
      <w:spacing w:line="360" w:lineRule="auto"/>
    </w:pPr>
    <w:rPr>
      <w:rFonts w:cs="Times New Roman"/>
      <w:sz w:val="26"/>
      <w:szCs w:val="20"/>
    </w:rPr>
  </w:style>
  <w:style w:type="paragraph" w:styleId="Stopka">
    <w:name w:val="footer"/>
    <w:basedOn w:val="Normalny"/>
    <w:rsid w:val="001942E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942E3"/>
  </w:style>
  <w:style w:type="paragraph" w:styleId="Tekstprzypisudolnego">
    <w:name w:val="footnote text"/>
    <w:basedOn w:val="Normalny"/>
    <w:rsid w:val="001417A5"/>
    <w:rPr>
      <w:sz w:val="20"/>
      <w:szCs w:val="20"/>
    </w:rPr>
  </w:style>
  <w:style w:type="character" w:styleId="Odwoanieprzypisudolnego">
    <w:name w:val="footnote reference"/>
    <w:rsid w:val="001417A5"/>
    <w:rPr>
      <w:vertAlign w:val="superscript"/>
    </w:rPr>
  </w:style>
  <w:style w:type="paragraph" w:styleId="Tekstpodstawowy">
    <w:name w:val="Body Text"/>
    <w:basedOn w:val="Normalny"/>
    <w:link w:val="TekstpodstawowyZnak"/>
    <w:rsid w:val="00973282"/>
    <w:pPr>
      <w:spacing w:after="120"/>
    </w:pPr>
  </w:style>
  <w:style w:type="paragraph" w:styleId="Nagwek">
    <w:name w:val="header"/>
    <w:basedOn w:val="Normalny"/>
    <w:rsid w:val="00BB59A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A77BD"/>
    <w:rPr>
      <w:rFonts w:ascii="Tahoma" w:hAnsi="Tahoma"/>
      <w:sz w:val="16"/>
      <w:szCs w:val="16"/>
    </w:rPr>
  </w:style>
  <w:style w:type="character" w:customStyle="1" w:styleId="TekstpodstawowyZnak">
    <w:name w:val="Tekst podstawowy Znak"/>
    <w:link w:val="Tekstpodstawowy"/>
    <w:rsid w:val="007E2C6A"/>
    <w:rPr>
      <w:rFonts w:ascii="Arial" w:hAnsi="Arial" w:cs="Arial"/>
      <w:sz w:val="24"/>
      <w:szCs w:val="24"/>
    </w:rPr>
  </w:style>
  <w:style w:type="character" w:styleId="Hipercze">
    <w:name w:val="Hyperlink"/>
    <w:uiPriority w:val="99"/>
    <w:unhideWhenUsed/>
    <w:rsid w:val="00C96D93"/>
    <w:rPr>
      <w:color w:val="0000FF"/>
      <w:u w:val="single"/>
    </w:rPr>
  </w:style>
  <w:style w:type="character" w:customStyle="1" w:styleId="Nagwek1Znak">
    <w:name w:val="Nagłówek 1 Znak"/>
    <w:link w:val="Nagwek1"/>
    <w:rsid w:val="00C1720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822C5B"/>
    <w:rPr>
      <w:color w:val="808080"/>
    </w:rPr>
  </w:style>
  <w:style w:type="character" w:styleId="Odwoaniedokomentarza">
    <w:name w:val="annotation reference"/>
    <w:basedOn w:val="Domylnaczcionkaakapitu"/>
    <w:rsid w:val="00BF09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F09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F09C1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BF09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F09C1"/>
    <w:rPr>
      <w:rFonts w:ascii="Arial" w:hAnsi="Arial" w:cs="Arial"/>
      <w:b/>
      <w:bCs/>
    </w:rPr>
  </w:style>
  <w:style w:type="table" w:styleId="Tabela-Siatka">
    <w:name w:val="Table Grid"/>
    <w:basedOn w:val="Standardowy"/>
    <w:rsid w:val="00051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2Znak">
    <w:name w:val="Tekst podstawowy 2 Znak"/>
    <w:link w:val="Tekstpodstawowy2"/>
    <w:rsid w:val="000C6440"/>
    <w:rPr>
      <w:rFonts w:ascii="Arial" w:hAnsi="Arial"/>
      <w:sz w:val="26"/>
    </w:rPr>
  </w:style>
  <w:style w:type="character" w:customStyle="1" w:styleId="footnote">
    <w:name w:val="footnote"/>
    <w:basedOn w:val="Domylnaczcionkaakapitu"/>
    <w:rsid w:val="00D97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4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25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galis.pl/document-view.seam?documentId=mfrxilrtg4ytoobqgu4tc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44ACAFA4A439468540A8F58C3226AD" ma:contentTypeVersion="" ma:contentTypeDescription="Utwórz nowy dokument." ma:contentTypeScope="" ma:versionID="f3703d95cdc9fe3b5064bbd3a9d743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14E80-F8E0-4B33-8AD4-DC03690745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07DD2A-FF09-45C9-A9EF-DD3F37FB0D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B21C2-1CAE-446D-8E22-231200B1D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B03352-FF9B-4565-94E6-405757F86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14</Pages>
  <Words>2846</Words>
  <Characters>17078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MF</Company>
  <LinksUpToDate>false</LinksUpToDate>
  <CharactersWithSpaces>19885</CharactersWithSpaces>
  <SharedDoc>false</SharedDoc>
  <HLinks>
    <vt:vector size="6" baseType="variant">
      <vt:variant>
        <vt:i4>2818111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https://sip.legalis.pl/document-view.seam?documentId=mfrxilrtg4ytoobqgu4tc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MIN-KRL</dc:creator>
  <cp:keywords/>
  <cp:lastModifiedBy>Głębski Adam</cp:lastModifiedBy>
  <cp:revision>11</cp:revision>
  <cp:lastPrinted>2015-11-04T10:09:00Z</cp:lastPrinted>
  <dcterms:created xsi:type="dcterms:W3CDTF">2022-12-19T08:34:00Z</dcterms:created>
  <dcterms:modified xsi:type="dcterms:W3CDTF">2022-12-19T16:21:00Z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0x010100F444ACAFA4A439468540A8F58C3226AD</vt:lpwstr>
  </property>
  <property fmtid="{D5CDD505-2E9C-101B-9397-08002B2CF9AE}" pid="3" name="MFCATEGORY">
    <vt:lpwstr>InformacjePrzeznaczoneWylacznieDoUzytkuWewnetrznego</vt:lpwstr>
  </property>
  <property fmtid="{D5CDD505-2E9C-101B-9397-08002B2CF9AE}" pid="4" name="MFClassifiedBy">
    <vt:lpwstr>MF\FVZL;Fitas Katarzyna</vt:lpwstr>
  </property>
  <property fmtid="{D5CDD505-2E9C-101B-9397-08002B2CF9AE}" pid="5" name="MFClassificationDate">
    <vt:lpwstr>2022-12-01T11:46:30.5134917+01:00</vt:lpwstr>
  </property>
  <property fmtid="{D5CDD505-2E9C-101B-9397-08002B2CF9AE}" pid="6" name="MFClassifiedBySID">
    <vt:lpwstr>MF\S-1-5-21-1525952054-1005573771-2909822258-179564</vt:lpwstr>
  </property>
  <property fmtid="{D5CDD505-2E9C-101B-9397-08002B2CF9AE}" pid="7" name="MFGRNItemId">
    <vt:lpwstr>GRN-68252f66-bc94-4947-aaee-6237b538c1a2</vt:lpwstr>
  </property>
  <property fmtid="{D5CDD505-2E9C-101B-9397-08002B2CF9AE}" pid="8" name="MFHash">
    <vt:lpwstr>RwIEsAehvmivDlN7a0jZI3qfGCc6GTWXB5SBoMztHCA=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