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09" w:rsidRPr="00175043" w:rsidRDefault="008D117D" w:rsidP="008D117D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175043">
        <w:rPr>
          <w:rFonts w:cstheme="minorHAnsi"/>
          <w:b/>
          <w:sz w:val="20"/>
          <w:szCs w:val="20"/>
        </w:rPr>
        <w:t xml:space="preserve">Zestawienie uwag do rozporządzenia </w:t>
      </w:r>
      <w:r w:rsidR="00EE5B58">
        <w:rPr>
          <w:rFonts w:cstheme="minorHAnsi"/>
          <w:b/>
          <w:sz w:val="20"/>
          <w:szCs w:val="20"/>
        </w:rPr>
        <w:t xml:space="preserve">Ministra Spraw wewnętrznych i Administracji </w:t>
      </w:r>
      <w:r w:rsidRPr="00175043">
        <w:rPr>
          <w:rFonts w:cstheme="minorHAnsi"/>
          <w:b/>
          <w:sz w:val="20"/>
          <w:szCs w:val="20"/>
        </w:rPr>
        <w:t>w sprawie minimalnych zabezpieczeń dokumentów publicznych przed fałszerstwem.</w:t>
      </w:r>
    </w:p>
    <w:p w:rsidR="008D117D" w:rsidRPr="00175043" w:rsidRDefault="008D117D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6095"/>
        <w:gridCol w:w="4360"/>
      </w:tblGrid>
      <w:tr w:rsidR="008D117D" w:rsidRPr="00175043" w:rsidTr="00E06E7B">
        <w:tc>
          <w:tcPr>
            <w:tcW w:w="562" w:type="dxa"/>
          </w:tcPr>
          <w:p w:rsidR="008D117D" w:rsidRPr="00175043" w:rsidRDefault="008D117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:rsidR="008D117D" w:rsidRPr="00175043" w:rsidRDefault="008D117D" w:rsidP="008D117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Zgłaszający uwagę</w:t>
            </w:r>
          </w:p>
        </w:tc>
        <w:tc>
          <w:tcPr>
            <w:tcW w:w="1134" w:type="dxa"/>
          </w:tcPr>
          <w:p w:rsidR="008D117D" w:rsidRPr="00175043" w:rsidRDefault="008D117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Jednostka redakcyjna</w:t>
            </w:r>
          </w:p>
        </w:tc>
        <w:tc>
          <w:tcPr>
            <w:tcW w:w="6095" w:type="dxa"/>
          </w:tcPr>
          <w:p w:rsidR="008D117D" w:rsidRPr="00175043" w:rsidRDefault="008D117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Treść uwagi</w:t>
            </w:r>
          </w:p>
        </w:tc>
        <w:tc>
          <w:tcPr>
            <w:tcW w:w="4360" w:type="dxa"/>
          </w:tcPr>
          <w:p w:rsidR="008D117D" w:rsidRPr="00175043" w:rsidRDefault="008D117D">
            <w:pPr>
              <w:rPr>
                <w:rFonts w:cstheme="minorHAnsi"/>
                <w:b/>
                <w:sz w:val="20"/>
                <w:szCs w:val="20"/>
              </w:rPr>
            </w:pPr>
            <w:r w:rsidRPr="00175043">
              <w:rPr>
                <w:rFonts w:cstheme="minorHAnsi"/>
                <w:b/>
                <w:sz w:val="20"/>
                <w:szCs w:val="20"/>
              </w:rPr>
              <w:t>Stanowisko projektodawcy</w:t>
            </w:r>
          </w:p>
        </w:tc>
      </w:tr>
      <w:tr w:rsidR="008D117D" w:rsidRPr="00175043" w:rsidTr="00E06E7B">
        <w:tc>
          <w:tcPr>
            <w:tcW w:w="562" w:type="dxa"/>
          </w:tcPr>
          <w:p w:rsidR="008D117D" w:rsidRPr="00175043" w:rsidRDefault="00D969A5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D117D" w:rsidRPr="00175043" w:rsidRDefault="00E06E7B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RCL</w:t>
            </w:r>
          </w:p>
        </w:tc>
        <w:tc>
          <w:tcPr>
            <w:tcW w:w="1134" w:type="dxa"/>
          </w:tcPr>
          <w:p w:rsidR="008D117D" w:rsidRPr="00175043" w:rsidRDefault="00E06E7B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 i 4</w:t>
            </w:r>
          </w:p>
        </w:tc>
        <w:tc>
          <w:tcPr>
            <w:tcW w:w="6095" w:type="dxa"/>
          </w:tcPr>
          <w:p w:rsidR="008D117D" w:rsidRPr="00175043" w:rsidRDefault="00E06E7B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Rozporządzenie powinno określać jedynie wykaz minimalnych zabezpieczeń dokumentów publicznych przed fałszerstwem. Zatem zapisy § 2 i 4 wykraczają poza treść upoważnienia ustawowego (art. 7 ust 5) jako, że odnoszą się one do wytycznych co do treści aktu a nie do jego zakresu. </w:t>
            </w:r>
          </w:p>
        </w:tc>
        <w:tc>
          <w:tcPr>
            <w:tcW w:w="4360" w:type="dxa"/>
          </w:tcPr>
          <w:p w:rsidR="005E438C" w:rsidRPr="00175043" w:rsidRDefault="00E06E7B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Uwaga uwzględniona. </w:t>
            </w:r>
          </w:p>
          <w:p w:rsidR="008D117D" w:rsidRPr="00175043" w:rsidRDefault="00E06E7B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Zapisy § 2 i 4 zostaną usunięte z treści rozporządzenia. </w:t>
            </w:r>
          </w:p>
        </w:tc>
      </w:tr>
      <w:tr w:rsidR="008D117D" w:rsidRPr="00175043" w:rsidTr="00E06E7B">
        <w:tc>
          <w:tcPr>
            <w:tcW w:w="562" w:type="dxa"/>
          </w:tcPr>
          <w:p w:rsidR="008D117D" w:rsidRPr="00175043" w:rsidRDefault="00D969A5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D117D" w:rsidRPr="00175043" w:rsidRDefault="0051668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8D117D" w:rsidRPr="00175043" w:rsidRDefault="0051668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§ 2</w:t>
            </w:r>
          </w:p>
        </w:tc>
        <w:tc>
          <w:tcPr>
            <w:tcW w:w="6095" w:type="dxa"/>
          </w:tcPr>
          <w:p w:rsidR="008D117D" w:rsidRPr="00175043" w:rsidRDefault="0051668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 § 2 pkt 1 rozporządzenia dodać odniesienie do art. 5 ust. 2 pkt 15 ustawy z dnia 22 listopada 2018 r. o dokumentach publicznych, który zaliczy dokument certyfikatu członka załogi statku powietrznego (CMC) do grupy pierwszej zabezpieczeń dla dokumentów publicznych kategorii pierwszej;</w:t>
            </w:r>
          </w:p>
        </w:tc>
        <w:tc>
          <w:tcPr>
            <w:tcW w:w="4360" w:type="dxa"/>
          </w:tcPr>
          <w:p w:rsidR="007B0A6C" w:rsidRPr="00175043" w:rsidRDefault="007B0A6C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Wyjaśnienie.</w:t>
            </w:r>
          </w:p>
          <w:p w:rsidR="008D117D" w:rsidRPr="00175043" w:rsidRDefault="0051668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Na skutek uwagi RCL § 2 zostanie usunięty. Kwalifikacja dokumentów będzie dokonywana na drodze interpretacji przepisów. </w:t>
            </w:r>
          </w:p>
        </w:tc>
      </w:tr>
      <w:tr w:rsidR="008D117D" w:rsidRPr="00175043" w:rsidTr="00E06E7B">
        <w:tc>
          <w:tcPr>
            <w:tcW w:w="562" w:type="dxa"/>
          </w:tcPr>
          <w:p w:rsidR="008D117D" w:rsidRPr="00175043" w:rsidRDefault="00D969A5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D117D" w:rsidRPr="00175043" w:rsidRDefault="00B6573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M. Infrastruktury</w:t>
            </w:r>
          </w:p>
        </w:tc>
        <w:tc>
          <w:tcPr>
            <w:tcW w:w="1134" w:type="dxa"/>
          </w:tcPr>
          <w:p w:rsidR="008D117D" w:rsidRPr="00175043" w:rsidRDefault="00B6573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Zał.</w:t>
            </w:r>
          </w:p>
        </w:tc>
        <w:tc>
          <w:tcPr>
            <w:tcW w:w="6095" w:type="dxa"/>
          </w:tcPr>
          <w:p w:rsidR="008D117D" w:rsidRPr="00175043" w:rsidRDefault="00B65731" w:rsidP="00B6573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 załączniku do rozporządzenia w tabeli III „Minimalne zabezpieczenia dla dokumentów publicznych kategorii trzeciej”, w części III.1. „Dokumenty papierowe” w pozycjach „Zabezpieczenia w druku” – „strona z danymi personalnymi” oraz „pozostałe strony” dodać możliwość wyboru jednego lub dwóch rodzajów zabezpieczeń spośród wskazanych w tej części tabeli pod warunkiem np. posiadania więcej niż jednego zabezpieczenia w papierze weryfikowanego na I lub II poziomie.</w:t>
            </w:r>
          </w:p>
        </w:tc>
        <w:tc>
          <w:tcPr>
            <w:tcW w:w="4360" w:type="dxa"/>
          </w:tcPr>
          <w:p w:rsidR="008D117D" w:rsidRPr="00175043" w:rsidRDefault="00B6573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B65731" w:rsidRPr="00175043" w:rsidRDefault="00B65731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Rozporządzenie określa minimalne zabezpieczenia dla wszystkich kategorii dokumentów z uwzględnieniem podłoża, zabezpieczeń w druku, oznaczeń indywidualnych oraz metod personalizacji. Uwzględnienie uwagi oznaczałoby obniżenie standardów bezpieczeństwa dokumentów. Takie działanie trudno zaakceptować.</w:t>
            </w:r>
          </w:p>
        </w:tc>
      </w:tr>
      <w:tr w:rsidR="00E20E28" w:rsidRPr="00175043" w:rsidTr="00E06E7B">
        <w:tc>
          <w:tcPr>
            <w:tcW w:w="562" w:type="dxa"/>
          </w:tcPr>
          <w:p w:rsidR="00E20E28" w:rsidRPr="00175043" w:rsidRDefault="00D969A5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20E28" w:rsidRPr="00175043" w:rsidRDefault="00E20E2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PWPW</w:t>
            </w:r>
          </w:p>
        </w:tc>
        <w:tc>
          <w:tcPr>
            <w:tcW w:w="1134" w:type="dxa"/>
          </w:tcPr>
          <w:p w:rsidR="00E20E28" w:rsidRPr="00175043" w:rsidRDefault="00E20E2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zał.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12,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tab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II.3 poz. 3</w:t>
            </w:r>
          </w:p>
        </w:tc>
        <w:tc>
          <w:tcPr>
            <w:tcW w:w="6095" w:type="dxa"/>
          </w:tcPr>
          <w:p w:rsidR="00E20E28" w:rsidRPr="00175043" w:rsidRDefault="00E20E28" w:rsidP="00E20E2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Użyto pojęcia „znak wodny dwutonowy (nie dotyczy dokumentów których gramatura papieru nie uzasadnia zamieszczenia znaku wodnego)” Z uwagi na brak jednolitego oraz ugruntowanego zakresu pojęciowego sformułowania „znak wodny dwutonowy” proponujemy w rozporządzeniu zawrzeć odpowiednie wyjaśnienie doprecyzowujące. </w:t>
            </w:r>
          </w:p>
        </w:tc>
        <w:tc>
          <w:tcPr>
            <w:tcW w:w="4360" w:type="dxa"/>
          </w:tcPr>
          <w:p w:rsidR="00AD0A8A" w:rsidRPr="00175043" w:rsidRDefault="00E20E2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E20E28" w:rsidRPr="00175043" w:rsidRDefault="00AD0A8A" w:rsidP="00AD0A8A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W</w:t>
            </w:r>
            <w:r w:rsidR="00E20E28" w:rsidRPr="00175043">
              <w:rPr>
                <w:rFonts w:cstheme="minorHAnsi"/>
                <w:sz w:val="20"/>
                <w:szCs w:val="20"/>
              </w:rPr>
              <w:t xml:space="preserve"> ocenie projektodawcy nie ma uzasadnienia dla zamieszczania def</w:t>
            </w:r>
            <w:r w:rsidR="00C773A8" w:rsidRPr="00175043">
              <w:rPr>
                <w:rFonts w:cstheme="minorHAnsi"/>
                <w:sz w:val="20"/>
                <w:szCs w:val="20"/>
              </w:rPr>
              <w:t>inicji kwestionowanego pojęcia, które co do zasady nie budzi wątpliwości. Należy zauważyć, że rozporządzenie jest adresowane przede wszystkim do emitentów dokumentów, którzy posiadają wiedze w przedmiotowym obszarze, dlatego rodzaje znaków wodnych nie powinny budzić wątpliwości.</w:t>
            </w:r>
          </w:p>
          <w:p w:rsidR="00AD0A8A" w:rsidRPr="00175043" w:rsidRDefault="00AD0A8A" w:rsidP="00AD0A8A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Niezależnie od powyższego należy zauważyć, że kwestionowany termin pierwszy raz pojawia się na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 załącznika i od tego czasu powtarza się </w:t>
            </w:r>
            <w:r w:rsidRPr="00175043">
              <w:rPr>
                <w:rFonts w:cstheme="minorHAnsi"/>
                <w:sz w:val="20"/>
                <w:szCs w:val="20"/>
              </w:rPr>
              <w:lastRenderedPageBreak/>
              <w:t xml:space="preserve">wielokrotnie, dlatego pewne wątpliwości budzi zwrócenie uwagi dopiero na zapis na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12.</w:t>
            </w:r>
          </w:p>
        </w:tc>
      </w:tr>
      <w:tr w:rsidR="00C773A8" w:rsidRPr="00175043" w:rsidTr="00E06E7B">
        <w:tc>
          <w:tcPr>
            <w:tcW w:w="562" w:type="dxa"/>
          </w:tcPr>
          <w:p w:rsidR="00C773A8" w:rsidRPr="00175043" w:rsidRDefault="00D969A5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C773A8" w:rsidRPr="00175043" w:rsidRDefault="00C773A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PWPW</w:t>
            </w:r>
          </w:p>
        </w:tc>
        <w:tc>
          <w:tcPr>
            <w:tcW w:w="1134" w:type="dxa"/>
          </w:tcPr>
          <w:p w:rsidR="00C773A8" w:rsidRPr="00175043" w:rsidRDefault="00C773A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zał.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14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tab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III.1 i </w:t>
            </w:r>
            <w:proofErr w:type="spellStart"/>
            <w:r w:rsidRPr="00175043">
              <w:rPr>
                <w:rFonts w:cstheme="minorHAnsi"/>
                <w:sz w:val="20"/>
                <w:szCs w:val="20"/>
              </w:rPr>
              <w:t>tab</w:t>
            </w:r>
            <w:proofErr w:type="spellEnd"/>
            <w:r w:rsidRPr="00175043">
              <w:rPr>
                <w:rFonts w:cstheme="minorHAnsi"/>
                <w:sz w:val="20"/>
                <w:szCs w:val="20"/>
              </w:rPr>
              <w:t xml:space="preserve"> III.2</w:t>
            </w:r>
          </w:p>
        </w:tc>
        <w:tc>
          <w:tcPr>
            <w:tcW w:w="6095" w:type="dxa"/>
          </w:tcPr>
          <w:p w:rsidR="00C773A8" w:rsidRPr="00175043" w:rsidRDefault="00C773A8" w:rsidP="00E20E28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Proponujemy podniesienie poziomu zabezpieczenia w podłożu papierowym do poziomu minimum właściwego dla dok. kategorii II. W naszej opinii papier bez znaku wodnego, bez wybielaczy optycznych, bez włókien i zabezpieczenia chemicznego, nie stanowi podłoża zabezpieczającego. Oznacza to, że przy dokonywaniu identyfikacji nie będzie możliwe określenie wykonawcy lub producenta papieru na podstawie takiego podłoża. Taki papier będzie ogólnodostępny i powszechny, w konsekwencji </w:t>
            </w:r>
            <w:r w:rsidR="00D3193D" w:rsidRPr="00175043">
              <w:rPr>
                <w:rFonts w:cstheme="minorHAnsi"/>
                <w:sz w:val="20"/>
                <w:szCs w:val="20"/>
              </w:rPr>
              <w:t xml:space="preserve">będzie stanowił łatwe narzędzie dla potencjalnych fałszerzy. Znak wodny jest zabezpieczeniem łatwo identyfikowalnym na poziomie pierwszym oraz bardzo trudnym do podrobienia. </w:t>
            </w:r>
          </w:p>
        </w:tc>
        <w:tc>
          <w:tcPr>
            <w:tcW w:w="4360" w:type="dxa"/>
          </w:tcPr>
          <w:p w:rsidR="00C773A8" w:rsidRPr="00175043" w:rsidRDefault="00D3193D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 xml:space="preserve">Uwaga nieuwzględniona. </w:t>
            </w:r>
          </w:p>
          <w:p w:rsidR="00D3193D" w:rsidRPr="00175043" w:rsidRDefault="00D3193D" w:rsidP="00B11CB0">
            <w:pPr>
              <w:rPr>
                <w:rFonts w:cstheme="minorHAnsi"/>
                <w:sz w:val="20"/>
                <w:szCs w:val="20"/>
              </w:rPr>
            </w:pPr>
            <w:r w:rsidRPr="00175043">
              <w:rPr>
                <w:rFonts w:cstheme="minorHAnsi"/>
                <w:sz w:val="20"/>
                <w:szCs w:val="20"/>
              </w:rPr>
              <w:t>Rozporządzenie określa minimalny wykaz zabezpieczeń co nie stoi na przeszkodzie zastosowania w określonym przypadku zabezpieczeń na wyższym poziomie. Decyzja w tym zakresie powinna pozostawać po stronie emitenta dokumentu. Omawiana kwestia dotyczy zabezpieczeń dokumentów papierowych z 3 kategorii, a zatem tych, których zabezpieczenia mogą być n</w:t>
            </w:r>
            <w:r w:rsidR="00984C20">
              <w:rPr>
                <w:rFonts w:cstheme="minorHAnsi"/>
                <w:sz w:val="20"/>
                <w:szCs w:val="20"/>
              </w:rPr>
              <w:t>a</w:t>
            </w:r>
            <w:r w:rsidRPr="00175043">
              <w:rPr>
                <w:rFonts w:cstheme="minorHAnsi"/>
                <w:sz w:val="20"/>
                <w:szCs w:val="20"/>
              </w:rPr>
              <w:t xml:space="preserve"> najniższym poziomie. Nie ma zatem podstaw do </w:t>
            </w:r>
            <w:r w:rsidR="00B11CB0" w:rsidRPr="00175043">
              <w:rPr>
                <w:rFonts w:cstheme="minorHAnsi"/>
                <w:sz w:val="20"/>
                <w:szCs w:val="20"/>
              </w:rPr>
              <w:t>określania wymogów na wyższym poziomie, co jednocześnie może mieć wpływ na koszty wytworzenia dokumentów. Należy przy tym zauważyć, że dokumenty kategorii 3 mają przewidziane wymagania dla papieru. Są określone również innego rodzaju zabezpieczenia (</w:t>
            </w:r>
            <w:proofErr w:type="spellStart"/>
            <w:r w:rsidR="00B11CB0" w:rsidRPr="00175043">
              <w:rPr>
                <w:rFonts w:cstheme="minorHAnsi"/>
                <w:sz w:val="20"/>
                <w:szCs w:val="20"/>
              </w:rPr>
              <w:t>np</w:t>
            </w:r>
            <w:proofErr w:type="spellEnd"/>
            <w:r w:rsidR="00B11CB0" w:rsidRPr="00175043">
              <w:rPr>
                <w:rFonts w:cstheme="minorHAnsi"/>
                <w:sz w:val="20"/>
                <w:szCs w:val="20"/>
              </w:rPr>
              <w:t xml:space="preserve"> w druku), wszystkie elementy protekcyjne należy rozpatrywać łącznie. </w:t>
            </w:r>
          </w:p>
        </w:tc>
      </w:tr>
      <w:tr w:rsidR="001E05FC" w:rsidRPr="00175043" w:rsidTr="00E06E7B">
        <w:tc>
          <w:tcPr>
            <w:tcW w:w="562" w:type="dxa"/>
          </w:tcPr>
          <w:p w:rsidR="001E05FC" w:rsidRPr="00175043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E05FC" w:rsidRPr="00175043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Polskie Towarzystwo Kryminalistyczne</w:t>
            </w:r>
          </w:p>
        </w:tc>
        <w:tc>
          <w:tcPr>
            <w:tcW w:w="1134" w:type="dxa"/>
          </w:tcPr>
          <w:p w:rsidR="001E05FC" w:rsidRPr="00175043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§ 4</w:t>
            </w:r>
          </w:p>
        </w:tc>
        <w:tc>
          <w:tcPr>
            <w:tcW w:w="6095" w:type="dxa"/>
          </w:tcPr>
          <w:p w:rsidR="001E05FC" w:rsidRPr="00175043" w:rsidRDefault="001E05FC" w:rsidP="00E20E28">
            <w:pPr>
              <w:rPr>
                <w:rFonts w:cstheme="minorHAnsi"/>
                <w:sz w:val="20"/>
                <w:szCs w:val="20"/>
              </w:rPr>
            </w:pPr>
            <w:r w:rsidRPr="001E05FC">
              <w:rPr>
                <w:rFonts w:cstheme="minorHAnsi"/>
                <w:sz w:val="20"/>
                <w:szCs w:val="20"/>
              </w:rPr>
              <w:t>W § 4.1 warto byłoby podzielić dokumenty na papierowe i plastikowe, aby nie wyglądało to tak, że znak wodny trzeba weryfikować i w plastiku a MLI/CLI w papierze. Tym bardziej, że później już ten podział jest zastosowany.</w:t>
            </w:r>
          </w:p>
        </w:tc>
        <w:tc>
          <w:tcPr>
            <w:tcW w:w="4360" w:type="dxa"/>
          </w:tcPr>
          <w:p w:rsidR="001E05FC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1E05FC" w:rsidRPr="00175043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skutek uwagi zgłoszonej przez RCL przepis § 4 zostanie usunięty.</w:t>
            </w:r>
          </w:p>
        </w:tc>
      </w:tr>
      <w:tr w:rsidR="001E05FC" w:rsidRPr="00175043" w:rsidTr="00E06E7B">
        <w:tc>
          <w:tcPr>
            <w:tcW w:w="562" w:type="dxa"/>
          </w:tcPr>
          <w:p w:rsidR="001E05FC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E05FC" w:rsidRDefault="001E05FC">
            <w:pPr>
              <w:rPr>
                <w:rFonts w:cstheme="minorHAnsi"/>
                <w:sz w:val="20"/>
                <w:szCs w:val="20"/>
              </w:rPr>
            </w:pPr>
            <w:r w:rsidRPr="001E05FC">
              <w:rPr>
                <w:rFonts w:cstheme="minorHAnsi"/>
                <w:sz w:val="20"/>
                <w:szCs w:val="20"/>
              </w:rPr>
              <w:t>Polskie Towarzystwo Kryminalistyczne</w:t>
            </w:r>
          </w:p>
        </w:tc>
        <w:tc>
          <w:tcPr>
            <w:tcW w:w="1134" w:type="dxa"/>
          </w:tcPr>
          <w:p w:rsidR="001E05FC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Załącznik</w:t>
            </w:r>
          </w:p>
        </w:tc>
        <w:tc>
          <w:tcPr>
            <w:tcW w:w="6095" w:type="dxa"/>
          </w:tcPr>
          <w:p w:rsidR="001E05FC" w:rsidRPr="001E05FC" w:rsidRDefault="001E05FC" w:rsidP="00E20E28">
            <w:pPr>
              <w:rPr>
                <w:rFonts w:cstheme="minorHAnsi"/>
                <w:sz w:val="20"/>
                <w:szCs w:val="20"/>
              </w:rPr>
            </w:pPr>
            <w:r w:rsidRPr="001E05FC">
              <w:rPr>
                <w:rFonts w:cstheme="minorHAnsi"/>
                <w:sz w:val="20"/>
                <w:szCs w:val="20"/>
              </w:rPr>
              <w:t>Proponujemy w kategorii pierwszej dokumentów papierowych uwzględnić wymóg znaku wodnego wielotonowego?</w:t>
            </w:r>
          </w:p>
        </w:tc>
        <w:tc>
          <w:tcPr>
            <w:tcW w:w="4360" w:type="dxa"/>
          </w:tcPr>
          <w:p w:rsidR="001E05FC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1E05FC" w:rsidRDefault="001E0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Rozporządzenie określa minimalne zabezpieczenia dokumentów. Oznacza to, że emitent może podjąć decyzję o zastosowaniu zabezpieczeń na wyższym poziomie. </w:t>
            </w:r>
          </w:p>
        </w:tc>
      </w:tr>
      <w:tr w:rsidR="00C723EE" w:rsidRPr="00175043" w:rsidTr="00E06E7B">
        <w:tc>
          <w:tcPr>
            <w:tcW w:w="562" w:type="dxa"/>
          </w:tcPr>
          <w:p w:rsidR="00C723EE" w:rsidRDefault="00C72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723EE" w:rsidRPr="001E05FC" w:rsidRDefault="00C723EE">
            <w:pPr>
              <w:rPr>
                <w:rFonts w:cstheme="minorHAnsi"/>
                <w:sz w:val="20"/>
                <w:szCs w:val="20"/>
              </w:rPr>
            </w:pPr>
            <w:r w:rsidRPr="00C723EE">
              <w:rPr>
                <w:rFonts w:cstheme="minorHAnsi"/>
                <w:sz w:val="20"/>
                <w:szCs w:val="20"/>
              </w:rPr>
              <w:t>Polskie Towarzystwo Kryminalistyczne</w:t>
            </w:r>
          </w:p>
        </w:tc>
        <w:tc>
          <w:tcPr>
            <w:tcW w:w="1134" w:type="dxa"/>
          </w:tcPr>
          <w:p w:rsidR="00C723EE" w:rsidRDefault="00C72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ogólna</w:t>
            </w:r>
          </w:p>
        </w:tc>
        <w:tc>
          <w:tcPr>
            <w:tcW w:w="6095" w:type="dxa"/>
          </w:tcPr>
          <w:p w:rsidR="00C723EE" w:rsidRPr="001E05FC" w:rsidRDefault="00C723EE" w:rsidP="00E20E28">
            <w:pPr>
              <w:rPr>
                <w:rFonts w:cstheme="minorHAnsi"/>
                <w:sz w:val="20"/>
                <w:szCs w:val="20"/>
              </w:rPr>
            </w:pPr>
            <w:r w:rsidRPr="00C723EE">
              <w:rPr>
                <w:rFonts w:cstheme="minorHAnsi"/>
                <w:sz w:val="20"/>
                <w:szCs w:val="20"/>
              </w:rPr>
              <w:t>Określenie „nitka zabezpieczająca” jest chyba zbyt mało precyzyjne.</w:t>
            </w:r>
          </w:p>
        </w:tc>
        <w:tc>
          <w:tcPr>
            <w:tcW w:w="4360" w:type="dxa"/>
          </w:tcPr>
          <w:p w:rsidR="00C723EE" w:rsidRDefault="00C72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C723EE" w:rsidRDefault="00C72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Rozporządzenie nie zawiera żadnych definicji elementów zabezpieczających dokumenty. </w:t>
            </w:r>
            <w:r w:rsidRPr="00C723EE">
              <w:rPr>
                <w:rFonts w:cstheme="minorHAnsi"/>
                <w:sz w:val="20"/>
                <w:szCs w:val="20"/>
              </w:rPr>
              <w:t xml:space="preserve">Należy zauważyć, że rozporządzenie jest adresowane przede wszystkim do emitentów dokumentów, którzy posiadają wiedze w przedmiotowym </w:t>
            </w:r>
            <w:r>
              <w:rPr>
                <w:rFonts w:cstheme="minorHAnsi"/>
                <w:sz w:val="20"/>
                <w:szCs w:val="20"/>
              </w:rPr>
              <w:t xml:space="preserve">obszarze, W ocenie projektodawcy wskazany </w:t>
            </w:r>
            <w:r>
              <w:rPr>
                <w:rFonts w:cstheme="minorHAnsi"/>
                <w:sz w:val="20"/>
                <w:szCs w:val="20"/>
              </w:rPr>
              <w:lastRenderedPageBreak/>
              <w:t>termin nie budzi wątpliwości dlatego nie przewiduje się wprowadzania jego definicji.</w:t>
            </w:r>
          </w:p>
        </w:tc>
      </w:tr>
      <w:tr w:rsidR="00333D8A" w:rsidRPr="00175043" w:rsidTr="00E06E7B">
        <w:tc>
          <w:tcPr>
            <w:tcW w:w="562" w:type="dxa"/>
          </w:tcPr>
          <w:p w:rsidR="00333D8A" w:rsidRDefault="00333D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</w:tcPr>
          <w:p w:rsidR="00333D8A" w:rsidRPr="00C723EE" w:rsidRDefault="00333D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134" w:type="dxa"/>
          </w:tcPr>
          <w:p w:rsidR="00333D8A" w:rsidRDefault="00333D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§ 2</w:t>
            </w:r>
          </w:p>
        </w:tc>
        <w:tc>
          <w:tcPr>
            <w:tcW w:w="6095" w:type="dxa"/>
          </w:tcPr>
          <w:p w:rsidR="00333D8A" w:rsidRDefault="00333D8A" w:rsidP="00E20E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nadania następującego brzmienia § 2 pkt 2:</w:t>
            </w:r>
          </w:p>
          <w:p w:rsidR="00333D8A" w:rsidRPr="00C723EE" w:rsidRDefault="00333D8A" w:rsidP="00E20E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„grupa druga dla pozostałych dokumentów publicznych, o których mowa w art. 5 ust 2 ustawy z dnia 22 listopada 2018 r. o dokumentach publicznych, z wyłączeniem dokumentów określonych w art. 5 ust 2 pkt 10-14”</w:t>
            </w:r>
          </w:p>
        </w:tc>
        <w:tc>
          <w:tcPr>
            <w:tcW w:w="4360" w:type="dxa"/>
          </w:tcPr>
          <w:p w:rsidR="00333D8A" w:rsidRDefault="00333D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nieuwzględniona.</w:t>
            </w:r>
          </w:p>
          <w:p w:rsidR="00333D8A" w:rsidRDefault="00333D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skutek uwagi RCL § 2 zostanie usunięty</w:t>
            </w:r>
          </w:p>
        </w:tc>
      </w:tr>
    </w:tbl>
    <w:p w:rsidR="005B0240" w:rsidRPr="00175043" w:rsidRDefault="005B0240" w:rsidP="00EE5B58">
      <w:pPr>
        <w:rPr>
          <w:rFonts w:cstheme="minorHAnsi"/>
          <w:sz w:val="20"/>
          <w:szCs w:val="20"/>
        </w:rPr>
      </w:pPr>
    </w:p>
    <w:sectPr w:rsidR="005B0240" w:rsidRPr="00175043" w:rsidSect="008D117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5F" w:rsidRDefault="0070395F" w:rsidP="00AD0A8A">
      <w:pPr>
        <w:spacing w:after="0" w:line="240" w:lineRule="auto"/>
      </w:pPr>
      <w:r>
        <w:separator/>
      </w:r>
    </w:p>
  </w:endnote>
  <w:endnote w:type="continuationSeparator" w:id="0">
    <w:p w:rsidR="0070395F" w:rsidRDefault="0070395F" w:rsidP="00AD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049730"/>
      <w:docPartObj>
        <w:docPartGallery w:val="Page Numbers (Bottom of Page)"/>
        <w:docPartUnique/>
      </w:docPartObj>
    </w:sdtPr>
    <w:sdtEndPr/>
    <w:sdtContent>
      <w:p w:rsidR="00C42512" w:rsidRDefault="00C425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1FE">
          <w:rPr>
            <w:noProof/>
          </w:rPr>
          <w:t>3</w:t>
        </w:r>
        <w:r>
          <w:fldChar w:fldCharType="end"/>
        </w:r>
      </w:p>
    </w:sdtContent>
  </w:sdt>
  <w:p w:rsidR="00C42512" w:rsidRDefault="00C42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5F" w:rsidRDefault="0070395F" w:rsidP="00AD0A8A">
      <w:pPr>
        <w:spacing w:after="0" w:line="240" w:lineRule="auto"/>
      </w:pPr>
      <w:r>
        <w:separator/>
      </w:r>
    </w:p>
  </w:footnote>
  <w:footnote w:type="continuationSeparator" w:id="0">
    <w:p w:rsidR="0070395F" w:rsidRDefault="0070395F" w:rsidP="00AD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88B"/>
    <w:multiLevelType w:val="hybridMultilevel"/>
    <w:tmpl w:val="D8F6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22C26"/>
    <w:multiLevelType w:val="hybridMultilevel"/>
    <w:tmpl w:val="A32A34E6"/>
    <w:lvl w:ilvl="0" w:tplc="3EB61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72E1"/>
    <w:multiLevelType w:val="hybridMultilevel"/>
    <w:tmpl w:val="380A2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071E"/>
    <w:multiLevelType w:val="hybridMultilevel"/>
    <w:tmpl w:val="7662133C"/>
    <w:lvl w:ilvl="0" w:tplc="2D6270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2CAE"/>
    <w:multiLevelType w:val="hybridMultilevel"/>
    <w:tmpl w:val="02D8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0E99"/>
    <w:multiLevelType w:val="hybridMultilevel"/>
    <w:tmpl w:val="3022D3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7D"/>
    <w:rsid w:val="00004FEB"/>
    <w:rsid w:val="000277F5"/>
    <w:rsid w:val="000330CC"/>
    <w:rsid w:val="00035B43"/>
    <w:rsid w:val="00047F71"/>
    <w:rsid w:val="00052679"/>
    <w:rsid w:val="00061188"/>
    <w:rsid w:val="00062C7D"/>
    <w:rsid w:val="00075072"/>
    <w:rsid w:val="00094C84"/>
    <w:rsid w:val="000A5D5D"/>
    <w:rsid w:val="000B70C0"/>
    <w:rsid w:val="000C16B0"/>
    <w:rsid w:val="00121776"/>
    <w:rsid w:val="00126859"/>
    <w:rsid w:val="00152BE1"/>
    <w:rsid w:val="00175043"/>
    <w:rsid w:val="00177B1A"/>
    <w:rsid w:val="00187D66"/>
    <w:rsid w:val="001C1F22"/>
    <w:rsid w:val="001C7F26"/>
    <w:rsid w:val="001E05FC"/>
    <w:rsid w:val="002222A0"/>
    <w:rsid w:val="002449F1"/>
    <w:rsid w:val="002608C4"/>
    <w:rsid w:val="002715C8"/>
    <w:rsid w:val="002A71C0"/>
    <w:rsid w:val="002A7FF6"/>
    <w:rsid w:val="002B2D16"/>
    <w:rsid w:val="002B5290"/>
    <w:rsid w:val="002F3650"/>
    <w:rsid w:val="003054E2"/>
    <w:rsid w:val="00314ADA"/>
    <w:rsid w:val="00315C09"/>
    <w:rsid w:val="00333D8A"/>
    <w:rsid w:val="003403CE"/>
    <w:rsid w:val="00341279"/>
    <w:rsid w:val="00346BCB"/>
    <w:rsid w:val="00384283"/>
    <w:rsid w:val="003D61B3"/>
    <w:rsid w:val="004025AA"/>
    <w:rsid w:val="00406622"/>
    <w:rsid w:val="004073D3"/>
    <w:rsid w:val="004424D6"/>
    <w:rsid w:val="0045698E"/>
    <w:rsid w:val="0047114C"/>
    <w:rsid w:val="00482CE5"/>
    <w:rsid w:val="00494AD5"/>
    <w:rsid w:val="004B3AEF"/>
    <w:rsid w:val="004F4E21"/>
    <w:rsid w:val="00516688"/>
    <w:rsid w:val="005219E0"/>
    <w:rsid w:val="005406DB"/>
    <w:rsid w:val="00555BDA"/>
    <w:rsid w:val="005B0240"/>
    <w:rsid w:val="005E438C"/>
    <w:rsid w:val="005E59B2"/>
    <w:rsid w:val="005E5A6C"/>
    <w:rsid w:val="00656DF6"/>
    <w:rsid w:val="00664228"/>
    <w:rsid w:val="006931DA"/>
    <w:rsid w:val="006C6C99"/>
    <w:rsid w:val="0070395F"/>
    <w:rsid w:val="00741840"/>
    <w:rsid w:val="00753FFB"/>
    <w:rsid w:val="007553AB"/>
    <w:rsid w:val="007617CD"/>
    <w:rsid w:val="007718DE"/>
    <w:rsid w:val="007B0A6C"/>
    <w:rsid w:val="007B342A"/>
    <w:rsid w:val="007D5C91"/>
    <w:rsid w:val="007D6857"/>
    <w:rsid w:val="007E3E73"/>
    <w:rsid w:val="00814A95"/>
    <w:rsid w:val="00827718"/>
    <w:rsid w:val="00857C24"/>
    <w:rsid w:val="00885A19"/>
    <w:rsid w:val="008D117D"/>
    <w:rsid w:val="008E14BC"/>
    <w:rsid w:val="008F13FF"/>
    <w:rsid w:val="009108C0"/>
    <w:rsid w:val="0094074C"/>
    <w:rsid w:val="009417C9"/>
    <w:rsid w:val="00984C20"/>
    <w:rsid w:val="00996501"/>
    <w:rsid w:val="00996BB5"/>
    <w:rsid w:val="00A25C72"/>
    <w:rsid w:val="00A31BD3"/>
    <w:rsid w:val="00A34BFD"/>
    <w:rsid w:val="00A6214C"/>
    <w:rsid w:val="00A802C6"/>
    <w:rsid w:val="00A841FE"/>
    <w:rsid w:val="00A8552A"/>
    <w:rsid w:val="00A87AB2"/>
    <w:rsid w:val="00AA0FA1"/>
    <w:rsid w:val="00AB3379"/>
    <w:rsid w:val="00AC65E2"/>
    <w:rsid w:val="00AD0A8A"/>
    <w:rsid w:val="00AE04D3"/>
    <w:rsid w:val="00B11CB0"/>
    <w:rsid w:val="00B15687"/>
    <w:rsid w:val="00B26F05"/>
    <w:rsid w:val="00B65731"/>
    <w:rsid w:val="00B93A36"/>
    <w:rsid w:val="00B93AD2"/>
    <w:rsid w:val="00B95FE0"/>
    <w:rsid w:val="00B97777"/>
    <w:rsid w:val="00BB60B3"/>
    <w:rsid w:val="00BC6FA8"/>
    <w:rsid w:val="00BE4F7F"/>
    <w:rsid w:val="00C02D32"/>
    <w:rsid w:val="00C319A5"/>
    <w:rsid w:val="00C36DF4"/>
    <w:rsid w:val="00C42512"/>
    <w:rsid w:val="00C6652C"/>
    <w:rsid w:val="00C723EE"/>
    <w:rsid w:val="00C773A8"/>
    <w:rsid w:val="00C8355F"/>
    <w:rsid w:val="00C86DEE"/>
    <w:rsid w:val="00CB1327"/>
    <w:rsid w:val="00CB6866"/>
    <w:rsid w:val="00D10CB8"/>
    <w:rsid w:val="00D23300"/>
    <w:rsid w:val="00D3193D"/>
    <w:rsid w:val="00D447F7"/>
    <w:rsid w:val="00D969A5"/>
    <w:rsid w:val="00DB158D"/>
    <w:rsid w:val="00DB4A38"/>
    <w:rsid w:val="00DB7AE1"/>
    <w:rsid w:val="00DE70C8"/>
    <w:rsid w:val="00E06A63"/>
    <w:rsid w:val="00E06E7B"/>
    <w:rsid w:val="00E20E28"/>
    <w:rsid w:val="00E74215"/>
    <w:rsid w:val="00E95DCE"/>
    <w:rsid w:val="00EC6341"/>
    <w:rsid w:val="00EE5B58"/>
    <w:rsid w:val="00EF541E"/>
    <w:rsid w:val="00F03443"/>
    <w:rsid w:val="00F145EE"/>
    <w:rsid w:val="00F1724C"/>
    <w:rsid w:val="00F84DAC"/>
    <w:rsid w:val="00F96726"/>
    <w:rsid w:val="00FA50E3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9ADA-34C5-492F-9109-F802F6A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16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8A"/>
  </w:style>
  <w:style w:type="paragraph" w:styleId="Stopka">
    <w:name w:val="footer"/>
    <w:basedOn w:val="Normalny"/>
    <w:link w:val="StopkaZnak"/>
    <w:uiPriority w:val="99"/>
    <w:unhideWhenUsed/>
    <w:rsid w:val="00AD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5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5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499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2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2778-1DD2-4160-BEB8-B9A2268D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Mariusz</dc:creator>
  <cp:keywords/>
  <dc:description/>
  <cp:lastModifiedBy>Jędrzejczyk Mariusz</cp:lastModifiedBy>
  <cp:revision>2</cp:revision>
  <cp:lastPrinted>2019-01-30T08:55:00Z</cp:lastPrinted>
  <dcterms:created xsi:type="dcterms:W3CDTF">2019-02-07T11:39:00Z</dcterms:created>
  <dcterms:modified xsi:type="dcterms:W3CDTF">2019-02-07T11:39:00Z</dcterms:modified>
</cp:coreProperties>
</file>